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42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中小企业划型标准规定</w:t>
      </w:r>
    </w:p>
    <w:p w14:paraId="65D65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8"/>
          <w:szCs w:val="28"/>
          <w:bdr w:val="none" w:color="auto" w:sz="0" w:space="0"/>
          <w:shd w:val="clear" w:fill="FFFFFF"/>
        </w:rPr>
        <w:t>一、根据《中华人民共和国中小企业促进法》和《国务院关于进一步促进中小企业发展的若干意见》（国发〔2009〕36号），制定本规定。</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二、中小企业划分为中型、小型、微型三种类型，具体标准根据企业从业人员、营业收入、资产总额等指标，结合行业特点制定。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四、各行业划型标准为：</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五、企业类型的划分以统计部门的统计数据为依据。</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六、本规定适用于在中华人民共和国境内依法设立的各类所有制和各种组织形式的企业。个体工商户和本规定以外的行业，参照本规定进行划型。</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八、本规定由工业和信息化部、国家统计局会同有关部门根据《国民经济行业分类》修订情况和企业发展变化情况适时修订。</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九、本规定由工业和信息化部、国家统计局会同有关部门负责解释。</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　　十、本规定自发布之日起执行，原国家经贸委、原国家计委、财政部和国家统计局2003年颁布的《中小企业标准暂行规定》同时废止。</w:t>
      </w:r>
      <w:r>
        <w:rPr>
          <w:rFonts w:hint="eastAsia" w:ascii="宋体" w:hAnsi="宋体" w:eastAsia="宋体" w:cs="宋体"/>
          <w:i w:val="0"/>
          <w:iCs w:val="0"/>
          <w:caps w:val="0"/>
          <w:color w:val="333333"/>
          <w:spacing w:val="0"/>
          <w:sz w:val="24"/>
          <w:szCs w:val="24"/>
          <w:bdr w:val="none" w:color="auto" w:sz="0" w:space="0"/>
          <w:shd w:val="clear" w:fill="FFFFFF"/>
        </w:rPr>
        <w:t> </w:t>
      </w:r>
    </w:p>
    <w:p w14:paraId="545DC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OTU1NmEyMWZmMTU1NjYzM2MwZjI2M2EwZjRmNjgifQ=="/>
  </w:docVars>
  <w:rsids>
    <w:rsidRoot w:val="024A4457"/>
    <w:rsid w:val="024A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2025-04-17T08:33:00Z</dcterms:created>
  <dc:creator>懂你的人最温暖</dc:creator>
  <cp:lastModifiedBy>懂你的人最温暖</cp:lastModifiedBy>
  <dcterms:modified xsi:type="dcterms:W3CDTF">2025-04-17T08:34:29Z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2C22D737290046F88A049C01F1A6470C_11</vt:lpwstr>
  </property>
</Properties>
</file>