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7529E9">
      <w:pPr>
        <w:spacing w:before="94" w:line="222" w:lineRule="auto"/>
        <w:rPr>
          <w:rFonts w:hint="eastAsia" w:ascii="黑体" w:hAnsi="黑体" w:eastAsia="黑体" w:cs="黑体"/>
          <w:b/>
          <w:bCs/>
          <w:spacing w:val="26"/>
          <w:sz w:val="36"/>
          <w:szCs w:val="36"/>
          <w:highlight w:val="none"/>
          <w:lang w:eastAsia="zh-CN"/>
        </w:rPr>
      </w:pPr>
      <w:r>
        <w:rPr>
          <w:rFonts w:hint="eastAsia" w:ascii="黑体" w:hAnsi="黑体" w:eastAsia="黑体" w:cs="黑体"/>
          <w:b/>
          <w:bCs/>
          <w:spacing w:val="26"/>
          <w:sz w:val="36"/>
          <w:szCs w:val="36"/>
          <w:highlight w:val="none"/>
          <w:lang w:eastAsia="zh-CN"/>
        </w:rPr>
        <w:t>永城市中心医院县乡村三级远程会诊系统采购项目</w:t>
      </w:r>
    </w:p>
    <w:p w14:paraId="70D90933">
      <w:pPr>
        <w:jc w:val="center"/>
        <w:rPr>
          <w:rFonts w:hint="eastAsia" w:ascii="华文中宋" w:hAnsi="华文中宋" w:eastAsia="华文中宋" w:cs="黑体"/>
          <w:b/>
          <w:sz w:val="52"/>
          <w:szCs w:val="48"/>
          <w:highlight w:val="none"/>
          <w:lang w:eastAsia="zh-CN"/>
        </w:rPr>
      </w:pPr>
    </w:p>
    <w:p w14:paraId="6CBF42EA">
      <w:pPr>
        <w:spacing w:line="240" w:lineRule="auto"/>
        <w:ind w:left="0" w:leftChars="0" w:firstLine="0" w:firstLineChars="0"/>
        <w:jc w:val="center"/>
        <w:outlineLvl w:val="9"/>
        <w:rPr>
          <w:rFonts w:ascii="黑体" w:hAnsi="黑体" w:eastAsia="黑体"/>
          <w:b/>
          <w:bCs/>
          <w:spacing w:val="5"/>
          <w:sz w:val="40"/>
          <w:szCs w:val="40"/>
          <w:highlight w:val="none"/>
          <w:lang w:eastAsia="zh-CN"/>
        </w:rPr>
      </w:pPr>
    </w:p>
    <w:p w14:paraId="0EDDB46B">
      <w:pPr>
        <w:pStyle w:val="3"/>
        <w:spacing w:line="254" w:lineRule="auto"/>
        <w:rPr>
          <w:b/>
          <w:sz w:val="44"/>
          <w:szCs w:val="44"/>
          <w:highlight w:val="none"/>
          <w:lang w:eastAsia="zh-CN"/>
        </w:rPr>
      </w:pPr>
    </w:p>
    <w:p w14:paraId="698B7BBA">
      <w:pPr>
        <w:pStyle w:val="3"/>
        <w:spacing w:line="254" w:lineRule="auto"/>
        <w:rPr>
          <w:highlight w:val="none"/>
          <w:lang w:eastAsia="zh-CN"/>
        </w:rPr>
      </w:pPr>
    </w:p>
    <w:p w14:paraId="16A6B685">
      <w:pPr>
        <w:spacing w:before="94" w:line="222" w:lineRule="auto"/>
        <w:ind w:left="2689"/>
        <w:rPr>
          <w:rFonts w:ascii="黑体" w:hAnsi="黑体" w:eastAsia="黑体" w:cs="黑体"/>
          <w:b/>
          <w:bCs/>
          <w:spacing w:val="26"/>
          <w:sz w:val="29"/>
          <w:szCs w:val="29"/>
          <w:highlight w:val="none"/>
          <w:lang w:eastAsia="zh-CN"/>
        </w:rPr>
      </w:pPr>
    </w:p>
    <w:p w14:paraId="65B2F64E">
      <w:pPr>
        <w:spacing w:before="94" w:line="222" w:lineRule="auto"/>
        <w:ind w:left="2689"/>
        <w:rPr>
          <w:rFonts w:ascii="黑体" w:hAnsi="黑体" w:eastAsia="黑体" w:cs="黑体"/>
          <w:b/>
          <w:bCs/>
          <w:spacing w:val="26"/>
          <w:sz w:val="36"/>
          <w:szCs w:val="36"/>
          <w:highlight w:val="none"/>
          <w:lang w:eastAsia="zh-CN"/>
        </w:rPr>
      </w:pPr>
    </w:p>
    <w:p w14:paraId="141F66A1">
      <w:pPr>
        <w:spacing w:before="94" w:line="222" w:lineRule="auto"/>
        <w:ind w:left="2689"/>
        <w:rPr>
          <w:rFonts w:ascii="黑体" w:hAnsi="黑体" w:eastAsia="黑体" w:cs="黑体"/>
          <w:sz w:val="36"/>
          <w:szCs w:val="36"/>
          <w:highlight w:val="none"/>
          <w:lang w:eastAsia="zh-CN"/>
        </w:rPr>
      </w:pPr>
      <w:r>
        <w:rPr>
          <w:rFonts w:ascii="黑体" w:hAnsi="黑体" w:eastAsia="黑体" w:cs="黑体"/>
          <w:b/>
          <w:bCs/>
          <w:spacing w:val="26"/>
          <w:sz w:val="36"/>
          <w:szCs w:val="36"/>
          <w:highlight w:val="none"/>
          <w:lang w:eastAsia="zh-CN"/>
        </w:rPr>
        <w:t>竞争性磋商文件</w:t>
      </w:r>
    </w:p>
    <w:p w14:paraId="27E84AD6">
      <w:pPr>
        <w:pStyle w:val="3"/>
        <w:spacing w:line="242" w:lineRule="auto"/>
        <w:rPr>
          <w:highlight w:val="none"/>
          <w:lang w:eastAsia="zh-CN"/>
        </w:rPr>
      </w:pPr>
    </w:p>
    <w:p w14:paraId="35AC4272">
      <w:pPr>
        <w:pStyle w:val="3"/>
        <w:spacing w:line="242" w:lineRule="auto"/>
        <w:rPr>
          <w:highlight w:val="none"/>
          <w:lang w:eastAsia="zh-CN"/>
        </w:rPr>
      </w:pPr>
    </w:p>
    <w:p w14:paraId="53063866">
      <w:pPr>
        <w:pStyle w:val="3"/>
        <w:spacing w:line="242" w:lineRule="auto"/>
        <w:rPr>
          <w:highlight w:val="none"/>
          <w:lang w:eastAsia="zh-CN"/>
        </w:rPr>
      </w:pPr>
    </w:p>
    <w:p w14:paraId="458BDDE1">
      <w:pPr>
        <w:pStyle w:val="3"/>
        <w:spacing w:line="242" w:lineRule="auto"/>
        <w:rPr>
          <w:highlight w:val="none"/>
          <w:lang w:eastAsia="zh-CN"/>
        </w:rPr>
      </w:pPr>
    </w:p>
    <w:p w14:paraId="7BE875EC">
      <w:pPr>
        <w:pStyle w:val="3"/>
        <w:spacing w:line="242" w:lineRule="auto"/>
        <w:rPr>
          <w:highlight w:val="none"/>
          <w:lang w:eastAsia="zh-CN"/>
        </w:rPr>
      </w:pPr>
    </w:p>
    <w:p w14:paraId="2ECCAFBA">
      <w:pPr>
        <w:pStyle w:val="3"/>
        <w:spacing w:line="242" w:lineRule="auto"/>
        <w:rPr>
          <w:highlight w:val="none"/>
          <w:lang w:eastAsia="zh-CN"/>
        </w:rPr>
      </w:pPr>
    </w:p>
    <w:p w14:paraId="19B66B3C">
      <w:pPr>
        <w:pStyle w:val="3"/>
        <w:spacing w:line="242" w:lineRule="auto"/>
        <w:rPr>
          <w:highlight w:val="none"/>
          <w:lang w:eastAsia="zh-CN"/>
        </w:rPr>
      </w:pPr>
    </w:p>
    <w:p w14:paraId="64182707">
      <w:pPr>
        <w:pStyle w:val="3"/>
        <w:spacing w:line="242" w:lineRule="auto"/>
        <w:rPr>
          <w:highlight w:val="none"/>
          <w:lang w:eastAsia="zh-CN"/>
        </w:rPr>
      </w:pPr>
    </w:p>
    <w:p w14:paraId="007FE054">
      <w:pPr>
        <w:pStyle w:val="3"/>
        <w:spacing w:line="242" w:lineRule="auto"/>
        <w:rPr>
          <w:highlight w:val="none"/>
          <w:lang w:eastAsia="zh-CN"/>
        </w:rPr>
      </w:pPr>
    </w:p>
    <w:p w14:paraId="50FF413C">
      <w:pPr>
        <w:pStyle w:val="3"/>
        <w:spacing w:line="243" w:lineRule="auto"/>
        <w:rPr>
          <w:highlight w:val="none"/>
          <w:lang w:eastAsia="zh-CN"/>
        </w:rPr>
      </w:pPr>
    </w:p>
    <w:p w14:paraId="4AB862F3">
      <w:pPr>
        <w:pStyle w:val="3"/>
        <w:spacing w:line="243" w:lineRule="auto"/>
        <w:rPr>
          <w:highlight w:val="none"/>
          <w:lang w:eastAsia="zh-CN"/>
        </w:rPr>
      </w:pPr>
    </w:p>
    <w:p w14:paraId="353C4F3B">
      <w:pPr>
        <w:pStyle w:val="3"/>
        <w:spacing w:line="243" w:lineRule="auto"/>
        <w:rPr>
          <w:highlight w:val="none"/>
          <w:lang w:eastAsia="zh-CN"/>
        </w:rPr>
      </w:pPr>
    </w:p>
    <w:p w14:paraId="4B0819A1">
      <w:pPr>
        <w:pStyle w:val="3"/>
        <w:spacing w:line="243" w:lineRule="auto"/>
        <w:rPr>
          <w:highlight w:val="none"/>
          <w:lang w:eastAsia="zh-CN"/>
        </w:rPr>
      </w:pPr>
    </w:p>
    <w:p w14:paraId="09B4B74B">
      <w:pPr>
        <w:pStyle w:val="3"/>
        <w:spacing w:line="243" w:lineRule="auto"/>
        <w:rPr>
          <w:highlight w:val="none"/>
          <w:lang w:eastAsia="zh-CN"/>
        </w:rPr>
      </w:pPr>
    </w:p>
    <w:p w14:paraId="7D2D4DED">
      <w:pPr>
        <w:pStyle w:val="3"/>
        <w:spacing w:line="243" w:lineRule="auto"/>
        <w:rPr>
          <w:highlight w:val="none"/>
          <w:lang w:eastAsia="zh-CN"/>
        </w:rPr>
      </w:pPr>
    </w:p>
    <w:p w14:paraId="2AD79BF4">
      <w:pPr>
        <w:pStyle w:val="3"/>
        <w:spacing w:line="243" w:lineRule="auto"/>
        <w:rPr>
          <w:highlight w:val="none"/>
          <w:lang w:eastAsia="zh-CN"/>
        </w:rPr>
      </w:pPr>
    </w:p>
    <w:p w14:paraId="456575D4">
      <w:pPr>
        <w:pStyle w:val="3"/>
        <w:spacing w:line="243" w:lineRule="auto"/>
        <w:rPr>
          <w:highlight w:val="none"/>
          <w:lang w:eastAsia="zh-CN"/>
        </w:rPr>
      </w:pPr>
    </w:p>
    <w:p w14:paraId="2ABE5E32">
      <w:pPr>
        <w:pStyle w:val="3"/>
        <w:spacing w:line="243" w:lineRule="auto"/>
        <w:rPr>
          <w:highlight w:val="none"/>
          <w:lang w:eastAsia="zh-CN"/>
        </w:rPr>
      </w:pPr>
    </w:p>
    <w:p w14:paraId="75043A97">
      <w:pPr>
        <w:pStyle w:val="3"/>
        <w:spacing w:line="243" w:lineRule="auto"/>
        <w:rPr>
          <w:highlight w:val="none"/>
          <w:lang w:eastAsia="zh-CN"/>
        </w:rPr>
      </w:pPr>
    </w:p>
    <w:p w14:paraId="2F3BC830">
      <w:pPr>
        <w:pStyle w:val="3"/>
        <w:spacing w:line="243" w:lineRule="auto"/>
        <w:rPr>
          <w:highlight w:val="none"/>
          <w:lang w:eastAsia="zh-CN"/>
        </w:rPr>
      </w:pPr>
    </w:p>
    <w:p w14:paraId="2C8049C9">
      <w:pPr>
        <w:pStyle w:val="3"/>
        <w:spacing w:line="243" w:lineRule="auto"/>
        <w:rPr>
          <w:highlight w:val="none"/>
          <w:lang w:eastAsia="zh-CN"/>
        </w:rPr>
      </w:pPr>
    </w:p>
    <w:p w14:paraId="245A9FA0">
      <w:pPr>
        <w:pStyle w:val="3"/>
        <w:spacing w:line="243" w:lineRule="auto"/>
        <w:rPr>
          <w:highlight w:val="none"/>
          <w:lang w:eastAsia="zh-CN"/>
        </w:rPr>
      </w:pPr>
    </w:p>
    <w:p w14:paraId="70BCB6E8">
      <w:pPr>
        <w:pStyle w:val="3"/>
        <w:spacing w:line="243" w:lineRule="auto"/>
        <w:rPr>
          <w:highlight w:val="none"/>
          <w:lang w:eastAsia="zh-CN"/>
        </w:rPr>
      </w:pPr>
    </w:p>
    <w:p w14:paraId="6CA7BFA4">
      <w:pPr>
        <w:pStyle w:val="3"/>
        <w:spacing w:line="243" w:lineRule="auto"/>
        <w:rPr>
          <w:highlight w:val="none"/>
          <w:lang w:eastAsia="zh-CN"/>
        </w:rPr>
      </w:pPr>
    </w:p>
    <w:p w14:paraId="05DC2420">
      <w:pPr>
        <w:pStyle w:val="3"/>
        <w:spacing w:line="243" w:lineRule="auto"/>
        <w:rPr>
          <w:highlight w:val="none"/>
          <w:lang w:eastAsia="zh-CN"/>
        </w:rPr>
      </w:pPr>
    </w:p>
    <w:p w14:paraId="04E68B85">
      <w:pPr>
        <w:pStyle w:val="3"/>
        <w:spacing w:line="243" w:lineRule="auto"/>
        <w:rPr>
          <w:highlight w:val="none"/>
          <w:lang w:eastAsia="zh-CN"/>
        </w:rPr>
      </w:pPr>
    </w:p>
    <w:p w14:paraId="32038F53">
      <w:pPr>
        <w:pStyle w:val="3"/>
        <w:spacing w:line="243" w:lineRule="auto"/>
        <w:rPr>
          <w:highlight w:val="none"/>
          <w:lang w:eastAsia="zh-CN"/>
        </w:rPr>
      </w:pPr>
    </w:p>
    <w:p w14:paraId="7DB3A01B">
      <w:pPr>
        <w:pStyle w:val="3"/>
        <w:spacing w:line="243" w:lineRule="auto"/>
        <w:rPr>
          <w:highlight w:val="none"/>
          <w:lang w:eastAsia="zh-CN"/>
        </w:rPr>
      </w:pPr>
    </w:p>
    <w:p w14:paraId="14DF9651">
      <w:pPr>
        <w:pStyle w:val="34"/>
        <w:overflowPunct w:val="0"/>
        <w:spacing w:line="360" w:lineRule="auto"/>
        <w:ind w:firstLine="1603" w:firstLineChars="600"/>
        <w:rPr>
          <w:rFonts w:hint="eastAsia" w:ascii="黑体" w:hAnsi="黑体" w:eastAsia="黑体" w:cs="黑体"/>
          <w:b/>
          <w:bCs/>
          <w:snapToGrid w:val="0"/>
          <w:color w:val="000000"/>
          <w:spacing w:val="-13"/>
          <w:sz w:val="29"/>
          <w:szCs w:val="29"/>
          <w:highlight w:val="none"/>
          <w:lang w:val="en-US" w:eastAsia="zh-CN" w:bidi="ar-SA"/>
        </w:rPr>
      </w:pPr>
      <w:r>
        <w:rPr>
          <w:rFonts w:ascii="黑体" w:hAnsi="黑体" w:eastAsia="黑体" w:cs="黑体"/>
          <w:b/>
          <w:bCs/>
          <w:spacing w:val="-12"/>
          <w:sz w:val="29"/>
          <w:szCs w:val="29"/>
          <w:highlight w:val="none"/>
          <w:lang w:eastAsia="zh-CN"/>
        </w:rPr>
        <w:t>采</w:t>
      </w:r>
      <w:r>
        <w:rPr>
          <w:rFonts w:hint="eastAsia" w:ascii="黑体" w:hAnsi="黑体" w:eastAsia="黑体" w:cs="黑体"/>
          <w:b/>
          <w:bCs/>
          <w:spacing w:val="-12"/>
          <w:sz w:val="29"/>
          <w:szCs w:val="29"/>
          <w:highlight w:val="none"/>
          <w:lang w:val="en-US" w:eastAsia="zh-CN"/>
        </w:rPr>
        <w:t xml:space="preserve">  </w:t>
      </w:r>
      <w:r>
        <w:rPr>
          <w:rFonts w:ascii="黑体" w:hAnsi="黑体" w:eastAsia="黑体" w:cs="黑体"/>
          <w:b/>
          <w:bCs/>
          <w:spacing w:val="-12"/>
          <w:sz w:val="29"/>
          <w:szCs w:val="29"/>
          <w:highlight w:val="none"/>
          <w:lang w:eastAsia="zh-CN"/>
        </w:rPr>
        <w:t>购</w:t>
      </w:r>
      <w:r>
        <w:rPr>
          <w:rFonts w:hint="eastAsia" w:ascii="黑体" w:hAnsi="黑体" w:eastAsia="黑体" w:cs="黑体"/>
          <w:b/>
          <w:bCs/>
          <w:spacing w:val="-12"/>
          <w:sz w:val="29"/>
          <w:szCs w:val="29"/>
          <w:highlight w:val="none"/>
          <w:lang w:val="en-US" w:eastAsia="zh-CN"/>
        </w:rPr>
        <w:t xml:space="preserve">  </w:t>
      </w:r>
      <w:r>
        <w:rPr>
          <w:rFonts w:ascii="黑体" w:hAnsi="黑体" w:eastAsia="黑体" w:cs="黑体"/>
          <w:b/>
          <w:bCs/>
          <w:spacing w:val="-12"/>
          <w:sz w:val="29"/>
          <w:szCs w:val="29"/>
          <w:highlight w:val="none"/>
          <w:lang w:eastAsia="zh-CN"/>
        </w:rPr>
        <w:t>人：</w:t>
      </w:r>
      <w:r>
        <w:rPr>
          <w:rFonts w:hint="eastAsia" w:ascii="黑体" w:hAnsi="黑体" w:eastAsia="黑体" w:cs="黑体"/>
          <w:b/>
          <w:bCs/>
          <w:snapToGrid w:val="0"/>
          <w:color w:val="000000"/>
          <w:spacing w:val="-13"/>
          <w:sz w:val="29"/>
          <w:szCs w:val="29"/>
          <w:highlight w:val="none"/>
          <w:lang w:val="en-US" w:eastAsia="zh-CN" w:bidi="ar-SA"/>
        </w:rPr>
        <w:t>永城市中心</w:t>
      </w:r>
      <w:bookmarkStart w:id="1052" w:name="_GoBack"/>
      <w:bookmarkEnd w:id="1052"/>
      <w:r>
        <w:rPr>
          <w:rFonts w:hint="eastAsia" w:ascii="黑体" w:hAnsi="黑体" w:eastAsia="黑体" w:cs="黑体"/>
          <w:b/>
          <w:bCs/>
          <w:snapToGrid w:val="0"/>
          <w:color w:val="000000"/>
          <w:spacing w:val="-13"/>
          <w:sz w:val="29"/>
          <w:szCs w:val="29"/>
          <w:highlight w:val="none"/>
          <w:lang w:val="en-US" w:eastAsia="zh-CN" w:bidi="ar-SA"/>
        </w:rPr>
        <w:t>医院</w:t>
      </w:r>
    </w:p>
    <w:p w14:paraId="10EAE6CF">
      <w:pPr>
        <w:spacing w:before="95" w:line="221" w:lineRule="auto"/>
        <w:ind w:firstLine="1591" w:firstLineChars="600"/>
        <w:rPr>
          <w:rFonts w:ascii="黑体" w:hAnsi="黑体" w:eastAsia="黑体" w:cs="黑体"/>
          <w:sz w:val="29"/>
          <w:szCs w:val="29"/>
          <w:highlight w:val="none"/>
          <w:lang w:eastAsia="zh-CN"/>
        </w:rPr>
      </w:pPr>
      <w:r>
        <w:rPr>
          <w:rFonts w:ascii="黑体" w:hAnsi="黑体" w:eastAsia="黑体" w:cs="黑体"/>
          <w:b/>
          <w:bCs/>
          <w:spacing w:val="-13"/>
          <w:sz w:val="29"/>
          <w:szCs w:val="29"/>
          <w:highlight w:val="none"/>
          <w:lang w:eastAsia="zh-CN"/>
        </w:rPr>
        <w:t>代</w:t>
      </w:r>
      <w:r>
        <w:rPr>
          <w:rFonts w:hint="eastAsia" w:ascii="黑体" w:hAnsi="黑体" w:eastAsia="黑体" w:cs="黑体"/>
          <w:b/>
          <w:bCs/>
          <w:spacing w:val="-13"/>
          <w:sz w:val="29"/>
          <w:szCs w:val="29"/>
          <w:highlight w:val="none"/>
          <w:lang w:val="en-US" w:eastAsia="zh-CN"/>
        </w:rPr>
        <w:t xml:space="preserve"> </w:t>
      </w:r>
      <w:r>
        <w:rPr>
          <w:rFonts w:ascii="黑体" w:hAnsi="黑体" w:eastAsia="黑体" w:cs="黑体"/>
          <w:b/>
          <w:bCs/>
          <w:spacing w:val="-13"/>
          <w:sz w:val="29"/>
          <w:szCs w:val="29"/>
          <w:highlight w:val="none"/>
          <w:lang w:eastAsia="zh-CN"/>
        </w:rPr>
        <w:t>理</w:t>
      </w:r>
      <w:r>
        <w:rPr>
          <w:rFonts w:hint="eastAsia" w:ascii="黑体" w:hAnsi="黑体" w:eastAsia="黑体" w:cs="黑体"/>
          <w:b/>
          <w:bCs/>
          <w:spacing w:val="-13"/>
          <w:sz w:val="29"/>
          <w:szCs w:val="29"/>
          <w:highlight w:val="none"/>
          <w:lang w:val="en-US" w:eastAsia="zh-CN"/>
        </w:rPr>
        <w:t xml:space="preserve"> </w:t>
      </w:r>
      <w:r>
        <w:rPr>
          <w:rFonts w:ascii="黑体" w:hAnsi="黑体" w:eastAsia="黑体" w:cs="黑体"/>
          <w:b/>
          <w:bCs/>
          <w:spacing w:val="-13"/>
          <w:sz w:val="29"/>
          <w:szCs w:val="29"/>
          <w:highlight w:val="none"/>
          <w:lang w:eastAsia="zh-CN"/>
        </w:rPr>
        <w:t>机</w:t>
      </w:r>
      <w:r>
        <w:rPr>
          <w:rFonts w:hint="eastAsia" w:ascii="黑体" w:hAnsi="黑体" w:eastAsia="黑体" w:cs="黑体"/>
          <w:b/>
          <w:bCs/>
          <w:spacing w:val="-13"/>
          <w:sz w:val="29"/>
          <w:szCs w:val="29"/>
          <w:highlight w:val="none"/>
          <w:lang w:val="en-US" w:eastAsia="zh-CN"/>
        </w:rPr>
        <w:t xml:space="preserve"> </w:t>
      </w:r>
      <w:r>
        <w:rPr>
          <w:rFonts w:ascii="黑体" w:hAnsi="黑体" w:eastAsia="黑体" w:cs="黑体"/>
          <w:b/>
          <w:bCs/>
          <w:spacing w:val="-13"/>
          <w:sz w:val="29"/>
          <w:szCs w:val="29"/>
          <w:highlight w:val="none"/>
          <w:lang w:eastAsia="zh-CN"/>
        </w:rPr>
        <w:t>构：永城市公共资源交易中心</w:t>
      </w:r>
    </w:p>
    <w:p w14:paraId="56F1BCC2">
      <w:pPr>
        <w:pStyle w:val="3"/>
        <w:spacing w:line="336" w:lineRule="auto"/>
        <w:rPr>
          <w:highlight w:val="none"/>
          <w:lang w:eastAsia="zh-CN"/>
        </w:rPr>
      </w:pPr>
    </w:p>
    <w:p w14:paraId="1477EF7A">
      <w:pPr>
        <w:spacing w:before="101" w:line="225" w:lineRule="auto"/>
        <w:ind w:firstLine="1516" w:firstLineChars="500"/>
        <w:rPr>
          <w:rFonts w:hint="default" w:ascii="宋体" w:hAnsi="宋体" w:eastAsia="宋体" w:cs="宋体"/>
          <w:sz w:val="31"/>
          <w:szCs w:val="31"/>
          <w:highlight w:val="none"/>
          <w:lang w:val="en-US" w:eastAsia="zh-CN"/>
        </w:rPr>
      </w:pPr>
      <w:r>
        <w:rPr>
          <w:rFonts w:ascii="宋体" w:hAnsi="宋体" w:eastAsia="宋体" w:cs="宋体"/>
          <w:b/>
          <w:bCs/>
          <w:spacing w:val="-4"/>
          <w:sz w:val="31"/>
          <w:szCs w:val="31"/>
          <w:highlight w:val="none"/>
          <w:lang w:eastAsia="zh-CN"/>
        </w:rPr>
        <w:t>日</w:t>
      </w:r>
      <w:r>
        <w:rPr>
          <w:rFonts w:hint="eastAsia" w:ascii="宋体" w:hAnsi="宋体" w:eastAsia="宋体" w:cs="宋体"/>
          <w:b/>
          <w:bCs/>
          <w:spacing w:val="-4"/>
          <w:sz w:val="31"/>
          <w:szCs w:val="31"/>
          <w:highlight w:val="none"/>
          <w:lang w:eastAsia="zh-CN"/>
        </w:rPr>
        <w:t xml:space="preserve">  </w:t>
      </w:r>
      <w:r>
        <w:rPr>
          <w:rFonts w:ascii="宋体" w:hAnsi="宋体" w:eastAsia="宋体" w:cs="宋体"/>
          <w:b/>
          <w:bCs/>
          <w:spacing w:val="-4"/>
          <w:sz w:val="31"/>
          <w:szCs w:val="31"/>
          <w:highlight w:val="none"/>
          <w:lang w:eastAsia="zh-CN"/>
        </w:rPr>
        <w:t>期：二〇二五年</w:t>
      </w:r>
      <w:r>
        <w:rPr>
          <w:rFonts w:hint="eastAsia" w:ascii="宋体" w:hAnsi="宋体" w:eastAsia="宋体" w:cs="宋体"/>
          <w:b/>
          <w:bCs/>
          <w:spacing w:val="-4"/>
          <w:sz w:val="31"/>
          <w:szCs w:val="31"/>
          <w:highlight w:val="none"/>
          <w:lang w:val="en-US" w:eastAsia="zh-CN"/>
        </w:rPr>
        <w:t>七</w:t>
      </w:r>
      <w:r>
        <w:rPr>
          <w:rFonts w:ascii="宋体" w:hAnsi="宋体" w:eastAsia="宋体" w:cs="宋体"/>
          <w:b/>
          <w:bCs/>
          <w:spacing w:val="-4"/>
          <w:sz w:val="31"/>
          <w:szCs w:val="31"/>
          <w:highlight w:val="none"/>
          <w:lang w:eastAsia="zh-CN"/>
        </w:rPr>
        <w:t>月</w:t>
      </w:r>
    </w:p>
    <w:p w14:paraId="1498993F">
      <w:pPr>
        <w:spacing w:before="95" w:line="221" w:lineRule="auto"/>
        <w:ind w:left="1979"/>
        <w:rPr>
          <w:rFonts w:hint="default" w:ascii="黑体" w:hAnsi="黑体" w:eastAsia="黑体" w:cs="黑体"/>
          <w:b/>
          <w:bCs/>
          <w:spacing w:val="-13"/>
          <w:sz w:val="29"/>
          <w:szCs w:val="29"/>
          <w:highlight w:val="none"/>
          <w:lang w:val="en-US" w:eastAsia="zh-CN"/>
        </w:rPr>
      </w:pPr>
    </w:p>
    <w:p w14:paraId="51799AA3">
      <w:pPr>
        <w:spacing w:before="95" w:line="221" w:lineRule="auto"/>
        <w:ind w:left="1979"/>
        <w:rPr>
          <w:rFonts w:ascii="黑体" w:hAnsi="黑体" w:eastAsia="黑体" w:cs="黑体"/>
          <w:b/>
          <w:bCs/>
          <w:spacing w:val="-13"/>
          <w:sz w:val="29"/>
          <w:szCs w:val="29"/>
          <w:highlight w:val="none"/>
          <w:lang w:eastAsia="zh-CN"/>
        </w:rPr>
      </w:pPr>
    </w:p>
    <w:p w14:paraId="55AC713A">
      <w:pPr>
        <w:pStyle w:val="13"/>
        <w:jc w:val="both"/>
        <w:rPr>
          <w:rFonts w:hint="eastAsia" w:ascii="宋体" w:hAnsi="宋体" w:cs="宋体"/>
          <w:b/>
          <w:color w:val="auto"/>
          <w:sz w:val="32"/>
          <w:highlight w:val="none"/>
          <w:lang w:eastAsia="zh-CN"/>
        </w:rPr>
      </w:pPr>
      <w:bookmarkStart w:id="0" w:name="_Toc144974478"/>
      <w:bookmarkStart w:id="1" w:name="_Toc152042286"/>
      <w:bookmarkStart w:id="2" w:name="_Toc152045511"/>
      <w:bookmarkStart w:id="3" w:name="_Toc490667779"/>
      <w:bookmarkStart w:id="4" w:name="_Toc144974479"/>
      <w:bookmarkStart w:id="5" w:name="_Toc152042287"/>
    </w:p>
    <w:p w14:paraId="755F7812">
      <w:pPr>
        <w:pStyle w:val="13"/>
        <w:ind w:firstLine="3522" w:firstLineChars="1100"/>
        <w:jc w:val="both"/>
        <w:rPr>
          <w:color w:val="auto"/>
          <w:highlight w:val="none"/>
          <w:lang w:eastAsia="zh-CN"/>
        </w:rPr>
      </w:pPr>
      <w:r>
        <w:rPr>
          <w:rFonts w:hint="eastAsia" w:ascii="宋体" w:hAnsi="宋体" w:cs="宋体"/>
          <w:b/>
          <w:color w:val="auto"/>
          <w:sz w:val="32"/>
          <w:highlight w:val="none"/>
          <w:lang w:eastAsia="zh-CN"/>
        </w:rPr>
        <w:t>目    录</w:t>
      </w:r>
      <w:bookmarkEnd w:id="0"/>
      <w:bookmarkEnd w:id="1"/>
    </w:p>
    <w:p w14:paraId="663E5CF4">
      <w:pPr>
        <w:pStyle w:val="20"/>
        <w:tabs>
          <w:tab w:val="right" w:leader="dot" w:pos="8299"/>
        </w:tabs>
        <w:kinsoku/>
        <w:autoSpaceDE/>
        <w:autoSpaceDN/>
        <w:spacing w:line="400" w:lineRule="exact"/>
        <w:jc w:val="distribute"/>
        <w:textAlignment w:val="auto"/>
        <w:rPr>
          <w:color w:val="auto"/>
          <w:highlight w:val="none"/>
        </w:rPr>
      </w:pPr>
      <w:r>
        <w:rPr>
          <w:color w:val="auto"/>
          <w:highlight w:val="none"/>
        </w:rPr>
        <w:fldChar w:fldCharType="begin"/>
      </w:r>
      <w:r>
        <w:rPr>
          <w:color w:val="auto"/>
          <w:highlight w:val="none"/>
        </w:rPr>
        <w:instrText xml:space="preserve">TOC \o "1-3" \h \u </w:instrText>
      </w:r>
      <w:r>
        <w:rPr>
          <w:color w:val="auto"/>
          <w:highlight w:val="none"/>
        </w:rPr>
        <w:fldChar w:fldCharType="separate"/>
      </w:r>
      <w:r>
        <w:rPr>
          <w:highlight w:val="none"/>
        </w:rPr>
        <w:fldChar w:fldCharType="begin"/>
      </w:r>
      <w:r>
        <w:rPr>
          <w:highlight w:val="none"/>
        </w:rPr>
        <w:instrText xml:space="preserve"> HYPERLINK \l "_Toc1987" </w:instrText>
      </w:r>
      <w:r>
        <w:rPr>
          <w:highlight w:val="none"/>
        </w:rPr>
        <w:fldChar w:fldCharType="separate"/>
      </w:r>
      <w:r>
        <w:rPr>
          <w:rFonts w:hint="eastAsia"/>
          <w:color w:val="auto"/>
          <w:highlight w:val="none"/>
        </w:rPr>
        <w:t>第一章 竞争性磋商公告</w:t>
      </w:r>
      <w:r>
        <w:rPr>
          <w:color w:val="auto"/>
          <w:highlight w:val="none"/>
        </w:rPr>
        <w:tab/>
      </w:r>
      <w:r>
        <w:rPr>
          <w:color w:val="auto"/>
          <w:highlight w:val="none"/>
        </w:rPr>
        <w:fldChar w:fldCharType="begin"/>
      </w:r>
      <w:r>
        <w:rPr>
          <w:color w:val="auto"/>
          <w:highlight w:val="none"/>
        </w:rPr>
        <w:instrText xml:space="preserve"> PAGEREF _Toc1987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14:paraId="7945758A">
      <w:pPr>
        <w:pStyle w:val="20"/>
        <w:tabs>
          <w:tab w:val="right" w:leader="dot" w:pos="8299"/>
        </w:tabs>
        <w:kinsoku/>
        <w:autoSpaceDE/>
        <w:autoSpaceDN/>
        <w:spacing w:line="400" w:lineRule="exact"/>
        <w:jc w:val="distribute"/>
        <w:textAlignment w:val="auto"/>
        <w:rPr>
          <w:color w:val="auto"/>
          <w:highlight w:val="none"/>
        </w:rPr>
      </w:pPr>
      <w:r>
        <w:rPr>
          <w:highlight w:val="none"/>
        </w:rPr>
        <w:fldChar w:fldCharType="begin"/>
      </w:r>
      <w:r>
        <w:rPr>
          <w:highlight w:val="none"/>
        </w:rPr>
        <w:instrText xml:space="preserve"> HYPERLINK \l "_Toc21913" </w:instrText>
      </w:r>
      <w:r>
        <w:rPr>
          <w:highlight w:val="none"/>
        </w:rPr>
        <w:fldChar w:fldCharType="separate"/>
      </w:r>
      <w:r>
        <w:rPr>
          <w:rFonts w:hint="eastAsia"/>
          <w:color w:val="auto"/>
          <w:highlight w:val="none"/>
        </w:rPr>
        <w:t>第二章 供应商须知</w:t>
      </w:r>
      <w:r>
        <w:rPr>
          <w:color w:val="auto"/>
          <w:highlight w:val="none"/>
        </w:rPr>
        <w:tab/>
      </w:r>
      <w:r>
        <w:rPr>
          <w:color w:val="auto"/>
          <w:highlight w:val="none"/>
        </w:rPr>
        <w:fldChar w:fldCharType="begin"/>
      </w:r>
      <w:r>
        <w:rPr>
          <w:color w:val="auto"/>
          <w:highlight w:val="none"/>
        </w:rPr>
        <w:instrText xml:space="preserve"> PAGEREF _Toc21913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22F82EA5">
      <w:pPr>
        <w:pStyle w:val="22"/>
        <w:tabs>
          <w:tab w:val="right" w:leader="dot" w:pos="8299"/>
        </w:tabs>
        <w:kinsoku/>
        <w:autoSpaceDE/>
        <w:autoSpaceDN/>
        <w:spacing w:line="400" w:lineRule="exact"/>
        <w:ind w:left="0"/>
        <w:jc w:val="distribute"/>
        <w:textAlignment w:val="auto"/>
        <w:rPr>
          <w:color w:val="auto"/>
          <w:sz w:val="21"/>
          <w:highlight w:val="none"/>
        </w:rPr>
      </w:pPr>
      <w:r>
        <w:rPr>
          <w:highlight w:val="none"/>
        </w:rPr>
        <w:fldChar w:fldCharType="begin"/>
      </w:r>
      <w:r>
        <w:rPr>
          <w:highlight w:val="none"/>
        </w:rPr>
        <w:instrText xml:space="preserve"> HYPERLINK \l "_Toc31181" </w:instrText>
      </w:r>
      <w:r>
        <w:rPr>
          <w:highlight w:val="none"/>
        </w:rPr>
        <w:fldChar w:fldCharType="separate"/>
      </w:r>
      <w:r>
        <w:rPr>
          <w:rFonts w:hint="eastAsia"/>
          <w:color w:val="auto"/>
          <w:sz w:val="21"/>
          <w:highlight w:val="none"/>
        </w:rPr>
        <w:t>1.总则</w:t>
      </w:r>
      <w:r>
        <w:rPr>
          <w:color w:val="auto"/>
          <w:sz w:val="21"/>
          <w:highlight w:val="none"/>
        </w:rPr>
        <w:tab/>
      </w:r>
      <w:r>
        <w:rPr>
          <w:color w:val="auto"/>
          <w:sz w:val="21"/>
          <w:highlight w:val="none"/>
        </w:rPr>
        <w:fldChar w:fldCharType="begin"/>
      </w:r>
      <w:r>
        <w:rPr>
          <w:color w:val="auto"/>
          <w:sz w:val="21"/>
          <w:highlight w:val="none"/>
        </w:rPr>
        <w:instrText xml:space="preserve"> PAGEREF _Toc31181 </w:instrText>
      </w:r>
      <w:r>
        <w:rPr>
          <w:color w:val="auto"/>
          <w:sz w:val="21"/>
          <w:highlight w:val="none"/>
        </w:rPr>
        <w:fldChar w:fldCharType="separate"/>
      </w:r>
      <w:r>
        <w:rPr>
          <w:color w:val="auto"/>
          <w:sz w:val="21"/>
          <w:highlight w:val="none"/>
        </w:rPr>
        <w:t>9</w:t>
      </w:r>
      <w:r>
        <w:rPr>
          <w:color w:val="auto"/>
          <w:sz w:val="21"/>
          <w:highlight w:val="none"/>
        </w:rPr>
        <w:fldChar w:fldCharType="end"/>
      </w:r>
      <w:r>
        <w:rPr>
          <w:color w:val="auto"/>
          <w:sz w:val="21"/>
          <w:highlight w:val="none"/>
        </w:rPr>
        <w:fldChar w:fldCharType="end"/>
      </w:r>
    </w:p>
    <w:p w14:paraId="1A80A52A">
      <w:pPr>
        <w:pStyle w:val="22"/>
        <w:tabs>
          <w:tab w:val="right" w:leader="dot" w:pos="8299"/>
        </w:tabs>
        <w:kinsoku/>
        <w:autoSpaceDE/>
        <w:autoSpaceDN/>
        <w:spacing w:line="400" w:lineRule="exact"/>
        <w:ind w:left="0"/>
        <w:jc w:val="distribute"/>
        <w:textAlignment w:val="auto"/>
        <w:rPr>
          <w:color w:val="auto"/>
          <w:sz w:val="21"/>
          <w:highlight w:val="none"/>
        </w:rPr>
      </w:pPr>
      <w:r>
        <w:rPr>
          <w:highlight w:val="none"/>
        </w:rPr>
        <w:fldChar w:fldCharType="begin"/>
      </w:r>
      <w:r>
        <w:rPr>
          <w:highlight w:val="none"/>
        </w:rPr>
        <w:instrText xml:space="preserve"> HYPERLINK \l "_Toc31097" </w:instrText>
      </w:r>
      <w:r>
        <w:rPr>
          <w:highlight w:val="none"/>
        </w:rPr>
        <w:fldChar w:fldCharType="separate"/>
      </w:r>
      <w:r>
        <w:rPr>
          <w:rFonts w:hint="eastAsia"/>
          <w:color w:val="auto"/>
          <w:sz w:val="21"/>
          <w:highlight w:val="none"/>
        </w:rPr>
        <w:t>2.竞争性磋商文件</w:t>
      </w:r>
      <w:r>
        <w:rPr>
          <w:color w:val="auto"/>
          <w:sz w:val="21"/>
          <w:highlight w:val="none"/>
        </w:rPr>
        <w:tab/>
      </w:r>
      <w:r>
        <w:rPr>
          <w:color w:val="auto"/>
          <w:sz w:val="21"/>
          <w:highlight w:val="none"/>
        </w:rPr>
        <w:fldChar w:fldCharType="begin"/>
      </w:r>
      <w:r>
        <w:rPr>
          <w:color w:val="auto"/>
          <w:sz w:val="21"/>
          <w:highlight w:val="none"/>
        </w:rPr>
        <w:instrText xml:space="preserve"> PAGEREF _Toc31097 </w:instrText>
      </w:r>
      <w:r>
        <w:rPr>
          <w:color w:val="auto"/>
          <w:sz w:val="21"/>
          <w:highlight w:val="none"/>
        </w:rPr>
        <w:fldChar w:fldCharType="separate"/>
      </w:r>
      <w:r>
        <w:rPr>
          <w:color w:val="auto"/>
          <w:sz w:val="21"/>
          <w:highlight w:val="none"/>
        </w:rPr>
        <w:t>12</w:t>
      </w:r>
      <w:r>
        <w:rPr>
          <w:color w:val="auto"/>
          <w:sz w:val="21"/>
          <w:highlight w:val="none"/>
        </w:rPr>
        <w:fldChar w:fldCharType="end"/>
      </w:r>
      <w:r>
        <w:rPr>
          <w:color w:val="auto"/>
          <w:sz w:val="21"/>
          <w:highlight w:val="none"/>
        </w:rPr>
        <w:fldChar w:fldCharType="end"/>
      </w:r>
    </w:p>
    <w:p w14:paraId="5D6F7001">
      <w:pPr>
        <w:pStyle w:val="22"/>
        <w:tabs>
          <w:tab w:val="right" w:leader="dot" w:pos="8299"/>
        </w:tabs>
        <w:kinsoku/>
        <w:autoSpaceDE/>
        <w:autoSpaceDN/>
        <w:spacing w:line="400" w:lineRule="exact"/>
        <w:ind w:left="0"/>
        <w:jc w:val="distribute"/>
        <w:textAlignment w:val="auto"/>
        <w:rPr>
          <w:color w:val="auto"/>
          <w:sz w:val="21"/>
          <w:highlight w:val="none"/>
        </w:rPr>
      </w:pPr>
      <w:r>
        <w:rPr>
          <w:highlight w:val="none"/>
        </w:rPr>
        <w:fldChar w:fldCharType="begin"/>
      </w:r>
      <w:r>
        <w:rPr>
          <w:highlight w:val="none"/>
        </w:rPr>
        <w:instrText xml:space="preserve"> HYPERLINK \l "_Toc253" </w:instrText>
      </w:r>
      <w:r>
        <w:rPr>
          <w:highlight w:val="none"/>
        </w:rPr>
        <w:fldChar w:fldCharType="separate"/>
      </w:r>
      <w:r>
        <w:rPr>
          <w:rFonts w:hint="eastAsia"/>
          <w:color w:val="auto"/>
          <w:sz w:val="21"/>
          <w:highlight w:val="none"/>
        </w:rPr>
        <w:t>3.响应文件</w:t>
      </w:r>
      <w:r>
        <w:rPr>
          <w:color w:val="auto"/>
          <w:sz w:val="21"/>
          <w:highlight w:val="none"/>
        </w:rPr>
        <w:tab/>
      </w:r>
      <w:r>
        <w:rPr>
          <w:color w:val="auto"/>
          <w:sz w:val="21"/>
          <w:highlight w:val="none"/>
        </w:rPr>
        <w:fldChar w:fldCharType="begin"/>
      </w:r>
      <w:r>
        <w:rPr>
          <w:color w:val="auto"/>
          <w:sz w:val="21"/>
          <w:highlight w:val="none"/>
        </w:rPr>
        <w:instrText xml:space="preserve"> PAGEREF _Toc253 </w:instrText>
      </w:r>
      <w:r>
        <w:rPr>
          <w:color w:val="auto"/>
          <w:sz w:val="21"/>
          <w:highlight w:val="none"/>
        </w:rPr>
        <w:fldChar w:fldCharType="separate"/>
      </w:r>
      <w:r>
        <w:rPr>
          <w:color w:val="auto"/>
          <w:sz w:val="21"/>
          <w:highlight w:val="none"/>
        </w:rPr>
        <w:t>13</w:t>
      </w:r>
      <w:r>
        <w:rPr>
          <w:color w:val="auto"/>
          <w:sz w:val="21"/>
          <w:highlight w:val="none"/>
        </w:rPr>
        <w:fldChar w:fldCharType="end"/>
      </w:r>
      <w:r>
        <w:rPr>
          <w:color w:val="auto"/>
          <w:sz w:val="21"/>
          <w:highlight w:val="none"/>
        </w:rPr>
        <w:fldChar w:fldCharType="end"/>
      </w:r>
    </w:p>
    <w:p w14:paraId="03B6AB8E">
      <w:pPr>
        <w:pStyle w:val="22"/>
        <w:tabs>
          <w:tab w:val="right" w:leader="dot" w:pos="8299"/>
        </w:tabs>
        <w:kinsoku/>
        <w:autoSpaceDE/>
        <w:autoSpaceDN/>
        <w:spacing w:line="400" w:lineRule="exact"/>
        <w:ind w:left="0"/>
        <w:jc w:val="distribute"/>
        <w:textAlignment w:val="auto"/>
        <w:rPr>
          <w:color w:val="auto"/>
          <w:sz w:val="21"/>
          <w:highlight w:val="none"/>
        </w:rPr>
      </w:pPr>
      <w:r>
        <w:rPr>
          <w:highlight w:val="none"/>
        </w:rPr>
        <w:fldChar w:fldCharType="begin"/>
      </w:r>
      <w:r>
        <w:rPr>
          <w:highlight w:val="none"/>
        </w:rPr>
        <w:instrText xml:space="preserve"> HYPERLINK \l "_Toc32070" </w:instrText>
      </w:r>
      <w:r>
        <w:rPr>
          <w:highlight w:val="none"/>
        </w:rPr>
        <w:fldChar w:fldCharType="separate"/>
      </w:r>
      <w:r>
        <w:rPr>
          <w:rFonts w:hint="eastAsia"/>
          <w:color w:val="auto"/>
          <w:sz w:val="21"/>
          <w:highlight w:val="none"/>
        </w:rPr>
        <w:t>4.磋商</w:t>
      </w:r>
      <w:r>
        <w:rPr>
          <w:color w:val="auto"/>
          <w:sz w:val="21"/>
          <w:highlight w:val="none"/>
        </w:rPr>
        <w:tab/>
      </w:r>
      <w:r>
        <w:rPr>
          <w:color w:val="auto"/>
          <w:sz w:val="21"/>
          <w:highlight w:val="none"/>
        </w:rPr>
        <w:fldChar w:fldCharType="begin"/>
      </w:r>
      <w:r>
        <w:rPr>
          <w:color w:val="auto"/>
          <w:sz w:val="21"/>
          <w:highlight w:val="none"/>
        </w:rPr>
        <w:instrText xml:space="preserve"> PAGEREF _Toc32070 </w:instrText>
      </w:r>
      <w:r>
        <w:rPr>
          <w:color w:val="auto"/>
          <w:sz w:val="21"/>
          <w:highlight w:val="none"/>
        </w:rPr>
        <w:fldChar w:fldCharType="separate"/>
      </w:r>
      <w:r>
        <w:rPr>
          <w:color w:val="auto"/>
          <w:sz w:val="21"/>
          <w:highlight w:val="none"/>
        </w:rPr>
        <w:t>15</w:t>
      </w:r>
      <w:r>
        <w:rPr>
          <w:color w:val="auto"/>
          <w:sz w:val="21"/>
          <w:highlight w:val="none"/>
        </w:rPr>
        <w:fldChar w:fldCharType="end"/>
      </w:r>
      <w:r>
        <w:rPr>
          <w:color w:val="auto"/>
          <w:sz w:val="21"/>
          <w:highlight w:val="none"/>
        </w:rPr>
        <w:fldChar w:fldCharType="end"/>
      </w:r>
    </w:p>
    <w:p w14:paraId="033C4C15">
      <w:pPr>
        <w:pStyle w:val="22"/>
        <w:tabs>
          <w:tab w:val="right" w:leader="dot" w:pos="8299"/>
        </w:tabs>
        <w:kinsoku/>
        <w:autoSpaceDE/>
        <w:autoSpaceDN/>
        <w:spacing w:line="400" w:lineRule="exact"/>
        <w:ind w:left="0"/>
        <w:jc w:val="distribute"/>
        <w:textAlignment w:val="auto"/>
        <w:rPr>
          <w:color w:val="auto"/>
          <w:sz w:val="21"/>
          <w:highlight w:val="none"/>
        </w:rPr>
      </w:pPr>
      <w:r>
        <w:rPr>
          <w:highlight w:val="none"/>
        </w:rPr>
        <w:fldChar w:fldCharType="begin"/>
      </w:r>
      <w:r>
        <w:rPr>
          <w:highlight w:val="none"/>
        </w:rPr>
        <w:instrText xml:space="preserve"> HYPERLINK \l "_Toc15462" </w:instrText>
      </w:r>
      <w:r>
        <w:rPr>
          <w:highlight w:val="none"/>
        </w:rPr>
        <w:fldChar w:fldCharType="separate"/>
      </w:r>
      <w:r>
        <w:rPr>
          <w:rFonts w:hint="eastAsia"/>
          <w:color w:val="auto"/>
          <w:sz w:val="21"/>
          <w:highlight w:val="none"/>
        </w:rPr>
        <w:t>5.磋商开始</w:t>
      </w:r>
      <w:r>
        <w:rPr>
          <w:color w:val="auto"/>
          <w:sz w:val="21"/>
          <w:highlight w:val="none"/>
        </w:rPr>
        <w:tab/>
      </w:r>
      <w:r>
        <w:rPr>
          <w:color w:val="auto"/>
          <w:sz w:val="21"/>
          <w:highlight w:val="none"/>
        </w:rPr>
        <w:fldChar w:fldCharType="begin"/>
      </w:r>
      <w:r>
        <w:rPr>
          <w:color w:val="auto"/>
          <w:sz w:val="21"/>
          <w:highlight w:val="none"/>
        </w:rPr>
        <w:instrText xml:space="preserve"> PAGEREF _Toc15462 </w:instrText>
      </w:r>
      <w:r>
        <w:rPr>
          <w:color w:val="auto"/>
          <w:sz w:val="21"/>
          <w:highlight w:val="none"/>
        </w:rPr>
        <w:fldChar w:fldCharType="separate"/>
      </w:r>
      <w:r>
        <w:rPr>
          <w:color w:val="auto"/>
          <w:sz w:val="21"/>
          <w:highlight w:val="none"/>
        </w:rPr>
        <w:t>15</w:t>
      </w:r>
      <w:r>
        <w:rPr>
          <w:color w:val="auto"/>
          <w:sz w:val="21"/>
          <w:highlight w:val="none"/>
        </w:rPr>
        <w:fldChar w:fldCharType="end"/>
      </w:r>
      <w:r>
        <w:rPr>
          <w:color w:val="auto"/>
          <w:sz w:val="21"/>
          <w:highlight w:val="none"/>
        </w:rPr>
        <w:fldChar w:fldCharType="end"/>
      </w:r>
    </w:p>
    <w:p w14:paraId="627CC01B">
      <w:pPr>
        <w:pStyle w:val="22"/>
        <w:tabs>
          <w:tab w:val="right" w:leader="dot" w:pos="8299"/>
        </w:tabs>
        <w:kinsoku/>
        <w:autoSpaceDE/>
        <w:autoSpaceDN/>
        <w:spacing w:line="400" w:lineRule="exact"/>
        <w:ind w:left="0"/>
        <w:jc w:val="distribute"/>
        <w:textAlignment w:val="auto"/>
        <w:rPr>
          <w:color w:val="auto"/>
          <w:sz w:val="21"/>
          <w:highlight w:val="none"/>
        </w:rPr>
      </w:pPr>
      <w:r>
        <w:rPr>
          <w:highlight w:val="none"/>
        </w:rPr>
        <w:fldChar w:fldCharType="begin"/>
      </w:r>
      <w:r>
        <w:rPr>
          <w:highlight w:val="none"/>
        </w:rPr>
        <w:instrText xml:space="preserve"> HYPERLINK \l "_Toc4097" </w:instrText>
      </w:r>
      <w:r>
        <w:rPr>
          <w:highlight w:val="none"/>
        </w:rPr>
        <w:fldChar w:fldCharType="separate"/>
      </w:r>
      <w:r>
        <w:rPr>
          <w:rFonts w:hint="eastAsia"/>
          <w:color w:val="auto"/>
          <w:sz w:val="21"/>
          <w:highlight w:val="none"/>
        </w:rPr>
        <w:t>6.磋商小组</w:t>
      </w:r>
      <w:r>
        <w:rPr>
          <w:color w:val="auto"/>
          <w:sz w:val="21"/>
          <w:highlight w:val="none"/>
        </w:rPr>
        <w:tab/>
      </w:r>
      <w:r>
        <w:rPr>
          <w:color w:val="auto"/>
          <w:sz w:val="21"/>
          <w:highlight w:val="none"/>
        </w:rPr>
        <w:fldChar w:fldCharType="begin"/>
      </w:r>
      <w:r>
        <w:rPr>
          <w:color w:val="auto"/>
          <w:sz w:val="21"/>
          <w:highlight w:val="none"/>
        </w:rPr>
        <w:instrText xml:space="preserve"> PAGEREF _Toc4097 </w:instrText>
      </w:r>
      <w:r>
        <w:rPr>
          <w:color w:val="auto"/>
          <w:sz w:val="21"/>
          <w:highlight w:val="none"/>
        </w:rPr>
        <w:fldChar w:fldCharType="separate"/>
      </w:r>
      <w:r>
        <w:rPr>
          <w:color w:val="auto"/>
          <w:sz w:val="21"/>
          <w:highlight w:val="none"/>
        </w:rPr>
        <w:t>16</w:t>
      </w:r>
      <w:r>
        <w:rPr>
          <w:color w:val="auto"/>
          <w:sz w:val="21"/>
          <w:highlight w:val="none"/>
        </w:rPr>
        <w:fldChar w:fldCharType="end"/>
      </w:r>
      <w:r>
        <w:rPr>
          <w:color w:val="auto"/>
          <w:sz w:val="21"/>
          <w:highlight w:val="none"/>
        </w:rPr>
        <w:fldChar w:fldCharType="end"/>
      </w:r>
    </w:p>
    <w:p w14:paraId="08A5143C">
      <w:pPr>
        <w:pStyle w:val="22"/>
        <w:tabs>
          <w:tab w:val="right" w:leader="dot" w:pos="8299"/>
        </w:tabs>
        <w:kinsoku/>
        <w:autoSpaceDE/>
        <w:autoSpaceDN/>
        <w:spacing w:line="400" w:lineRule="exact"/>
        <w:ind w:left="0"/>
        <w:jc w:val="distribute"/>
        <w:textAlignment w:val="auto"/>
        <w:rPr>
          <w:color w:val="auto"/>
          <w:sz w:val="21"/>
          <w:highlight w:val="none"/>
        </w:rPr>
      </w:pPr>
      <w:r>
        <w:rPr>
          <w:highlight w:val="none"/>
        </w:rPr>
        <w:fldChar w:fldCharType="begin"/>
      </w:r>
      <w:r>
        <w:rPr>
          <w:highlight w:val="none"/>
        </w:rPr>
        <w:instrText xml:space="preserve"> HYPERLINK \l "_Toc3434" </w:instrText>
      </w:r>
      <w:r>
        <w:rPr>
          <w:highlight w:val="none"/>
        </w:rPr>
        <w:fldChar w:fldCharType="separate"/>
      </w:r>
      <w:r>
        <w:rPr>
          <w:rFonts w:hint="eastAsia"/>
          <w:color w:val="auto"/>
          <w:sz w:val="21"/>
          <w:highlight w:val="none"/>
        </w:rPr>
        <w:t>7.合同授予</w:t>
      </w:r>
      <w:r>
        <w:rPr>
          <w:color w:val="auto"/>
          <w:sz w:val="21"/>
          <w:highlight w:val="none"/>
        </w:rPr>
        <w:tab/>
      </w:r>
      <w:r>
        <w:rPr>
          <w:color w:val="auto"/>
          <w:sz w:val="21"/>
          <w:highlight w:val="none"/>
        </w:rPr>
        <w:fldChar w:fldCharType="begin"/>
      </w:r>
      <w:r>
        <w:rPr>
          <w:color w:val="auto"/>
          <w:sz w:val="21"/>
          <w:highlight w:val="none"/>
        </w:rPr>
        <w:instrText xml:space="preserve"> PAGEREF _Toc3434 </w:instrText>
      </w:r>
      <w:r>
        <w:rPr>
          <w:color w:val="auto"/>
          <w:sz w:val="21"/>
          <w:highlight w:val="none"/>
        </w:rPr>
        <w:fldChar w:fldCharType="separate"/>
      </w:r>
      <w:r>
        <w:rPr>
          <w:color w:val="auto"/>
          <w:sz w:val="21"/>
          <w:highlight w:val="none"/>
        </w:rPr>
        <w:t>16</w:t>
      </w:r>
      <w:r>
        <w:rPr>
          <w:color w:val="auto"/>
          <w:sz w:val="21"/>
          <w:highlight w:val="none"/>
        </w:rPr>
        <w:fldChar w:fldCharType="end"/>
      </w:r>
      <w:r>
        <w:rPr>
          <w:color w:val="auto"/>
          <w:sz w:val="21"/>
          <w:highlight w:val="none"/>
        </w:rPr>
        <w:fldChar w:fldCharType="end"/>
      </w:r>
    </w:p>
    <w:p w14:paraId="6A4FF34F">
      <w:pPr>
        <w:pStyle w:val="22"/>
        <w:tabs>
          <w:tab w:val="right" w:leader="dot" w:pos="8299"/>
        </w:tabs>
        <w:kinsoku/>
        <w:autoSpaceDE/>
        <w:autoSpaceDN/>
        <w:spacing w:line="400" w:lineRule="exact"/>
        <w:ind w:left="0"/>
        <w:jc w:val="distribute"/>
        <w:textAlignment w:val="auto"/>
        <w:rPr>
          <w:color w:val="auto"/>
          <w:sz w:val="21"/>
          <w:highlight w:val="none"/>
        </w:rPr>
      </w:pPr>
      <w:r>
        <w:rPr>
          <w:highlight w:val="none"/>
        </w:rPr>
        <w:fldChar w:fldCharType="begin"/>
      </w:r>
      <w:r>
        <w:rPr>
          <w:highlight w:val="none"/>
        </w:rPr>
        <w:instrText xml:space="preserve"> HYPERLINK \l "_Toc9085" </w:instrText>
      </w:r>
      <w:r>
        <w:rPr>
          <w:highlight w:val="none"/>
        </w:rPr>
        <w:fldChar w:fldCharType="separate"/>
      </w:r>
      <w:r>
        <w:rPr>
          <w:rFonts w:hint="eastAsia"/>
          <w:color w:val="auto"/>
          <w:sz w:val="21"/>
          <w:highlight w:val="none"/>
        </w:rPr>
        <w:t>8.重新招标</w:t>
      </w:r>
      <w:r>
        <w:rPr>
          <w:color w:val="auto"/>
          <w:sz w:val="21"/>
          <w:highlight w:val="none"/>
        </w:rPr>
        <w:tab/>
      </w:r>
      <w:r>
        <w:rPr>
          <w:color w:val="auto"/>
          <w:sz w:val="21"/>
          <w:highlight w:val="none"/>
        </w:rPr>
        <w:fldChar w:fldCharType="begin"/>
      </w:r>
      <w:r>
        <w:rPr>
          <w:color w:val="auto"/>
          <w:sz w:val="21"/>
          <w:highlight w:val="none"/>
        </w:rPr>
        <w:instrText xml:space="preserve"> PAGEREF _Toc9085 </w:instrText>
      </w:r>
      <w:r>
        <w:rPr>
          <w:color w:val="auto"/>
          <w:sz w:val="21"/>
          <w:highlight w:val="none"/>
        </w:rPr>
        <w:fldChar w:fldCharType="separate"/>
      </w:r>
      <w:r>
        <w:rPr>
          <w:color w:val="auto"/>
          <w:sz w:val="21"/>
          <w:highlight w:val="none"/>
        </w:rPr>
        <w:t>17</w:t>
      </w:r>
      <w:r>
        <w:rPr>
          <w:color w:val="auto"/>
          <w:sz w:val="21"/>
          <w:highlight w:val="none"/>
        </w:rPr>
        <w:fldChar w:fldCharType="end"/>
      </w:r>
      <w:r>
        <w:rPr>
          <w:color w:val="auto"/>
          <w:sz w:val="21"/>
          <w:highlight w:val="none"/>
        </w:rPr>
        <w:fldChar w:fldCharType="end"/>
      </w:r>
    </w:p>
    <w:p w14:paraId="361BDB7D">
      <w:pPr>
        <w:pStyle w:val="22"/>
        <w:tabs>
          <w:tab w:val="right" w:leader="dot" w:pos="8299"/>
        </w:tabs>
        <w:kinsoku/>
        <w:autoSpaceDE/>
        <w:autoSpaceDN/>
        <w:spacing w:line="400" w:lineRule="exact"/>
        <w:ind w:left="0"/>
        <w:jc w:val="distribute"/>
        <w:textAlignment w:val="auto"/>
        <w:rPr>
          <w:color w:val="auto"/>
          <w:sz w:val="21"/>
          <w:highlight w:val="none"/>
        </w:rPr>
      </w:pPr>
      <w:r>
        <w:rPr>
          <w:highlight w:val="none"/>
        </w:rPr>
        <w:fldChar w:fldCharType="begin"/>
      </w:r>
      <w:r>
        <w:rPr>
          <w:highlight w:val="none"/>
        </w:rPr>
        <w:instrText xml:space="preserve"> HYPERLINK \l "_Toc23966" </w:instrText>
      </w:r>
      <w:r>
        <w:rPr>
          <w:highlight w:val="none"/>
        </w:rPr>
        <w:fldChar w:fldCharType="separate"/>
      </w:r>
      <w:r>
        <w:rPr>
          <w:rFonts w:hint="eastAsia"/>
          <w:color w:val="auto"/>
          <w:sz w:val="21"/>
          <w:highlight w:val="none"/>
        </w:rPr>
        <w:t>9.纪律和监督</w:t>
      </w:r>
      <w:r>
        <w:rPr>
          <w:color w:val="auto"/>
          <w:sz w:val="21"/>
          <w:highlight w:val="none"/>
        </w:rPr>
        <w:tab/>
      </w:r>
      <w:r>
        <w:rPr>
          <w:color w:val="auto"/>
          <w:sz w:val="21"/>
          <w:highlight w:val="none"/>
        </w:rPr>
        <w:fldChar w:fldCharType="begin"/>
      </w:r>
      <w:r>
        <w:rPr>
          <w:color w:val="auto"/>
          <w:sz w:val="21"/>
          <w:highlight w:val="none"/>
        </w:rPr>
        <w:instrText xml:space="preserve"> PAGEREF _Toc23966 </w:instrText>
      </w:r>
      <w:r>
        <w:rPr>
          <w:color w:val="auto"/>
          <w:sz w:val="21"/>
          <w:highlight w:val="none"/>
        </w:rPr>
        <w:fldChar w:fldCharType="separate"/>
      </w:r>
      <w:r>
        <w:rPr>
          <w:color w:val="auto"/>
          <w:sz w:val="21"/>
          <w:highlight w:val="none"/>
        </w:rPr>
        <w:t>17</w:t>
      </w:r>
      <w:r>
        <w:rPr>
          <w:color w:val="auto"/>
          <w:sz w:val="21"/>
          <w:highlight w:val="none"/>
        </w:rPr>
        <w:fldChar w:fldCharType="end"/>
      </w:r>
      <w:r>
        <w:rPr>
          <w:color w:val="auto"/>
          <w:sz w:val="21"/>
          <w:highlight w:val="none"/>
        </w:rPr>
        <w:fldChar w:fldCharType="end"/>
      </w:r>
    </w:p>
    <w:p w14:paraId="4836CD57">
      <w:pPr>
        <w:pStyle w:val="22"/>
        <w:tabs>
          <w:tab w:val="right" w:leader="dot" w:pos="8299"/>
        </w:tabs>
        <w:kinsoku/>
        <w:autoSpaceDE/>
        <w:autoSpaceDN/>
        <w:spacing w:line="400" w:lineRule="exact"/>
        <w:ind w:left="0"/>
        <w:jc w:val="distribute"/>
        <w:textAlignment w:val="auto"/>
        <w:rPr>
          <w:color w:val="auto"/>
          <w:sz w:val="21"/>
          <w:highlight w:val="none"/>
        </w:rPr>
      </w:pPr>
      <w:r>
        <w:rPr>
          <w:highlight w:val="none"/>
        </w:rPr>
        <w:fldChar w:fldCharType="begin"/>
      </w:r>
      <w:r>
        <w:rPr>
          <w:highlight w:val="none"/>
        </w:rPr>
        <w:instrText xml:space="preserve"> HYPERLINK \l "_Toc17476" </w:instrText>
      </w:r>
      <w:r>
        <w:rPr>
          <w:highlight w:val="none"/>
        </w:rPr>
        <w:fldChar w:fldCharType="separate"/>
      </w:r>
      <w:r>
        <w:rPr>
          <w:rFonts w:hint="eastAsia"/>
          <w:color w:val="auto"/>
          <w:sz w:val="21"/>
          <w:highlight w:val="none"/>
        </w:rPr>
        <w:t>10.需要补充的其他内容</w:t>
      </w:r>
      <w:r>
        <w:rPr>
          <w:color w:val="auto"/>
          <w:sz w:val="21"/>
          <w:highlight w:val="none"/>
        </w:rPr>
        <w:tab/>
      </w:r>
      <w:r>
        <w:rPr>
          <w:color w:val="auto"/>
          <w:sz w:val="21"/>
          <w:highlight w:val="none"/>
        </w:rPr>
        <w:fldChar w:fldCharType="begin"/>
      </w:r>
      <w:r>
        <w:rPr>
          <w:color w:val="auto"/>
          <w:sz w:val="21"/>
          <w:highlight w:val="none"/>
        </w:rPr>
        <w:instrText xml:space="preserve"> PAGEREF _Toc17476 </w:instrText>
      </w:r>
      <w:r>
        <w:rPr>
          <w:color w:val="auto"/>
          <w:sz w:val="21"/>
          <w:highlight w:val="none"/>
        </w:rPr>
        <w:fldChar w:fldCharType="separate"/>
      </w:r>
      <w:r>
        <w:rPr>
          <w:color w:val="auto"/>
          <w:sz w:val="21"/>
          <w:highlight w:val="none"/>
        </w:rPr>
        <w:t>18</w:t>
      </w:r>
      <w:r>
        <w:rPr>
          <w:color w:val="auto"/>
          <w:sz w:val="21"/>
          <w:highlight w:val="none"/>
        </w:rPr>
        <w:fldChar w:fldCharType="end"/>
      </w:r>
      <w:r>
        <w:rPr>
          <w:color w:val="auto"/>
          <w:sz w:val="21"/>
          <w:highlight w:val="none"/>
        </w:rPr>
        <w:fldChar w:fldCharType="end"/>
      </w:r>
    </w:p>
    <w:p w14:paraId="0BBAE210">
      <w:pPr>
        <w:pStyle w:val="20"/>
        <w:tabs>
          <w:tab w:val="right" w:leader="dot" w:pos="8299"/>
        </w:tabs>
        <w:kinsoku/>
        <w:autoSpaceDE/>
        <w:autoSpaceDN/>
        <w:spacing w:line="400" w:lineRule="exact"/>
        <w:jc w:val="distribute"/>
        <w:textAlignment w:val="auto"/>
        <w:rPr>
          <w:color w:val="auto"/>
          <w:highlight w:val="none"/>
        </w:rPr>
      </w:pPr>
      <w:r>
        <w:rPr>
          <w:highlight w:val="none"/>
        </w:rPr>
        <w:fldChar w:fldCharType="begin"/>
      </w:r>
      <w:r>
        <w:rPr>
          <w:highlight w:val="none"/>
        </w:rPr>
        <w:instrText xml:space="preserve"> HYPERLINK \l "_Toc15596" </w:instrText>
      </w:r>
      <w:r>
        <w:rPr>
          <w:highlight w:val="none"/>
        </w:rPr>
        <w:fldChar w:fldCharType="separate"/>
      </w:r>
      <w:r>
        <w:rPr>
          <w:rFonts w:hint="eastAsia" w:ascii="宋体" w:hAnsi="宋体" w:cs="宋体"/>
          <w:color w:val="auto"/>
          <w:kern w:val="44"/>
          <w:highlight w:val="none"/>
        </w:rPr>
        <w:t>第三章 评审办法（综合评分法）</w:t>
      </w:r>
      <w:r>
        <w:rPr>
          <w:color w:val="auto"/>
          <w:highlight w:val="none"/>
        </w:rPr>
        <w:tab/>
      </w:r>
      <w:r>
        <w:rPr>
          <w:color w:val="auto"/>
          <w:highlight w:val="none"/>
        </w:rPr>
        <w:fldChar w:fldCharType="begin"/>
      </w:r>
      <w:r>
        <w:rPr>
          <w:color w:val="auto"/>
          <w:highlight w:val="none"/>
        </w:rPr>
        <w:instrText xml:space="preserve"> PAGEREF _Toc15596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370B9095">
      <w:pPr>
        <w:pStyle w:val="20"/>
        <w:tabs>
          <w:tab w:val="right" w:leader="dot" w:pos="8299"/>
        </w:tabs>
        <w:kinsoku/>
        <w:autoSpaceDE/>
        <w:autoSpaceDN/>
        <w:spacing w:line="400" w:lineRule="exact"/>
        <w:jc w:val="distribute"/>
        <w:textAlignment w:val="auto"/>
        <w:rPr>
          <w:color w:val="auto"/>
          <w:highlight w:val="none"/>
        </w:rPr>
      </w:pPr>
      <w:r>
        <w:rPr>
          <w:highlight w:val="none"/>
        </w:rPr>
        <w:fldChar w:fldCharType="begin"/>
      </w:r>
      <w:r>
        <w:rPr>
          <w:highlight w:val="none"/>
        </w:rPr>
        <w:instrText xml:space="preserve"> HYPERLINK \l "_Toc31177" </w:instrText>
      </w:r>
      <w:r>
        <w:rPr>
          <w:highlight w:val="none"/>
        </w:rPr>
        <w:fldChar w:fldCharType="separate"/>
      </w:r>
      <w:r>
        <w:rPr>
          <w:rFonts w:hint="eastAsia"/>
          <w:color w:val="auto"/>
          <w:highlight w:val="none"/>
        </w:rPr>
        <w:t>第四章 河南省政府采购合同</w:t>
      </w:r>
      <w:r>
        <w:rPr>
          <w:color w:val="auto"/>
          <w:highlight w:val="none"/>
        </w:rPr>
        <w:tab/>
      </w:r>
      <w:r>
        <w:rPr>
          <w:color w:val="auto"/>
          <w:highlight w:val="none"/>
        </w:rPr>
        <w:fldChar w:fldCharType="begin"/>
      </w:r>
      <w:r>
        <w:rPr>
          <w:color w:val="auto"/>
          <w:highlight w:val="none"/>
        </w:rPr>
        <w:instrText xml:space="preserve"> PAGEREF _Toc31177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14:paraId="2B9E7E02">
      <w:pPr>
        <w:pStyle w:val="20"/>
        <w:tabs>
          <w:tab w:val="right" w:leader="dot" w:pos="8299"/>
        </w:tabs>
        <w:kinsoku/>
        <w:autoSpaceDE/>
        <w:autoSpaceDN/>
        <w:spacing w:line="400" w:lineRule="exact"/>
        <w:jc w:val="distribute"/>
        <w:textAlignment w:val="auto"/>
        <w:rPr>
          <w:color w:val="auto"/>
          <w:highlight w:val="none"/>
        </w:rPr>
      </w:pPr>
      <w:r>
        <w:rPr>
          <w:highlight w:val="none"/>
        </w:rPr>
        <w:fldChar w:fldCharType="begin"/>
      </w:r>
      <w:r>
        <w:rPr>
          <w:highlight w:val="none"/>
        </w:rPr>
        <w:instrText xml:space="preserve"> HYPERLINK \l "_Toc26714" </w:instrText>
      </w:r>
      <w:r>
        <w:rPr>
          <w:highlight w:val="none"/>
        </w:rPr>
        <w:fldChar w:fldCharType="separate"/>
      </w:r>
      <w:r>
        <w:rPr>
          <w:rFonts w:hint="eastAsia"/>
          <w:color w:val="auto"/>
          <w:highlight w:val="none"/>
        </w:rPr>
        <w:t>第五章 采购需求及技术要求</w:t>
      </w:r>
      <w:r>
        <w:rPr>
          <w:color w:val="auto"/>
          <w:highlight w:val="none"/>
        </w:rPr>
        <w:tab/>
      </w:r>
      <w:r>
        <w:rPr>
          <w:color w:val="auto"/>
          <w:highlight w:val="none"/>
        </w:rPr>
        <w:fldChar w:fldCharType="begin"/>
      </w:r>
      <w:r>
        <w:rPr>
          <w:color w:val="auto"/>
          <w:highlight w:val="none"/>
        </w:rPr>
        <w:instrText xml:space="preserve"> PAGEREF _Toc26714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14:paraId="628819E2">
      <w:pPr>
        <w:pStyle w:val="20"/>
        <w:tabs>
          <w:tab w:val="right" w:leader="dot" w:pos="8299"/>
        </w:tabs>
        <w:kinsoku/>
        <w:autoSpaceDE/>
        <w:autoSpaceDN/>
        <w:spacing w:line="400" w:lineRule="exact"/>
        <w:jc w:val="distribute"/>
        <w:textAlignment w:val="auto"/>
        <w:rPr>
          <w:color w:val="auto"/>
          <w:highlight w:val="none"/>
        </w:rPr>
      </w:pPr>
      <w:r>
        <w:rPr>
          <w:highlight w:val="none"/>
        </w:rPr>
        <w:fldChar w:fldCharType="begin"/>
      </w:r>
      <w:r>
        <w:rPr>
          <w:highlight w:val="none"/>
        </w:rPr>
        <w:instrText xml:space="preserve"> HYPERLINK \l "_Toc2912" </w:instrText>
      </w:r>
      <w:r>
        <w:rPr>
          <w:highlight w:val="none"/>
        </w:rPr>
        <w:fldChar w:fldCharType="separate"/>
      </w:r>
      <w:r>
        <w:rPr>
          <w:rFonts w:hint="eastAsia" w:ascii="宋体" w:hAnsi="宋体" w:cs="宋体"/>
          <w:bCs/>
          <w:color w:val="auto"/>
          <w:highlight w:val="none"/>
        </w:rPr>
        <w:t>第六章 竞争性磋商响应文件格式</w:t>
      </w:r>
      <w:r>
        <w:rPr>
          <w:color w:val="auto"/>
          <w:highlight w:val="none"/>
        </w:rPr>
        <w:tab/>
      </w:r>
      <w:r>
        <w:rPr>
          <w:color w:val="auto"/>
          <w:highlight w:val="none"/>
        </w:rPr>
        <w:fldChar w:fldCharType="begin"/>
      </w:r>
      <w:r>
        <w:rPr>
          <w:color w:val="auto"/>
          <w:highlight w:val="none"/>
        </w:rPr>
        <w:instrText xml:space="preserve"> PAGEREF _Toc2912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29154EC6">
      <w:pPr>
        <w:pStyle w:val="22"/>
        <w:tabs>
          <w:tab w:val="right" w:leader="dot" w:pos="8299"/>
        </w:tabs>
        <w:kinsoku/>
        <w:autoSpaceDE/>
        <w:autoSpaceDN/>
        <w:spacing w:line="400" w:lineRule="exact"/>
        <w:ind w:left="0"/>
        <w:jc w:val="distribute"/>
        <w:textAlignment w:val="auto"/>
        <w:rPr>
          <w:color w:val="auto"/>
          <w:sz w:val="21"/>
          <w:highlight w:val="none"/>
        </w:rPr>
      </w:pPr>
      <w:r>
        <w:rPr>
          <w:highlight w:val="none"/>
        </w:rPr>
        <w:fldChar w:fldCharType="begin"/>
      </w:r>
      <w:r>
        <w:rPr>
          <w:highlight w:val="none"/>
        </w:rPr>
        <w:instrText xml:space="preserve"> HYPERLINK \l "_Toc12601" </w:instrText>
      </w:r>
      <w:r>
        <w:rPr>
          <w:highlight w:val="none"/>
        </w:rPr>
        <w:fldChar w:fldCharType="separate"/>
      </w:r>
      <w:r>
        <w:rPr>
          <w:color w:val="auto"/>
          <w:sz w:val="21"/>
          <w:highlight w:val="none"/>
        </w:rPr>
        <w:t>一、</w:t>
      </w:r>
      <w:r>
        <w:rPr>
          <w:rFonts w:hint="eastAsia"/>
          <w:color w:val="auto"/>
          <w:sz w:val="21"/>
          <w:highlight w:val="none"/>
        </w:rPr>
        <w:t>响应函及响应函附录</w:t>
      </w:r>
      <w:r>
        <w:rPr>
          <w:color w:val="auto"/>
          <w:sz w:val="21"/>
          <w:highlight w:val="none"/>
        </w:rPr>
        <w:tab/>
      </w:r>
      <w:r>
        <w:rPr>
          <w:color w:val="auto"/>
          <w:sz w:val="21"/>
          <w:highlight w:val="none"/>
        </w:rPr>
        <w:fldChar w:fldCharType="begin"/>
      </w:r>
      <w:r>
        <w:rPr>
          <w:color w:val="auto"/>
          <w:sz w:val="21"/>
          <w:highlight w:val="none"/>
        </w:rPr>
        <w:instrText xml:space="preserve"> PAGEREF _Toc12601 </w:instrText>
      </w:r>
      <w:r>
        <w:rPr>
          <w:color w:val="auto"/>
          <w:sz w:val="21"/>
          <w:highlight w:val="none"/>
        </w:rPr>
        <w:fldChar w:fldCharType="separate"/>
      </w:r>
      <w:r>
        <w:rPr>
          <w:color w:val="auto"/>
          <w:sz w:val="21"/>
          <w:highlight w:val="none"/>
        </w:rPr>
        <w:t>18</w:t>
      </w:r>
      <w:r>
        <w:rPr>
          <w:color w:val="auto"/>
          <w:sz w:val="21"/>
          <w:highlight w:val="none"/>
        </w:rPr>
        <w:fldChar w:fldCharType="end"/>
      </w:r>
      <w:r>
        <w:rPr>
          <w:color w:val="auto"/>
          <w:sz w:val="21"/>
          <w:highlight w:val="none"/>
        </w:rPr>
        <w:fldChar w:fldCharType="end"/>
      </w:r>
    </w:p>
    <w:p w14:paraId="6701FCDE">
      <w:pPr>
        <w:pStyle w:val="22"/>
        <w:tabs>
          <w:tab w:val="right" w:leader="dot" w:pos="8299"/>
        </w:tabs>
        <w:kinsoku/>
        <w:autoSpaceDE/>
        <w:autoSpaceDN/>
        <w:spacing w:line="400" w:lineRule="exact"/>
        <w:ind w:left="0"/>
        <w:jc w:val="distribute"/>
        <w:textAlignment w:val="auto"/>
        <w:rPr>
          <w:color w:val="auto"/>
          <w:sz w:val="21"/>
          <w:highlight w:val="none"/>
        </w:rPr>
      </w:pPr>
      <w:r>
        <w:rPr>
          <w:highlight w:val="none"/>
        </w:rPr>
        <w:fldChar w:fldCharType="begin"/>
      </w:r>
      <w:r>
        <w:rPr>
          <w:highlight w:val="none"/>
        </w:rPr>
        <w:instrText xml:space="preserve"> HYPERLINK \l "_Toc29009" </w:instrText>
      </w:r>
      <w:r>
        <w:rPr>
          <w:highlight w:val="none"/>
        </w:rPr>
        <w:fldChar w:fldCharType="separate"/>
      </w:r>
      <w:r>
        <w:rPr>
          <w:rFonts w:hint="eastAsia"/>
          <w:color w:val="auto"/>
          <w:sz w:val="21"/>
          <w:highlight w:val="none"/>
        </w:rPr>
        <w:t>二、法定代表</w:t>
      </w:r>
      <w:r>
        <w:rPr>
          <w:rFonts w:hint="eastAsia"/>
          <w:color w:val="auto"/>
          <w:sz w:val="21"/>
          <w:highlight w:val="none"/>
          <w:lang w:eastAsia="zh-CN"/>
        </w:rPr>
        <w:t>人</w:t>
      </w:r>
      <w:r>
        <w:rPr>
          <w:rFonts w:hint="eastAsia"/>
          <w:color w:val="auto"/>
          <w:sz w:val="21"/>
          <w:highlight w:val="none"/>
        </w:rPr>
        <w:t>身份证明</w:t>
      </w:r>
      <w:r>
        <w:rPr>
          <w:color w:val="auto"/>
          <w:sz w:val="21"/>
          <w:highlight w:val="none"/>
        </w:rPr>
        <w:tab/>
      </w:r>
      <w:r>
        <w:rPr>
          <w:color w:val="auto"/>
          <w:sz w:val="21"/>
          <w:highlight w:val="none"/>
        </w:rPr>
        <w:fldChar w:fldCharType="begin"/>
      </w:r>
      <w:r>
        <w:rPr>
          <w:color w:val="auto"/>
          <w:sz w:val="21"/>
          <w:highlight w:val="none"/>
        </w:rPr>
        <w:instrText xml:space="preserve"> PAGEREF _Toc29009 </w:instrText>
      </w:r>
      <w:r>
        <w:rPr>
          <w:color w:val="auto"/>
          <w:sz w:val="21"/>
          <w:highlight w:val="none"/>
        </w:rPr>
        <w:fldChar w:fldCharType="separate"/>
      </w:r>
      <w:r>
        <w:rPr>
          <w:color w:val="auto"/>
          <w:sz w:val="21"/>
          <w:highlight w:val="none"/>
        </w:rPr>
        <w:t>20</w:t>
      </w:r>
      <w:r>
        <w:rPr>
          <w:color w:val="auto"/>
          <w:sz w:val="21"/>
          <w:highlight w:val="none"/>
        </w:rPr>
        <w:fldChar w:fldCharType="end"/>
      </w:r>
      <w:r>
        <w:rPr>
          <w:color w:val="auto"/>
          <w:sz w:val="21"/>
          <w:highlight w:val="none"/>
        </w:rPr>
        <w:fldChar w:fldCharType="end"/>
      </w:r>
    </w:p>
    <w:p w14:paraId="23E22DCF">
      <w:pPr>
        <w:pStyle w:val="22"/>
        <w:tabs>
          <w:tab w:val="right" w:leader="dot" w:pos="8299"/>
        </w:tabs>
        <w:kinsoku/>
        <w:autoSpaceDE/>
        <w:autoSpaceDN/>
        <w:spacing w:line="400" w:lineRule="exact"/>
        <w:ind w:left="0"/>
        <w:jc w:val="distribute"/>
        <w:textAlignment w:val="auto"/>
        <w:rPr>
          <w:color w:val="auto"/>
          <w:sz w:val="21"/>
          <w:highlight w:val="none"/>
        </w:rPr>
      </w:pPr>
      <w:r>
        <w:rPr>
          <w:highlight w:val="none"/>
        </w:rPr>
        <w:fldChar w:fldCharType="begin"/>
      </w:r>
      <w:r>
        <w:rPr>
          <w:highlight w:val="none"/>
        </w:rPr>
        <w:instrText xml:space="preserve"> HYPERLINK \l "_Toc28161" </w:instrText>
      </w:r>
      <w:r>
        <w:rPr>
          <w:highlight w:val="none"/>
        </w:rPr>
        <w:fldChar w:fldCharType="separate"/>
      </w:r>
      <w:r>
        <w:rPr>
          <w:rFonts w:hint="eastAsia"/>
          <w:color w:val="auto"/>
          <w:sz w:val="21"/>
          <w:highlight w:val="none"/>
          <w:lang w:eastAsia="zh-CN"/>
        </w:rPr>
        <w:t>三</w:t>
      </w:r>
      <w:r>
        <w:rPr>
          <w:color w:val="auto"/>
          <w:sz w:val="21"/>
          <w:highlight w:val="none"/>
        </w:rPr>
        <w:t>、授权委托书</w:t>
      </w:r>
      <w:r>
        <w:rPr>
          <w:color w:val="auto"/>
          <w:sz w:val="21"/>
          <w:highlight w:val="none"/>
        </w:rPr>
        <w:tab/>
      </w:r>
      <w:r>
        <w:rPr>
          <w:color w:val="auto"/>
          <w:sz w:val="21"/>
          <w:highlight w:val="none"/>
        </w:rPr>
        <w:fldChar w:fldCharType="begin"/>
      </w:r>
      <w:r>
        <w:rPr>
          <w:color w:val="auto"/>
          <w:sz w:val="21"/>
          <w:highlight w:val="none"/>
        </w:rPr>
        <w:instrText xml:space="preserve"> PAGEREF _Toc28161 </w:instrText>
      </w:r>
      <w:r>
        <w:rPr>
          <w:color w:val="auto"/>
          <w:sz w:val="21"/>
          <w:highlight w:val="none"/>
        </w:rPr>
        <w:fldChar w:fldCharType="separate"/>
      </w:r>
      <w:r>
        <w:rPr>
          <w:color w:val="auto"/>
          <w:sz w:val="21"/>
          <w:highlight w:val="none"/>
        </w:rPr>
        <w:t>21</w:t>
      </w:r>
      <w:r>
        <w:rPr>
          <w:color w:val="auto"/>
          <w:sz w:val="21"/>
          <w:highlight w:val="none"/>
        </w:rPr>
        <w:fldChar w:fldCharType="end"/>
      </w:r>
      <w:r>
        <w:rPr>
          <w:color w:val="auto"/>
          <w:sz w:val="21"/>
          <w:highlight w:val="none"/>
        </w:rPr>
        <w:fldChar w:fldCharType="end"/>
      </w:r>
    </w:p>
    <w:p w14:paraId="19CEAE4D">
      <w:pPr>
        <w:pStyle w:val="22"/>
        <w:tabs>
          <w:tab w:val="right" w:leader="dot" w:pos="8299"/>
        </w:tabs>
        <w:kinsoku/>
        <w:autoSpaceDE/>
        <w:autoSpaceDN/>
        <w:spacing w:line="400" w:lineRule="exact"/>
        <w:ind w:left="0"/>
        <w:jc w:val="distribute"/>
        <w:textAlignment w:val="auto"/>
        <w:rPr>
          <w:color w:val="auto"/>
          <w:sz w:val="21"/>
          <w:highlight w:val="none"/>
        </w:rPr>
      </w:pPr>
      <w:r>
        <w:rPr>
          <w:highlight w:val="none"/>
        </w:rPr>
        <w:fldChar w:fldCharType="begin"/>
      </w:r>
      <w:r>
        <w:rPr>
          <w:highlight w:val="none"/>
        </w:rPr>
        <w:instrText xml:space="preserve"> HYPERLINK \l "_Toc8189" </w:instrText>
      </w:r>
      <w:r>
        <w:rPr>
          <w:highlight w:val="none"/>
        </w:rPr>
        <w:fldChar w:fldCharType="separate"/>
      </w:r>
      <w:r>
        <w:rPr>
          <w:rFonts w:hint="eastAsia" w:cs="宋体"/>
          <w:color w:val="auto"/>
          <w:sz w:val="21"/>
          <w:highlight w:val="none"/>
          <w:lang w:eastAsia="zh-CN"/>
        </w:rPr>
        <w:t>四</w:t>
      </w:r>
      <w:r>
        <w:rPr>
          <w:rFonts w:hint="eastAsia" w:cs="宋体"/>
          <w:color w:val="auto"/>
          <w:sz w:val="21"/>
          <w:highlight w:val="none"/>
        </w:rPr>
        <w:t>、分项报价表</w:t>
      </w:r>
      <w:r>
        <w:rPr>
          <w:color w:val="auto"/>
          <w:sz w:val="21"/>
          <w:highlight w:val="none"/>
        </w:rPr>
        <w:tab/>
      </w:r>
      <w:r>
        <w:rPr>
          <w:color w:val="auto"/>
          <w:sz w:val="21"/>
          <w:highlight w:val="none"/>
        </w:rPr>
        <w:fldChar w:fldCharType="begin"/>
      </w:r>
      <w:r>
        <w:rPr>
          <w:color w:val="auto"/>
          <w:sz w:val="21"/>
          <w:highlight w:val="none"/>
        </w:rPr>
        <w:instrText xml:space="preserve"> PAGEREF _Toc8189 </w:instrText>
      </w:r>
      <w:r>
        <w:rPr>
          <w:color w:val="auto"/>
          <w:sz w:val="21"/>
          <w:highlight w:val="none"/>
        </w:rPr>
        <w:fldChar w:fldCharType="separate"/>
      </w:r>
      <w:r>
        <w:rPr>
          <w:color w:val="auto"/>
          <w:sz w:val="21"/>
          <w:highlight w:val="none"/>
        </w:rPr>
        <w:t>22</w:t>
      </w:r>
      <w:r>
        <w:rPr>
          <w:color w:val="auto"/>
          <w:sz w:val="21"/>
          <w:highlight w:val="none"/>
        </w:rPr>
        <w:fldChar w:fldCharType="end"/>
      </w:r>
      <w:r>
        <w:rPr>
          <w:color w:val="auto"/>
          <w:sz w:val="21"/>
          <w:highlight w:val="none"/>
        </w:rPr>
        <w:fldChar w:fldCharType="end"/>
      </w:r>
    </w:p>
    <w:p w14:paraId="0748A7F1">
      <w:pPr>
        <w:pStyle w:val="22"/>
        <w:tabs>
          <w:tab w:val="right" w:leader="dot" w:pos="8299"/>
        </w:tabs>
        <w:kinsoku/>
        <w:autoSpaceDE/>
        <w:autoSpaceDN/>
        <w:spacing w:line="400" w:lineRule="exact"/>
        <w:ind w:left="0"/>
        <w:jc w:val="distribute"/>
        <w:textAlignment w:val="auto"/>
        <w:rPr>
          <w:color w:val="auto"/>
          <w:sz w:val="21"/>
          <w:highlight w:val="none"/>
        </w:rPr>
      </w:pPr>
      <w:r>
        <w:rPr>
          <w:highlight w:val="none"/>
        </w:rPr>
        <w:fldChar w:fldCharType="begin"/>
      </w:r>
      <w:r>
        <w:rPr>
          <w:highlight w:val="none"/>
        </w:rPr>
        <w:instrText xml:space="preserve"> HYPERLINK \l "_Toc30930" </w:instrText>
      </w:r>
      <w:r>
        <w:rPr>
          <w:highlight w:val="none"/>
        </w:rPr>
        <w:fldChar w:fldCharType="separate"/>
      </w:r>
      <w:r>
        <w:rPr>
          <w:rFonts w:hint="eastAsia"/>
          <w:color w:val="auto"/>
          <w:sz w:val="21"/>
          <w:highlight w:val="none"/>
          <w:lang w:eastAsia="zh-CN"/>
        </w:rPr>
        <w:t>五</w:t>
      </w:r>
      <w:r>
        <w:rPr>
          <w:rFonts w:hint="eastAsia"/>
          <w:color w:val="auto"/>
          <w:sz w:val="21"/>
          <w:highlight w:val="none"/>
        </w:rPr>
        <w:t>、商务偏差表</w:t>
      </w:r>
      <w:r>
        <w:rPr>
          <w:color w:val="auto"/>
          <w:sz w:val="21"/>
          <w:highlight w:val="none"/>
        </w:rPr>
        <w:tab/>
      </w:r>
      <w:r>
        <w:rPr>
          <w:color w:val="auto"/>
          <w:sz w:val="21"/>
          <w:highlight w:val="none"/>
        </w:rPr>
        <w:fldChar w:fldCharType="begin"/>
      </w:r>
      <w:r>
        <w:rPr>
          <w:color w:val="auto"/>
          <w:sz w:val="21"/>
          <w:highlight w:val="none"/>
        </w:rPr>
        <w:instrText xml:space="preserve"> PAGEREF _Toc30930 </w:instrText>
      </w:r>
      <w:r>
        <w:rPr>
          <w:color w:val="auto"/>
          <w:sz w:val="21"/>
          <w:highlight w:val="none"/>
        </w:rPr>
        <w:fldChar w:fldCharType="separate"/>
      </w:r>
      <w:r>
        <w:rPr>
          <w:color w:val="auto"/>
          <w:sz w:val="21"/>
          <w:highlight w:val="none"/>
        </w:rPr>
        <w:t>23</w:t>
      </w:r>
      <w:r>
        <w:rPr>
          <w:color w:val="auto"/>
          <w:sz w:val="21"/>
          <w:highlight w:val="none"/>
        </w:rPr>
        <w:fldChar w:fldCharType="end"/>
      </w:r>
      <w:r>
        <w:rPr>
          <w:color w:val="auto"/>
          <w:sz w:val="21"/>
          <w:highlight w:val="none"/>
        </w:rPr>
        <w:fldChar w:fldCharType="end"/>
      </w:r>
    </w:p>
    <w:p w14:paraId="52B91F9E">
      <w:pPr>
        <w:pStyle w:val="22"/>
        <w:tabs>
          <w:tab w:val="right" w:leader="dot" w:pos="8299"/>
        </w:tabs>
        <w:kinsoku/>
        <w:autoSpaceDE/>
        <w:autoSpaceDN/>
        <w:spacing w:line="400" w:lineRule="exact"/>
        <w:ind w:left="0"/>
        <w:jc w:val="distribute"/>
        <w:textAlignment w:val="auto"/>
        <w:rPr>
          <w:color w:val="auto"/>
          <w:sz w:val="21"/>
          <w:highlight w:val="none"/>
        </w:rPr>
      </w:pPr>
      <w:r>
        <w:rPr>
          <w:rFonts w:hint="eastAsia"/>
          <w:color w:val="auto"/>
          <w:sz w:val="21"/>
          <w:highlight w:val="none"/>
          <w:lang w:eastAsia="zh-CN"/>
        </w:rPr>
        <w:t>六</w:t>
      </w:r>
      <w:r>
        <w:rPr>
          <w:highlight w:val="none"/>
        </w:rPr>
        <w:fldChar w:fldCharType="begin"/>
      </w:r>
      <w:r>
        <w:rPr>
          <w:highlight w:val="none"/>
        </w:rPr>
        <w:instrText xml:space="preserve"> HYPERLINK \l "_Toc29205" </w:instrText>
      </w:r>
      <w:r>
        <w:rPr>
          <w:highlight w:val="none"/>
        </w:rPr>
        <w:fldChar w:fldCharType="separate"/>
      </w:r>
      <w:r>
        <w:rPr>
          <w:rFonts w:hint="eastAsia"/>
          <w:color w:val="auto"/>
          <w:sz w:val="21"/>
          <w:highlight w:val="none"/>
        </w:rPr>
        <w:t>、技术</w:t>
      </w:r>
      <w:r>
        <w:rPr>
          <w:rFonts w:hint="eastAsia"/>
          <w:color w:val="auto"/>
          <w:sz w:val="21"/>
          <w:highlight w:val="none"/>
          <w:lang w:eastAsia="zh-CN"/>
        </w:rPr>
        <w:t>服务</w:t>
      </w:r>
      <w:r>
        <w:rPr>
          <w:rFonts w:hint="eastAsia"/>
          <w:color w:val="auto"/>
          <w:sz w:val="21"/>
          <w:highlight w:val="none"/>
        </w:rPr>
        <w:t>方案</w:t>
      </w:r>
      <w:r>
        <w:rPr>
          <w:color w:val="auto"/>
          <w:sz w:val="21"/>
          <w:highlight w:val="none"/>
        </w:rPr>
        <w:tab/>
      </w:r>
      <w:r>
        <w:rPr>
          <w:color w:val="auto"/>
          <w:sz w:val="21"/>
          <w:highlight w:val="none"/>
        </w:rPr>
        <w:fldChar w:fldCharType="begin"/>
      </w:r>
      <w:r>
        <w:rPr>
          <w:color w:val="auto"/>
          <w:sz w:val="21"/>
          <w:highlight w:val="none"/>
        </w:rPr>
        <w:instrText xml:space="preserve"> PAGEREF _Toc29205 </w:instrText>
      </w:r>
      <w:r>
        <w:rPr>
          <w:color w:val="auto"/>
          <w:sz w:val="21"/>
          <w:highlight w:val="none"/>
        </w:rPr>
        <w:fldChar w:fldCharType="separate"/>
      </w:r>
      <w:r>
        <w:rPr>
          <w:color w:val="auto"/>
          <w:sz w:val="21"/>
          <w:highlight w:val="none"/>
        </w:rPr>
        <w:t>24</w:t>
      </w:r>
      <w:r>
        <w:rPr>
          <w:color w:val="auto"/>
          <w:sz w:val="21"/>
          <w:highlight w:val="none"/>
        </w:rPr>
        <w:fldChar w:fldCharType="end"/>
      </w:r>
      <w:r>
        <w:rPr>
          <w:color w:val="auto"/>
          <w:sz w:val="21"/>
          <w:highlight w:val="none"/>
        </w:rPr>
        <w:fldChar w:fldCharType="end"/>
      </w:r>
    </w:p>
    <w:p w14:paraId="79B16A6A">
      <w:pPr>
        <w:pStyle w:val="22"/>
        <w:tabs>
          <w:tab w:val="right" w:leader="dot" w:pos="8299"/>
        </w:tabs>
        <w:kinsoku/>
        <w:autoSpaceDE/>
        <w:autoSpaceDN/>
        <w:spacing w:line="400" w:lineRule="exact"/>
        <w:ind w:left="0"/>
        <w:jc w:val="distribute"/>
        <w:textAlignment w:val="auto"/>
        <w:rPr>
          <w:color w:val="auto"/>
          <w:sz w:val="21"/>
          <w:highlight w:val="none"/>
        </w:rPr>
      </w:pPr>
      <w:r>
        <w:rPr>
          <w:highlight w:val="none"/>
        </w:rPr>
        <w:fldChar w:fldCharType="begin"/>
      </w:r>
      <w:r>
        <w:rPr>
          <w:highlight w:val="none"/>
        </w:rPr>
        <w:instrText xml:space="preserve"> HYPERLINK \l "_Toc25132" </w:instrText>
      </w:r>
      <w:r>
        <w:rPr>
          <w:highlight w:val="none"/>
        </w:rPr>
        <w:fldChar w:fldCharType="separate"/>
      </w:r>
      <w:r>
        <w:rPr>
          <w:rFonts w:hint="eastAsia"/>
          <w:color w:val="auto"/>
          <w:sz w:val="21"/>
          <w:highlight w:val="none"/>
          <w:lang w:eastAsia="zh-CN"/>
        </w:rPr>
        <w:t>七</w:t>
      </w:r>
      <w:r>
        <w:rPr>
          <w:rFonts w:hint="eastAsia"/>
          <w:color w:val="auto"/>
          <w:sz w:val="21"/>
          <w:highlight w:val="none"/>
        </w:rPr>
        <w:t>、服务承诺</w:t>
      </w:r>
      <w:r>
        <w:rPr>
          <w:color w:val="auto"/>
          <w:sz w:val="21"/>
          <w:highlight w:val="none"/>
        </w:rPr>
        <w:tab/>
      </w:r>
      <w:r>
        <w:rPr>
          <w:color w:val="auto"/>
          <w:sz w:val="21"/>
          <w:highlight w:val="none"/>
        </w:rPr>
        <w:fldChar w:fldCharType="begin"/>
      </w:r>
      <w:r>
        <w:rPr>
          <w:color w:val="auto"/>
          <w:sz w:val="21"/>
          <w:highlight w:val="none"/>
        </w:rPr>
        <w:instrText xml:space="preserve"> PAGEREF _Toc25132 </w:instrText>
      </w:r>
      <w:r>
        <w:rPr>
          <w:color w:val="auto"/>
          <w:sz w:val="21"/>
          <w:highlight w:val="none"/>
        </w:rPr>
        <w:fldChar w:fldCharType="separate"/>
      </w:r>
      <w:r>
        <w:rPr>
          <w:color w:val="auto"/>
          <w:sz w:val="21"/>
          <w:highlight w:val="none"/>
        </w:rPr>
        <w:t>25</w:t>
      </w:r>
      <w:r>
        <w:rPr>
          <w:color w:val="auto"/>
          <w:sz w:val="21"/>
          <w:highlight w:val="none"/>
        </w:rPr>
        <w:fldChar w:fldCharType="end"/>
      </w:r>
      <w:r>
        <w:rPr>
          <w:color w:val="auto"/>
          <w:sz w:val="21"/>
          <w:highlight w:val="none"/>
        </w:rPr>
        <w:fldChar w:fldCharType="end"/>
      </w:r>
    </w:p>
    <w:p w14:paraId="49E008B8">
      <w:pPr>
        <w:pStyle w:val="22"/>
        <w:tabs>
          <w:tab w:val="right" w:leader="dot" w:pos="8299"/>
        </w:tabs>
        <w:kinsoku/>
        <w:autoSpaceDE/>
        <w:autoSpaceDN/>
        <w:spacing w:line="400" w:lineRule="exact"/>
        <w:ind w:left="0"/>
        <w:jc w:val="distribute"/>
        <w:textAlignment w:val="auto"/>
        <w:rPr>
          <w:color w:val="auto"/>
          <w:sz w:val="21"/>
          <w:highlight w:val="none"/>
        </w:rPr>
      </w:pPr>
      <w:r>
        <w:rPr>
          <w:highlight w:val="none"/>
        </w:rPr>
        <w:fldChar w:fldCharType="begin"/>
      </w:r>
      <w:r>
        <w:rPr>
          <w:highlight w:val="none"/>
        </w:rPr>
        <w:instrText xml:space="preserve"> HYPERLINK \l "_Toc26435" </w:instrText>
      </w:r>
      <w:r>
        <w:rPr>
          <w:highlight w:val="none"/>
        </w:rPr>
        <w:fldChar w:fldCharType="separate"/>
      </w:r>
      <w:r>
        <w:rPr>
          <w:rFonts w:hint="eastAsia"/>
          <w:color w:val="auto"/>
          <w:sz w:val="21"/>
          <w:highlight w:val="none"/>
          <w:lang w:eastAsia="zh-CN"/>
        </w:rPr>
        <w:t>八</w:t>
      </w:r>
      <w:r>
        <w:rPr>
          <w:rFonts w:hint="eastAsia"/>
          <w:color w:val="auto"/>
          <w:sz w:val="21"/>
          <w:highlight w:val="none"/>
        </w:rPr>
        <w:t>、资格证明材料</w:t>
      </w:r>
      <w:r>
        <w:rPr>
          <w:color w:val="auto"/>
          <w:sz w:val="21"/>
          <w:highlight w:val="none"/>
        </w:rPr>
        <w:tab/>
      </w:r>
      <w:r>
        <w:rPr>
          <w:color w:val="auto"/>
          <w:sz w:val="21"/>
          <w:highlight w:val="none"/>
        </w:rPr>
        <w:fldChar w:fldCharType="begin"/>
      </w:r>
      <w:r>
        <w:rPr>
          <w:color w:val="auto"/>
          <w:sz w:val="21"/>
          <w:highlight w:val="none"/>
        </w:rPr>
        <w:instrText xml:space="preserve"> PAGEREF _Toc26435 </w:instrText>
      </w:r>
      <w:r>
        <w:rPr>
          <w:color w:val="auto"/>
          <w:sz w:val="21"/>
          <w:highlight w:val="none"/>
        </w:rPr>
        <w:fldChar w:fldCharType="separate"/>
      </w:r>
      <w:r>
        <w:rPr>
          <w:color w:val="auto"/>
          <w:sz w:val="21"/>
          <w:highlight w:val="none"/>
        </w:rPr>
        <w:t>27</w:t>
      </w:r>
      <w:r>
        <w:rPr>
          <w:color w:val="auto"/>
          <w:sz w:val="21"/>
          <w:highlight w:val="none"/>
        </w:rPr>
        <w:fldChar w:fldCharType="end"/>
      </w:r>
      <w:r>
        <w:rPr>
          <w:color w:val="auto"/>
          <w:sz w:val="21"/>
          <w:highlight w:val="none"/>
        </w:rPr>
        <w:fldChar w:fldCharType="end"/>
      </w:r>
    </w:p>
    <w:p w14:paraId="169B82AB">
      <w:pPr>
        <w:pStyle w:val="22"/>
        <w:tabs>
          <w:tab w:val="right" w:leader="dot" w:pos="8299"/>
        </w:tabs>
        <w:kinsoku/>
        <w:autoSpaceDE/>
        <w:autoSpaceDN/>
        <w:spacing w:line="400" w:lineRule="exact"/>
        <w:ind w:left="0"/>
        <w:jc w:val="distribute"/>
        <w:textAlignment w:val="auto"/>
        <w:rPr>
          <w:color w:val="auto"/>
          <w:sz w:val="21"/>
          <w:highlight w:val="none"/>
        </w:rPr>
      </w:pPr>
      <w:r>
        <w:rPr>
          <w:highlight w:val="none"/>
        </w:rPr>
        <w:fldChar w:fldCharType="begin"/>
      </w:r>
      <w:r>
        <w:rPr>
          <w:highlight w:val="none"/>
        </w:rPr>
        <w:instrText xml:space="preserve"> HYPERLINK \l "_Toc25111" </w:instrText>
      </w:r>
      <w:r>
        <w:rPr>
          <w:highlight w:val="none"/>
        </w:rPr>
        <w:fldChar w:fldCharType="separate"/>
      </w:r>
      <w:r>
        <w:rPr>
          <w:rFonts w:hint="eastAsia"/>
          <w:color w:val="auto"/>
          <w:sz w:val="21"/>
          <w:highlight w:val="none"/>
          <w:lang w:eastAsia="zh-CN"/>
        </w:rPr>
        <w:t>九</w:t>
      </w:r>
      <w:r>
        <w:rPr>
          <w:rFonts w:hint="eastAsia"/>
          <w:color w:val="auto"/>
          <w:sz w:val="21"/>
          <w:highlight w:val="none"/>
        </w:rPr>
        <w:t>、中小企业声明函（</w:t>
      </w:r>
      <w:r>
        <w:rPr>
          <w:rFonts w:hint="eastAsia"/>
          <w:color w:val="auto"/>
          <w:sz w:val="21"/>
          <w:highlight w:val="none"/>
          <w:lang w:eastAsia="zh-CN"/>
        </w:rPr>
        <w:t>服务</w:t>
      </w:r>
      <w:r>
        <w:rPr>
          <w:rFonts w:hint="eastAsia"/>
          <w:color w:val="auto"/>
          <w:sz w:val="21"/>
          <w:highlight w:val="none"/>
        </w:rPr>
        <w:t>）</w:t>
      </w:r>
      <w:r>
        <w:rPr>
          <w:color w:val="auto"/>
          <w:sz w:val="21"/>
          <w:highlight w:val="none"/>
        </w:rPr>
        <w:tab/>
      </w:r>
      <w:r>
        <w:rPr>
          <w:color w:val="auto"/>
          <w:sz w:val="21"/>
          <w:highlight w:val="none"/>
        </w:rPr>
        <w:fldChar w:fldCharType="begin"/>
      </w:r>
      <w:r>
        <w:rPr>
          <w:color w:val="auto"/>
          <w:sz w:val="21"/>
          <w:highlight w:val="none"/>
        </w:rPr>
        <w:instrText xml:space="preserve"> PAGEREF _Toc25111 </w:instrText>
      </w:r>
      <w:r>
        <w:rPr>
          <w:color w:val="auto"/>
          <w:sz w:val="21"/>
          <w:highlight w:val="none"/>
        </w:rPr>
        <w:fldChar w:fldCharType="separate"/>
      </w:r>
      <w:r>
        <w:rPr>
          <w:color w:val="auto"/>
          <w:sz w:val="21"/>
          <w:highlight w:val="none"/>
        </w:rPr>
        <w:t>28</w:t>
      </w:r>
      <w:r>
        <w:rPr>
          <w:color w:val="auto"/>
          <w:sz w:val="21"/>
          <w:highlight w:val="none"/>
        </w:rPr>
        <w:fldChar w:fldCharType="end"/>
      </w:r>
      <w:r>
        <w:rPr>
          <w:color w:val="auto"/>
          <w:sz w:val="21"/>
          <w:highlight w:val="none"/>
        </w:rPr>
        <w:fldChar w:fldCharType="end"/>
      </w:r>
    </w:p>
    <w:p w14:paraId="188B37BD">
      <w:pPr>
        <w:pStyle w:val="22"/>
        <w:tabs>
          <w:tab w:val="right" w:leader="dot" w:pos="8299"/>
        </w:tabs>
        <w:kinsoku/>
        <w:autoSpaceDE/>
        <w:autoSpaceDN/>
        <w:spacing w:line="400" w:lineRule="exact"/>
        <w:ind w:left="0"/>
        <w:jc w:val="distribute"/>
        <w:textAlignment w:val="auto"/>
        <w:rPr>
          <w:color w:val="auto"/>
          <w:sz w:val="21"/>
          <w:highlight w:val="none"/>
        </w:rPr>
      </w:pPr>
      <w:r>
        <w:rPr>
          <w:highlight w:val="none"/>
        </w:rPr>
        <w:fldChar w:fldCharType="begin"/>
      </w:r>
      <w:r>
        <w:rPr>
          <w:highlight w:val="none"/>
        </w:rPr>
        <w:instrText xml:space="preserve"> HYPERLINK \l "_Toc29886" </w:instrText>
      </w:r>
      <w:r>
        <w:rPr>
          <w:highlight w:val="none"/>
        </w:rPr>
        <w:fldChar w:fldCharType="separate"/>
      </w:r>
      <w:r>
        <w:rPr>
          <w:rFonts w:hint="eastAsia"/>
          <w:color w:val="auto"/>
          <w:sz w:val="21"/>
          <w:highlight w:val="none"/>
          <w:lang w:eastAsia="zh-CN"/>
        </w:rPr>
        <w:t>十</w:t>
      </w:r>
      <w:r>
        <w:rPr>
          <w:rFonts w:hint="eastAsia"/>
          <w:color w:val="auto"/>
          <w:sz w:val="21"/>
          <w:highlight w:val="none"/>
        </w:rPr>
        <w:t>、残疾人福利性单位声明函</w:t>
      </w:r>
      <w:r>
        <w:rPr>
          <w:rFonts w:hint="eastAsia"/>
          <w:color w:val="auto"/>
          <w:sz w:val="21"/>
          <w:highlight w:val="none"/>
          <w:lang w:eastAsia="zh-CN"/>
        </w:rPr>
        <w:t>（如有）</w:t>
      </w:r>
      <w:r>
        <w:rPr>
          <w:color w:val="auto"/>
          <w:sz w:val="21"/>
          <w:highlight w:val="none"/>
        </w:rPr>
        <w:tab/>
      </w:r>
      <w:r>
        <w:rPr>
          <w:color w:val="auto"/>
          <w:sz w:val="21"/>
          <w:highlight w:val="none"/>
        </w:rPr>
        <w:fldChar w:fldCharType="begin"/>
      </w:r>
      <w:r>
        <w:rPr>
          <w:color w:val="auto"/>
          <w:sz w:val="21"/>
          <w:highlight w:val="none"/>
        </w:rPr>
        <w:instrText xml:space="preserve"> PAGEREF _Toc29886 </w:instrText>
      </w:r>
      <w:r>
        <w:rPr>
          <w:color w:val="auto"/>
          <w:sz w:val="21"/>
          <w:highlight w:val="none"/>
        </w:rPr>
        <w:fldChar w:fldCharType="separate"/>
      </w:r>
      <w:r>
        <w:rPr>
          <w:color w:val="auto"/>
          <w:sz w:val="21"/>
          <w:highlight w:val="none"/>
        </w:rPr>
        <w:t>31</w:t>
      </w:r>
      <w:r>
        <w:rPr>
          <w:color w:val="auto"/>
          <w:sz w:val="21"/>
          <w:highlight w:val="none"/>
        </w:rPr>
        <w:fldChar w:fldCharType="end"/>
      </w:r>
      <w:r>
        <w:rPr>
          <w:color w:val="auto"/>
          <w:sz w:val="21"/>
          <w:highlight w:val="none"/>
        </w:rPr>
        <w:fldChar w:fldCharType="end"/>
      </w:r>
    </w:p>
    <w:p w14:paraId="4D1D1DC4">
      <w:pPr>
        <w:pStyle w:val="22"/>
        <w:tabs>
          <w:tab w:val="right" w:leader="dot" w:pos="8299"/>
        </w:tabs>
        <w:kinsoku/>
        <w:autoSpaceDE/>
        <w:autoSpaceDN/>
        <w:spacing w:line="400" w:lineRule="exact"/>
        <w:ind w:left="0"/>
        <w:jc w:val="distribute"/>
        <w:textAlignment w:val="auto"/>
        <w:rPr>
          <w:color w:val="auto"/>
          <w:sz w:val="21"/>
          <w:highlight w:val="none"/>
        </w:rPr>
      </w:pPr>
      <w:r>
        <w:rPr>
          <w:highlight w:val="none"/>
        </w:rPr>
        <w:fldChar w:fldCharType="begin"/>
      </w:r>
      <w:r>
        <w:rPr>
          <w:highlight w:val="none"/>
        </w:rPr>
        <w:instrText xml:space="preserve"> HYPERLINK \l "_Toc3857" </w:instrText>
      </w:r>
      <w:r>
        <w:rPr>
          <w:highlight w:val="none"/>
        </w:rPr>
        <w:fldChar w:fldCharType="separate"/>
      </w:r>
      <w:r>
        <w:rPr>
          <w:rFonts w:hint="eastAsia"/>
          <w:color w:val="auto"/>
          <w:sz w:val="21"/>
          <w:highlight w:val="none"/>
        </w:rPr>
        <w:t>十</w:t>
      </w:r>
      <w:r>
        <w:rPr>
          <w:rFonts w:hint="eastAsia"/>
          <w:color w:val="auto"/>
          <w:sz w:val="21"/>
          <w:highlight w:val="none"/>
          <w:lang w:eastAsia="zh-CN"/>
        </w:rPr>
        <w:t>一</w:t>
      </w:r>
      <w:r>
        <w:rPr>
          <w:rFonts w:hint="eastAsia"/>
          <w:color w:val="auto"/>
          <w:sz w:val="21"/>
          <w:highlight w:val="none"/>
        </w:rPr>
        <w:t>、监狱企业证明文件（如有）</w:t>
      </w:r>
      <w:r>
        <w:rPr>
          <w:color w:val="auto"/>
          <w:sz w:val="21"/>
          <w:highlight w:val="none"/>
        </w:rPr>
        <w:tab/>
      </w:r>
      <w:r>
        <w:rPr>
          <w:color w:val="auto"/>
          <w:sz w:val="21"/>
          <w:highlight w:val="none"/>
        </w:rPr>
        <w:fldChar w:fldCharType="begin"/>
      </w:r>
      <w:r>
        <w:rPr>
          <w:color w:val="auto"/>
          <w:sz w:val="21"/>
          <w:highlight w:val="none"/>
        </w:rPr>
        <w:instrText xml:space="preserve"> PAGEREF _Toc3857 </w:instrText>
      </w:r>
      <w:r>
        <w:rPr>
          <w:color w:val="auto"/>
          <w:sz w:val="21"/>
          <w:highlight w:val="none"/>
        </w:rPr>
        <w:fldChar w:fldCharType="separate"/>
      </w:r>
      <w:r>
        <w:rPr>
          <w:color w:val="auto"/>
          <w:sz w:val="21"/>
          <w:highlight w:val="none"/>
        </w:rPr>
        <w:t>31</w:t>
      </w:r>
      <w:r>
        <w:rPr>
          <w:color w:val="auto"/>
          <w:sz w:val="21"/>
          <w:highlight w:val="none"/>
        </w:rPr>
        <w:fldChar w:fldCharType="end"/>
      </w:r>
      <w:r>
        <w:rPr>
          <w:color w:val="auto"/>
          <w:sz w:val="21"/>
          <w:highlight w:val="none"/>
        </w:rPr>
        <w:fldChar w:fldCharType="end"/>
      </w:r>
    </w:p>
    <w:p w14:paraId="26FD57F6">
      <w:pPr>
        <w:pStyle w:val="20"/>
        <w:tabs>
          <w:tab w:val="right" w:leader="dot" w:pos="8299"/>
        </w:tabs>
        <w:kinsoku/>
        <w:autoSpaceDE/>
        <w:autoSpaceDN/>
        <w:spacing w:line="400" w:lineRule="exact"/>
        <w:jc w:val="distribute"/>
        <w:textAlignment w:val="auto"/>
        <w:rPr>
          <w:color w:val="auto"/>
          <w:highlight w:val="none"/>
        </w:rPr>
      </w:pPr>
      <w:r>
        <w:rPr>
          <w:highlight w:val="none"/>
        </w:rPr>
        <w:fldChar w:fldCharType="begin"/>
      </w:r>
      <w:r>
        <w:rPr>
          <w:highlight w:val="none"/>
        </w:rPr>
        <w:instrText xml:space="preserve"> HYPERLINK \l "_Toc30261" </w:instrText>
      </w:r>
      <w:r>
        <w:rPr>
          <w:highlight w:val="none"/>
        </w:rPr>
        <w:fldChar w:fldCharType="separate"/>
      </w:r>
      <w:r>
        <w:rPr>
          <w:rFonts w:hint="eastAsia"/>
          <w:color w:val="auto"/>
          <w:highlight w:val="none"/>
        </w:rPr>
        <w:t>十</w:t>
      </w:r>
      <w:r>
        <w:rPr>
          <w:rFonts w:hint="eastAsia"/>
          <w:color w:val="auto"/>
          <w:highlight w:val="none"/>
          <w:lang w:eastAsia="zh-CN"/>
        </w:rPr>
        <w:t>二</w:t>
      </w:r>
      <w:r>
        <w:rPr>
          <w:rFonts w:hint="eastAsia"/>
          <w:color w:val="auto"/>
          <w:highlight w:val="none"/>
        </w:rPr>
        <w:t>、反商业贿赂承诺书</w:t>
      </w:r>
      <w:r>
        <w:rPr>
          <w:color w:val="auto"/>
          <w:highlight w:val="none"/>
        </w:rPr>
        <w:tab/>
      </w:r>
      <w:r>
        <w:rPr>
          <w:color w:val="auto"/>
          <w:highlight w:val="none"/>
        </w:rPr>
        <w:fldChar w:fldCharType="begin"/>
      </w:r>
      <w:r>
        <w:rPr>
          <w:color w:val="auto"/>
          <w:highlight w:val="none"/>
        </w:rPr>
        <w:instrText xml:space="preserve"> PAGEREF _Toc30261 </w:instrText>
      </w:r>
      <w:r>
        <w:rPr>
          <w:color w:val="auto"/>
          <w:highlight w:val="none"/>
        </w:rPr>
        <w:fldChar w:fldCharType="separate"/>
      </w:r>
      <w:r>
        <w:rPr>
          <w:color w:val="auto"/>
          <w:highlight w:val="none"/>
        </w:rPr>
        <w:t>32</w:t>
      </w:r>
      <w:r>
        <w:rPr>
          <w:color w:val="auto"/>
          <w:highlight w:val="none"/>
        </w:rPr>
        <w:fldChar w:fldCharType="end"/>
      </w:r>
      <w:r>
        <w:rPr>
          <w:color w:val="auto"/>
          <w:highlight w:val="none"/>
        </w:rPr>
        <w:fldChar w:fldCharType="end"/>
      </w:r>
    </w:p>
    <w:p w14:paraId="68F9D33E">
      <w:pPr>
        <w:pStyle w:val="22"/>
        <w:tabs>
          <w:tab w:val="right" w:leader="dot" w:pos="8299"/>
        </w:tabs>
        <w:kinsoku/>
        <w:autoSpaceDE/>
        <w:autoSpaceDN/>
        <w:spacing w:line="400" w:lineRule="exact"/>
        <w:ind w:left="0"/>
        <w:jc w:val="distribute"/>
        <w:textAlignment w:val="auto"/>
        <w:rPr>
          <w:color w:val="auto"/>
          <w:highlight w:val="none"/>
        </w:rPr>
      </w:pPr>
      <w:r>
        <w:rPr>
          <w:highlight w:val="none"/>
        </w:rPr>
        <w:fldChar w:fldCharType="begin"/>
      </w:r>
      <w:r>
        <w:rPr>
          <w:highlight w:val="none"/>
        </w:rPr>
        <w:instrText xml:space="preserve"> HYPERLINK \l "_Toc24929" </w:instrText>
      </w:r>
      <w:r>
        <w:rPr>
          <w:highlight w:val="none"/>
        </w:rPr>
        <w:fldChar w:fldCharType="separate"/>
      </w:r>
      <w:r>
        <w:rPr>
          <w:rFonts w:hint="eastAsia"/>
          <w:color w:val="auto"/>
          <w:sz w:val="21"/>
          <w:highlight w:val="none"/>
        </w:rPr>
        <w:t>十</w:t>
      </w:r>
      <w:r>
        <w:rPr>
          <w:rFonts w:hint="eastAsia"/>
          <w:color w:val="auto"/>
          <w:sz w:val="21"/>
          <w:highlight w:val="none"/>
          <w:lang w:eastAsia="zh-CN"/>
        </w:rPr>
        <w:t>三</w:t>
      </w:r>
      <w:r>
        <w:rPr>
          <w:rFonts w:hint="eastAsia"/>
          <w:color w:val="auto"/>
          <w:sz w:val="21"/>
          <w:highlight w:val="none"/>
        </w:rPr>
        <w:t>、其他材料</w:t>
      </w:r>
      <w:r>
        <w:rPr>
          <w:color w:val="auto"/>
          <w:sz w:val="21"/>
          <w:highlight w:val="none"/>
        </w:rPr>
        <w:tab/>
      </w:r>
      <w:r>
        <w:rPr>
          <w:color w:val="auto"/>
          <w:sz w:val="21"/>
          <w:highlight w:val="none"/>
        </w:rPr>
        <w:fldChar w:fldCharType="begin"/>
      </w:r>
      <w:r>
        <w:rPr>
          <w:color w:val="auto"/>
          <w:sz w:val="21"/>
          <w:highlight w:val="none"/>
        </w:rPr>
        <w:instrText xml:space="preserve"> PAGEREF _Toc24929 </w:instrText>
      </w:r>
      <w:r>
        <w:rPr>
          <w:color w:val="auto"/>
          <w:sz w:val="21"/>
          <w:highlight w:val="none"/>
        </w:rPr>
        <w:fldChar w:fldCharType="separate"/>
      </w:r>
      <w:r>
        <w:rPr>
          <w:color w:val="auto"/>
          <w:sz w:val="21"/>
          <w:highlight w:val="none"/>
        </w:rPr>
        <w:t>33</w:t>
      </w:r>
      <w:r>
        <w:rPr>
          <w:color w:val="auto"/>
          <w:sz w:val="21"/>
          <w:highlight w:val="none"/>
        </w:rPr>
        <w:fldChar w:fldCharType="end"/>
      </w:r>
      <w:r>
        <w:rPr>
          <w:color w:val="auto"/>
          <w:sz w:val="21"/>
          <w:highlight w:val="none"/>
        </w:rPr>
        <w:fldChar w:fldCharType="end"/>
      </w:r>
    </w:p>
    <w:p w14:paraId="021D5E0F">
      <w:pPr>
        <w:kinsoku/>
        <w:autoSpaceDE/>
        <w:autoSpaceDN/>
        <w:spacing w:line="400" w:lineRule="exact"/>
        <w:jc w:val="distribute"/>
        <w:textAlignment w:val="auto"/>
        <w:rPr>
          <w:rFonts w:ascii="宋体" w:hAnsi="宋体" w:cs="宋体"/>
          <w:b/>
          <w:bCs/>
          <w:color w:val="auto"/>
          <w:sz w:val="32"/>
          <w:szCs w:val="32"/>
          <w:highlight w:val="none"/>
        </w:rPr>
      </w:pPr>
      <w:r>
        <w:rPr>
          <w:color w:val="auto"/>
          <w:highlight w:val="none"/>
        </w:rPr>
        <w:fldChar w:fldCharType="end"/>
      </w:r>
      <w:bookmarkStart w:id="6" w:name="_Toc30363"/>
    </w:p>
    <w:p w14:paraId="6BBA8744">
      <w:pPr>
        <w:pStyle w:val="22"/>
        <w:tabs>
          <w:tab w:val="right" w:leader="underscore" w:pos="8296"/>
        </w:tabs>
        <w:spacing w:line="360" w:lineRule="auto"/>
        <w:ind w:left="0" w:leftChars="0"/>
        <w:jc w:val="center"/>
        <w:outlineLvl w:val="9"/>
        <w:rPr>
          <w:rStyle w:val="29"/>
          <w:color w:val="auto"/>
          <w:highlight w:val="none"/>
        </w:rPr>
        <w:sectPr>
          <w:headerReference r:id="rId3" w:type="default"/>
          <w:footerReference r:id="rId4" w:type="default"/>
          <w:pgSz w:w="11905" w:h="16838"/>
          <w:pgMar w:top="1440" w:right="1803" w:bottom="1440" w:left="1803" w:header="850" w:footer="850" w:gutter="0"/>
          <w:pgNumType w:fmt="decimal"/>
          <w:cols w:space="720" w:num="1"/>
          <w:docGrid w:type="lines" w:linePitch="411" w:charSpace="0"/>
        </w:sectPr>
      </w:pPr>
      <w:bookmarkStart w:id="7" w:name="_Toc6328"/>
      <w:bookmarkStart w:id="8" w:name="_Toc1987"/>
    </w:p>
    <w:p w14:paraId="06A23F1B">
      <w:pPr>
        <w:pStyle w:val="22"/>
        <w:tabs>
          <w:tab w:val="right" w:leader="underscore" w:pos="8296"/>
        </w:tabs>
        <w:spacing w:line="360" w:lineRule="auto"/>
        <w:ind w:left="0" w:firstLine="2881" w:firstLineChars="900"/>
        <w:jc w:val="both"/>
        <w:outlineLvl w:val="0"/>
        <w:rPr>
          <w:rFonts w:ascii="宋体" w:hAnsi="宋体" w:cs="宋体"/>
          <w:b/>
          <w:bCs/>
          <w:color w:val="auto"/>
          <w:sz w:val="32"/>
          <w:szCs w:val="32"/>
          <w:highlight w:val="none"/>
          <w:lang w:eastAsia="zh-CN"/>
        </w:rPr>
      </w:pPr>
      <w:r>
        <w:rPr>
          <w:rStyle w:val="29"/>
          <w:rFonts w:hint="eastAsia"/>
          <w:color w:val="auto"/>
          <w:highlight w:val="none"/>
          <w:lang w:eastAsia="zh-CN"/>
        </w:rPr>
        <w:t xml:space="preserve">第一章 </w:t>
      </w:r>
      <w:bookmarkEnd w:id="2"/>
      <w:bookmarkEnd w:id="3"/>
      <w:bookmarkEnd w:id="4"/>
      <w:bookmarkEnd w:id="5"/>
      <w:bookmarkEnd w:id="6"/>
      <w:r>
        <w:rPr>
          <w:rStyle w:val="29"/>
          <w:rFonts w:hint="eastAsia"/>
          <w:color w:val="auto"/>
          <w:highlight w:val="none"/>
          <w:lang w:eastAsia="zh-CN"/>
        </w:rPr>
        <w:t>竞争性磋商公告</w:t>
      </w:r>
      <w:bookmarkEnd w:id="7"/>
      <w:bookmarkEnd w:id="8"/>
    </w:p>
    <w:p w14:paraId="1C162741">
      <w:pPr>
        <w:pStyle w:val="24"/>
        <w:widowControl w:val="0"/>
        <w:spacing w:beforeAutospacing="0" w:afterAutospacing="0" w:line="360" w:lineRule="auto"/>
        <w:ind w:firstLine="422"/>
        <w:rPr>
          <w:b/>
          <w:color w:val="auto"/>
          <w:sz w:val="21"/>
          <w:szCs w:val="21"/>
          <w:highlight w:val="none"/>
          <w:lang w:eastAsia="zh-CN"/>
        </w:rPr>
      </w:pPr>
      <w:bookmarkStart w:id="9" w:name="OLE_LINK1"/>
      <w:bookmarkStart w:id="10" w:name="_Toc152042303"/>
      <w:bookmarkStart w:id="11" w:name="_Toc152045527"/>
      <w:bookmarkStart w:id="12" w:name="_Toc144974495"/>
      <w:r>
        <w:rPr>
          <w:rFonts w:hint="eastAsia"/>
          <w:b/>
          <w:color w:val="auto"/>
          <w:sz w:val="21"/>
          <w:szCs w:val="21"/>
          <w:highlight w:val="none"/>
          <w:lang w:eastAsia="zh-CN"/>
        </w:rPr>
        <w:t>项目概况</w:t>
      </w:r>
    </w:p>
    <w:p w14:paraId="79DF5361">
      <w:pPr>
        <w:spacing w:line="360" w:lineRule="auto"/>
        <w:ind w:firstLine="840" w:firstLineChars="400"/>
        <w:rPr>
          <w:rFonts w:eastAsiaTheme="minorEastAsia"/>
          <w:bCs/>
          <w:color w:val="auto"/>
          <w:highlight w:val="none"/>
          <w:lang w:eastAsia="zh-CN"/>
        </w:rPr>
      </w:pPr>
      <w:r>
        <w:rPr>
          <w:rFonts w:hint="eastAsia"/>
          <w:bCs/>
          <w:color w:val="auto"/>
          <w:highlight w:val="none"/>
          <w:lang w:eastAsia="zh-CN"/>
        </w:rPr>
        <w:t>永城市中心医院县乡村三级远程会诊系统采购项目进行招标</w:t>
      </w:r>
      <w:r>
        <w:rPr>
          <w:spacing w:val="10"/>
          <w:highlight w:val="none"/>
          <w:lang w:eastAsia="zh-CN"/>
        </w:rPr>
        <w:t>，现</w:t>
      </w:r>
      <w:r>
        <w:rPr>
          <w:spacing w:val="9"/>
          <w:highlight w:val="none"/>
          <w:lang w:eastAsia="zh-CN"/>
        </w:rPr>
        <w:t>欢迎符合相关条件的潜</w:t>
      </w:r>
      <w:r>
        <w:rPr>
          <w:spacing w:val="7"/>
          <w:highlight w:val="none"/>
          <w:lang w:eastAsia="zh-CN"/>
        </w:rPr>
        <w:t>在供应商参加</w:t>
      </w:r>
      <w:r>
        <w:rPr>
          <w:rFonts w:hint="eastAsia"/>
          <w:spacing w:val="7"/>
          <w:highlight w:val="none"/>
          <w:lang w:eastAsia="zh-CN"/>
        </w:rPr>
        <w:t>招标</w:t>
      </w:r>
      <w:r>
        <w:rPr>
          <w:spacing w:val="7"/>
          <w:highlight w:val="none"/>
          <w:lang w:eastAsia="zh-CN"/>
        </w:rPr>
        <w:t>。</w:t>
      </w:r>
      <w:r>
        <w:rPr>
          <w:rFonts w:hint="eastAsia"/>
          <w:bCs/>
          <w:color w:val="auto"/>
          <w:highlight w:val="none"/>
          <w:lang w:eastAsia="zh-CN"/>
        </w:rPr>
        <w:t xml:space="preserve">的潜在供应商应在“商丘市公共资源交易中心网站（ </w:t>
      </w:r>
      <w:r>
        <w:rPr>
          <w:highlight w:val="none"/>
        </w:rPr>
        <w:fldChar w:fldCharType="begin"/>
      </w:r>
      <w:r>
        <w:rPr>
          <w:highlight w:val="none"/>
        </w:rPr>
        <w:instrText xml:space="preserve"> HYPERLINK "http://ggzyjy.shangqiu.gov.cn/" </w:instrText>
      </w:r>
      <w:r>
        <w:rPr>
          <w:highlight w:val="none"/>
        </w:rPr>
        <w:fldChar w:fldCharType="separate"/>
      </w:r>
      <w:r>
        <w:rPr>
          <w:rFonts w:hint="eastAsia"/>
          <w:bCs/>
          <w:color w:val="auto"/>
          <w:highlight w:val="none"/>
          <w:lang w:eastAsia="zh-CN"/>
        </w:rPr>
        <w:t>http://ggzyjy.shangqiu.gov.cn/</w:t>
      </w:r>
      <w:r>
        <w:rPr>
          <w:rFonts w:hint="eastAsia"/>
          <w:bCs/>
          <w:color w:val="auto"/>
          <w:highlight w:val="none"/>
          <w:lang w:eastAsia="zh-CN"/>
        </w:rPr>
        <w:fldChar w:fldCharType="end"/>
      </w:r>
      <w:r>
        <w:rPr>
          <w:rFonts w:hint="eastAsia"/>
          <w:bCs/>
          <w:color w:val="auto"/>
          <w:highlight w:val="none"/>
          <w:lang w:eastAsia="zh-CN"/>
        </w:rPr>
        <w:t>），凭办理的企业身份认证锁（CA数字证书）登录会员系统；获取竞争性磋商文件，</w:t>
      </w:r>
      <w:r>
        <w:rPr>
          <w:rFonts w:hint="eastAsia"/>
          <w:spacing w:val="9"/>
          <w:highlight w:val="none"/>
          <w:lang w:eastAsia="zh-CN"/>
        </w:rPr>
        <w:t>并于2025年</w:t>
      </w:r>
      <w:r>
        <w:rPr>
          <w:rFonts w:hint="eastAsia"/>
          <w:spacing w:val="9"/>
          <w:highlight w:val="none"/>
          <w:lang w:val="en-US" w:eastAsia="zh-CN"/>
        </w:rPr>
        <w:t xml:space="preserve"> 7 </w:t>
      </w:r>
      <w:r>
        <w:rPr>
          <w:rFonts w:hint="eastAsia"/>
          <w:spacing w:val="9"/>
          <w:highlight w:val="none"/>
          <w:lang w:eastAsia="zh-CN"/>
        </w:rPr>
        <w:t>月</w:t>
      </w:r>
      <w:r>
        <w:rPr>
          <w:rFonts w:hint="eastAsia"/>
          <w:spacing w:val="9"/>
          <w:highlight w:val="none"/>
          <w:lang w:val="en-US" w:eastAsia="zh-CN"/>
        </w:rPr>
        <w:t xml:space="preserve">   </w:t>
      </w:r>
      <w:r>
        <w:rPr>
          <w:rFonts w:hint="eastAsia"/>
          <w:spacing w:val="9"/>
          <w:highlight w:val="none"/>
          <w:lang w:eastAsia="zh-CN"/>
        </w:rPr>
        <w:t>日</w:t>
      </w:r>
      <w:r>
        <w:rPr>
          <w:rFonts w:hint="eastAsia"/>
          <w:spacing w:val="9"/>
          <w:highlight w:val="none"/>
          <w:lang w:val="en-US" w:eastAsia="zh-CN"/>
        </w:rPr>
        <w:t>9 时00</w:t>
      </w:r>
      <w:r>
        <w:rPr>
          <w:rFonts w:hint="eastAsia"/>
          <w:spacing w:val="9"/>
          <w:highlight w:val="none"/>
          <w:lang w:eastAsia="zh-CN"/>
        </w:rPr>
        <w:t xml:space="preserve"> 分（北京</w:t>
      </w:r>
      <w:r>
        <w:rPr>
          <w:rFonts w:hint="eastAsia"/>
          <w:bCs/>
          <w:color w:val="auto"/>
          <w:highlight w:val="none"/>
          <w:lang w:eastAsia="zh-CN"/>
        </w:rPr>
        <w:t>时间）前递交响应文件。</w:t>
      </w:r>
    </w:p>
    <w:p w14:paraId="7BBE6341">
      <w:pPr>
        <w:pStyle w:val="24"/>
        <w:widowControl w:val="0"/>
        <w:spacing w:beforeAutospacing="0" w:afterAutospacing="0" w:line="360" w:lineRule="auto"/>
        <w:outlineLvl w:val="1"/>
        <w:rPr>
          <w:b/>
          <w:color w:val="auto"/>
          <w:sz w:val="21"/>
          <w:szCs w:val="21"/>
          <w:highlight w:val="none"/>
          <w:lang w:eastAsia="zh-CN"/>
        </w:rPr>
      </w:pPr>
      <w:r>
        <w:rPr>
          <w:rFonts w:hint="eastAsia"/>
          <w:b/>
          <w:color w:val="auto"/>
          <w:sz w:val="21"/>
          <w:szCs w:val="21"/>
          <w:highlight w:val="none"/>
          <w:lang w:eastAsia="zh-CN"/>
        </w:rPr>
        <w:t>一、项目基本情况</w:t>
      </w:r>
    </w:p>
    <w:p w14:paraId="4C2A7652">
      <w:pPr>
        <w:pStyle w:val="24"/>
        <w:widowControl w:val="0"/>
        <w:spacing w:beforeAutospacing="0" w:afterAutospacing="0" w:line="360" w:lineRule="auto"/>
        <w:ind w:firstLine="420"/>
        <w:rPr>
          <w:spacing w:val="10"/>
          <w:sz w:val="21"/>
          <w:szCs w:val="21"/>
          <w:highlight w:val="none"/>
          <w:lang w:eastAsia="zh-CN"/>
        </w:rPr>
      </w:pPr>
      <w:r>
        <w:rPr>
          <w:rFonts w:hint="eastAsia"/>
          <w:spacing w:val="10"/>
          <w:sz w:val="21"/>
          <w:szCs w:val="21"/>
          <w:highlight w:val="none"/>
          <w:lang w:eastAsia="zh-CN"/>
        </w:rPr>
        <w:t>1、项目编号：永财磋商采购-202</w:t>
      </w:r>
      <w:r>
        <w:rPr>
          <w:rFonts w:hint="eastAsia"/>
          <w:spacing w:val="10"/>
          <w:sz w:val="21"/>
          <w:szCs w:val="21"/>
          <w:highlight w:val="none"/>
          <w:lang w:val="en-US" w:eastAsia="zh-CN"/>
        </w:rPr>
        <w:t>5-23</w:t>
      </w:r>
      <w:r>
        <w:rPr>
          <w:rFonts w:hint="eastAsia"/>
          <w:spacing w:val="10"/>
          <w:sz w:val="21"/>
          <w:szCs w:val="21"/>
          <w:highlight w:val="none"/>
          <w:lang w:eastAsia="zh-CN"/>
        </w:rPr>
        <w:t>，</w:t>
      </w:r>
      <w:r>
        <w:rPr>
          <w:rFonts w:hint="eastAsia"/>
          <w:spacing w:val="10"/>
          <w:sz w:val="21"/>
          <w:szCs w:val="21"/>
          <w:highlight w:val="none"/>
          <w:lang w:val="en-US" w:eastAsia="zh-CN"/>
        </w:rPr>
        <w:t xml:space="preserve">    </w:t>
      </w:r>
      <w:r>
        <w:rPr>
          <w:rFonts w:hint="eastAsia"/>
          <w:spacing w:val="10"/>
          <w:sz w:val="21"/>
          <w:szCs w:val="21"/>
          <w:highlight w:val="none"/>
          <w:lang w:eastAsia="zh-CN"/>
        </w:rPr>
        <w:t>永政采【2025】</w:t>
      </w:r>
      <w:r>
        <w:rPr>
          <w:rFonts w:hint="eastAsia"/>
          <w:spacing w:val="10"/>
          <w:sz w:val="21"/>
          <w:szCs w:val="21"/>
          <w:highlight w:val="none"/>
          <w:lang w:val="en-US" w:eastAsia="zh-CN"/>
        </w:rPr>
        <w:t xml:space="preserve">   </w:t>
      </w:r>
      <w:r>
        <w:rPr>
          <w:rFonts w:hint="eastAsia"/>
          <w:spacing w:val="10"/>
          <w:sz w:val="21"/>
          <w:szCs w:val="21"/>
          <w:highlight w:val="none"/>
          <w:lang w:eastAsia="zh-CN"/>
        </w:rPr>
        <w:t>号</w:t>
      </w:r>
    </w:p>
    <w:p w14:paraId="0DE948B6">
      <w:pPr>
        <w:pStyle w:val="24"/>
        <w:widowControl w:val="0"/>
        <w:spacing w:beforeAutospacing="0" w:afterAutospacing="0" w:line="360" w:lineRule="auto"/>
        <w:ind w:firstLine="420"/>
        <w:rPr>
          <w:rFonts w:hint="eastAsia" w:ascii="Arial" w:hAnsi="Arial" w:eastAsia="Arial" w:cs="Arial"/>
          <w:bCs/>
          <w:snapToGrid w:val="0"/>
          <w:color w:val="auto"/>
          <w:sz w:val="21"/>
          <w:szCs w:val="21"/>
          <w:highlight w:val="none"/>
          <w:lang w:val="en-US" w:eastAsia="zh-CN" w:bidi="ar-SA"/>
        </w:rPr>
      </w:pPr>
      <w:r>
        <w:rPr>
          <w:rFonts w:hint="eastAsia"/>
          <w:bCs/>
          <w:color w:val="auto"/>
          <w:sz w:val="21"/>
          <w:szCs w:val="21"/>
          <w:highlight w:val="none"/>
          <w:lang w:eastAsia="zh-CN"/>
        </w:rPr>
        <w:t>2、项目名称：</w:t>
      </w:r>
      <w:r>
        <w:rPr>
          <w:rFonts w:hint="eastAsia" w:ascii="Arial" w:hAnsi="Arial" w:eastAsia="Arial" w:cs="Arial"/>
          <w:bCs/>
          <w:snapToGrid w:val="0"/>
          <w:color w:val="auto"/>
          <w:sz w:val="21"/>
          <w:szCs w:val="21"/>
          <w:highlight w:val="none"/>
          <w:lang w:val="en-US" w:eastAsia="zh-CN" w:bidi="ar-SA"/>
        </w:rPr>
        <w:t>永城市中心医院县乡村三级远程会诊系统采购项目</w:t>
      </w:r>
    </w:p>
    <w:p w14:paraId="07239109">
      <w:pPr>
        <w:pStyle w:val="24"/>
        <w:widowControl w:val="0"/>
        <w:spacing w:beforeAutospacing="0" w:afterAutospacing="0" w:line="360" w:lineRule="auto"/>
        <w:ind w:firstLine="420"/>
        <w:rPr>
          <w:rFonts w:hint="eastAsia" w:ascii="宋体" w:hAnsi="宋体" w:cs="宋体"/>
          <w:bCs/>
          <w:color w:val="auto"/>
          <w:sz w:val="21"/>
          <w:szCs w:val="21"/>
          <w:highlight w:val="none"/>
          <w:lang w:eastAsia="zh-CN"/>
        </w:rPr>
      </w:pPr>
      <w:r>
        <w:rPr>
          <w:rFonts w:hint="eastAsia"/>
          <w:bCs/>
          <w:color w:val="auto"/>
          <w:sz w:val="21"/>
          <w:szCs w:val="21"/>
          <w:highlight w:val="none"/>
          <w:lang w:eastAsia="zh-CN"/>
        </w:rPr>
        <w:t>3、采购方式：竞争性磋商</w:t>
      </w:r>
    </w:p>
    <w:p w14:paraId="16247146">
      <w:pPr>
        <w:pStyle w:val="24"/>
        <w:widowControl w:val="0"/>
        <w:spacing w:beforeAutospacing="0" w:afterAutospacing="0" w:line="360" w:lineRule="auto"/>
        <w:ind w:firstLine="420"/>
        <w:rPr>
          <w:rFonts w:hint="eastAsia" w:ascii="宋体" w:hAnsi="宋体" w:cs="宋体"/>
          <w:bCs/>
          <w:color w:val="auto"/>
          <w:sz w:val="21"/>
          <w:szCs w:val="21"/>
          <w:highlight w:val="none"/>
          <w:lang w:eastAsia="zh-CN"/>
        </w:rPr>
      </w:pPr>
      <w:r>
        <w:rPr>
          <w:rFonts w:hint="eastAsia" w:ascii="宋体" w:hAnsi="宋体" w:cs="宋体"/>
          <w:bCs/>
          <w:color w:val="auto"/>
          <w:sz w:val="21"/>
          <w:szCs w:val="21"/>
          <w:highlight w:val="none"/>
          <w:lang w:eastAsia="zh-CN"/>
        </w:rPr>
        <w:t>4、预算金额：</w:t>
      </w:r>
      <w:r>
        <w:rPr>
          <w:rFonts w:hint="eastAsia" w:ascii="宋体" w:hAnsi="宋体" w:cs="宋体"/>
          <w:kern w:val="2"/>
          <w:sz w:val="22"/>
          <w:szCs w:val="22"/>
          <w:highlight w:val="none"/>
          <w:lang w:val="en-US" w:eastAsia="zh-CN" w:bidi="ar-SA"/>
        </w:rPr>
        <w:t>1889060</w:t>
      </w:r>
      <w:r>
        <w:rPr>
          <w:rFonts w:hint="eastAsia" w:ascii="宋体" w:hAnsi="宋体" w:cs="宋体"/>
          <w:bCs/>
          <w:color w:val="auto"/>
          <w:sz w:val="21"/>
          <w:szCs w:val="21"/>
          <w:highlight w:val="none"/>
          <w:lang w:eastAsia="zh-CN"/>
        </w:rPr>
        <w:t>元</w:t>
      </w:r>
    </w:p>
    <w:p w14:paraId="7FFD8C25">
      <w:pPr>
        <w:pStyle w:val="24"/>
        <w:widowControl w:val="0"/>
        <w:spacing w:beforeAutospacing="0" w:afterAutospacing="0" w:line="360" w:lineRule="auto"/>
        <w:ind w:firstLine="420"/>
        <w:rPr>
          <w:rFonts w:hint="eastAsia" w:ascii="宋体" w:hAnsi="宋体" w:cs="宋体"/>
          <w:bCs/>
          <w:color w:val="auto"/>
          <w:sz w:val="21"/>
          <w:szCs w:val="21"/>
          <w:highlight w:val="none"/>
          <w:lang w:eastAsia="zh-CN"/>
        </w:rPr>
      </w:pPr>
      <w:r>
        <w:rPr>
          <w:rFonts w:hint="eastAsia" w:ascii="宋体" w:hAnsi="宋体" w:cs="宋体"/>
          <w:bCs/>
          <w:color w:val="auto"/>
          <w:sz w:val="21"/>
          <w:szCs w:val="21"/>
          <w:highlight w:val="none"/>
          <w:lang w:eastAsia="zh-CN"/>
        </w:rPr>
        <w:t>5、最高限价：</w:t>
      </w:r>
      <w:r>
        <w:rPr>
          <w:rFonts w:hint="eastAsia" w:ascii="宋体" w:hAnsi="宋体" w:cs="宋体"/>
          <w:kern w:val="2"/>
          <w:sz w:val="22"/>
          <w:szCs w:val="22"/>
          <w:highlight w:val="none"/>
          <w:lang w:val="en-US" w:eastAsia="zh-CN" w:bidi="ar-SA"/>
        </w:rPr>
        <w:t>1889060</w:t>
      </w:r>
      <w:r>
        <w:rPr>
          <w:rFonts w:hint="eastAsia" w:ascii="宋体" w:hAnsi="宋体" w:cs="宋体"/>
          <w:bCs/>
          <w:color w:val="auto"/>
          <w:sz w:val="21"/>
          <w:szCs w:val="21"/>
          <w:highlight w:val="none"/>
          <w:lang w:eastAsia="zh-CN"/>
        </w:rPr>
        <w:t>元</w:t>
      </w:r>
    </w:p>
    <w:tbl>
      <w:tblPr>
        <w:tblStyle w:val="25"/>
        <w:tblW w:w="9908" w:type="dxa"/>
        <w:jc w:val="center"/>
        <w:tblCellSpacing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993"/>
        <w:gridCol w:w="929"/>
        <w:gridCol w:w="3698"/>
        <w:gridCol w:w="1937"/>
        <w:gridCol w:w="2351"/>
      </w:tblGrid>
      <w:tr w14:paraId="3E01687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jc w:val="center"/>
        </w:trPr>
        <w:tc>
          <w:tcPr>
            <w:tcW w:w="993" w:type="dxa"/>
            <w:tcBorders>
              <w:top w:val="single" w:color="auto" w:sz="8" w:space="0"/>
              <w:left w:val="single" w:color="auto" w:sz="8" w:space="0"/>
              <w:bottom w:val="single" w:color="auto" w:sz="8" w:space="0"/>
              <w:right w:val="single" w:color="auto" w:sz="8" w:space="0"/>
            </w:tcBorders>
            <w:shd w:val="clear" w:color="auto" w:fill="FFFFFF"/>
            <w:noWrap w:val="0"/>
            <w:tcMar>
              <w:top w:w="120" w:type="dxa"/>
              <w:left w:w="0" w:type="dxa"/>
              <w:bottom w:w="0" w:type="dxa"/>
              <w:right w:w="0" w:type="dxa"/>
            </w:tcMar>
            <w:vAlign w:val="center"/>
          </w:tcPr>
          <w:p w14:paraId="379870E9">
            <w:pPr>
              <w:spacing w:line="420" w:lineRule="atLeast"/>
              <w:jc w:val="center"/>
              <w:rPr>
                <w:rFonts w:hint="eastAsia" w:ascii="宋体" w:hAnsi="宋体" w:eastAsia="宋体" w:cs="宋体"/>
                <w:color w:val="000000"/>
                <w:sz w:val="18"/>
                <w:szCs w:val="18"/>
                <w:highlight w:val="none"/>
                <w:lang w:eastAsia="zh-CN" w:bidi="ar-SA"/>
              </w:rPr>
            </w:pPr>
            <w:r>
              <w:rPr>
                <w:rFonts w:hint="eastAsia" w:ascii="宋体" w:hAnsi="宋体" w:eastAsia="宋体" w:cs="宋体"/>
                <w:color w:val="000000"/>
                <w:sz w:val="18"/>
                <w:szCs w:val="18"/>
                <w:highlight w:val="none"/>
                <w:lang w:eastAsia="zh-CN" w:bidi="ar-SA"/>
              </w:rPr>
              <w:t>序号</w:t>
            </w:r>
          </w:p>
        </w:tc>
        <w:tc>
          <w:tcPr>
            <w:tcW w:w="929" w:type="dxa"/>
            <w:tcBorders>
              <w:top w:val="single" w:color="auto" w:sz="8" w:space="0"/>
              <w:left w:val="single" w:color="auto" w:sz="8" w:space="0"/>
              <w:bottom w:val="single" w:color="auto" w:sz="8" w:space="0"/>
              <w:right w:val="single" w:color="auto" w:sz="8" w:space="0"/>
            </w:tcBorders>
            <w:shd w:val="clear" w:color="auto" w:fill="FFFFFF"/>
            <w:noWrap w:val="0"/>
            <w:tcMar>
              <w:top w:w="120" w:type="dxa"/>
              <w:left w:w="0" w:type="dxa"/>
              <w:bottom w:w="0" w:type="dxa"/>
              <w:right w:w="0" w:type="dxa"/>
            </w:tcMar>
            <w:vAlign w:val="center"/>
          </w:tcPr>
          <w:p w14:paraId="3A21D879">
            <w:pPr>
              <w:wordWrap w:val="0"/>
              <w:spacing w:line="420" w:lineRule="atLeast"/>
              <w:jc w:val="center"/>
              <w:rPr>
                <w:rFonts w:hint="eastAsia" w:ascii="宋体" w:hAnsi="宋体" w:eastAsia="宋体" w:cs="宋体"/>
                <w:color w:val="000000"/>
                <w:sz w:val="18"/>
                <w:szCs w:val="18"/>
                <w:highlight w:val="none"/>
                <w:lang w:eastAsia="zh-CN" w:bidi="ar-SA"/>
              </w:rPr>
            </w:pPr>
            <w:r>
              <w:rPr>
                <w:rFonts w:hint="eastAsia" w:ascii="宋体" w:hAnsi="宋体" w:eastAsia="宋体" w:cs="宋体"/>
                <w:color w:val="000000"/>
                <w:sz w:val="18"/>
                <w:szCs w:val="18"/>
                <w:highlight w:val="none"/>
                <w:lang w:eastAsia="zh-CN" w:bidi="ar-SA"/>
              </w:rPr>
              <w:t>包号</w:t>
            </w:r>
          </w:p>
        </w:tc>
        <w:tc>
          <w:tcPr>
            <w:tcW w:w="3698" w:type="dxa"/>
            <w:tcBorders>
              <w:top w:val="single" w:color="auto" w:sz="8" w:space="0"/>
              <w:left w:val="single" w:color="auto" w:sz="8" w:space="0"/>
              <w:bottom w:val="single" w:color="auto" w:sz="8" w:space="0"/>
              <w:right w:val="single" w:color="auto" w:sz="8" w:space="0"/>
            </w:tcBorders>
            <w:shd w:val="clear" w:color="auto" w:fill="FFFFFF"/>
            <w:noWrap w:val="0"/>
            <w:tcMar>
              <w:top w:w="120" w:type="dxa"/>
              <w:left w:w="0" w:type="dxa"/>
              <w:bottom w:w="0" w:type="dxa"/>
              <w:right w:w="0" w:type="dxa"/>
            </w:tcMar>
            <w:vAlign w:val="center"/>
          </w:tcPr>
          <w:p w14:paraId="65076CA6">
            <w:pPr>
              <w:wordWrap w:val="0"/>
              <w:spacing w:line="420" w:lineRule="atLeast"/>
              <w:jc w:val="center"/>
              <w:rPr>
                <w:rFonts w:hint="eastAsia" w:ascii="宋体" w:hAnsi="宋体" w:eastAsia="宋体" w:cs="宋体"/>
                <w:color w:val="000000"/>
                <w:sz w:val="18"/>
                <w:szCs w:val="18"/>
                <w:highlight w:val="none"/>
                <w:lang w:eastAsia="zh-CN" w:bidi="ar-SA"/>
              </w:rPr>
            </w:pPr>
            <w:r>
              <w:rPr>
                <w:rFonts w:hint="eastAsia" w:ascii="宋体" w:hAnsi="宋体" w:eastAsia="宋体" w:cs="宋体"/>
                <w:color w:val="000000"/>
                <w:sz w:val="18"/>
                <w:szCs w:val="18"/>
                <w:highlight w:val="none"/>
                <w:lang w:eastAsia="zh-CN" w:bidi="ar-SA"/>
              </w:rPr>
              <w:t>包名称</w:t>
            </w:r>
          </w:p>
        </w:tc>
        <w:tc>
          <w:tcPr>
            <w:tcW w:w="1937" w:type="dxa"/>
            <w:tcBorders>
              <w:top w:val="single" w:color="auto" w:sz="8" w:space="0"/>
              <w:left w:val="single" w:color="auto" w:sz="8" w:space="0"/>
              <w:bottom w:val="single" w:color="auto" w:sz="8" w:space="0"/>
              <w:right w:val="single" w:color="auto" w:sz="8" w:space="0"/>
            </w:tcBorders>
            <w:shd w:val="clear" w:color="auto" w:fill="FFFFFF"/>
            <w:noWrap w:val="0"/>
            <w:tcMar>
              <w:top w:w="120" w:type="dxa"/>
              <w:left w:w="0" w:type="dxa"/>
              <w:bottom w:w="0" w:type="dxa"/>
              <w:right w:w="0" w:type="dxa"/>
            </w:tcMar>
            <w:vAlign w:val="center"/>
          </w:tcPr>
          <w:p w14:paraId="4FC48941">
            <w:pPr>
              <w:wordWrap w:val="0"/>
              <w:spacing w:line="420" w:lineRule="atLeast"/>
              <w:jc w:val="center"/>
              <w:rPr>
                <w:rFonts w:hint="eastAsia" w:ascii="宋体" w:hAnsi="宋体" w:eastAsia="宋体" w:cs="宋体"/>
                <w:color w:val="000000"/>
                <w:sz w:val="18"/>
                <w:szCs w:val="18"/>
                <w:highlight w:val="none"/>
                <w:lang w:eastAsia="zh-CN" w:bidi="ar-SA"/>
              </w:rPr>
            </w:pPr>
            <w:r>
              <w:rPr>
                <w:rFonts w:hint="eastAsia" w:ascii="宋体" w:hAnsi="宋体" w:eastAsia="宋体" w:cs="宋体"/>
                <w:color w:val="000000"/>
                <w:sz w:val="18"/>
                <w:szCs w:val="18"/>
                <w:highlight w:val="none"/>
                <w:lang w:eastAsia="zh-CN" w:bidi="ar-SA"/>
              </w:rPr>
              <w:t>包预算（元）</w:t>
            </w:r>
          </w:p>
        </w:tc>
        <w:tc>
          <w:tcPr>
            <w:tcW w:w="2351" w:type="dxa"/>
            <w:tcBorders>
              <w:top w:val="single" w:color="auto" w:sz="8" w:space="0"/>
              <w:left w:val="single" w:color="auto" w:sz="8" w:space="0"/>
              <w:bottom w:val="single" w:color="auto" w:sz="8" w:space="0"/>
              <w:right w:val="single" w:color="auto" w:sz="8" w:space="0"/>
            </w:tcBorders>
            <w:shd w:val="clear" w:color="auto" w:fill="FFFFFF"/>
            <w:noWrap w:val="0"/>
            <w:tcMar>
              <w:top w:w="120" w:type="dxa"/>
              <w:left w:w="0" w:type="dxa"/>
              <w:bottom w:w="0" w:type="dxa"/>
              <w:right w:w="0" w:type="dxa"/>
            </w:tcMar>
            <w:vAlign w:val="center"/>
          </w:tcPr>
          <w:p w14:paraId="0586A531">
            <w:pPr>
              <w:wordWrap w:val="0"/>
              <w:spacing w:line="420" w:lineRule="atLeast"/>
              <w:jc w:val="center"/>
              <w:rPr>
                <w:rFonts w:hint="eastAsia" w:ascii="宋体" w:hAnsi="宋体" w:eastAsia="宋体" w:cs="宋体"/>
                <w:color w:val="000000"/>
                <w:sz w:val="18"/>
                <w:szCs w:val="18"/>
                <w:highlight w:val="none"/>
                <w:lang w:eastAsia="zh-CN" w:bidi="ar-SA"/>
              </w:rPr>
            </w:pPr>
            <w:r>
              <w:rPr>
                <w:rFonts w:hint="eastAsia" w:ascii="宋体" w:hAnsi="宋体" w:eastAsia="宋体" w:cs="宋体"/>
                <w:color w:val="000000"/>
                <w:sz w:val="18"/>
                <w:szCs w:val="18"/>
                <w:highlight w:val="none"/>
                <w:lang w:eastAsia="zh-CN" w:bidi="ar-SA"/>
              </w:rPr>
              <w:t>包最高限价（元）</w:t>
            </w:r>
          </w:p>
        </w:tc>
      </w:tr>
      <w:tr w14:paraId="2958BF6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620" w:hRule="atLeast"/>
          <w:tblCellSpacing w:w="0" w:type="dxa"/>
          <w:jc w:val="center"/>
        </w:trPr>
        <w:tc>
          <w:tcPr>
            <w:tcW w:w="993" w:type="dxa"/>
            <w:tcBorders>
              <w:top w:val="single" w:color="auto" w:sz="8" w:space="0"/>
              <w:left w:val="single" w:color="auto" w:sz="8" w:space="0"/>
              <w:bottom w:val="single" w:color="auto" w:sz="8" w:space="0"/>
              <w:right w:val="single" w:color="auto" w:sz="8" w:space="0"/>
            </w:tcBorders>
            <w:shd w:val="clear" w:color="auto" w:fill="FFFFFF"/>
            <w:noWrap w:val="0"/>
            <w:tcMar>
              <w:top w:w="120" w:type="dxa"/>
              <w:left w:w="0" w:type="dxa"/>
              <w:bottom w:w="0" w:type="dxa"/>
              <w:right w:w="0" w:type="dxa"/>
            </w:tcMar>
            <w:vAlign w:val="center"/>
          </w:tcPr>
          <w:p w14:paraId="28667DBE">
            <w:pPr>
              <w:wordWrap w:val="0"/>
              <w:spacing w:line="420" w:lineRule="atLeast"/>
              <w:jc w:val="center"/>
              <w:rPr>
                <w:rFonts w:hint="eastAsia" w:ascii="宋体" w:hAnsi="宋体" w:eastAsia="宋体" w:cs="宋体"/>
                <w:color w:val="000000"/>
                <w:sz w:val="18"/>
                <w:szCs w:val="18"/>
                <w:highlight w:val="none"/>
                <w:lang w:eastAsia="zh-CN" w:bidi="ar-SA"/>
              </w:rPr>
            </w:pPr>
            <w:r>
              <w:rPr>
                <w:rFonts w:hint="eastAsia" w:ascii="宋体" w:hAnsi="宋体" w:eastAsia="宋体" w:cs="宋体"/>
                <w:color w:val="000000"/>
                <w:sz w:val="18"/>
                <w:szCs w:val="18"/>
                <w:highlight w:val="none"/>
                <w:lang w:eastAsia="zh-CN" w:bidi="ar-SA"/>
              </w:rPr>
              <w:t>1</w:t>
            </w:r>
          </w:p>
        </w:tc>
        <w:tc>
          <w:tcPr>
            <w:tcW w:w="929" w:type="dxa"/>
            <w:tcBorders>
              <w:top w:val="single" w:color="auto" w:sz="8" w:space="0"/>
              <w:left w:val="single" w:color="auto" w:sz="8" w:space="0"/>
              <w:bottom w:val="single" w:color="auto" w:sz="8" w:space="0"/>
              <w:right w:val="single" w:color="auto" w:sz="8" w:space="0"/>
            </w:tcBorders>
            <w:shd w:val="clear" w:color="auto" w:fill="FFFFFF"/>
            <w:noWrap w:val="0"/>
            <w:tcMar>
              <w:top w:w="120" w:type="dxa"/>
              <w:left w:w="0" w:type="dxa"/>
              <w:bottom w:w="0" w:type="dxa"/>
              <w:right w:w="0" w:type="dxa"/>
            </w:tcMar>
            <w:vAlign w:val="center"/>
          </w:tcPr>
          <w:p w14:paraId="0243F725">
            <w:pPr>
              <w:wordWrap w:val="0"/>
              <w:spacing w:line="420" w:lineRule="atLeast"/>
              <w:jc w:val="center"/>
              <w:rPr>
                <w:rFonts w:hint="eastAsia" w:ascii="宋体" w:hAnsi="宋体" w:eastAsia="宋体" w:cs="宋体"/>
                <w:kern w:val="2"/>
                <w:sz w:val="22"/>
                <w:szCs w:val="22"/>
                <w:highlight w:val="none"/>
                <w:lang w:eastAsia="zh-CN" w:bidi="ar-SA"/>
              </w:rPr>
            </w:pPr>
          </w:p>
        </w:tc>
        <w:tc>
          <w:tcPr>
            <w:tcW w:w="3698" w:type="dxa"/>
            <w:tcBorders>
              <w:top w:val="single" w:color="auto" w:sz="8" w:space="0"/>
              <w:left w:val="single" w:color="auto" w:sz="8" w:space="0"/>
              <w:bottom w:val="single" w:color="auto" w:sz="8" w:space="0"/>
              <w:right w:val="single" w:color="auto" w:sz="8" w:space="0"/>
            </w:tcBorders>
            <w:shd w:val="clear" w:color="auto" w:fill="FFFFFF"/>
            <w:noWrap w:val="0"/>
            <w:tcMar>
              <w:top w:w="120" w:type="dxa"/>
              <w:left w:w="0" w:type="dxa"/>
              <w:bottom w:w="0" w:type="dxa"/>
              <w:right w:w="0" w:type="dxa"/>
            </w:tcMar>
            <w:vAlign w:val="center"/>
          </w:tcPr>
          <w:p w14:paraId="504EB285">
            <w:pPr>
              <w:wordWrap w:val="0"/>
              <w:spacing w:line="420" w:lineRule="atLeast"/>
              <w:jc w:val="center"/>
              <w:rPr>
                <w:rFonts w:hint="default" w:ascii="宋体" w:hAnsi="宋体" w:eastAsia="宋体" w:cs="宋体"/>
                <w:b/>
                <w:bCs/>
                <w:kern w:val="2"/>
                <w:sz w:val="22"/>
                <w:szCs w:val="22"/>
                <w:highlight w:val="none"/>
                <w:lang w:val="en-US" w:eastAsia="zh-CN" w:bidi="ar-SA"/>
              </w:rPr>
            </w:pPr>
            <w:r>
              <w:rPr>
                <w:rFonts w:hint="eastAsia" w:ascii="Arial" w:hAnsi="Arial" w:eastAsia="Arial" w:cs="Arial"/>
                <w:bCs/>
                <w:snapToGrid w:val="0"/>
                <w:color w:val="auto"/>
                <w:sz w:val="21"/>
                <w:szCs w:val="21"/>
                <w:highlight w:val="none"/>
                <w:lang w:val="en-US" w:eastAsia="zh-CN" w:bidi="ar-SA"/>
              </w:rPr>
              <w:t>县乡村三级远程会诊系统</w:t>
            </w:r>
          </w:p>
        </w:tc>
        <w:tc>
          <w:tcPr>
            <w:tcW w:w="1937" w:type="dxa"/>
            <w:tcBorders>
              <w:top w:val="single" w:color="auto" w:sz="8" w:space="0"/>
              <w:left w:val="single" w:color="auto" w:sz="8" w:space="0"/>
              <w:bottom w:val="single" w:color="auto" w:sz="8" w:space="0"/>
              <w:right w:val="single" w:color="auto" w:sz="8" w:space="0"/>
            </w:tcBorders>
            <w:shd w:val="clear" w:color="auto" w:fill="FFFFFF"/>
            <w:noWrap w:val="0"/>
            <w:tcMar>
              <w:top w:w="120" w:type="dxa"/>
              <w:left w:w="0" w:type="dxa"/>
              <w:bottom w:w="0" w:type="dxa"/>
              <w:right w:w="0" w:type="dxa"/>
            </w:tcMar>
            <w:vAlign w:val="center"/>
          </w:tcPr>
          <w:p w14:paraId="314127FB">
            <w:pPr>
              <w:wordWrap w:val="0"/>
              <w:spacing w:line="420" w:lineRule="atLeast"/>
              <w:jc w:val="center"/>
              <w:rPr>
                <w:rFonts w:hint="default" w:ascii="宋体" w:hAnsi="宋体" w:eastAsia="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1889060</w:t>
            </w:r>
          </w:p>
        </w:tc>
        <w:tc>
          <w:tcPr>
            <w:tcW w:w="2351" w:type="dxa"/>
            <w:tcBorders>
              <w:top w:val="single" w:color="auto" w:sz="8" w:space="0"/>
              <w:left w:val="single" w:color="auto" w:sz="8" w:space="0"/>
              <w:bottom w:val="single" w:color="auto" w:sz="8" w:space="0"/>
              <w:right w:val="single" w:color="auto" w:sz="8" w:space="0"/>
            </w:tcBorders>
            <w:shd w:val="clear" w:color="auto" w:fill="FFFFFF"/>
            <w:noWrap w:val="0"/>
            <w:tcMar>
              <w:top w:w="120" w:type="dxa"/>
              <w:left w:w="0" w:type="dxa"/>
              <w:bottom w:w="0" w:type="dxa"/>
              <w:right w:w="0" w:type="dxa"/>
            </w:tcMar>
            <w:vAlign w:val="center"/>
          </w:tcPr>
          <w:p w14:paraId="03018647">
            <w:pPr>
              <w:wordWrap w:val="0"/>
              <w:spacing w:line="420" w:lineRule="atLeast"/>
              <w:jc w:val="center"/>
              <w:rPr>
                <w:rFonts w:hint="default" w:ascii="宋体" w:hAnsi="宋体" w:eastAsia="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1889060</w:t>
            </w:r>
          </w:p>
        </w:tc>
      </w:tr>
    </w:tbl>
    <w:p w14:paraId="27E010E9">
      <w:pPr>
        <w:pStyle w:val="24"/>
        <w:widowControl w:val="0"/>
        <w:spacing w:beforeAutospacing="0" w:afterAutospacing="0" w:line="360" w:lineRule="auto"/>
        <w:ind w:firstLine="420"/>
        <w:rPr>
          <w:rFonts w:hint="eastAsia" w:ascii="宋体" w:hAnsi="宋体" w:cs="宋体"/>
          <w:bCs/>
          <w:color w:val="auto"/>
          <w:sz w:val="21"/>
          <w:szCs w:val="21"/>
          <w:highlight w:val="none"/>
          <w:lang w:eastAsia="zh-CN"/>
        </w:rPr>
      </w:pPr>
    </w:p>
    <w:p w14:paraId="0BD30B9D">
      <w:pPr>
        <w:overflowPunct w:val="0"/>
        <w:spacing w:line="360" w:lineRule="auto"/>
        <w:ind w:firstLine="440" w:firstLineChars="200"/>
        <w:contextualSpacing/>
        <w:rPr>
          <w:rFonts w:hint="eastAsia" w:ascii="宋体" w:hAnsi="宋体" w:eastAsia="宋体" w:cs="宋体"/>
          <w:kern w:val="2"/>
          <w:sz w:val="22"/>
          <w:szCs w:val="22"/>
          <w:highlight w:val="none"/>
          <w:lang w:eastAsia="zh-CN" w:bidi="ar-SA"/>
        </w:rPr>
      </w:pPr>
      <w:r>
        <w:rPr>
          <w:rFonts w:hint="eastAsia" w:ascii="宋体" w:hAnsi="宋体" w:eastAsia="宋体" w:cs="宋体"/>
          <w:kern w:val="2"/>
          <w:sz w:val="22"/>
          <w:szCs w:val="22"/>
          <w:highlight w:val="none"/>
          <w:lang w:val="en-US" w:eastAsia="zh-CN" w:bidi="ar-SA"/>
        </w:rPr>
        <w:t>6</w:t>
      </w:r>
      <w:r>
        <w:rPr>
          <w:rFonts w:hint="eastAsia" w:ascii="宋体" w:hAnsi="宋体" w:eastAsia="宋体" w:cs="宋体"/>
          <w:kern w:val="2"/>
          <w:sz w:val="22"/>
          <w:szCs w:val="22"/>
          <w:highlight w:val="none"/>
          <w:lang w:eastAsia="zh-CN" w:bidi="ar-SA"/>
        </w:rPr>
        <w:t>、采购需求（包括但不限于标的的名称、数量、简要技术需求或服务要求等）</w:t>
      </w:r>
    </w:p>
    <w:p w14:paraId="141D6569">
      <w:pPr>
        <w:overflowPunct w:val="0"/>
        <w:spacing w:line="360" w:lineRule="auto"/>
        <w:ind w:firstLine="440" w:firstLineChars="200"/>
        <w:contextualSpacing/>
        <w:rPr>
          <w:rFonts w:hint="eastAsia" w:ascii="宋体" w:hAnsi="宋体" w:eastAsia="宋体" w:cs="宋体"/>
          <w:kern w:val="2"/>
          <w:sz w:val="22"/>
          <w:szCs w:val="22"/>
          <w:highlight w:val="none"/>
          <w:lang w:eastAsia="zh-CN" w:bidi="ar-SA"/>
        </w:rPr>
      </w:pPr>
      <w:r>
        <w:rPr>
          <w:rFonts w:hint="eastAsia" w:ascii="宋体" w:hAnsi="宋体" w:eastAsia="宋体" w:cs="宋体"/>
          <w:kern w:val="2"/>
          <w:sz w:val="22"/>
          <w:szCs w:val="22"/>
          <w:highlight w:val="none"/>
          <w:lang w:eastAsia="zh-CN" w:bidi="ar-SA"/>
        </w:rPr>
        <w:t>（1）采购标的的名称、数量、简要技术需求：永城市中心医院县乡村三级远程会诊系统</w:t>
      </w:r>
      <w:r>
        <w:rPr>
          <w:rFonts w:hint="eastAsia" w:ascii="宋体" w:hAnsi="宋体" w:cs="宋体"/>
          <w:kern w:val="2"/>
          <w:sz w:val="22"/>
          <w:szCs w:val="22"/>
          <w:highlight w:val="none"/>
          <w:lang w:val="en-US" w:eastAsia="zh-CN" w:bidi="ar-SA"/>
        </w:rPr>
        <w:t>245</w:t>
      </w:r>
      <w:r>
        <w:rPr>
          <w:rFonts w:hint="eastAsia" w:ascii="宋体" w:hAnsi="宋体" w:eastAsia="宋体" w:cs="宋体"/>
          <w:kern w:val="2"/>
          <w:sz w:val="22"/>
          <w:szCs w:val="22"/>
          <w:highlight w:val="none"/>
          <w:lang w:eastAsia="zh-CN" w:bidi="ar-SA"/>
        </w:rPr>
        <w:t>套。（具体参数</w:t>
      </w:r>
      <w:r>
        <w:rPr>
          <w:rFonts w:hint="eastAsia" w:ascii="宋体" w:hAnsi="宋体" w:eastAsia="宋体" w:cs="宋体"/>
          <w:kern w:val="2"/>
          <w:sz w:val="22"/>
          <w:szCs w:val="22"/>
          <w:highlight w:val="none"/>
          <w:lang w:val="en-US" w:eastAsia="zh-CN" w:bidi="ar-SA"/>
        </w:rPr>
        <w:t>有要求</w:t>
      </w:r>
      <w:r>
        <w:rPr>
          <w:rFonts w:hint="eastAsia" w:ascii="宋体" w:hAnsi="宋体" w:eastAsia="宋体" w:cs="宋体"/>
          <w:kern w:val="2"/>
          <w:sz w:val="22"/>
          <w:szCs w:val="22"/>
          <w:highlight w:val="none"/>
          <w:lang w:eastAsia="zh-CN" w:bidi="ar-SA"/>
        </w:rPr>
        <w:t>及</w:t>
      </w:r>
      <w:r>
        <w:rPr>
          <w:rFonts w:hint="eastAsia" w:ascii="宋体" w:hAnsi="宋体" w:eastAsia="宋体" w:cs="宋体"/>
          <w:kern w:val="2"/>
          <w:sz w:val="22"/>
          <w:szCs w:val="22"/>
          <w:highlight w:val="none"/>
          <w:lang w:val="en-US" w:eastAsia="zh-CN" w:bidi="ar-SA"/>
        </w:rPr>
        <w:t>数量</w:t>
      </w:r>
      <w:r>
        <w:rPr>
          <w:rFonts w:hint="eastAsia" w:ascii="宋体" w:hAnsi="宋体" w:eastAsia="宋体" w:cs="宋体"/>
          <w:kern w:val="2"/>
          <w:sz w:val="22"/>
          <w:szCs w:val="22"/>
          <w:highlight w:val="none"/>
          <w:lang w:eastAsia="zh-CN" w:bidi="ar-SA"/>
        </w:rPr>
        <w:t>详见招标文件）；</w:t>
      </w:r>
    </w:p>
    <w:p w14:paraId="0F25323C">
      <w:pPr>
        <w:overflowPunct w:val="0"/>
        <w:spacing w:line="360" w:lineRule="auto"/>
        <w:ind w:firstLine="440" w:firstLineChars="200"/>
        <w:contextualSpacing/>
        <w:rPr>
          <w:rFonts w:hint="eastAsia" w:ascii="宋体" w:hAnsi="宋体" w:eastAsia="宋体" w:cs="宋体"/>
          <w:kern w:val="2"/>
          <w:sz w:val="22"/>
          <w:szCs w:val="22"/>
          <w:highlight w:val="none"/>
          <w:lang w:eastAsia="zh-CN" w:bidi="ar-SA"/>
        </w:rPr>
      </w:pPr>
      <w:r>
        <w:rPr>
          <w:rFonts w:hint="eastAsia" w:ascii="宋体" w:hAnsi="宋体" w:eastAsia="宋体" w:cs="宋体"/>
          <w:kern w:val="2"/>
          <w:sz w:val="22"/>
          <w:szCs w:val="22"/>
          <w:highlight w:val="none"/>
          <w:lang w:eastAsia="zh-CN" w:bidi="ar-SA"/>
        </w:rPr>
        <w:t>（2）采购范围：设备的供货、运输、保险、装卸、安装、检测、调试、试运行、验收交付、培训、技术支持、售后保修及相关伴随服务等；</w:t>
      </w:r>
    </w:p>
    <w:p w14:paraId="6E78911B">
      <w:pPr>
        <w:overflowPunct w:val="0"/>
        <w:spacing w:line="360" w:lineRule="auto"/>
        <w:ind w:firstLine="440" w:firstLineChars="200"/>
        <w:contextualSpacing/>
        <w:rPr>
          <w:rFonts w:hint="eastAsia" w:ascii="宋体" w:hAnsi="宋体" w:eastAsia="宋体" w:cs="宋体"/>
          <w:kern w:val="2"/>
          <w:sz w:val="22"/>
          <w:szCs w:val="22"/>
          <w:highlight w:val="none"/>
          <w:lang w:eastAsia="zh-CN" w:bidi="ar-SA"/>
        </w:rPr>
      </w:pPr>
      <w:r>
        <w:rPr>
          <w:rFonts w:hint="eastAsia" w:ascii="宋体" w:hAnsi="宋体" w:eastAsia="宋体" w:cs="宋体"/>
          <w:kern w:val="2"/>
          <w:sz w:val="22"/>
          <w:szCs w:val="22"/>
          <w:highlight w:val="none"/>
          <w:lang w:eastAsia="zh-CN" w:bidi="ar-SA"/>
        </w:rPr>
        <w:t>（3）</w:t>
      </w:r>
      <w:r>
        <w:rPr>
          <w:rFonts w:hint="eastAsia" w:ascii="宋体" w:hAnsi="宋体" w:eastAsia="宋体" w:cs="宋体"/>
          <w:kern w:val="2"/>
          <w:sz w:val="22"/>
          <w:szCs w:val="22"/>
          <w:highlight w:val="none"/>
          <w:lang w:val="en-US" w:eastAsia="zh-CN" w:bidi="ar-SA"/>
        </w:rPr>
        <w:t>服务</w:t>
      </w:r>
      <w:r>
        <w:rPr>
          <w:rFonts w:hint="eastAsia" w:ascii="宋体" w:hAnsi="宋体" w:eastAsia="宋体" w:cs="宋体"/>
          <w:kern w:val="2"/>
          <w:sz w:val="22"/>
          <w:szCs w:val="22"/>
          <w:highlight w:val="none"/>
          <w:lang w:eastAsia="zh-CN" w:bidi="ar-SA"/>
        </w:rPr>
        <w:t>期：</w:t>
      </w:r>
      <w:r>
        <w:rPr>
          <w:rFonts w:hint="eastAsia" w:ascii="宋体" w:hAnsi="宋体" w:eastAsia="宋体" w:cs="宋体"/>
          <w:kern w:val="2"/>
          <w:sz w:val="22"/>
          <w:szCs w:val="22"/>
          <w:highlight w:val="none"/>
          <w:lang w:val="en-US" w:eastAsia="zh-CN" w:bidi="ar-SA"/>
        </w:rPr>
        <w:t>365日历天</w:t>
      </w:r>
    </w:p>
    <w:p w14:paraId="0F2ED9E5">
      <w:pPr>
        <w:overflowPunct w:val="0"/>
        <w:spacing w:line="360" w:lineRule="auto"/>
        <w:ind w:firstLine="440" w:firstLineChars="200"/>
        <w:contextualSpacing/>
        <w:rPr>
          <w:rFonts w:hint="eastAsia" w:ascii="宋体" w:hAnsi="宋体" w:eastAsia="宋体" w:cs="宋体"/>
          <w:kern w:val="2"/>
          <w:sz w:val="22"/>
          <w:szCs w:val="22"/>
          <w:highlight w:val="none"/>
          <w:lang w:eastAsia="zh-CN" w:bidi="ar-SA"/>
        </w:rPr>
      </w:pPr>
      <w:r>
        <w:rPr>
          <w:rFonts w:hint="eastAsia" w:ascii="宋体" w:hAnsi="宋体" w:eastAsia="宋体" w:cs="宋体"/>
          <w:kern w:val="2"/>
          <w:sz w:val="22"/>
          <w:szCs w:val="22"/>
          <w:highlight w:val="none"/>
          <w:lang w:eastAsia="zh-CN" w:bidi="ar-SA"/>
        </w:rPr>
        <w:t>（4）</w:t>
      </w:r>
      <w:r>
        <w:rPr>
          <w:rFonts w:hint="eastAsia" w:ascii="宋体" w:hAnsi="宋体" w:eastAsia="宋体" w:cs="宋体"/>
          <w:kern w:val="2"/>
          <w:sz w:val="22"/>
          <w:szCs w:val="22"/>
          <w:highlight w:val="none"/>
          <w:lang w:val="en-US" w:eastAsia="zh-CN" w:bidi="ar-SA"/>
        </w:rPr>
        <w:t>服务</w:t>
      </w:r>
      <w:r>
        <w:rPr>
          <w:rFonts w:hint="eastAsia" w:ascii="宋体" w:hAnsi="宋体" w:eastAsia="宋体" w:cs="宋体"/>
          <w:kern w:val="2"/>
          <w:sz w:val="22"/>
          <w:szCs w:val="22"/>
          <w:highlight w:val="none"/>
          <w:lang w:eastAsia="zh-CN" w:bidi="ar-SA"/>
        </w:rPr>
        <w:t>地点：采购人指定地点；</w:t>
      </w:r>
    </w:p>
    <w:p w14:paraId="7046F5DC">
      <w:pPr>
        <w:overflowPunct w:val="0"/>
        <w:spacing w:line="360" w:lineRule="auto"/>
        <w:ind w:firstLine="440" w:firstLineChars="200"/>
        <w:contextualSpacing/>
        <w:rPr>
          <w:rFonts w:hint="eastAsia" w:ascii="宋体" w:hAnsi="宋体" w:eastAsia="宋体" w:cs="宋体"/>
          <w:kern w:val="2"/>
          <w:sz w:val="22"/>
          <w:szCs w:val="22"/>
          <w:highlight w:val="none"/>
          <w:lang w:eastAsia="zh-CN" w:bidi="ar-SA"/>
        </w:rPr>
      </w:pPr>
      <w:r>
        <w:rPr>
          <w:rFonts w:hint="eastAsia" w:ascii="宋体" w:hAnsi="宋体" w:eastAsia="宋体" w:cs="宋体"/>
          <w:kern w:val="2"/>
          <w:sz w:val="22"/>
          <w:szCs w:val="22"/>
          <w:highlight w:val="none"/>
          <w:lang w:eastAsia="zh-CN" w:bidi="ar-SA"/>
        </w:rPr>
        <w:t>（5）质量要求：符合国家相关合格标准；</w:t>
      </w:r>
    </w:p>
    <w:p w14:paraId="5B8AC16F">
      <w:pPr>
        <w:overflowPunct w:val="0"/>
        <w:spacing w:line="360" w:lineRule="auto"/>
        <w:ind w:firstLine="440" w:firstLineChars="200"/>
        <w:contextualSpacing/>
        <w:rPr>
          <w:rFonts w:hint="eastAsia" w:ascii="宋体" w:hAnsi="宋体" w:eastAsia="宋体" w:cs="宋体"/>
          <w:kern w:val="2"/>
          <w:sz w:val="22"/>
          <w:szCs w:val="22"/>
          <w:highlight w:val="none"/>
          <w:lang w:eastAsia="zh-CN" w:bidi="ar-SA"/>
        </w:rPr>
      </w:pPr>
      <w:r>
        <w:rPr>
          <w:rFonts w:hint="eastAsia" w:ascii="宋体" w:hAnsi="宋体" w:eastAsia="宋体" w:cs="宋体"/>
          <w:kern w:val="2"/>
          <w:sz w:val="22"/>
          <w:szCs w:val="22"/>
          <w:highlight w:val="none"/>
          <w:lang w:eastAsia="zh-CN" w:bidi="ar-SA"/>
        </w:rPr>
        <w:t>（</w:t>
      </w:r>
      <w:r>
        <w:rPr>
          <w:rFonts w:hint="eastAsia" w:ascii="宋体" w:hAnsi="宋体" w:cs="宋体"/>
          <w:kern w:val="2"/>
          <w:sz w:val="22"/>
          <w:szCs w:val="22"/>
          <w:highlight w:val="none"/>
          <w:lang w:val="en-US" w:eastAsia="zh-CN" w:bidi="ar-SA"/>
        </w:rPr>
        <w:t>6</w:t>
      </w:r>
      <w:r>
        <w:rPr>
          <w:rFonts w:hint="eastAsia" w:ascii="宋体" w:hAnsi="宋体" w:eastAsia="宋体" w:cs="宋体"/>
          <w:kern w:val="2"/>
          <w:sz w:val="22"/>
          <w:szCs w:val="22"/>
          <w:highlight w:val="none"/>
          <w:lang w:eastAsia="zh-CN" w:bidi="ar-SA"/>
        </w:rPr>
        <w:t>）本项目共划分为 1 个包。</w:t>
      </w:r>
    </w:p>
    <w:p w14:paraId="5948DE04">
      <w:pPr>
        <w:pStyle w:val="24"/>
        <w:widowControl w:val="0"/>
        <w:spacing w:beforeAutospacing="0" w:afterAutospacing="0" w:line="240" w:lineRule="auto"/>
        <w:outlineLvl w:val="1"/>
        <w:rPr>
          <w:b/>
          <w:bCs/>
          <w:color w:val="auto"/>
          <w:sz w:val="21"/>
          <w:szCs w:val="21"/>
          <w:highlight w:val="none"/>
          <w:lang w:eastAsia="zh-CN"/>
        </w:rPr>
      </w:pPr>
      <w:r>
        <w:rPr>
          <w:rFonts w:hint="eastAsia"/>
          <w:b/>
          <w:bCs/>
          <w:color w:val="auto"/>
          <w:sz w:val="21"/>
          <w:szCs w:val="21"/>
          <w:highlight w:val="none"/>
          <w:lang w:eastAsia="zh-CN"/>
        </w:rPr>
        <w:t>二、申请人资格要求：</w:t>
      </w:r>
    </w:p>
    <w:p w14:paraId="467286FA">
      <w:pPr>
        <w:pStyle w:val="24"/>
        <w:widowControl/>
        <w:shd w:val="clear" w:color="auto" w:fill="FFFFFF"/>
        <w:spacing w:line="240" w:lineRule="auto"/>
        <w:ind w:firstLine="448" w:firstLineChars="200"/>
        <w:rPr>
          <w:rFonts w:hint="eastAsia" w:ascii="Arial" w:hAnsi="Arial" w:eastAsia="Arial" w:cs="Arial"/>
          <w:snapToGrid w:val="0"/>
          <w:color w:val="000000"/>
          <w:spacing w:val="7"/>
          <w:sz w:val="21"/>
          <w:szCs w:val="21"/>
          <w:highlight w:val="none"/>
          <w:lang w:val="en-US" w:eastAsia="zh-CN" w:bidi="ar-SA"/>
        </w:rPr>
      </w:pPr>
      <w:r>
        <w:rPr>
          <w:rFonts w:hint="eastAsia" w:ascii="Arial" w:hAnsi="Arial" w:eastAsia="Arial" w:cs="Arial"/>
          <w:snapToGrid w:val="0"/>
          <w:color w:val="000000"/>
          <w:spacing w:val="7"/>
          <w:sz w:val="21"/>
          <w:szCs w:val="21"/>
          <w:highlight w:val="none"/>
          <w:lang w:val="en-US" w:eastAsia="zh-CN" w:bidi="ar-SA"/>
        </w:rPr>
        <w:t>2.1响应人符合《中华人民共和国政府采购法》第二十二条规定：</w:t>
      </w:r>
    </w:p>
    <w:p w14:paraId="5BA0A305">
      <w:pPr>
        <w:pStyle w:val="24"/>
        <w:widowControl/>
        <w:shd w:val="clear" w:color="auto" w:fill="FFFFFF"/>
        <w:spacing w:line="240" w:lineRule="auto"/>
        <w:ind w:firstLine="448" w:firstLineChars="200"/>
        <w:outlineLvl w:val="2"/>
        <w:rPr>
          <w:rFonts w:hint="eastAsia" w:ascii="Arial" w:hAnsi="Arial" w:eastAsia="Arial" w:cs="Arial"/>
          <w:snapToGrid w:val="0"/>
          <w:color w:val="000000"/>
          <w:spacing w:val="7"/>
          <w:sz w:val="21"/>
          <w:szCs w:val="21"/>
          <w:highlight w:val="none"/>
          <w:lang w:val="en-US" w:eastAsia="zh-CN" w:bidi="ar-SA"/>
        </w:rPr>
      </w:pPr>
      <w:r>
        <w:rPr>
          <w:rFonts w:hint="eastAsia" w:ascii="Arial" w:hAnsi="Arial" w:eastAsia="Arial" w:cs="Arial"/>
          <w:snapToGrid w:val="0"/>
          <w:color w:val="000000"/>
          <w:spacing w:val="7"/>
          <w:sz w:val="21"/>
          <w:szCs w:val="21"/>
          <w:highlight w:val="none"/>
          <w:lang w:val="en-US" w:eastAsia="zh-CN" w:bidi="ar-SA"/>
        </w:rPr>
        <w:t>(1)具有独立承担民事责任的能力（提供有效的营业执照）；</w:t>
      </w:r>
    </w:p>
    <w:p w14:paraId="157DAA0A">
      <w:pPr>
        <w:pStyle w:val="24"/>
        <w:widowControl/>
        <w:shd w:val="clear" w:color="auto" w:fill="FFFFFF"/>
        <w:spacing w:line="240" w:lineRule="auto"/>
        <w:ind w:firstLine="448" w:firstLineChars="200"/>
        <w:rPr>
          <w:rFonts w:hint="eastAsia" w:ascii="Arial" w:hAnsi="Arial" w:eastAsia="Arial" w:cs="Arial"/>
          <w:snapToGrid w:val="0"/>
          <w:color w:val="000000"/>
          <w:spacing w:val="7"/>
          <w:sz w:val="21"/>
          <w:szCs w:val="21"/>
          <w:highlight w:val="none"/>
          <w:lang w:val="en-US" w:eastAsia="zh-CN" w:bidi="ar-SA"/>
        </w:rPr>
      </w:pPr>
      <w:r>
        <w:rPr>
          <w:rFonts w:hint="eastAsia" w:ascii="Arial" w:hAnsi="Arial" w:eastAsia="Arial" w:cs="Arial"/>
          <w:snapToGrid w:val="0"/>
          <w:color w:val="000000"/>
          <w:spacing w:val="7"/>
          <w:sz w:val="21"/>
          <w:szCs w:val="21"/>
          <w:highlight w:val="none"/>
          <w:lang w:val="en-US" w:eastAsia="zh-CN" w:bidi="ar-SA"/>
        </w:rPr>
        <w:t>(2)具有良好的商业信誉和健全的财务会计制度（提供2022年度或2023年度经会计师事务所或审计机构审计的财务审计报告或提供基本户银行出具的资信证明（如单位为成立不足一年的新企业，提供自注册之日起的财务会计报表）；</w:t>
      </w:r>
    </w:p>
    <w:p w14:paraId="5C834A87">
      <w:pPr>
        <w:pStyle w:val="24"/>
        <w:widowControl/>
        <w:shd w:val="clear" w:color="auto" w:fill="FFFFFF"/>
        <w:spacing w:line="240" w:lineRule="auto"/>
        <w:ind w:firstLine="448" w:firstLineChars="200"/>
        <w:rPr>
          <w:rFonts w:hint="eastAsia" w:ascii="Arial" w:hAnsi="Arial" w:eastAsia="Arial" w:cs="Arial"/>
          <w:snapToGrid w:val="0"/>
          <w:color w:val="000000"/>
          <w:spacing w:val="7"/>
          <w:sz w:val="21"/>
          <w:szCs w:val="21"/>
          <w:highlight w:val="none"/>
          <w:lang w:val="en-US" w:eastAsia="zh-CN" w:bidi="ar-SA"/>
        </w:rPr>
      </w:pPr>
      <w:r>
        <w:rPr>
          <w:rFonts w:hint="eastAsia" w:ascii="Arial" w:hAnsi="Arial" w:eastAsia="Arial" w:cs="Arial"/>
          <w:snapToGrid w:val="0"/>
          <w:color w:val="000000"/>
          <w:spacing w:val="7"/>
          <w:sz w:val="21"/>
          <w:szCs w:val="21"/>
          <w:highlight w:val="none"/>
          <w:lang w:val="en-US" w:eastAsia="zh-CN" w:bidi="ar-SA"/>
        </w:rPr>
        <w:t>(3)具有履行合同所必需的设备和专业技术能力（提供承诺书，格式自拟）；</w:t>
      </w:r>
    </w:p>
    <w:p w14:paraId="61B4D024">
      <w:pPr>
        <w:pStyle w:val="24"/>
        <w:widowControl/>
        <w:shd w:val="clear" w:color="auto" w:fill="FFFFFF"/>
        <w:spacing w:line="240" w:lineRule="auto"/>
        <w:ind w:firstLine="448" w:firstLineChars="200"/>
        <w:rPr>
          <w:rFonts w:hint="default" w:ascii="Arial" w:hAnsi="Arial" w:eastAsia="Arial" w:cs="Arial"/>
          <w:snapToGrid w:val="0"/>
          <w:color w:val="000000"/>
          <w:spacing w:val="7"/>
          <w:sz w:val="21"/>
          <w:szCs w:val="21"/>
          <w:highlight w:val="none"/>
          <w:lang w:val="en-US" w:eastAsia="zh-CN" w:bidi="ar-SA"/>
        </w:rPr>
      </w:pPr>
      <w:r>
        <w:rPr>
          <w:rFonts w:hint="eastAsia" w:ascii="Arial" w:hAnsi="Arial" w:eastAsia="Arial" w:cs="Arial"/>
          <w:snapToGrid w:val="0"/>
          <w:color w:val="000000"/>
          <w:spacing w:val="7"/>
          <w:sz w:val="21"/>
          <w:szCs w:val="21"/>
          <w:highlight w:val="none"/>
          <w:lang w:val="en-US" w:eastAsia="zh-CN" w:bidi="ar-SA"/>
        </w:rPr>
        <w:t xml:space="preserve">(4)有依法缴纳税收和社会保障资金的良好记录（提供2025年1月1日以来任意1个月缴纳养老保险和纳税证明）； </w:t>
      </w:r>
    </w:p>
    <w:p w14:paraId="6D8FBCDE">
      <w:pPr>
        <w:pStyle w:val="24"/>
        <w:widowControl/>
        <w:shd w:val="clear" w:color="auto" w:fill="FFFFFF"/>
        <w:spacing w:line="240" w:lineRule="auto"/>
        <w:ind w:firstLine="448" w:firstLineChars="200"/>
        <w:rPr>
          <w:rFonts w:hint="eastAsia" w:ascii="Arial" w:hAnsi="Arial" w:eastAsia="Arial" w:cs="Arial"/>
          <w:snapToGrid w:val="0"/>
          <w:color w:val="000000"/>
          <w:spacing w:val="7"/>
          <w:sz w:val="21"/>
          <w:szCs w:val="21"/>
          <w:highlight w:val="none"/>
          <w:lang w:val="en-US" w:eastAsia="zh-CN" w:bidi="ar-SA"/>
        </w:rPr>
      </w:pPr>
      <w:r>
        <w:rPr>
          <w:rFonts w:hint="eastAsia" w:ascii="Arial" w:hAnsi="Arial" w:eastAsia="Arial" w:cs="Arial"/>
          <w:snapToGrid w:val="0"/>
          <w:color w:val="000000"/>
          <w:spacing w:val="7"/>
          <w:sz w:val="21"/>
          <w:szCs w:val="21"/>
          <w:highlight w:val="none"/>
          <w:lang w:val="en-US" w:eastAsia="zh-CN" w:bidi="ar-SA"/>
        </w:rPr>
        <w:t>(5)参加政府采购活动前三年内，在经营活动中没有重大违法记录（提供书面声明，格式自拟）；</w:t>
      </w:r>
    </w:p>
    <w:p w14:paraId="52DE0E8C">
      <w:pPr>
        <w:pStyle w:val="24"/>
        <w:widowControl/>
        <w:shd w:val="clear" w:color="auto" w:fill="FFFFFF"/>
        <w:spacing w:line="240" w:lineRule="auto"/>
        <w:ind w:firstLine="448" w:firstLineChars="200"/>
        <w:rPr>
          <w:rFonts w:hint="eastAsia" w:ascii="Arial" w:hAnsi="Arial" w:eastAsia="Arial" w:cs="Arial"/>
          <w:snapToGrid w:val="0"/>
          <w:color w:val="000000"/>
          <w:spacing w:val="7"/>
          <w:sz w:val="21"/>
          <w:szCs w:val="21"/>
          <w:highlight w:val="none"/>
          <w:lang w:val="en-US" w:eastAsia="zh-CN" w:bidi="ar-SA"/>
        </w:rPr>
      </w:pPr>
      <w:r>
        <w:rPr>
          <w:rFonts w:hint="eastAsia" w:ascii="Arial" w:hAnsi="Arial" w:eastAsia="Arial" w:cs="Arial"/>
          <w:snapToGrid w:val="0"/>
          <w:color w:val="000000"/>
          <w:spacing w:val="7"/>
          <w:sz w:val="21"/>
          <w:szCs w:val="21"/>
          <w:highlight w:val="none"/>
          <w:lang w:val="en-US" w:eastAsia="zh-CN" w:bidi="ar-SA"/>
        </w:rPr>
        <w:t>2.2响应人在“信用中国”网站(www.creditchina.gov.cn)被列入税收违法黑名单（或重大税收违法失信主体）、“中国执行信息公开网”网站被列入失信被执行人及中国政府采网”(www.ccgp.gov.cn)网站查询有“政府采购严重违法失信行为信息记录”的将被拒绝参与本项目响应。</w:t>
      </w:r>
    </w:p>
    <w:p w14:paraId="69BBBF82">
      <w:pPr>
        <w:spacing w:line="240" w:lineRule="auto"/>
        <w:ind w:firstLine="448" w:firstLineChars="200"/>
        <w:rPr>
          <w:rFonts w:hint="eastAsia" w:ascii="Arial" w:hAnsi="Arial" w:eastAsia="Arial" w:cs="Arial"/>
          <w:snapToGrid w:val="0"/>
          <w:color w:val="000000"/>
          <w:spacing w:val="7"/>
          <w:sz w:val="21"/>
          <w:szCs w:val="21"/>
          <w:highlight w:val="none"/>
          <w:lang w:val="en-US" w:eastAsia="zh-CN" w:bidi="ar-SA"/>
        </w:rPr>
      </w:pPr>
      <w:r>
        <w:rPr>
          <w:rFonts w:hint="eastAsia" w:ascii="Arial" w:hAnsi="Arial" w:eastAsia="Arial" w:cs="Arial"/>
          <w:snapToGrid w:val="0"/>
          <w:color w:val="000000"/>
          <w:spacing w:val="7"/>
          <w:sz w:val="21"/>
          <w:szCs w:val="21"/>
          <w:highlight w:val="none"/>
          <w:lang w:val="en-US" w:eastAsia="zh-CN" w:bidi="ar-SA"/>
        </w:rPr>
        <w:t>2.3单位负责人为同一人或者存在控股、管理关系的不同单位，不得同时参加本项目同一标段的谈判。（提供书面声明，格式自拟）</w:t>
      </w:r>
    </w:p>
    <w:p w14:paraId="5504C9CC">
      <w:pPr>
        <w:pStyle w:val="24"/>
        <w:widowControl/>
        <w:shd w:val="clear" w:color="auto" w:fill="FFFFFF"/>
        <w:spacing w:line="240" w:lineRule="auto"/>
        <w:ind w:firstLine="448" w:firstLineChars="200"/>
        <w:outlineLvl w:val="3"/>
        <w:rPr>
          <w:rFonts w:hint="default" w:ascii="Arial" w:hAnsi="Arial" w:eastAsia="Arial" w:cs="Arial"/>
          <w:snapToGrid w:val="0"/>
          <w:color w:val="000000"/>
          <w:spacing w:val="7"/>
          <w:sz w:val="21"/>
          <w:szCs w:val="21"/>
          <w:highlight w:val="none"/>
          <w:lang w:val="en-US" w:eastAsia="zh-CN" w:bidi="ar-SA"/>
        </w:rPr>
      </w:pPr>
      <w:r>
        <w:rPr>
          <w:rFonts w:hint="eastAsia" w:ascii="Arial" w:hAnsi="Arial" w:eastAsia="Arial" w:cs="Arial"/>
          <w:snapToGrid w:val="0"/>
          <w:color w:val="000000"/>
          <w:spacing w:val="7"/>
          <w:sz w:val="21"/>
          <w:szCs w:val="21"/>
          <w:highlight w:val="none"/>
          <w:lang w:val="en-US" w:eastAsia="zh-CN" w:bidi="ar-SA"/>
        </w:rPr>
        <w:t>2.4本项目不接受联合体谈判；</w:t>
      </w:r>
    </w:p>
    <w:p w14:paraId="401B9AD7">
      <w:pPr>
        <w:pStyle w:val="24"/>
        <w:widowControl/>
        <w:shd w:val="clear" w:color="auto" w:fill="FFFFFF"/>
        <w:spacing w:line="240" w:lineRule="auto"/>
        <w:ind w:firstLine="448" w:firstLineChars="200"/>
        <w:rPr>
          <w:rFonts w:hint="eastAsia" w:ascii="Arial" w:hAnsi="Arial" w:eastAsia="Arial" w:cs="Arial"/>
          <w:snapToGrid w:val="0"/>
          <w:color w:val="000000"/>
          <w:spacing w:val="7"/>
          <w:sz w:val="21"/>
          <w:szCs w:val="21"/>
          <w:highlight w:val="none"/>
          <w:lang w:val="en-US" w:eastAsia="zh-CN" w:bidi="ar-SA"/>
        </w:rPr>
      </w:pPr>
      <w:r>
        <w:rPr>
          <w:rFonts w:hint="eastAsia" w:ascii="Arial" w:hAnsi="Arial" w:eastAsia="Arial" w:cs="Arial"/>
          <w:snapToGrid w:val="0"/>
          <w:color w:val="000000"/>
          <w:spacing w:val="7"/>
          <w:sz w:val="21"/>
          <w:szCs w:val="21"/>
          <w:highlight w:val="none"/>
          <w:lang w:val="en-US" w:eastAsia="zh-CN" w:bidi="ar-SA"/>
        </w:rPr>
        <w:t>2.</w:t>
      </w:r>
      <w:r>
        <w:rPr>
          <w:rFonts w:hint="eastAsia" w:ascii="Arial" w:hAnsi="Arial" w:cs="Arial"/>
          <w:snapToGrid w:val="0"/>
          <w:color w:val="000000"/>
          <w:spacing w:val="7"/>
          <w:sz w:val="21"/>
          <w:szCs w:val="21"/>
          <w:highlight w:val="none"/>
          <w:lang w:val="en-US" w:eastAsia="zh-CN" w:bidi="ar-SA"/>
        </w:rPr>
        <w:t>5</w:t>
      </w:r>
      <w:r>
        <w:rPr>
          <w:rFonts w:hint="eastAsia" w:ascii="Arial" w:hAnsi="Arial" w:eastAsia="Arial" w:cs="Arial"/>
          <w:snapToGrid w:val="0"/>
          <w:color w:val="000000"/>
          <w:spacing w:val="7"/>
          <w:sz w:val="21"/>
          <w:szCs w:val="21"/>
          <w:highlight w:val="none"/>
          <w:lang w:val="en-US" w:eastAsia="zh-CN" w:bidi="ar-SA"/>
        </w:rPr>
        <w:t>否接受进口产品:否；</w:t>
      </w:r>
    </w:p>
    <w:p w14:paraId="5B59571A">
      <w:pPr>
        <w:pStyle w:val="24"/>
        <w:widowControl/>
        <w:shd w:val="clear" w:color="auto" w:fill="FFFFFF"/>
        <w:spacing w:line="240" w:lineRule="auto"/>
        <w:ind w:firstLine="448" w:firstLineChars="200"/>
        <w:rPr>
          <w:rFonts w:hint="eastAsia" w:ascii="Arial" w:hAnsi="Arial" w:eastAsia="Arial" w:cs="Arial"/>
          <w:snapToGrid w:val="0"/>
          <w:color w:val="000000"/>
          <w:spacing w:val="7"/>
          <w:sz w:val="21"/>
          <w:szCs w:val="21"/>
          <w:highlight w:val="none"/>
          <w:lang w:val="en-US" w:eastAsia="zh-CN" w:bidi="ar-SA"/>
        </w:rPr>
      </w:pPr>
      <w:r>
        <w:rPr>
          <w:rFonts w:hint="eastAsia" w:ascii="Arial" w:hAnsi="Arial" w:eastAsia="Arial" w:cs="Arial"/>
          <w:snapToGrid w:val="0"/>
          <w:color w:val="000000"/>
          <w:spacing w:val="7"/>
          <w:sz w:val="21"/>
          <w:szCs w:val="21"/>
          <w:highlight w:val="none"/>
          <w:lang w:val="en-US" w:eastAsia="zh-CN" w:bidi="ar-SA"/>
        </w:rPr>
        <w:t>2.6是否专门面向中小企业：否</w:t>
      </w:r>
    </w:p>
    <w:p w14:paraId="5BDD7DBF">
      <w:pPr>
        <w:pStyle w:val="24"/>
        <w:widowControl/>
        <w:shd w:val="clear" w:color="auto" w:fill="FFFFFF"/>
        <w:spacing w:line="240" w:lineRule="auto"/>
        <w:ind w:firstLine="448" w:firstLineChars="200"/>
        <w:rPr>
          <w:rFonts w:hint="default" w:ascii="Arial" w:hAnsi="Arial" w:eastAsia="Arial" w:cs="Arial"/>
          <w:snapToGrid w:val="0"/>
          <w:color w:val="000000"/>
          <w:spacing w:val="7"/>
          <w:sz w:val="21"/>
          <w:szCs w:val="21"/>
          <w:highlight w:val="none"/>
          <w:lang w:val="en-US" w:eastAsia="zh-CN" w:bidi="ar-SA"/>
        </w:rPr>
      </w:pPr>
      <w:r>
        <w:rPr>
          <w:rFonts w:hint="eastAsia" w:ascii="Arial" w:hAnsi="Arial" w:eastAsia="Arial" w:cs="Arial"/>
          <w:snapToGrid w:val="0"/>
          <w:color w:val="000000"/>
          <w:spacing w:val="7"/>
          <w:sz w:val="21"/>
          <w:szCs w:val="21"/>
          <w:highlight w:val="none"/>
          <w:lang w:val="en-US" w:eastAsia="zh-CN" w:bidi="ar-SA"/>
        </w:rPr>
        <w:t>注：本项目落实的政府采购政策：支持中小企业发展、强制采购节能产品</w:t>
      </w:r>
      <w:r>
        <w:rPr>
          <w:rFonts w:hint="eastAsia" w:ascii="Arial" w:hAnsi="Arial" w:cs="Arial"/>
          <w:snapToGrid w:val="0"/>
          <w:color w:val="000000"/>
          <w:spacing w:val="7"/>
          <w:sz w:val="21"/>
          <w:szCs w:val="21"/>
          <w:highlight w:val="none"/>
          <w:lang w:val="en-US" w:eastAsia="zh-CN" w:bidi="ar-SA"/>
        </w:rPr>
        <w:t>（如有）</w:t>
      </w:r>
      <w:r>
        <w:rPr>
          <w:rFonts w:hint="eastAsia" w:ascii="Arial" w:hAnsi="Arial" w:eastAsia="Arial" w:cs="Arial"/>
          <w:snapToGrid w:val="0"/>
          <w:color w:val="000000"/>
          <w:spacing w:val="7"/>
          <w:sz w:val="21"/>
          <w:szCs w:val="21"/>
          <w:highlight w:val="none"/>
          <w:lang w:val="en-US" w:eastAsia="zh-CN" w:bidi="ar-SA"/>
        </w:rPr>
        <w:t>、优先采购环境标志产品（如有）</w:t>
      </w:r>
    </w:p>
    <w:p w14:paraId="3187050E">
      <w:pPr>
        <w:pStyle w:val="30"/>
        <w:spacing w:after="0" w:line="360" w:lineRule="auto"/>
        <w:ind w:left="0" w:leftChars="0" w:firstLine="0" w:firstLineChars="0"/>
        <w:outlineLvl w:val="1"/>
        <w:rPr>
          <w:rFonts w:ascii="宋体" w:hAnsi="宋体" w:eastAsia="宋体" w:cs="宋体"/>
          <w:b/>
          <w:bCs/>
          <w:color w:val="auto"/>
          <w:sz w:val="21"/>
          <w:highlight w:val="none"/>
          <w:lang w:eastAsia="zh-CN"/>
        </w:rPr>
      </w:pPr>
      <w:r>
        <w:rPr>
          <w:rFonts w:hint="eastAsia" w:ascii="宋体" w:hAnsi="宋体" w:eastAsia="宋体" w:cs="宋体"/>
          <w:b/>
          <w:bCs/>
          <w:color w:val="auto"/>
          <w:kern w:val="0"/>
          <w:sz w:val="21"/>
          <w:highlight w:val="none"/>
          <w:lang w:eastAsia="zh-CN"/>
        </w:rPr>
        <w:t>三、获取采购文件</w:t>
      </w:r>
    </w:p>
    <w:p w14:paraId="7886EE23">
      <w:pPr>
        <w:spacing w:line="360" w:lineRule="auto"/>
        <w:ind w:firstLine="432" w:firstLineChars="193"/>
        <w:rPr>
          <w:rFonts w:hint="eastAsia" w:ascii="Arial" w:hAnsi="Arial" w:eastAsia="Arial" w:cs="Arial"/>
          <w:snapToGrid w:val="0"/>
          <w:color w:val="000000"/>
          <w:spacing w:val="7"/>
          <w:sz w:val="21"/>
          <w:szCs w:val="21"/>
          <w:highlight w:val="none"/>
          <w:lang w:val="en-US" w:eastAsia="zh-CN" w:bidi="ar-SA"/>
        </w:rPr>
      </w:pPr>
      <w:r>
        <w:rPr>
          <w:rFonts w:hint="eastAsia" w:ascii="Arial" w:hAnsi="Arial" w:eastAsia="Arial" w:cs="Arial"/>
          <w:snapToGrid w:val="0"/>
          <w:color w:val="000000"/>
          <w:spacing w:val="7"/>
          <w:sz w:val="21"/>
          <w:szCs w:val="21"/>
          <w:highlight w:val="none"/>
          <w:lang w:val="en-US" w:eastAsia="zh-CN" w:bidi="ar-SA"/>
        </w:rPr>
        <w:t>1、时间：自公告发布之时起至响应截止时间</w:t>
      </w:r>
    </w:p>
    <w:p w14:paraId="0EAA3709">
      <w:pPr>
        <w:spacing w:line="360" w:lineRule="auto"/>
        <w:ind w:firstLine="420"/>
        <w:rPr>
          <w:rFonts w:hint="eastAsia" w:ascii="Arial" w:hAnsi="Arial" w:eastAsia="Arial" w:cs="Arial"/>
          <w:snapToGrid w:val="0"/>
          <w:color w:val="000000"/>
          <w:spacing w:val="7"/>
          <w:sz w:val="21"/>
          <w:szCs w:val="21"/>
          <w:highlight w:val="none"/>
          <w:lang w:val="en-US" w:eastAsia="zh-CN" w:bidi="ar-SA"/>
        </w:rPr>
      </w:pPr>
      <w:r>
        <w:rPr>
          <w:rFonts w:hint="eastAsia" w:ascii="Arial" w:hAnsi="Arial" w:eastAsia="Arial" w:cs="Arial"/>
          <w:snapToGrid w:val="0"/>
          <w:color w:val="000000"/>
          <w:spacing w:val="7"/>
          <w:sz w:val="21"/>
          <w:szCs w:val="21"/>
          <w:highlight w:val="none"/>
          <w:lang w:val="en-US" w:eastAsia="zh-CN" w:bidi="ar-SA"/>
        </w:rPr>
        <w:t>2、地点：商丘市公共资源交易中心网站</w:t>
      </w:r>
    </w:p>
    <w:p w14:paraId="0299B3CF">
      <w:pPr>
        <w:spacing w:line="360" w:lineRule="auto"/>
        <w:ind w:firstLine="420"/>
        <w:rPr>
          <w:rFonts w:hint="eastAsia" w:ascii="Arial" w:hAnsi="Arial" w:eastAsia="Arial" w:cs="Arial"/>
          <w:snapToGrid w:val="0"/>
          <w:color w:val="000000"/>
          <w:spacing w:val="7"/>
          <w:sz w:val="21"/>
          <w:szCs w:val="21"/>
          <w:highlight w:val="none"/>
          <w:lang w:val="en-US" w:eastAsia="zh-CN" w:bidi="ar-SA"/>
        </w:rPr>
      </w:pPr>
      <w:r>
        <w:rPr>
          <w:rFonts w:hint="eastAsia" w:ascii="Arial" w:hAnsi="Arial" w:eastAsia="Arial" w:cs="Arial"/>
          <w:snapToGrid w:val="0"/>
          <w:color w:val="000000"/>
          <w:spacing w:val="7"/>
          <w:sz w:val="21"/>
          <w:szCs w:val="21"/>
          <w:highlight w:val="none"/>
          <w:lang w:val="en-US" w:eastAsia="zh-CN" w:bidi="ar-SA"/>
        </w:rPr>
        <w:t>3、方式：凡有意参加投标（磋商）者，请登录商丘市公共资源交易中心网站(https://ggzyjy.shangqiu.gov.cn/) 点击公告中的我要投标或者登陆后选择项目按照页面提示进行下载磋商文件；企业可直接在该公告下方相关附件下载也可以免费注册登录交易平台下载磋商文件。</w:t>
      </w:r>
    </w:p>
    <w:p w14:paraId="4279EB32">
      <w:pPr>
        <w:spacing w:line="360" w:lineRule="auto"/>
        <w:ind w:firstLine="420"/>
        <w:rPr>
          <w:rFonts w:hint="eastAsia" w:ascii="Arial" w:hAnsi="Arial" w:eastAsia="Arial" w:cs="Arial"/>
          <w:snapToGrid w:val="0"/>
          <w:color w:val="000000"/>
          <w:spacing w:val="7"/>
          <w:sz w:val="21"/>
          <w:szCs w:val="21"/>
          <w:highlight w:val="none"/>
          <w:lang w:val="en-US" w:eastAsia="zh-CN" w:bidi="ar-SA"/>
        </w:rPr>
      </w:pPr>
      <w:r>
        <w:rPr>
          <w:rFonts w:hint="eastAsia" w:ascii="Arial" w:hAnsi="Arial" w:eastAsia="Arial" w:cs="Arial"/>
          <w:snapToGrid w:val="0"/>
          <w:color w:val="000000"/>
          <w:spacing w:val="7"/>
          <w:sz w:val="21"/>
          <w:szCs w:val="21"/>
          <w:highlight w:val="none"/>
          <w:lang w:val="en-US" w:eastAsia="zh-CN" w:bidi="ar-SA"/>
        </w:rPr>
        <w:t>4、售价：0元。</w:t>
      </w:r>
    </w:p>
    <w:p w14:paraId="4C7032BF">
      <w:pPr>
        <w:spacing w:line="360" w:lineRule="auto"/>
        <w:outlineLvl w:val="1"/>
        <w:rPr>
          <w:rFonts w:ascii="宋体" w:hAnsi="宋体" w:cs="宋体"/>
          <w:b/>
          <w:bCs/>
          <w:color w:val="auto"/>
          <w:highlight w:val="none"/>
          <w:lang w:eastAsia="zh-CN"/>
        </w:rPr>
      </w:pPr>
      <w:r>
        <w:rPr>
          <w:rFonts w:hint="eastAsia" w:ascii="宋体" w:hAnsi="宋体" w:cs="宋体"/>
          <w:b/>
          <w:bCs/>
          <w:color w:val="auto"/>
          <w:highlight w:val="none"/>
          <w:lang w:eastAsia="zh-CN"/>
        </w:rPr>
        <w:t>四、响应文件提交：</w:t>
      </w:r>
    </w:p>
    <w:p w14:paraId="5A71E31A">
      <w:pPr>
        <w:pStyle w:val="24"/>
        <w:widowControl w:val="0"/>
        <w:tabs>
          <w:tab w:val="left" w:pos="2400"/>
          <w:tab w:val="left" w:pos="3460"/>
          <w:tab w:val="left" w:pos="7689"/>
          <w:tab w:val="left" w:pos="7737"/>
        </w:tabs>
        <w:spacing w:beforeAutospacing="0" w:afterAutospacing="0" w:line="360" w:lineRule="auto"/>
        <w:ind w:firstLine="420"/>
        <w:rPr>
          <w:color w:val="auto"/>
          <w:sz w:val="21"/>
          <w:szCs w:val="21"/>
          <w:highlight w:val="none"/>
          <w:lang w:eastAsia="zh-CN"/>
        </w:rPr>
      </w:pPr>
      <w:r>
        <w:rPr>
          <w:rFonts w:hint="eastAsia"/>
          <w:color w:val="auto"/>
          <w:sz w:val="21"/>
          <w:szCs w:val="21"/>
          <w:highlight w:val="none"/>
          <w:lang w:eastAsia="zh-CN"/>
        </w:rPr>
        <w:t>1、时间：2025年</w:t>
      </w:r>
      <w:r>
        <w:rPr>
          <w:rFonts w:hint="eastAsia"/>
          <w:color w:val="auto"/>
          <w:sz w:val="21"/>
          <w:szCs w:val="21"/>
          <w:highlight w:val="none"/>
          <w:lang w:val="en-US" w:eastAsia="zh-CN"/>
        </w:rPr>
        <w:t xml:space="preserve"> 7 </w:t>
      </w:r>
      <w:r>
        <w:rPr>
          <w:rFonts w:hint="eastAsia"/>
          <w:color w:val="auto"/>
          <w:sz w:val="21"/>
          <w:szCs w:val="21"/>
          <w:highlight w:val="none"/>
          <w:lang w:eastAsia="zh-CN"/>
        </w:rPr>
        <w:t>月</w:t>
      </w:r>
      <w:r>
        <w:rPr>
          <w:rFonts w:hint="eastAsia"/>
          <w:color w:val="auto"/>
          <w:sz w:val="21"/>
          <w:szCs w:val="21"/>
          <w:highlight w:val="none"/>
          <w:lang w:val="en-US" w:eastAsia="zh-CN"/>
        </w:rPr>
        <w:t xml:space="preserve">   </w:t>
      </w:r>
      <w:r>
        <w:rPr>
          <w:rFonts w:hint="eastAsia"/>
          <w:color w:val="auto"/>
          <w:sz w:val="21"/>
          <w:szCs w:val="21"/>
          <w:highlight w:val="none"/>
          <w:lang w:eastAsia="zh-CN"/>
        </w:rPr>
        <w:t>日</w:t>
      </w:r>
      <w:r>
        <w:rPr>
          <w:rFonts w:hint="eastAsia"/>
          <w:color w:val="auto"/>
          <w:sz w:val="21"/>
          <w:szCs w:val="21"/>
          <w:highlight w:val="none"/>
          <w:lang w:val="en-US" w:eastAsia="zh-CN"/>
        </w:rPr>
        <w:t xml:space="preserve"> 8</w:t>
      </w:r>
      <w:r>
        <w:rPr>
          <w:rFonts w:hint="eastAsia" w:eastAsiaTheme="minorEastAsia"/>
          <w:color w:val="auto"/>
          <w:sz w:val="21"/>
          <w:szCs w:val="21"/>
          <w:highlight w:val="none"/>
          <w:lang w:eastAsia="zh-CN"/>
        </w:rPr>
        <w:t xml:space="preserve"> </w:t>
      </w:r>
      <w:r>
        <w:rPr>
          <w:rFonts w:hint="eastAsia"/>
          <w:color w:val="auto"/>
          <w:sz w:val="21"/>
          <w:szCs w:val="21"/>
          <w:highlight w:val="none"/>
          <w:lang w:eastAsia="zh-CN"/>
        </w:rPr>
        <w:t>时</w:t>
      </w:r>
      <w:r>
        <w:rPr>
          <w:rFonts w:hint="eastAsia" w:eastAsiaTheme="minorEastAsia"/>
          <w:color w:val="auto"/>
          <w:sz w:val="21"/>
          <w:szCs w:val="21"/>
          <w:highlight w:val="none"/>
          <w:lang w:val="en-US" w:eastAsia="zh-CN"/>
        </w:rPr>
        <w:t>00</w:t>
      </w:r>
      <w:r>
        <w:rPr>
          <w:rFonts w:hint="eastAsia"/>
          <w:color w:val="auto"/>
          <w:sz w:val="21"/>
          <w:szCs w:val="21"/>
          <w:highlight w:val="none"/>
          <w:lang w:eastAsia="zh-CN"/>
        </w:rPr>
        <w:t>分（北京时间）。</w:t>
      </w:r>
    </w:p>
    <w:p w14:paraId="658FECB7">
      <w:pPr>
        <w:spacing w:line="360" w:lineRule="auto"/>
        <w:ind w:firstLine="420"/>
        <w:rPr>
          <w:rFonts w:ascii="宋体" w:hAnsi="宋体" w:eastAsia="宋体" w:cs="宋体"/>
          <w:color w:val="auto"/>
          <w:highlight w:val="none"/>
          <w:lang w:eastAsia="zh-CN"/>
        </w:rPr>
      </w:pPr>
      <w:r>
        <w:rPr>
          <w:rFonts w:hint="eastAsia" w:ascii="宋体" w:hAnsi="宋体" w:cs="宋体"/>
          <w:color w:val="auto"/>
          <w:highlight w:val="none"/>
        </w:rPr>
        <w:t>2、地点：商丘市公共资源交易中心网站(https://ggzyjy.shangqiu.gov.cn/)</w:t>
      </w:r>
      <w:r>
        <w:rPr>
          <w:rFonts w:hint="eastAsia" w:ascii="宋体" w:hAnsi="宋体" w:cs="宋体"/>
          <w:color w:val="auto"/>
          <w:highlight w:val="none"/>
          <w:lang w:eastAsia="zh-CN"/>
        </w:rPr>
        <w:t>递交</w:t>
      </w:r>
    </w:p>
    <w:p w14:paraId="6569D596">
      <w:pPr>
        <w:spacing w:line="360" w:lineRule="auto"/>
        <w:outlineLvl w:val="1"/>
        <w:rPr>
          <w:rFonts w:ascii="宋体" w:hAnsi="宋体" w:cs="宋体"/>
          <w:b/>
          <w:bCs/>
          <w:color w:val="auto"/>
          <w:highlight w:val="none"/>
          <w:lang w:eastAsia="zh-CN"/>
        </w:rPr>
      </w:pPr>
      <w:r>
        <w:rPr>
          <w:rFonts w:hint="eastAsia" w:ascii="宋体" w:hAnsi="宋体" w:cs="宋体"/>
          <w:b/>
          <w:bCs/>
          <w:color w:val="auto"/>
          <w:highlight w:val="none"/>
          <w:lang w:eastAsia="zh-CN"/>
        </w:rPr>
        <w:t>五、响应文件开启：</w:t>
      </w:r>
    </w:p>
    <w:p w14:paraId="62E95993">
      <w:pPr>
        <w:pStyle w:val="24"/>
        <w:widowControl w:val="0"/>
        <w:tabs>
          <w:tab w:val="left" w:pos="2400"/>
          <w:tab w:val="left" w:pos="3460"/>
          <w:tab w:val="left" w:pos="7689"/>
          <w:tab w:val="left" w:pos="7737"/>
        </w:tabs>
        <w:spacing w:beforeAutospacing="0" w:afterAutospacing="0" w:line="360" w:lineRule="auto"/>
        <w:ind w:firstLine="420"/>
        <w:rPr>
          <w:color w:val="auto"/>
          <w:sz w:val="21"/>
          <w:szCs w:val="21"/>
          <w:highlight w:val="none"/>
          <w:lang w:eastAsia="zh-CN"/>
        </w:rPr>
      </w:pPr>
      <w:r>
        <w:rPr>
          <w:rFonts w:hint="eastAsia"/>
          <w:color w:val="auto"/>
          <w:sz w:val="21"/>
          <w:szCs w:val="21"/>
          <w:highlight w:val="none"/>
          <w:lang w:eastAsia="zh-CN"/>
        </w:rPr>
        <w:t>1、时间：</w:t>
      </w:r>
      <w:r>
        <w:rPr>
          <w:rFonts w:hint="eastAsia"/>
          <w:bCs/>
          <w:color w:val="auto"/>
          <w:sz w:val="21"/>
          <w:szCs w:val="21"/>
          <w:highlight w:val="none"/>
          <w:lang w:eastAsia="zh-CN"/>
        </w:rPr>
        <w:t>2025年</w:t>
      </w:r>
      <w:r>
        <w:rPr>
          <w:rFonts w:hint="eastAsia"/>
          <w:bCs/>
          <w:color w:val="auto"/>
          <w:sz w:val="21"/>
          <w:szCs w:val="21"/>
          <w:highlight w:val="none"/>
          <w:lang w:val="en-US" w:eastAsia="zh-CN"/>
        </w:rPr>
        <w:t xml:space="preserve"> 7 </w:t>
      </w:r>
      <w:r>
        <w:rPr>
          <w:rFonts w:hint="eastAsia"/>
          <w:bCs/>
          <w:color w:val="auto"/>
          <w:sz w:val="21"/>
          <w:szCs w:val="21"/>
          <w:highlight w:val="none"/>
          <w:lang w:eastAsia="zh-CN"/>
        </w:rPr>
        <w:t>月</w:t>
      </w:r>
      <w:r>
        <w:rPr>
          <w:rFonts w:hint="eastAsia"/>
          <w:bCs/>
          <w:color w:val="auto"/>
          <w:sz w:val="21"/>
          <w:szCs w:val="21"/>
          <w:highlight w:val="none"/>
          <w:lang w:val="en-US" w:eastAsia="zh-CN"/>
        </w:rPr>
        <w:t xml:space="preserve">   </w:t>
      </w:r>
      <w:r>
        <w:rPr>
          <w:rFonts w:hint="eastAsia" w:eastAsiaTheme="minorEastAsia"/>
          <w:bCs/>
          <w:color w:val="auto"/>
          <w:sz w:val="21"/>
          <w:szCs w:val="21"/>
          <w:highlight w:val="none"/>
          <w:lang w:val="en-US" w:eastAsia="zh-CN"/>
        </w:rPr>
        <w:t xml:space="preserve"> </w:t>
      </w:r>
      <w:r>
        <w:rPr>
          <w:rFonts w:hint="eastAsia"/>
          <w:bCs/>
          <w:color w:val="auto"/>
          <w:sz w:val="21"/>
          <w:szCs w:val="21"/>
          <w:highlight w:val="none"/>
          <w:lang w:eastAsia="zh-CN"/>
        </w:rPr>
        <w:t>日</w:t>
      </w:r>
      <w:r>
        <w:rPr>
          <w:rFonts w:hint="eastAsia"/>
          <w:bCs/>
          <w:color w:val="auto"/>
          <w:sz w:val="21"/>
          <w:szCs w:val="21"/>
          <w:highlight w:val="none"/>
          <w:lang w:val="en-US" w:eastAsia="zh-CN"/>
        </w:rPr>
        <w:t xml:space="preserve"> 9</w:t>
      </w:r>
      <w:r>
        <w:rPr>
          <w:rFonts w:hint="eastAsia" w:eastAsiaTheme="minorEastAsia"/>
          <w:bCs/>
          <w:color w:val="auto"/>
          <w:sz w:val="21"/>
          <w:szCs w:val="21"/>
          <w:highlight w:val="none"/>
          <w:lang w:eastAsia="zh-CN"/>
        </w:rPr>
        <w:t xml:space="preserve"> </w:t>
      </w:r>
      <w:r>
        <w:rPr>
          <w:rFonts w:hint="eastAsia"/>
          <w:bCs/>
          <w:color w:val="auto"/>
          <w:sz w:val="21"/>
          <w:szCs w:val="21"/>
          <w:highlight w:val="none"/>
          <w:lang w:eastAsia="zh-CN"/>
        </w:rPr>
        <w:t>时</w:t>
      </w:r>
      <w:r>
        <w:rPr>
          <w:rFonts w:hint="eastAsia"/>
          <w:bCs/>
          <w:color w:val="auto"/>
          <w:sz w:val="21"/>
          <w:szCs w:val="21"/>
          <w:highlight w:val="none"/>
          <w:lang w:val="en-US" w:eastAsia="zh-CN"/>
        </w:rPr>
        <w:t xml:space="preserve"> 00 </w:t>
      </w:r>
      <w:r>
        <w:rPr>
          <w:rFonts w:hint="eastAsia"/>
          <w:bCs/>
          <w:color w:val="auto"/>
          <w:sz w:val="21"/>
          <w:szCs w:val="21"/>
          <w:highlight w:val="none"/>
          <w:lang w:eastAsia="zh-CN"/>
        </w:rPr>
        <w:t>分</w:t>
      </w:r>
      <w:r>
        <w:rPr>
          <w:rFonts w:hint="eastAsia"/>
          <w:color w:val="auto"/>
          <w:sz w:val="21"/>
          <w:szCs w:val="21"/>
          <w:highlight w:val="none"/>
          <w:lang w:eastAsia="zh-CN"/>
        </w:rPr>
        <w:t>（北京时间）。</w:t>
      </w:r>
    </w:p>
    <w:p w14:paraId="238055D8">
      <w:pPr>
        <w:spacing w:line="360" w:lineRule="auto"/>
        <w:ind w:firstLine="420"/>
        <w:rPr>
          <w:rFonts w:hint="eastAsia" w:ascii="宋体" w:hAnsi="宋体" w:eastAsia="Arial" w:cs="宋体"/>
          <w:bCs/>
          <w:snapToGrid w:val="0"/>
          <w:color w:val="auto"/>
          <w:sz w:val="21"/>
          <w:szCs w:val="21"/>
          <w:highlight w:val="none"/>
          <w:lang w:val="en-US" w:eastAsia="zh-CN" w:bidi="ar-SA"/>
        </w:rPr>
      </w:pPr>
      <w:r>
        <w:rPr>
          <w:rFonts w:hint="eastAsia" w:ascii="宋体" w:hAnsi="宋体" w:cs="宋体"/>
          <w:color w:val="auto"/>
          <w:highlight w:val="none"/>
          <w:lang w:eastAsia="zh-CN"/>
        </w:rPr>
        <w:t>2、地点：</w:t>
      </w:r>
      <w:r>
        <w:rPr>
          <w:rFonts w:hint="eastAsia" w:ascii="宋体" w:hAnsi="宋体" w:eastAsia="Arial" w:cs="宋体"/>
          <w:bCs/>
          <w:snapToGrid w:val="0"/>
          <w:color w:val="auto"/>
          <w:sz w:val="21"/>
          <w:szCs w:val="21"/>
          <w:highlight w:val="none"/>
          <w:lang w:val="en-US" w:eastAsia="zh-CN" w:bidi="ar-SA"/>
        </w:rPr>
        <w:t xml:space="preserve">永城市公共资源交易中心第 </w:t>
      </w:r>
      <w:r>
        <w:rPr>
          <w:rFonts w:hint="eastAsia" w:ascii="宋体" w:hAnsi="宋体" w:cs="宋体"/>
          <w:bCs/>
          <w:snapToGrid w:val="0"/>
          <w:color w:val="auto"/>
          <w:sz w:val="21"/>
          <w:szCs w:val="21"/>
          <w:highlight w:val="none"/>
          <w:lang w:val="en-US" w:eastAsia="zh-CN" w:bidi="ar-SA"/>
        </w:rPr>
        <w:t>2</w:t>
      </w:r>
      <w:r>
        <w:rPr>
          <w:rFonts w:hint="eastAsia" w:ascii="宋体" w:hAnsi="宋体" w:eastAsia="Arial" w:cs="宋体"/>
          <w:bCs/>
          <w:snapToGrid w:val="0"/>
          <w:color w:val="auto"/>
          <w:sz w:val="21"/>
          <w:szCs w:val="21"/>
          <w:highlight w:val="none"/>
          <w:lang w:val="en-US" w:eastAsia="zh-CN" w:bidi="ar-SA"/>
        </w:rPr>
        <w:t xml:space="preserve"> 开标室。</w:t>
      </w:r>
    </w:p>
    <w:p w14:paraId="369193EB">
      <w:pPr>
        <w:spacing w:line="360" w:lineRule="auto"/>
        <w:outlineLvl w:val="1"/>
        <w:rPr>
          <w:rFonts w:ascii="宋体" w:hAnsi="宋体" w:cs="宋体"/>
          <w:b/>
          <w:bCs/>
          <w:color w:val="auto"/>
          <w:highlight w:val="none"/>
          <w:lang w:eastAsia="zh-CN"/>
        </w:rPr>
      </w:pPr>
      <w:r>
        <w:rPr>
          <w:rFonts w:hint="eastAsia" w:ascii="宋体" w:hAnsi="宋体" w:cs="宋体"/>
          <w:b/>
          <w:bCs/>
          <w:color w:val="auto"/>
          <w:highlight w:val="none"/>
          <w:lang w:eastAsia="zh-CN"/>
        </w:rPr>
        <w:t>六、发布公告的媒介及招标公告期限：</w:t>
      </w:r>
    </w:p>
    <w:p w14:paraId="4F833DAC">
      <w:pPr>
        <w:spacing w:line="360" w:lineRule="auto"/>
        <w:ind w:firstLine="420"/>
        <w:rPr>
          <w:rFonts w:hint="eastAsia" w:ascii="宋体" w:hAnsi="宋体" w:eastAsia="Arial" w:cs="宋体"/>
          <w:snapToGrid w:val="0"/>
          <w:color w:val="auto"/>
          <w:sz w:val="21"/>
          <w:szCs w:val="21"/>
          <w:highlight w:val="none"/>
          <w:lang w:val="en-US" w:eastAsia="zh-CN" w:bidi="ar-SA"/>
        </w:rPr>
      </w:pPr>
      <w:r>
        <w:rPr>
          <w:rFonts w:hint="eastAsia" w:ascii="宋体" w:hAnsi="宋体" w:cs="宋体"/>
          <w:color w:val="auto"/>
          <w:highlight w:val="none"/>
          <w:lang w:eastAsia="zh-CN"/>
        </w:rPr>
        <w:t>本次</w:t>
      </w:r>
      <w:r>
        <w:rPr>
          <w:rFonts w:hint="eastAsia" w:ascii="宋体" w:hAnsi="宋体" w:cs="宋体"/>
          <w:color w:val="auto"/>
          <w:highlight w:val="none"/>
          <w:lang w:val="en-US" w:eastAsia="zh-CN"/>
        </w:rPr>
        <w:t>磋商</w:t>
      </w:r>
      <w:r>
        <w:rPr>
          <w:rFonts w:hint="eastAsia" w:ascii="宋体" w:hAnsi="宋体" w:cs="宋体"/>
          <w:color w:val="auto"/>
          <w:highlight w:val="none"/>
          <w:lang w:eastAsia="zh-CN"/>
        </w:rPr>
        <w:t>公告在</w:t>
      </w:r>
      <w:r>
        <w:rPr>
          <w:rFonts w:hint="eastAsia" w:ascii="宋体" w:hAnsi="宋体" w:eastAsia="Arial" w:cs="宋体"/>
          <w:snapToGrid w:val="0"/>
          <w:color w:val="auto"/>
          <w:sz w:val="21"/>
          <w:szCs w:val="21"/>
          <w:highlight w:val="none"/>
          <w:lang w:val="en-US" w:eastAsia="zh-CN" w:bidi="ar-SA"/>
        </w:rPr>
        <w:t>《河南省政府采购网》、《商丘市公共资源交易平台》上发布。</w:t>
      </w:r>
    </w:p>
    <w:p w14:paraId="1B8A471F">
      <w:pPr>
        <w:pStyle w:val="3"/>
        <w:numPr>
          <w:ilvl w:val="0"/>
          <w:numId w:val="0"/>
        </w:numPr>
        <w:spacing w:line="360" w:lineRule="auto"/>
        <w:outlineLvl w:val="1"/>
        <w:rPr>
          <w:rFonts w:hint="eastAsia" w:ascii="宋体" w:hAnsi="宋体" w:eastAsia="Arial" w:cs="宋体"/>
          <w:snapToGrid w:val="0"/>
          <w:color w:val="auto"/>
          <w:sz w:val="21"/>
          <w:szCs w:val="21"/>
          <w:highlight w:val="none"/>
          <w:lang w:val="en-US" w:eastAsia="zh-CN" w:bidi="ar-SA"/>
        </w:rPr>
      </w:pPr>
      <w:r>
        <w:rPr>
          <w:rFonts w:hint="eastAsia" w:ascii="宋体" w:hAnsi="宋体" w:eastAsia="Arial" w:cs="宋体"/>
          <w:snapToGrid w:val="0"/>
          <w:color w:val="auto"/>
          <w:sz w:val="21"/>
          <w:szCs w:val="21"/>
          <w:highlight w:val="none"/>
          <w:lang w:val="en-US" w:eastAsia="en-US" w:bidi="ar-SA"/>
        </w:rPr>
        <w:t>七、</w:t>
      </w:r>
      <w:r>
        <w:rPr>
          <w:rFonts w:hint="eastAsia" w:ascii="宋体" w:hAnsi="宋体" w:eastAsia="Arial" w:cs="宋体"/>
          <w:snapToGrid w:val="0"/>
          <w:color w:val="auto"/>
          <w:sz w:val="21"/>
          <w:szCs w:val="21"/>
          <w:highlight w:val="none"/>
          <w:lang w:val="en-US" w:eastAsia="zh-CN" w:bidi="ar-SA"/>
        </w:rPr>
        <w:t>其他补充事宜：</w:t>
      </w:r>
    </w:p>
    <w:p w14:paraId="0FF2EB46">
      <w:pPr>
        <w:spacing w:line="360" w:lineRule="auto"/>
        <w:ind w:firstLine="420"/>
        <w:rPr>
          <w:rFonts w:hint="eastAsia" w:ascii="宋体" w:hAnsi="宋体" w:cs="宋体"/>
          <w:color w:val="auto"/>
          <w:highlight w:val="none"/>
          <w:lang w:eastAsia="zh-CN"/>
        </w:rPr>
      </w:pPr>
      <w:r>
        <w:rPr>
          <w:rFonts w:hint="eastAsia" w:ascii="宋体" w:hAnsi="宋体" w:cs="宋体"/>
          <w:color w:val="auto"/>
          <w:highlight w:val="none"/>
          <w:lang w:val="en-US" w:eastAsia="zh-CN"/>
        </w:rPr>
        <w:t>7</w:t>
      </w:r>
      <w:r>
        <w:rPr>
          <w:rFonts w:hint="eastAsia" w:ascii="宋体" w:hAnsi="宋体" w:cs="宋体"/>
          <w:color w:val="auto"/>
          <w:highlight w:val="none"/>
          <w:lang w:eastAsia="zh-CN"/>
        </w:rPr>
        <w:t>.1. 响应文件解密开始时间：2025年</w:t>
      </w:r>
      <w:r>
        <w:rPr>
          <w:rFonts w:hint="eastAsia" w:ascii="宋体" w:hAnsi="宋体" w:cs="宋体"/>
          <w:color w:val="auto"/>
          <w:highlight w:val="none"/>
          <w:lang w:val="en-US" w:eastAsia="zh-CN"/>
        </w:rPr>
        <w:t xml:space="preserve"> 7 </w:t>
      </w:r>
      <w:r>
        <w:rPr>
          <w:rFonts w:hint="eastAsia" w:ascii="宋体" w:hAnsi="宋体" w:cs="宋体"/>
          <w:color w:val="auto"/>
          <w:highlight w:val="none"/>
          <w:lang w:eastAsia="zh-CN"/>
        </w:rPr>
        <w:t>月</w:t>
      </w:r>
      <w:r>
        <w:rPr>
          <w:rFonts w:hint="eastAsia" w:ascii="宋体" w:hAnsi="宋体" w:cs="宋体"/>
          <w:color w:val="auto"/>
          <w:highlight w:val="none"/>
          <w:lang w:val="en-US" w:eastAsia="zh-CN"/>
        </w:rPr>
        <w:t xml:space="preserve">   </w:t>
      </w:r>
      <w:r>
        <w:rPr>
          <w:rFonts w:hint="eastAsia" w:ascii="宋体" w:hAnsi="宋体" w:cs="宋体"/>
          <w:color w:val="auto"/>
          <w:highlight w:val="none"/>
          <w:lang w:eastAsia="zh-CN"/>
        </w:rPr>
        <w:t>日</w:t>
      </w:r>
      <w:r>
        <w:rPr>
          <w:rFonts w:hint="eastAsia" w:ascii="宋体" w:hAnsi="宋体" w:cs="宋体"/>
          <w:color w:val="auto"/>
          <w:highlight w:val="none"/>
          <w:lang w:val="en-US" w:eastAsia="zh-CN"/>
        </w:rPr>
        <w:t xml:space="preserve"> 9 </w:t>
      </w:r>
      <w:r>
        <w:rPr>
          <w:rFonts w:hint="eastAsia" w:ascii="宋体" w:hAnsi="宋体" w:cs="宋体"/>
          <w:color w:val="auto"/>
          <w:highlight w:val="none"/>
          <w:lang w:eastAsia="zh-CN"/>
        </w:rPr>
        <w:t>时</w:t>
      </w:r>
      <w:r>
        <w:rPr>
          <w:rFonts w:hint="eastAsia" w:ascii="宋体" w:hAnsi="宋体" w:cs="宋体"/>
          <w:color w:val="auto"/>
          <w:highlight w:val="none"/>
          <w:lang w:val="en-US" w:eastAsia="zh-CN"/>
        </w:rPr>
        <w:t>00</w:t>
      </w:r>
      <w:r>
        <w:rPr>
          <w:rFonts w:hint="eastAsia" w:ascii="宋体" w:hAnsi="宋体" w:cs="宋体"/>
          <w:color w:val="auto"/>
          <w:highlight w:val="none"/>
          <w:lang w:eastAsia="zh-CN"/>
        </w:rPr>
        <w:t>分；</w:t>
      </w:r>
    </w:p>
    <w:p w14:paraId="74ABD658">
      <w:pPr>
        <w:spacing w:line="360" w:lineRule="auto"/>
        <w:ind w:firstLine="420"/>
        <w:rPr>
          <w:rFonts w:hint="eastAsia" w:ascii="宋体" w:hAnsi="宋体" w:cs="宋体"/>
          <w:color w:val="auto"/>
          <w:highlight w:val="none"/>
          <w:lang w:eastAsia="zh-CN"/>
        </w:rPr>
      </w:pPr>
      <w:r>
        <w:rPr>
          <w:rFonts w:hint="eastAsia" w:ascii="宋体" w:hAnsi="宋体" w:cs="宋体"/>
          <w:color w:val="auto"/>
          <w:highlight w:val="none"/>
          <w:lang w:eastAsia="zh-CN"/>
        </w:rPr>
        <w:t>7.2 .响应文件解密截止时间：2025年</w:t>
      </w:r>
      <w:r>
        <w:rPr>
          <w:rFonts w:hint="eastAsia" w:ascii="宋体" w:hAnsi="宋体" w:cs="宋体"/>
          <w:color w:val="auto"/>
          <w:highlight w:val="none"/>
          <w:lang w:val="en-US" w:eastAsia="zh-CN"/>
        </w:rPr>
        <w:t xml:space="preserve"> 7 </w:t>
      </w:r>
      <w:r>
        <w:rPr>
          <w:rFonts w:hint="eastAsia" w:ascii="宋体" w:hAnsi="宋体" w:cs="宋体"/>
          <w:color w:val="auto"/>
          <w:highlight w:val="none"/>
          <w:lang w:eastAsia="zh-CN"/>
        </w:rPr>
        <w:t>月</w:t>
      </w:r>
      <w:r>
        <w:rPr>
          <w:rFonts w:hint="eastAsia" w:ascii="宋体" w:hAnsi="宋体" w:cs="宋体"/>
          <w:color w:val="auto"/>
          <w:highlight w:val="none"/>
          <w:lang w:val="en-US" w:eastAsia="zh-CN"/>
        </w:rPr>
        <w:t xml:space="preserve">   </w:t>
      </w:r>
      <w:r>
        <w:rPr>
          <w:rFonts w:hint="eastAsia" w:ascii="宋体" w:hAnsi="宋体" w:cs="宋体"/>
          <w:color w:val="auto"/>
          <w:highlight w:val="none"/>
          <w:lang w:eastAsia="zh-CN"/>
        </w:rPr>
        <w:t>日</w:t>
      </w:r>
      <w:r>
        <w:rPr>
          <w:rFonts w:hint="eastAsia" w:ascii="宋体" w:hAnsi="宋体" w:cs="宋体"/>
          <w:color w:val="auto"/>
          <w:highlight w:val="none"/>
          <w:lang w:val="en-US" w:eastAsia="zh-CN"/>
        </w:rPr>
        <w:t xml:space="preserve"> 10 </w:t>
      </w:r>
      <w:r>
        <w:rPr>
          <w:rFonts w:hint="eastAsia" w:ascii="宋体" w:hAnsi="宋体" w:cs="宋体"/>
          <w:color w:val="auto"/>
          <w:highlight w:val="none"/>
          <w:lang w:eastAsia="zh-CN"/>
        </w:rPr>
        <w:t>时</w:t>
      </w:r>
      <w:r>
        <w:rPr>
          <w:rFonts w:hint="eastAsia" w:ascii="宋体" w:hAnsi="宋体" w:cs="宋体"/>
          <w:color w:val="auto"/>
          <w:highlight w:val="none"/>
          <w:lang w:val="en-US" w:eastAsia="zh-CN"/>
        </w:rPr>
        <w:t>00</w:t>
      </w:r>
      <w:r>
        <w:rPr>
          <w:rFonts w:hint="eastAsia" w:ascii="宋体" w:hAnsi="宋体" w:cs="宋体"/>
          <w:color w:val="auto"/>
          <w:highlight w:val="none"/>
          <w:lang w:eastAsia="zh-CN"/>
        </w:rPr>
        <w:t>分。</w:t>
      </w:r>
    </w:p>
    <w:p w14:paraId="21BFE12F">
      <w:pPr>
        <w:spacing w:line="360" w:lineRule="auto"/>
        <w:ind w:firstLine="420"/>
        <w:rPr>
          <w:rFonts w:hint="eastAsia" w:ascii="宋体" w:hAnsi="宋体" w:cs="宋体"/>
          <w:color w:val="auto"/>
          <w:highlight w:val="none"/>
          <w:lang w:eastAsia="zh-CN"/>
        </w:rPr>
      </w:pPr>
      <w:r>
        <w:rPr>
          <w:rFonts w:hint="eastAsia" w:ascii="宋体" w:hAnsi="宋体" w:cs="宋体"/>
          <w:color w:val="auto"/>
          <w:highlight w:val="none"/>
          <w:lang w:eastAsia="zh-CN"/>
        </w:rPr>
        <w:t>注：在规定的时间内未完成解密的响应文件视为无效。</w:t>
      </w:r>
    </w:p>
    <w:p w14:paraId="6ABEFFCF">
      <w:pPr>
        <w:spacing w:line="360" w:lineRule="auto"/>
        <w:ind w:firstLine="420"/>
        <w:rPr>
          <w:rFonts w:hint="eastAsia" w:ascii="宋体" w:hAnsi="宋体" w:cs="宋体"/>
          <w:color w:val="auto"/>
          <w:highlight w:val="none"/>
          <w:lang w:eastAsia="zh-CN"/>
        </w:rPr>
      </w:pPr>
      <w:r>
        <w:rPr>
          <w:rFonts w:hint="eastAsia" w:ascii="宋体" w:hAnsi="宋体" w:cs="宋体"/>
          <w:color w:val="auto"/>
          <w:highlight w:val="none"/>
          <w:lang w:eastAsia="zh-CN"/>
        </w:rPr>
        <w:t>7.3.电子投标（响应）文件网上递交流程：在投标（响应）文件递交截止时间前，使用CA锁登录后将已固化且加密的电子投标（响应）文件通过网上递交的方式在投标专区自行递交，并确保递交成功(为保证文件正常递交，请响应人错峰上传，详细操作可参阅交易平台办事服务-操作指南-投标阶段) 。</w:t>
      </w:r>
    </w:p>
    <w:p w14:paraId="5C304DDF">
      <w:pPr>
        <w:spacing w:line="360" w:lineRule="auto"/>
        <w:ind w:firstLine="420"/>
        <w:rPr>
          <w:rFonts w:hint="eastAsia" w:ascii="宋体" w:hAnsi="宋体" w:cs="宋体"/>
          <w:color w:val="auto"/>
          <w:highlight w:val="none"/>
          <w:lang w:eastAsia="zh-CN"/>
        </w:rPr>
      </w:pPr>
      <w:r>
        <w:rPr>
          <w:rFonts w:hint="eastAsia" w:ascii="宋体" w:hAnsi="宋体" w:cs="宋体"/>
          <w:color w:val="auto"/>
          <w:highlight w:val="none"/>
          <w:lang w:eastAsia="zh-CN"/>
        </w:rPr>
        <w:t>7.4.本项目实行不见面开评标，响应人不需再到达现场(需要现场演示或样品展示的除外)，请响应人通过互联网登录交易平台自助完成投标签到、响应性文件解密、二次报价及澄清答疑等操作，具体流程详见交易中心系统2019年12月31日发布的《关于实行全过程不见面交易的公告》附件“商丘市公共资源交易平台操作指南 2019-12-31版本”。</w:t>
      </w:r>
    </w:p>
    <w:p w14:paraId="3339DF47">
      <w:pPr>
        <w:spacing w:line="360" w:lineRule="auto"/>
        <w:ind w:firstLine="420"/>
        <w:rPr>
          <w:rFonts w:hint="eastAsia" w:ascii="宋体" w:hAnsi="宋体" w:cs="宋体"/>
          <w:color w:val="auto"/>
          <w:highlight w:val="none"/>
          <w:lang w:eastAsia="zh-CN"/>
        </w:rPr>
      </w:pPr>
      <w:r>
        <w:rPr>
          <w:rFonts w:hint="eastAsia" w:ascii="宋体" w:hAnsi="宋体" w:cs="宋体"/>
          <w:color w:val="auto"/>
          <w:highlight w:val="none"/>
          <w:lang w:eastAsia="zh-CN"/>
        </w:rPr>
        <w:t>7.5.各潜在投标人对本项目有异议的，应当在法定期限内以书面形式由法定代表人或授权委托代表签字并加公章向招标人或招标代理机构提出，线上异议操作流程请参考2021年6月16日发布的通知公告《关于开通项目在线质疑/异议或投诉处理功能的通知》。</w:t>
      </w:r>
    </w:p>
    <w:p w14:paraId="3F646E8C">
      <w:pPr>
        <w:spacing w:line="360" w:lineRule="auto"/>
        <w:ind w:firstLine="420"/>
        <w:rPr>
          <w:rFonts w:hint="eastAsia" w:ascii="宋体" w:hAnsi="宋体" w:cs="宋体"/>
          <w:color w:val="auto"/>
          <w:highlight w:val="none"/>
          <w:lang w:eastAsia="zh-CN"/>
        </w:rPr>
      </w:pPr>
      <w:r>
        <w:rPr>
          <w:rFonts w:hint="eastAsia" w:ascii="宋体" w:hAnsi="宋体" w:cs="宋体"/>
          <w:color w:val="auto"/>
          <w:highlight w:val="none"/>
          <w:lang w:eastAsia="zh-CN"/>
        </w:rPr>
        <w:t>本项目实行电子评标，全程取消纸质文件，电子响应文件逾期上传或没有上传的，采购人将拒绝接收。</w:t>
      </w:r>
    </w:p>
    <w:p w14:paraId="1D09BA49">
      <w:pPr>
        <w:spacing w:line="360" w:lineRule="auto"/>
        <w:outlineLvl w:val="1"/>
        <w:rPr>
          <w:rFonts w:ascii="宋体" w:hAnsi="宋体" w:cs="宋体"/>
          <w:b/>
          <w:bCs/>
          <w:color w:val="auto"/>
          <w:highlight w:val="none"/>
          <w:lang w:eastAsia="zh-CN"/>
        </w:rPr>
      </w:pPr>
      <w:r>
        <w:rPr>
          <w:rFonts w:hint="eastAsia" w:ascii="宋体" w:hAnsi="宋体" w:cs="宋体"/>
          <w:b/>
          <w:bCs/>
          <w:color w:val="auto"/>
          <w:highlight w:val="none"/>
          <w:lang w:eastAsia="zh-CN"/>
        </w:rPr>
        <w:t>八、凡对本次</w:t>
      </w:r>
      <w:r>
        <w:rPr>
          <w:rFonts w:hint="eastAsia" w:ascii="宋体" w:hAnsi="宋体" w:cs="宋体"/>
          <w:b/>
          <w:bCs/>
          <w:color w:val="auto"/>
          <w:highlight w:val="none"/>
          <w:lang w:val="en-US" w:eastAsia="zh-CN"/>
        </w:rPr>
        <w:t>采购</w:t>
      </w:r>
      <w:r>
        <w:rPr>
          <w:rFonts w:hint="eastAsia" w:ascii="宋体" w:hAnsi="宋体" w:cs="宋体"/>
          <w:b/>
          <w:bCs/>
          <w:color w:val="auto"/>
          <w:highlight w:val="none"/>
          <w:lang w:eastAsia="zh-CN"/>
        </w:rPr>
        <w:t>提出询问，请按照以下方式联系：</w:t>
      </w:r>
    </w:p>
    <w:p w14:paraId="1921A2AB">
      <w:pPr>
        <w:spacing w:line="360" w:lineRule="auto"/>
        <w:ind w:firstLine="420"/>
        <w:rPr>
          <w:rFonts w:hint="eastAsia" w:ascii="宋体" w:hAnsi="宋体" w:cs="宋体"/>
          <w:color w:val="auto"/>
          <w:highlight w:val="none"/>
          <w:lang w:eastAsia="zh-CN"/>
        </w:rPr>
      </w:pPr>
      <w:r>
        <w:rPr>
          <w:rFonts w:hint="eastAsia" w:ascii="宋体" w:hAnsi="宋体" w:cs="宋体"/>
          <w:color w:val="auto"/>
          <w:highlight w:val="none"/>
          <w:lang w:eastAsia="zh-CN"/>
        </w:rPr>
        <w:t>1.采购人信息</w:t>
      </w:r>
    </w:p>
    <w:p w14:paraId="514B2B7C">
      <w:pPr>
        <w:pStyle w:val="34"/>
        <w:overflowPunct w:val="0"/>
        <w:spacing w:line="360" w:lineRule="auto"/>
        <w:ind w:left="0" w:firstLine="420" w:firstLineChars="200"/>
        <w:rPr>
          <w:rFonts w:hint="eastAsia" w:ascii="宋体" w:hAnsi="宋体" w:eastAsia="宋体" w:cs="宋体"/>
          <w:sz w:val="22"/>
          <w:szCs w:val="22"/>
          <w:highlight w:val="none"/>
          <w:lang w:eastAsia="zh-CN"/>
        </w:rPr>
      </w:pPr>
      <w:bookmarkStart w:id="13" w:name="_Toc28359086"/>
      <w:bookmarkStart w:id="14" w:name="_Toc28359009"/>
      <w:r>
        <w:rPr>
          <w:rFonts w:hint="eastAsia" w:ascii="宋体" w:hAnsi="宋体" w:cs="宋体"/>
          <w:color w:val="auto"/>
          <w:highlight w:val="none"/>
          <w:lang w:eastAsia="zh-CN"/>
        </w:rPr>
        <w:t>名    称：</w:t>
      </w:r>
      <w:r>
        <w:rPr>
          <w:rFonts w:hint="eastAsia" w:ascii="宋体" w:hAnsi="宋体" w:eastAsia="宋体" w:cs="宋体"/>
          <w:sz w:val="22"/>
          <w:szCs w:val="22"/>
          <w:highlight w:val="none"/>
          <w:lang w:eastAsia="zh-CN"/>
        </w:rPr>
        <w:t>永城市中心医院</w:t>
      </w:r>
    </w:p>
    <w:p w14:paraId="22B88409">
      <w:pPr>
        <w:pStyle w:val="34"/>
        <w:overflowPunct w:val="0"/>
        <w:spacing w:line="360" w:lineRule="auto"/>
        <w:ind w:left="0" w:firstLine="420" w:firstLineChars="200"/>
        <w:rPr>
          <w:rFonts w:hint="eastAsia" w:ascii="宋体" w:hAnsi="宋体" w:cs="宋体"/>
          <w:color w:val="auto"/>
          <w:highlight w:val="none"/>
          <w:lang w:eastAsia="zh-CN"/>
        </w:rPr>
      </w:pPr>
      <w:r>
        <w:rPr>
          <w:rFonts w:hint="eastAsia" w:ascii="宋体" w:hAnsi="宋体" w:cs="宋体"/>
          <w:color w:val="auto"/>
          <w:highlight w:val="none"/>
          <w:lang w:eastAsia="zh-CN"/>
        </w:rPr>
        <w:t>地    址：</w:t>
      </w:r>
      <w:r>
        <w:rPr>
          <w:rFonts w:hint="eastAsia" w:ascii="宋体" w:hAnsi="宋体" w:eastAsia="宋体" w:cs="宋体"/>
          <w:sz w:val="22"/>
          <w:szCs w:val="22"/>
          <w:highlight w:val="none"/>
          <w:lang w:val="en-US" w:eastAsia="zh-CN"/>
        </w:rPr>
        <w:t>河南省永城市东城区中原路中段</w:t>
      </w:r>
    </w:p>
    <w:p w14:paraId="71B1449A">
      <w:pPr>
        <w:pStyle w:val="34"/>
        <w:overflowPunct w:val="0"/>
        <w:spacing w:line="360" w:lineRule="auto"/>
        <w:ind w:left="0" w:firstLine="420" w:firstLineChars="200"/>
        <w:rPr>
          <w:rFonts w:hint="default" w:ascii="宋体" w:hAnsi="宋体" w:eastAsia="宋体" w:cs="宋体"/>
          <w:sz w:val="22"/>
          <w:szCs w:val="22"/>
          <w:highlight w:val="none"/>
          <w:lang w:val="en-US" w:eastAsia="zh-CN"/>
        </w:rPr>
      </w:pPr>
      <w:r>
        <w:rPr>
          <w:rFonts w:hint="eastAsia" w:ascii="宋体" w:hAnsi="宋体" w:cs="宋体"/>
          <w:color w:val="auto"/>
          <w:highlight w:val="none"/>
          <w:lang w:eastAsia="zh-CN"/>
        </w:rPr>
        <w:t>联系人：</w:t>
      </w:r>
      <w:r>
        <w:rPr>
          <w:rFonts w:hint="eastAsia" w:ascii="宋体" w:hAnsi="宋体" w:eastAsia="宋体" w:cs="宋体"/>
          <w:sz w:val="22"/>
          <w:szCs w:val="22"/>
          <w:highlight w:val="none"/>
          <w:lang w:val="en-US" w:eastAsia="zh-CN"/>
        </w:rPr>
        <w:t>陈先生</w:t>
      </w:r>
    </w:p>
    <w:p w14:paraId="6B5F03A5">
      <w:pPr>
        <w:pStyle w:val="34"/>
        <w:overflowPunct w:val="0"/>
        <w:spacing w:line="360" w:lineRule="auto"/>
        <w:ind w:left="0" w:firstLine="420" w:firstLineChars="200"/>
        <w:rPr>
          <w:rFonts w:hint="default" w:ascii="宋体" w:hAnsi="宋体" w:eastAsia="宋体" w:cs="宋体"/>
          <w:sz w:val="22"/>
          <w:szCs w:val="22"/>
          <w:highlight w:val="none"/>
          <w:lang w:val="en-US" w:eastAsia="zh-CN"/>
        </w:rPr>
      </w:pPr>
      <w:r>
        <w:rPr>
          <w:rFonts w:hint="eastAsia" w:ascii="宋体" w:hAnsi="宋体" w:cs="宋体"/>
          <w:color w:val="auto"/>
          <w:highlight w:val="none"/>
          <w:lang w:eastAsia="zh-CN"/>
        </w:rPr>
        <w:t>联系方式：</w:t>
      </w:r>
      <w:r>
        <w:rPr>
          <w:rFonts w:hint="default" w:ascii="宋体" w:hAnsi="宋体" w:eastAsia="宋体" w:cs="宋体"/>
          <w:sz w:val="22"/>
          <w:szCs w:val="22"/>
          <w:highlight w:val="none"/>
          <w:lang w:val="en-US" w:eastAsia="zh-CN"/>
        </w:rPr>
        <w:t>18137091912</w:t>
      </w:r>
    </w:p>
    <w:p w14:paraId="22ABCAE8">
      <w:pPr>
        <w:spacing w:line="360" w:lineRule="auto"/>
        <w:ind w:firstLine="420"/>
        <w:rPr>
          <w:rFonts w:hint="eastAsia" w:ascii="宋体" w:hAnsi="宋体" w:cs="宋体"/>
          <w:color w:val="auto"/>
          <w:highlight w:val="none"/>
          <w:lang w:eastAsia="zh-CN"/>
        </w:rPr>
      </w:pPr>
      <w:r>
        <w:rPr>
          <w:rFonts w:hint="eastAsia" w:ascii="宋体" w:hAnsi="宋体" w:cs="宋体"/>
          <w:color w:val="auto"/>
          <w:highlight w:val="none"/>
          <w:lang w:eastAsia="zh-CN"/>
        </w:rPr>
        <w:t>2.采购代理机构信息</w:t>
      </w:r>
      <w:bookmarkEnd w:id="13"/>
      <w:bookmarkEnd w:id="14"/>
    </w:p>
    <w:p w14:paraId="14FF3D05">
      <w:pPr>
        <w:spacing w:line="360" w:lineRule="auto"/>
        <w:ind w:firstLine="420"/>
        <w:rPr>
          <w:rFonts w:hint="eastAsia" w:ascii="宋体" w:hAnsi="宋体" w:cs="宋体"/>
          <w:color w:val="auto"/>
          <w:highlight w:val="none"/>
          <w:lang w:eastAsia="zh-CN"/>
        </w:rPr>
      </w:pPr>
      <w:bookmarkStart w:id="15" w:name="_Toc28359087"/>
      <w:bookmarkStart w:id="16" w:name="_Toc28359010"/>
      <w:bookmarkStart w:id="17" w:name="_Toc20855"/>
      <w:r>
        <w:rPr>
          <w:rFonts w:hint="eastAsia" w:ascii="宋体" w:hAnsi="宋体" w:cs="宋体"/>
          <w:color w:val="auto"/>
          <w:highlight w:val="none"/>
          <w:lang w:eastAsia="zh-CN"/>
        </w:rPr>
        <w:t>名    称：永城市公共资源交易中心</w:t>
      </w:r>
    </w:p>
    <w:p w14:paraId="0DCF87A6">
      <w:pPr>
        <w:spacing w:line="360" w:lineRule="auto"/>
        <w:ind w:firstLine="420"/>
        <w:rPr>
          <w:rFonts w:hint="eastAsia" w:ascii="宋体" w:hAnsi="宋体" w:cs="宋体"/>
          <w:color w:val="auto"/>
          <w:highlight w:val="none"/>
          <w:lang w:eastAsia="zh-CN"/>
        </w:rPr>
      </w:pPr>
      <w:r>
        <w:rPr>
          <w:rFonts w:hint="eastAsia" w:ascii="宋体" w:hAnsi="宋体" w:cs="宋体"/>
          <w:color w:val="auto"/>
          <w:highlight w:val="none"/>
          <w:lang w:eastAsia="zh-CN"/>
        </w:rPr>
        <w:t>地    址：永城市产业集聚区浍河路28号</w:t>
      </w:r>
    </w:p>
    <w:p w14:paraId="6F224F47">
      <w:pPr>
        <w:spacing w:line="360" w:lineRule="auto"/>
        <w:ind w:firstLine="420"/>
        <w:rPr>
          <w:rFonts w:hint="default" w:ascii="宋体" w:hAnsi="宋体" w:cs="宋体"/>
          <w:color w:val="auto"/>
          <w:highlight w:val="none"/>
          <w:lang w:val="en-US" w:eastAsia="zh-CN"/>
        </w:rPr>
      </w:pPr>
      <w:r>
        <w:rPr>
          <w:rFonts w:hint="eastAsia" w:ascii="宋体" w:hAnsi="宋体" w:cs="宋体"/>
          <w:color w:val="auto"/>
          <w:highlight w:val="none"/>
          <w:lang w:eastAsia="zh-CN"/>
        </w:rPr>
        <w:t>联系人：</w:t>
      </w:r>
      <w:r>
        <w:rPr>
          <w:rFonts w:hint="eastAsia" w:ascii="宋体" w:hAnsi="宋体" w:cs="宋体"/>
          <w:color w:val="auto"/>
          <w:highlight w:val="none"/>
          <w:lang w:val="en-US" w:eastAsia="zh-CN"/>
        </w:rPr>
        <w:t>刘女士  王女士</w:t>
      </w:r>
    </w:p>
    <w:p w14:paraId="78228B65">
      <w:pPr>
        <w:spacing w:line="360" w:lineRule="auto"/>
        <w:ind w:firstLine="420"/>
        <w:rPr>
          <w:rFonts w:hint="eastAsia" w:ascii="宋体" w:hAnsi="宋体" w:cs="宋体"/>
          <w:color w:val="auto"/>
          <w:highlight w:val="none"/>
          <w:lang w:eastAsia="zh-CN"/>
        </w:rPr>
      </w:pPr>
      <w:r>
        <w:rPr>
          <w:rFonts w:hint="eastAsia" w:ascii="宋体" w:hAnsi="宋体" w:cs="宋体"/>
          <w:color w:val="auto"/>
          <w:highlight w:val="none"/>
          <w:lang w:eastAsia="zh-CN"/>
        </w:rPr>
        <w:t>联系方式：0370-5019910</w:t>
      </w:r>
    </w:p>
    <w:p w14:paraId="0656181D">
      <w:pPr>
        <w:spacing w:line="360" w:lineRule="auto"/>
        <w:ind w:firstLine="420"/>
        <w:rPr>
          <w:rFonts w:hint="eastAsia" w:ascii="宋体" w:hAnsi="宋体" w:cs="宋体"/>
          <w:color w:val="auto"/>
          <w:highlight w:val="none"/>
          <w:lang w:eastAsia="zh-CN"/>
        </w:rPr>
      </w:pPr>
      <w:r>
        <w:rPr>
          <w:rFonts w:hint="eastAsia" w:ascii="宋体" w:hAnsi="宋体" w:cs="宋体"/>
          <w:color w:val="auto"/>
          <w:highlight w:val="none"/>
          <w:lang w:val="en-US" w:eastAsia="zh-CN"/>
        </w:rPr>
        <w:t>3.</w:t>
      </w:r>
      <w:r>
        <w:rPr>
          <w:rFonts w:hint="eastAsia" w:ascii="宋体" w:hAnsi="宋体" w:cs="宋体"/>
          <w:color w:val="auto"/>
          <w:highlight w:val="none"/>
          <w:lang w:eastAsia="zh-CN"/>
        </w:rPr>
        <w:t>项目联系方式</w:t>
      </w:r>
    </w:p>
    <w:p w14:paraId="4045B4FE">
      <w:pPr>
        <w:spacing w:line="360" w:lineRule="auto"/>
        <w:ind w:firstLine="420"/>
        <w:rPr>
          <w:rFonts w:hint="eastAsia" w:ascii="宋体" w:hAnsi="宋体" w:eastAsia="宋体" w:cs="宋体"/>
          <w:sz w:val="22"/>
          <w:szCs w:val="22"/>
          <w:highlight w:val="none"/>
          <w:lang w:val="en-US" w:eastAsia="zh-CN"/>
        </w:rPr>
      </w:pPr>
      <w:r>
        <w:rPr>
          <w:rFonts w:hint="eastAsia" w:ascii="宋体" w:hAnsi="宋体" w:cs="宋体"/>
          <w:color w:val="auto"/>
          <w:highlight w:val="none"/>
          <w:lang w:eastAsia="zh-CN"/>
        </w:rPr>
        <w:t>联系人：</w:t>
      </w:r>
      <w:r>
        <w:rPr>
          <w:rFonts w:hint="eastAsia" w:ascii="宋体" w:hAnsi="宋体" w:eastAsia="宋体" w:cs="宋体"/>
          <w:sz w:val="22"/>
          <w:szCs w:val="22"/>
          <w:highlight w:val="none"/>
          <w:lang w:val="en-US" w:eastAsia="zh-CN"/>
        </w:rPr>
        <w:t>陈先生</w:t>
      </w:r>
    </w:p>
    <w:p w14:paraId="0132B49A">
      <w:pPr>
        <w:pStyle w:val="34"/>
        <w:overflowPunct w:val="0"/>
        <w:spacing w:line="360" w:lineRule="auto"/>
        <w:ind w:left="0" w:firstLine="420" w:firstLineChars="200"/>
        <w:rPr>
          <w:rFonts w:hint="default" w:ascii="宋体" w:hAnsi="宋体" w:eastAsia="宋体" w:cs="宋体"/>
          <w:sz w:val="22"/>
          <w:szCs w:val="22"/>
          <w:highlight w:val="none"/>
          <w:lang w:val="en-US" w:eastAsia="zh-CN"/>
        </w:rPr>
      </w:pPr>
      <w:r>
        <w:rPr>
          <w:rFonts w:hint="eastAsia" w:ascii="宋体" w:hAnsi="宋体" w:cs="宋体"/>
          <w:color w:val="auto"/>
          <w:highlight w:val="none"/>
          <w:lang w:eastAsia="zh-CN"/>
        </w:rPr>
        <w:t>联系方式：</w:t>
      </w:r>
      <w:r>
        <w:rPr>
          <w:rFonts w:hint="default" w:ascii="宋体" w:hAnsi="宋体" w:eastAsia="宋体" w:cs="宋体"/>
          <w:sz w:val="22"/>
          <w:szCs w:val="22"/>
          <w:highlight w:val="none"/>
          <w:lang w:val="en-US" w:eastAsia="zh-CN"/>
        </w:rPr>
        <w:t>18137091912</w:t>
      </w:r>
    </w:p>
    <w:p w14:paraId="2A390B4F">
      <w:pPr>
        <w:spacing w:line="360" w:lineRule="auto"/>
        <w:ind w:firstLine="420"/>
        <w:rPr>
          <w:rFonts w:hint="eastAsia" w:ascii="宋体" w:hAnsi="宋体" w:cs="宋体"/>
          <w:color w:val="auto"/>
          <w:highlight w:val="none"/>
          <w:lang w:eastAsia="zh-CN"/>
        </w:rPr>
      </w:pPr>
    </w:p>
    <w:p w14:paraId="057CF586">
      <w:pPr>
        <w:spacing w:line="360" w:lineRule="auto"/>
        <w:ind w:firstLine="630" w:firstLineChars="300"/>
        <w:rPr>
          <w:rFonts w:hint="eastAsia" w:ascii="宋体" w:hAnsi="宋体" w:eastAsia="宋体" w:cs="宋体"/>
          <w:color w:val="auto"/>
          <w:highlight w:val="none"/>
          <w:lang w:eastAsia="zh-CN"/>
        </w:rPr>
      </w:pPr>
    </w:p>
    <w:p w14:paraId="4E1B21EB">
      <w:pPr>
        <w:spacing w:line="360" w:lineRule="auto"/>
        <w:rPr>
          <w:rFonts w:ascii="宋体" w:hAnsi="宋体" w:eastAsia="宋体" w:cs="宋体"/>
          <w:color w:val="auto"/>
          <w:highlight w:val="none"/>
          <w:lang w:eastAsia="zh-CN"/>
        </w:rPr>
      </w:pPr>
    </w:p>
    <w:bookmarkEnd w:id="15"/>
    <w:bookmarkEnd w:id="16"/>
    <w:bookmarkEnd w:id="17"/>
    <w:p w14:paraId="00D848D3">
      <w:pPr>
        <w:spacing w:line="360" w:lineRule="auto"/>
        <w:ind w:firstLine="630" w:firstLineChars="300"/>
        <w:rPr>
          <w:rFonts w:ascii="宋体" w:hAnsi="宋体" w:cs="宋体"/>
          <w:color w:val="auto"/>
          <w:highlight w:val="none"/>
          <w:lang w:eastAsia="zh-CN"/>
        </w:rPr>
      </w:pPr>
    </w:p>
    <w:p w14:paraId="02854E17">
      <w:pPr>
        <w:spacing w:line="360" w:lineRule="auto"/>
        <w:ind w:firstLine="420"/>
        <w:rPr>
          <w:rFonts w:ascii="宋体" w:hAnsi="宋体" w:cs="宋体"/>
          <w:color w:val="auto"/>
          <w:highlight w:val="none"/>
          <w:lang w:eastAsia="zh-CN"/>
        </w:rPr>
      </w:pPr>
    </w:p>
    <w:bookmarkEnd w:id="9"/>
    <w:p w14:paraId="333C125B">
      <w:pPr>
        <w:spacing w:line="360" w:lineRule="auto"/>
        <w:jc w:val="center"/>
        <w:outlineLvl w:val="0"/>
        <w:rPr>
          <w:rFonts w:ascii="宋体" w:hAnsi="宋体" w:cs="宋体"/>
          <w:b/>
          <w:color w:val="auto"/>
          <w:sz w:val="32"/>
          <w:highlight w:val="none"/>
          <w:lang w:eastAsia="zh-CN"/>
        </w:rPr>
      </w:pPr>
      <w:bookmarkStart w:id="18" w:name="_Toc8890"/>
      <w:r>
        <w:rPr>
          <w:rFonts w:hint="eastAsia" w:ascii="宋体" w:hAnsi="宋体" w:cs="宋体"/>
          <w:b/>
          <w:color w:val="auto"/>
          <w:sz w:val="32"/>
          <w:highlight w:val="none"/>
          <w:lang w:val="en-US" w:eastAsia="zh-CN"/>
        </w:rPr>
        <w:t xml:space="preserve">                            </w:t>
      </w:r>
      <w:r>
        <w:rPr>
          <w:rFonts w:hint="eastAsia" w:ascii="宋体" w:hAnsi="宋体" w:cs="宋体"/>
          <w:color w:val="auto"/>
          <w:highlight w:val="none"/>
          <w:lang w:val="en-US" w:eastAsia="zh-CN"/>
        </w:rPr>
        <w:t xml:space="preserve">   2025年   月     日</w:t>
      </w:r>
      <w:r>
        <w:rPr>
          <w:rFonts w:hint="eastAsia" w:ascii="宋体" w:hAnsi="宋体" w:cs="宋体"/>
          <w:color w:val="auto"/>
          <w:highlight w:val="none"/>
          <w:lang w:eastAsia="zh-CN"/>
        </w:rPr>
        <w:br w:type="page"/>
      </w:r>
      <w:bookmarkStart w:id="19" w:name="_Toc3083"/>
      <w:bookmarkStart w:id="20" w:name="_Toc21913"/>
      <w:r>
        <w:rPr>
          <w:rStyle w:val="29"/>
          <w:rFonts w:hint="eastAsia"/>
          <w:color w:val="auto"/>
          <w:highlight w:val="none"/>
          <w:lang w:eastAsia="zh-CN"/>
        </w:rPr>
        <w:t>第二章</w:t>
      </w:r>
      <w:r>
        <w:rPr>
          <w:rStyle w:val="29"/>
          <w:rFonts w:hint="eastAsia"/>
          <w:color w:val="auto"/>
          <w:highlight w:val="none"/>
          <w:lang w:val="en-US" w:eastAsia="zh-CN"/>
        </w:rPr>
        <w:t xml:space="preserve"> </w:t>
      </w:r>
      <w:r>
        <w:rPr>
          <w:rStyle w:val="29"/>
          <w:rFonts w:hint="eastAsia"/>
          <w:color w:val="auto"/>
          <w:highlight w:val="none"/>
          <w:lang w:eastAsia="zh-CN"/>
        </w:rPr>
        <w:t xml:space="preserve"> 供应商须知</w:t>
      </w:r>
      <w:bookmarkEnd w:id="10"/>
      <w:bookmarkEnd w:id="11"/>
      <w:bookmarkEnd w:id="12"/>
      <w:bookmarkEnd w:id="18"/>
      <w:bookmarkEnd w:id="19"/>
      <w:bookmarkEnd w:id="20"/>
    </w:p>
    <w:p w14:paraId="10350FC4">
      <w:pPr>
        <w:pStyle w:val="33"/>
        <w:ind w:firstLine="3082" w:firstLineChars="1100"/>
        <w:outlineLvl w:val="9"/>
        <w:rPr>
          <w:rFonts w:ascii="宋体" w:hAnsi="宋体"/>
          <w:b/>
          <w:bCs/>
          <w:color w:val="auto"/>
          <w:highlight w:val="none"/>
        </w:rPr>
      </w:pPr>
      <w:bookmarkStart w:id="21" w:name="_Toc152042304"/>
      <w:bookmarkStart w:id="22" w:name="_Toc471"/>
      <w:bookmarkStart w:id="23" w:name="_Toc27072"/>
      <w:bookmarkStart w:id="24" w:name="_Toc466298090"/>
      <w:bookmarkStart w:id="25" w:name="_Toc144974496"/>
      <w:bookmarkStart w:id="26" w:name="_Toc29693"/>
      <w:bookmarkStart w:id="27" w:name="_Toc28416"/>
      <w:bookmarkStart w:id="28" w:name="_Toc455080107"/>
      <w:bookmarkStart w:id="29" w:name="_Toc152045528"/>
      <w:r>
        <w:rPr>
          <w:rFonts w:hint="eastAsia" w:ascii="宋体" w:hAnsi="宋体"/>
          <w:b/>
          <w:bCs/>
          <w:color w:val="auto"/>
          <w:highlight w:val="none"/>
        </w:rPr>
        <w:t>供应商须知前附表</w:t>
      </w:r>
      <w:bookmarkEnd w:id="21"/>
      <w:bookmarkEnd w:id="22"/>
      <w:bookmarkEnd w:id="23"/>
      <w:bookmarkEnd w:id="24"/>
      <w:bookmarkEnd w:id="25"/>
      <w:bookmarkEnd w:id="26"/>
      <w:bookmarkEnd w:id="27"/>
      <w:bookmarkEnd w:id="28"/>
      <w:bookmarkEnd w:id="29"/>
    </w:p>
    <w:tbl>
      <w:tblPr>
        <w:tblStyle w:val="25"/>
        <w:tblW w:w="8870" w:type="dxa"/>
        <w:jc w:val="center"/>
        <w:tblLayout w:type="fixed"/>
        <w:tblCellMar>
          <w:top w:w="0" w:type="dxa"/>
          <w:left w:w="108" w:type="dxa"/>
          <w:bottom w:w="0" w:type="dxa"/>
          <w:right w:w="108" w:type="dxa"/>
        </w:tblCellMar>
      </w:tblPr>
      <w:tblGrid>
        <w:gridCol w:w="1085"/>
        <w:gridCol w:w="2255"/>
        <w:gridCol w:w="5530"/>
      </w:tblGrid>
      <w:tr w14:paraId="47798E00">
        <w:tblPrEx>
          <w:tblCellMar>
            <w:top w:w="0" w:type="dxa"/>
            <w:left w:w="108" w:type="dxa"/>
            <w:bottom w:w="0" w:type="dxa"/>
            <w:right w:w="108" w:type="dxa"/>
          </w:tblCellMar>
        </w:tblPrEx>
        <w:trPr>
          <w:trHeight w:val="397"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14:paraId="36ABF315">
            <w:pPr>
              <w:kinsoku/>
              <w:spacing w:line="400" w:lineRule="exact"/>
              <w:jc w:val="center"/>
              <w:rPr>
                <w:rFonts w:ascii="宋体" w:hAnsi="宋体" w:cs="宋体"/>
                <w:color w:val="auto"/>
                <w:highlight w:val="none"/>
              </w:rPr>
            </w:pPr>
            <w:r>
              <w:rPr>
                <w:rFonts w:hint="eastAsia" w:ascii="宋体" w:hAnsi="宋体" w:cs="宋体"/>
                <w:color w:val="auto"/>
                <w:highlight w:val="none"/>
              </w:rPr>
              <w:t>条款号</w:t>
            </w:r>
          </w:p>
        </w:tc>
        <w:tc>
          <w:tcPr>
            <w:tcW w:w="2255" w:type="dxa"/>
            <w:tcBorders>
              <w:top w:val="single" w:color="auto" w:sz="4" w:space="0"/>
              <w:left w:val="single" w:color="auto" w:sz="4" w:space="0"/>
              <w:bottom w:val="single" w:color="auto" w:sz="4" w:space="0"/>
              <w:right w:val="single" w:color="auto" w:sz="4" w:space="0"/>
            </w:tcBorders>
            <w:vAlign w:val="center"/>
          </w:tcPr>
          <w:p w14:paraId="0940C350">
            <w:pPr>
              <w:kinsoku/>
              <w:spacing w:line="400" w:lineRule="exact"/>
              <w:jc w:val="center"/>
              <w:rPr>
                <w:rFonts w:ascii="宋体" w:hAnsi="宋体" w:cs="宋体"/>
                <w:color w:val="auto"/>
                <w:highlight w:val="none"/>
              </w:rPr>
            </w:pPr>
            <w:r>
              <w:rPr>
                <w:rFonts w:hint="eastAsia" w:ascii="宋体" w:hAnsi="宋体" w:cs="宋体"/>
                <w:color w:val="auto"/>
                <w:highlight w:val="none"/>
              </w:rPr>
              <w:t>条款名称</w:t>
            </w:r>
          </w:p>
        </w:tc>
        <w:tc>
          <w:tcPr>
            <w:tcW w:w="5530" w:type="dxa"/>
            <w:tcBorders>
              <w:top w:val="single" w:color="auto" w:sz="4" w:space="0"/>
              <w:left w:val="single" w:color="auto" w:sz="4" w:space="0"/>
              <w:bottom w:val="single" w:color="auto" w:sz="4" w:space="0"/>
              <w:right w:val="single" w:color="auto" w:sz="4" w:space="0"/>
            </w:tcBorders>
            <w:vAlign w:val="center"/>
          </w:tcPr>
          <w:p w14:paraId="54ABB218">
            <w:pPr>
              <w:kinsoku/>
              <w:spacing w:line="400" w:lineRule="exact"/>
              <w:jc w:val="center"/>
              <w:rPr>
                <w:rFonts w:ascii="宋体" w:hAnsi="宋体" w:cs="宋体"/>
                <w:color w:val="auto"/>
                <w:highlight w:val="none"/>
              </w:rPr>
            </w:pPr>
            <w:r>
              <w:rPr>
                <w:rFonts w:hint="eastAsia" w:ascii="宋体" w:hAnsi="宋体" w:cs="宋体"/>
                <w:color w:val="auto"/>
                <w:highlight w:val="none"/>
              </w:rPr>
              <w:t>编列内容</w:t>
            </w:r>
          </w:p>
        </w:tc>
      </w:tr>
      <w:tr w14:paraId="566B32BD">
        <w:tblPrEx>
          <w:tblCellMar>
            <w:top w:w="0" w:type="dxa"/>
            <w:left w:w="108" w:type="dxa"/>
            <w:bottom w:w="0" w:type="dxa"/>
            <w:right w:w="108" w:type="dxa"/>
          </w:tblCellMar>
        </w:tblPrEx>
        <w:trPr>
          <w:trHeight w:val="1754"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14:paraId="0C6A0A06">
            <w:pPr>
              <w:kinsoku/>
              <w:spacing w:line="400" w:lineRule="exact"/>
              <w:jc w:val="center"/>
              <w:rPr>
                <w:rFonts w:ascii="宋体" w:hAnsi="宋体" w:cs="宋体"/>
                <w:color w:val="auto"/>
                <w:highlight w:val="none"/>
              </w:rPr>
            </w:pPr>
            <w:r>
              <w:rPr>
                <w:rFonts w:hint="eastAsia" w:ascii="宋体" w:hAnsi="宋体" w:cs="宋体"/>
                <w:color w:val="auto"/>
                <w:highlight w:val="none"/>
              </w:rPr>
              <w:t>1.2.1</w:t>
            </w:r>
          </w:p>
        </w:tc>
        <w:tc>
          <w:tcPr>
            <w:tcW w:w="2255" w:type="dxa"/>
            <w:tcBorders>
              <w:top w:val="single" w:color="auto" w:sz="4" w:space="0"/>
              <w:left w:val="single" w:color="auto" w:sz="4" w:space="0"/>
              <w:bottom w:val="single" w:color="auto" w:sz="4" w:space="0"/>
              <w:right w:val="single" w:color="auto" w:sz="4" w:space="0"/>
            </w:tcBorders>
            <w:vAlign w:val="center"/>
          </w:tcPr>
          <w:p w14:paraId="355BB07C">
            <w:pPr>
              <w:kinsoku/>
              <w:spacing w:line="400" w:lineRule="exact"/>
              <w:jc w:val="center"/>
              <w:rPr>
                <w:rFonts w:ascii="宋体" w:hAnsi="宋体" w:cs="宋体"/>
                <w:color w:val="auto"/>
                <w:highlight w:val="none"/>
              </w:rPr>
            </w:pPr>
            <w:r>
              <w:rPr>
                <w:rFonts w:hint="eastAsia" w:ascii="宋体" w:hAnsi="宋体" w:cs="宋体"/>
                <w:color w:val="auto"/>
                <w:highlight w:val="none"/>
              </w:rPr>
              <w:t>采购人</w:t>
            </w:r>
          </w:p>
        </w:tc>
        <w:tc>
          <w:tcPr>
            <w:tcW w:w="5530" w:type="dxa"/>
            <w:tcBorders>
              <w:top w:val="single" w:color="auto" w:sz="4" w:space="0"/>
              <w:left w:val="single" w:color="auto" w:sz="4" w:space="0"/>
              <w:bottom w:val="single" w:color="auto" w:sz="4" w:space="0"/>
              <w:right w:val="single" w:color="auto" w:sz="4" w:space="0"/>
            </w:tcBorders>
            <w:vAlign w:val="center"/>
          </w:tcPr>
          <w:p w14:paraId="0D653BCE">
            <w:pPr>
              <w:pStyle w:val="34"/>
              <w:overflowPunct w:val="0"/>
              <w:spacing w:line="360" w:lineRule="auto"/>
              <w:ind w:left="0" w:leftChars="0" w:firstLine="0" w:firstLineChars="0"/>
              <w:rPr>
                <w:rFonts w:hint="eastAsia" w:ascii="宋体" w:hAnsi="宋体" w:eastAsia="宋体" w:cs="宋体"/>
                <w:sz w:val="22"/>
                <w:szCs w:val="22"/>
                <w:highlight w:val="none"/>
                <w:lang w:eastAsia="zh-CN"/>
              </w:rPr>
            </w:pPr>
            <w:r>
              <w:rPr>
                <w:rFonts w:hint="eastAsia" w:ascii="宋体" w:hAnsi="宋体" w:cs="宋体"/>
                <w:color w:val="auto"/>
                <w:highlight w:val="none"/>
                <w:lang w:eastAsia="zh-CN"/>
              </w:rPr>
              <w:t>名    称：</w:t>
            </w:r>
            <w:r>
              <w:rPr>
                <w:rFonts w:hint="eastAsia" w:ascii="宋体" w:hAnsi="宋体" w:eastAsia="宋体" w:cs="宋体"/>
                <w:sz w:val="22"/>
                <w:szCs w:val="22"/>
                <w:highlight w:val="none"/>
                <w:lang w:eastAsia="zh-CN"/>
              </w:rPr>
              <w:t>永城市中心医院</w:t>
            </w:r>
          </w:p>
          <w:p w14:paraId="747A3591">
            <w:pPr>
              <w:pStyle w:val="34"/>
              <w:overflowPunct w:val="0"/>
              <w:spacing w:line="360" w:lineRule="auto"/>
              <w:ind w:left="0" w:leftChars="0" w:firstLine="0" w:firstLineChars="0"/>
              <w:rPr>
                <w:rFonts w:hint="eastAsia" w:ascii="宋体" w:hAnsi="宋体" w:eastAsia="宋体" w:cs="宋体"/>
                <w:sz w:val="22"/>
                <w:szCs w:val="22"/>
                <w:highlight w:val="none"/>
                <w:lang w:val="en-US" w:eastAsia="zh-CN"/>
              </w:rPr>
            </w:pPr>
            <w:r>
              <w:rPr>
                <w:rFonts w:hint="eastAsia" w:ascii="宋体" w:hAnsi="宋体" w:cs="宋体"/>
                <w:color w:val="auto"/>
                <w:highlight w:val="none"/>
                <w:lang w:eastAsia="zh-CN"/>
              </w:rPr>
              <w:t>地    址：</w:t>
            </w:r>
            <w:r>
              <w:rPr>
                <w:rFonts w:hint="eastAsia" w:ascii="宋体" w:hAnsi="宋体" w:eastAsia="宋体" w:cs="宋体"/>
                <w:sz w:val="22"/>
                <w:szCs w:val="22"/>
                <w:highlight w:val="none"/>
                <w:lang w:val="en-US" w:eastAsia="zh-CN"/>
              </w:rPr>
              <w:t>河南省永城市东城区中原路中段</w:t>
            </w:r>
          </w:p>
          <w:p w14:paraId="52CD3C6B">
            <w:pPr>
              <w:kinsoku/>
              <w:spacing w:line="400" w:lineRule="exact"/>
              <w:rPr>
                <w:rFonts w:hint="eastAsia" w:ascii="宋体" w:hAnsi="宋体" w:eastAsia="宋体" w:cs="宋体"/>
                <w:sz w:val="22"/>
                <w:szCs w:val="22"/>
                <w:highlight w:val="none"/>
                <w:lang w:val="en-US" w:eastAsia="zh-CN"/>
              </w:rPr>
            </w:pPr>
            <w:r>
              <w:rPr>
                <w:rFonts w:hint="eastAsia" w:ascii="宋体" w:hAnsi="宋体" w:cs="宋体"/>
                <w:color w:val="auto"/>
                <w:highlight w:val="none"/>
                <w:lang w:eastAsia="zh-CN"/>
              </w:rPr>
              <w:t>联系人：</w:t>
            </w:r>
            <w:r>
              <w:rPr>
                <w:rFonts w:hint="eastAsia" w:ascii="宋体" w:hAnsi="宋体" w:eastAsia="宋体" w:cs="宋体"/>
                <w:sz w:val="22"/>
                <w:szCs w:val="22"/>
                <w:highlight w:val="none"/>
                <w:lang w:val="en-US" w:eastAsia="zh-CN"/>
              </w:rPr>
              <w:t>陈先生</w:t>
            </w:r>
          </w:p>
          <w:p w14:paraId="73FB37B4">
            <w:pPr>
              <w:kinsoku/>
              <w:spacing w:line="400" w:lineRule="exact"/>
              <w:rPr>
                <w:rFonts w:hint="default" w:ascii="宋体" w:hAnsi="宋体" w:eastAsia="宋体" w:cs="宋体"/>
                <w:sz w:val="22"/>
                <w:szCs w:val="22"/>
                <w:highlight w:val="none"/>
                <w:lang w:val="en-US" w:eastAsia="zh-CN"/>
              </w:rPr>
            </w:pPr>
            <w:r>
              <w:rPr>
                <w:rFonts w:hint="eastAsia" w:ascii="宋体" w:hAnsi="宋体" w:cs="宋体"/>
                <w:color w:val="auto"/>
                <w:highlight w:val="none"/>
                <w:lang w:eastAsia="zh-CN"/>
              </w:rPr>
              <w:t>联系方式：</w:t>
            </w:r>
            <w:r>
              <w:rPr>
                <w:rFonts w:hint="default" w:ascii="宋体" w:hAnsi="宋体" w:eastAsia="宋体" w:cs="宋体"/>
                <w:sz w:val="22"/>
                <w:szCs w:val="22"/>
                <w:highlight w:val="none"/>
                <w:lang w:val="en-US" w:eastAsia="zh-CN"/>
              </w:rPr>
              <w:t>18137091912</w:t>
            </w:r>
          </w:p>
          <w:p w14:paraId="5E85C7BC">
            <w:pPr>
              <w:kinsoku/>
              <w:spacing w:line="400" w:lineRule="exact"/>
              <w:rPr>
                <w:rFonts w:ascii="宋体" w:hAnsi="宋体" w:cs="宋体" w:eastAsiaTheme="minorEastAsia"/>
                <w:color w:val="auto"/>
                <w:highlight w:val="none"/>
                <w:lang w:eastAsia="zh-CN"/>
              </w:rPr>
            </w:pPr>
          </w:p>
        </w:tc>
      </w:tr>
      <w:tr w14:paraId="2C875D43">
        <w:tblPrEx>
          <w:tblCellMar>
            <w:top w:w="0" w:type="dxa"/>
            <w:left w:w="108" w:type="dxa"/>
            <w:bottom w:w="0" w:type="dxa"/>
            <w:right w:w="108" w:type="dxa"/>
          </w:tblCellMar>
        </w:tblPrEx>
        <w:trPr>
          <w:trHeight w:val="176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14:paraId="184C5682">
            <w:pPr>
              <w:kinsoku/>
              <w:spacing w:line="400" w:lineRule="exact"/>
              <w:jc w:val="center"/>
              <w:rPr>
                <w:rFonts w:ascii="宋体" w:hAnsi="宋体" w:cs="宋体"/>
                <w:color w:val="auto"/>
                <w:highlight w:val="none"/>
              </w:rPr>
            </w:pPr>
            <w:r>
              <w:rPr>
                <w:rFonts w:hint="eastAsia" w:ascii="宋体" w:hAnsi="宋体" w:cs="宋体"/>
                <w:color w:val="auto"/>
                <w:highlight w:val="none"/>
              </w:rPr>
              <w:t>1.2.2</w:t>
            </w:r>
          </w:p>
        </w:tc>
        <w:tc>
          <w:tcPr>
            <w:tcW w:w="2255" w:type="dxa"/>
            <w:tcBorders>
              <w:top w:val="single" w:color="auto" w:sz="4" w:space="0"/>
              <w:left w:val="single" w:color="auto" w:sz="4" w:space="0"/>
              <w:bottom w:val="single" w:color="auto" w:sz="4" w:space="0"/>
              <w:right w:val="single" w:color="auto" w:sz="4" w:space="0"/>
            </w:tcBorders>
            <w:vAlign w:val="center"/>
          </w:tcPr>
          <w:p w14:paraId="626C3A0F">
            <w:pPr>
              <w:kinsoku/>
              <w:spacing w:line="400" w:lineRule="exact"/>
              <w:jc w:val="center"/>
              <w:rPr>
                <w:rFonts w:ascii="宋体" w:hAnsi="宋体" w:cs="宋体"/>
                <w:color w:val="auto"/>
                <w:highlight w:val="none"/>
              </w:rPr>
            </w:pPr>
            <w:r>
              <w:rPr>
                <w:rFonts w:hint="eastAsia" w:ascii="宋体" w:hAnsi="宋体" w:cs="宋体"/>
                <w:color w:val="auto"/>
                <w:highlight w:val="none"/>
              </w:rPr>
              <w:t>采购代理机构</w:t>
            </w:r>
          </w:p>
        </w:tc>
        <w:tc>
          <w:tcPr>
            <w:tcW w:w="5530" w:type="dxa"/>
            <w:tcBorders>
              <w:top w:val="single" w:color="auto" w:sz="4" w:space="0"/>
              <w:left w:val="single" w:color="auto" w:sz="4" w:space="0"/>
              <w:bottom w:val="single" w:color="auto" w:sz="4" w:space="0"/>
              <w:right w:val="single" w:color="auto" w:sz="4" w:space="0"/>
            </w:tcBorders>
            <w:vAlign w:val="center"/>
          </w:tcPr>
          <w:p w14:paraId="1BC82D01">
            <w:pPr>
              <w:kinsoku/>
              <w:spacing w:line="400" w:lineRule="exact"/>
              <w:rPr>
                <w:rFonts w:ascii="宋体" w:hAnsi="宋体" w:cs="宋体"/>
                <w:color w:val="auto"/>
                <w:highlight w:val="none"/>
                <w:lang w:eastAsia="zh-CN"/>
              </w:rPr>
            </w:pPr>
            <w:r>
              <w:rPr>
                <w:rFonts w:hint="eastAsia" w:ascii="宋体" w:hAnsi="宋体" w:cs="宋体"/>
                <w:color w:val="auto"/>
                <w:highlight w:val="none"/>
                <w:lang w:eastAsia="zh-CN"/>
              </w:rPr>
              <w:t>名    称：永城市公共资源交易中心</w:t>
            </w:r>
          </w:p>
          <w:p w14:paraId="6D023ABA">
            <w:pPr>
              <w:kinsoku/>
              <w:spacing w:line="400" w:lineRule="exact"/>
              <w:rPr>
                <w:rFonts w:hint="eastAsia" w:ascii="宋体" w:hAnsi="宋体" w:cs="宋体"/>
                <w:color w:val="auto"/>
                <w:highlight w:val="none"/>
                <w:lang w:eastAsia="zh-CN"/>
              </w:rPr>
            </w:pPr>
            <w:r>
              <w:rPr>
                <w:rFonts w:hint="eastAsia" w:ascii="宋体" w:hAnsi="宋体" w:cs="宋体"/>
                <w:color w:val="auto"/>
                <w:highlight w:val="none"/>
                <w:lang w:eastAsia="zh-CN"/>
              </w:rPr>
              <w:t>地    址：永城市产业集聚区浍河路28号</w:t>
            </w:r>
          </w:p>
          <w:p w14:paraId="74E18569">
            <w:pPr>
              <w:kinsoku/>
              <w:spacing w:line="400" w:lineRule="exact"/>
              <w:rPr>
                <w:rFonts w:hint="default" w:ascii="宋体" w:hAnsi="宋体" w:cs="宋体"/>
                <w:color w:val="auto"/>
                <w:highlight w:val="none"/>
                <w:lang w:val="en-US" w:eastAsia="zh-CN"/>
              </w:rPr>
            </w:pPr>
            <w:r>
              <w:rPr>
                <w:rFonts w:hint="eastAsia" w:ascii="宋体" w:hAnsi="宋体" w:cs="宋体"/>
                <w:color w:val="auto"/>
                <w:highlight w:val="none"/>
                <w:lang w:eastAsia="zh-CN"/>
              </w:rPr>
              <w:t>联系人：</w:t>
            </w:r>
            <w:r>
              <w:rPr>
                <w:rFonts w:hint="eastAsia" w:ascii="宋体" w:hAnsi="宋体" w:cs="宋体"/>
                <w:color w:val="auto"/>
                <w:highlight w:val="none"/>
                <w:lang w:val="en-US" w:eastAsia="zh-CN"/>
              </w:rPr>
              <w:t>刘女士  王女士</w:t>
            </w:r>
          </w:p>
          <w:p w14:paraId="22905441">
            <w:pPr>
              <w:kinsoku/>
              <w:spacing w:line="400" w:lineRule="exact"/>
              <w:rPr>
                <w:rFonts w:ascii="宋体" w:hAnsi="宋体" w:cs="宋体"/>
                <w:color w:val="auto"/>
                <w:highlight w:val="none"/>
              </w:rPr>
            </w:pPr>
            <w:r>
              <w:rPr>
                <w:rFonts w:hint="eastAsia" w:ascii="宋体" w:hAnsi="宋体" w:cs="宋体"/>
                <w:color w:val="auto"/>
                <w:highlight w:val="none"/>
              </w:rPr>
              <w:t>联系方式：0370-5019910</w:t>
            </w:r>
          </w:p>
        </w:tc>
      </w:tr>
      <w:tr w14:paraId="393DFE22">
        <w:tblPrEx>
          <w:tblCellMar>
            <w:top w:w="0" w:type="dxa"/>
            <w:left w:w="108" w:type="dxa"/>
            <w:bottom w:w="0" w:type="dxa"/>
            <w:right w:w="108" w:type="dxa"/>
          </w:tblCellMar>
        </w:tblPrEx>
        <w:trPr>
          <w:trHeight w:val="597"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14:paraId="4C1BD7D3">
            <w:pPr>
              <w:kinsoku/>
              <w:spacing w:line="400" w:lineRule="exact"/>
              <w:jc w:val="center"/>
              <w:rPr>
                <w:rFonts w:ascii="宋体" w:hAnsi="宋体" w:cs="宋体"/>
                <w:color w:val="auto"/>
                <w:highlight w:val="none"/>
              </w:rPr>
            </w:pPr>
            <w:r>
              <w:rPr>
                <w:rFonts w:hint="eastAsia" w:ascii="宋体" w:hAnsi="宋体" w:cs="宋体"/>
                <w:color w:val="auto"/>
                <w:highlight w:val="none"/>
              </w:rPr>
              <w:t>1.2.3</w:t>
            </w:r>
          </w:p>
        </w:tc>
        <w:tc>
          <w:tcPr>
            <w:tcW w:w="2255" w:type="dxa"/>
            <w:tcBorders>
              <w:top w:val="single" w:color="auto" w:sz="4" w:space="0"/>
              <w:left w:val="single" w:color="auto" w:sz="4" w:space="0"/>
              <w:bottom w:val="single" w:color="auto" w:sz="4" w:space="0"/>
              <w:right w:val="single" w:color="auto" w:sz="4" w:space="0"/>
            </w:tcBorders>
            <w:vAlign w:val="center"/>
          </w:tcPr>
          <w:p w14:paraId="0586AB79">
            <w:pPr>
              <w:kinsoku/>
              <w:spacing w:line="400" w:lineRule="exact"/>
              <w:jc w:val="center"/>
              <w:rPr>
                <w:rFonts w:ascii="宋体" w:hAnsi="宋体" w:cs="宋体"/>
                <w:color w:val="auto"/>
                <w:highlight w:val="none"/>
              </w:rPr>
            </w:pPr>
            <w:r>
              <w:rPr>
                <w:rFonts w:hint="eastAsia" w:ascii="宋体" w:hAnsi="宋体" w:cs="宋体"/>
                <w:color w:val="auto"/>
                <w:highlight w:val="none"/>
              </w:rPr>
              <w:t>项目名称</w:t>
            </w:r>
          </w:p>
        </w:tc>
        <w:tc>
          <w:tcPr>
            <w:tcW w:w="5530" w:type="dxa"/>
            <w:tcBorders>
              <w:top w:val="single" w:color="auto" w:sz="4" w:space="0"/>
              <w:left w:val="single" w:color="auto" w:sz="4" w:space="0"/>
              <w:bottom w:val="single" w:color="auto" w:sz="4" w:space="0"/>
              <w:right w:val="single" w:color="auto" w:sz="4" w:space="0"/>
            </w:tcBorders>
            <w:vAlign w:val="center"/>
          </w:tcPr>
          <w:p w14:paraId="50C18F98">
            <w:pPr>
              <w:pStyle w:val="24"/>
              <w:widowControl w:val="0"/>
              <w:spacing w:beforeAutospacing="0" w:afterAutospacing="0" w:line="360" w:lineRule="auto"/>
              <w:rPr>
                <w:rFonts w:hint="eastAsia" w:ascii="宋体" w:hAnsi="宋体" w:eastAsia="宋体" w:cs="宋体"/>
                <w:snapToGrid w:val="0"/>
                <w:color w:val="000000"/>
                <w:sz w:val="22"/>
                <w:szCs w:val="22"/>
                <w:highlight w:val="none"/>
                <w:lang w:val="en-US" w:eastAsia="zh-CN" w:bidi="ar-SA"/>
              </w:rPr>
            </w:pPr>
            <w:r>
              <w:rPr>
                <w:rFonts w:hint="eastAsia" w:ascii="宋体" w:hAnsi="宋体" w:eastAsia="宋体" w:cs="宋体"/>
                <w:snapToGrid w:val="0"/>
                <w:color w:val="000000"/>
                <w:sz w:val="22"/>
                <w:szCs w:val="22"/>
                <w:highlight w:val="none"/>
                <w:lang w:val="en-US" w:eastAsia="zh-CN" w:bidi="ar-SA"/>
              </w:rPr>
              <w:t>永城市中心医院县乡村三级远程会诊系统采购项目</w:t>
            </w:r>
          </w:p>
        </w:tc>
      </w:tr>
      <w:tr w14:paraId="1E998BD6">
        <w:tblPrEx>
          <w:tblCellMar>
            <w:top w:w="0" w:type="dxa"/>
            <w:left w:w="108" w:type="dxa"/>
            <w:bottom w:w="0" w:type="dxa"/>
            <w:right w:w="108" w:type="dxa"/>
          </w:tblCellMar>
        </w:tblPrEx>
        <w:trPr>
          <w:trHeight w:val="597"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14:paraId="2A152970">
            <w:pPr>
              <w:kinsoku/>
              <w:spacing w:line="400" w:lineRule="exact"/>
              <w:jc w:val="center"/>
              <w:rPr>
                <w:rFonts w:ascii="宋体" w:hAnsi="宋体" w:cs="宋体"/>
                <w:color w:val="auto"/>
                <w:highlight w:val="none"/>
              </w:rPr>
            </w:pPr>
            <w:r>
              <w:rPr>
                <w:rFonts w:hint="eastAsia" w:ascii="宋体" w:hAnsi="宋体" w:cs="宋体"/>
                <w:color w:val="auto"/>
                <w:highlight w:val="none"/>
              </w:rPr>
              <w:t>1.2.4</w:t>
            </w:r>
          </w:p>
        </w:tc>
        <w:tc>
          <w:tcPr>
            <w:tcW w:w="2255" w:type="dxa"/>
            <w:tcBorders>
              <w:top w:val="single" w:color="auto" w:sz="4" w:space="0"/>
              <w:left w:val="single" w:color="auto" w:sz="4" w:space="0"/>
              <w:bottom w:val="single" w:color="auto" w:sz="4" w:space="0"/>
              <w:right w:val="single" w:color="auto" w:sz="4" w:space="0"/>
            </w:tcBorders>
            <w:vAlign w:val="center"/>
          </w:tcPr>
          <w:p w14:paraId="787246A3">
            <w:pPr>
              <w:kinsoku/>
              <w:spacing w:line="400" w:lineRule="exact"/>
              <w:ind w:right="35"/>
              <w:jc w:val="center"/>
              <w:rPr>
                <w:rFonts w:ascii="宋体" w:hAnsi="宋体" w:cs="宋体"/>
                <w:color w:val="auto"/>
                <w:highlight w:val="none"/>
              </w:rPr>
            </w:pPr>
            <w:r>
              <w:rPr>
                <w:rFonts w:hint="eastAsia" w:ascii="宋体" w:hAnsi="宋体" w:cs="宋体"/>
                <w:color w:val="auto"/>
                <w:highlight w:val="none"/>
              </w:rPr>
              <w:t>采购方式</w:t>
            </w:r>
          </w:p>
        </w:tc>
        <w:tc>
          <w:tcPr>
            <w:tcW w:w="5530" w:type="dxa"/>
            <w:tcBorders>
              <w:top w:val="single" w:color="auto" w:sz="4" w:space="0"/>
              <w:left w:val="single" w:color="auto" w:sz="4" w:space="0"/>
              <w:bottom w:val="single" w:color="auto" w:sz="4" w:space="0"/>
              <w:right w:val="single" w:color="auto" w:sz="4" w:space="0"/>
            </w:tcBorders>
            <w:vAlign w:val="center"/>
          </w:tcPr>
          <w:p w14:paraId="2C0EACB8">
            <w:pPr>
              <w:kinsoku/>
              <w:spacing w:line="400" w:lineRule="exact"/>
              <w:rPr>
                <w:rFonts w:ascii="宋体" w:hAnsi="宋体" w:cs="宋体"/>
                <w:color w:val="auto"/>
                <w:highlight w:val="none"/>
              </w:rPr>
            </w:pPr>
            <w:r>
              <w:rPr>
                <w:rFonts w:hint="eastAsia" w:ascii="宋体" w:hAnsi="宋体" w:cs="宋体"/>
                <w:color w:val="auto"/>
                <w:highlight w:val="none"/>
              </w:rPr>
              <w:t>竞争性磋商</w:t>
            </w:r>
          </w:p>
        </w:tc>
      </w:tr>
      <w:tr w14:paraId="147A29AC">
        <w:tblPrEx>
          <w:tblCellMar>
            <w:top w:w="0" w:type="dxa"/>
            <w:left w:w="108" w:type="dxa"/>
            <w:bottom w:w="0" w:type="dxa"/>
            <w:right w:w="108" w:type="dxa"/>
          </w:tblCellMar>
        </w:tblPrEx>
        <w:trPr>
          <w:trHeight w:val="597"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14:paraId="1ED80812">
            <w:pPr>
              <w:kinsoku/>
              <w:spacing w:line="400" w:lineRule="exact"/>
              <w:jc w:val="center"/>
              <w:rPr>
                <w:rFonts w:ascii="宋体" w:hAnsi="宋体" w:cs="宋体"/>
                <w:color w:val="auto"/>
                <w:highlight w:val="none"/>
              </w:rPr>
            </w:pPr>
            <w:r>
              <w:rPr>
                <w:rFonts w:hint="eastAsia" w:ascii="宋体" w:hAnsi="宋体" w:cs="宋体"/>
                <w:color w:val="auto"/>
                <w:highlight w:val="none"/>
              </w:rPr>
              <w:t>1.2.5</w:t>
            </w:r>
          </w:p>
        </w:tc>
        <w:tc>
          <w:tcPr>
            <w:tcW w:w="2255" w:type="dxa"/>
            <w:tcBorders>
              <w:top w:val="single" w:color="auto" w:sz="4" w:space="0"/>
              <w:left w:val="single" w:color="auto" w:sz="4" w:space="0"/>
              <w:bottom w:val="single" w:color="auto" w:sz="4" w:space="0"/>
              <w:right w:val="single" w:color="auto" w:sz="4" w:space="0"/>
            </w:tcBorders>
            <w:vAlign w:val="center"/>
          </w:tcPr>
          <w:p w14:paraId="330596E6">
            <w:pPr>
              <w:kinsoku/>
              <w:spacing w:line="400" w:lineRule="exact"/>
              <w:jc w:val="center"/>
              <w:rPr>
                <w:rFonts w:ascii="宋体" w:hAnsi="宋体" w:cs="宋体"/>
                <w:color w:val="auto"/>
                <w:highlight w:val="none"/>
              </w:rPr>
            </w:pPr>
            <w:r>
              <w:rPr>
                <w:rFonts w:hint="eastAsia" w:ascii="宋体" w:hAnsi="宋体" w:cs="宋体"/>
                <w:color w:val="auto"/>
                <w:highlight w:val="none"/>
              </w:rPr>
              <w:t>预算价（最高限价）</w:t>
            </w:r>
          </w:p>
        </w:tc>
        <w:tc>
          <w:tcPr>
            <w:tcW w:w="5530" w:type="dxa"/>
            <w:tcBorders>
              <w:top w:val="single" w:color="auto" w:sz="4" w:space="0"/>
              <w:left w:val="single" w:color="auto" w:sz="4" w:space="0"/>
              <w:bottom w:val="single" w:color="auto" w:sz="4" w:space="0"/>
              <w:right w:val="single" w:color="auto" w:sz="4" w:space="0"/>
            </w:tcBorders>
            <w:vAlign w:val="center"/>
          </w:tcPr>
          <w:p w14:paraId="3296FF16">
            <w:pPr>
              <w:kinsoku/>
              <w:spacing w:line="400" w:lineRule="exact"/>
              <w:rPr>
                <w:rFonts w:ascii="宋体" w:hAnsi="宋体" w:cs="宋体"/>
                <w:color w:val="auto"/>
                <w:highlight w:val="none"/>
                <w:lang w:eastAsia="zh-CN"/>
              </w:rPr>
            </w:pPr>
            <w:r>
              <w:rPr>
                <w:rFonts w:hint="eastAsia" w:ascii="宋体" w:hAnsi="宋体" w:cs="宋体"/>
                <w:color w:val="auto"/>
                <w:highlight w:val="none"/>
                <w:lang w:eastAsia="zh-CN"/>
              </w:rPr>
              <w:t>预算价（最高限价）：</w:t>
            </w:r>
            <w:r>
              <w:rPr>
                <w:rFonts w:hint="eastAsia" w:ascii="宋体" w:hAnsi="宋体" w:cs="宋体"/>
                <w:kern w:val="2"/>
                <w:sz w:val="22"/>
                <w:szCs w:val="22"/>
                <w:highlight w:val="none"/>
                <w:lang w:val="en-US" w:eastAsia="zh-CN" w:bidi="ar-SA"/>
              </w:rPr>
              <w:t>1889060</w:t>
            </w:r>
            <w:r>
              <w:rPr>
                <w:rFonts w:hint="eastAsia" w:ascii="宋体" w:hAnsi="宋体" w:cs="宋体"/>
                <w:color w:val="auto"/>
                <w:highlight w:val="none"/>
                <w:lang w:eastAsia="zh-CN"/>
              </w:rPr>
              <w:t>元</w:t>
            </w:r>
          </w:p>
          <w:p w14:paraId="1146252D">
            <w:pPr>
              <w:pStyle w:val="34"/>
              <w:kinsoku/>
              <w:spacing w:line="400" w:lineRule="exact"/>
              <w:ind w:firstLine="0"/>
              <w:rPr>
                <w:rFonts w:ascii="宋体" w:hAnsi="宋体" w:cs="宋体"/>
                <w:color w:val="auto"/>
                <w:szCs w:val="21"/>
                <w:highlight w:val="none"/>
                <w:lang w:eastAsia="zh-CN"/>
              </w:rPr>
            </w:pPr>
            <w:r>
              <w:rPr>
                <w:rFonts w:hint="eastAsia" w:ascii="宋体" w:hAnsi="宋体" w:cs="宋体"/>
                <w:color w:val="auto"/>
                <w:szCs w:val="21"/>
                <w:highlight w:val="none"/>
                <w:lang w:eastAsia="zh-CN"/>
              </w:rPr>
              <w:t>第一次报价超过预算价（最高限价）按无效</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lang w:eastAsia="zh-CN"/>
              </w:rPr>
              <w:t>处理</w:t>
            </w:r>
          </w:p>
        </w:tc>
      </w:tr>
      <w:tr w14:paraId="1F04C8E5">
        <w:tblPrEx>
          <w:tblCellMar>
            <w:top w:w="0" w:type="dxa"/>
            <w:left w:w="108" w:type="dxa"/>
            <w:bottom w:w="0" w:type="dxa"/>
            <w:right w:w="108" w:type="dxa"/>
          </w:tblCellMar>
        </w:tblPrEx>
        <w:trPr>
          <w:trHeight w:val="597"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14:paraId="4697BDAE">
            <w:pPr>
              <w:kinsoku/>
              <w:spacing w:line="400" w:lineRule="exact"/>
              <w:jc w:val="center"/>
              <w:rPr>
                <w:rFonts w:ascii="宋体" w:hAnsi="宋体" w:cs="宋体"/>
                <w:color w:val="auto"/>
                <w:highlight w:val="none"/>
              </w:rPr>
            </w:pPr>
            <w:r>
              <w:rPr>
                <w:rFonts w:hint="eastAsia" w:ascii="宋体" w:hAnsi="宋体" w:cs="宋体"/>
                <w:color w:val="auto"/>
                <w:highlight w:val="none"/>
              </w:rPr>
              <w:t>1.4.1</w:t>
            </w:r>
          </w:p>
        </w:tc>
        <w:tc>
          <w:tcPr>
            <w:tcW w:w="2255" w:type="dxa"/>
            <w:tcBorders>
              <w:top w:val="single" w:color="auto" w:sz="4" w:space="0"/>
              <w:left w:val="single" w:color="auto" w:sz="4" w:space="0"/>
              <w:bottom w:val="single" w:color="auto" w:sz="4" w:space="0"/>
              <w:right w:val="single" w:color="auto" w:sz="4" w:space="0"/>
            </w:tcBorders>
            <w:vAlign w:val="center"/>
          </w:tcPr>
          <w:p w14:paraId="409C298A">
            <w:pPr>
              <w:kinsoku/>
              <w:spacing w:line="400" w:lineRule="exact"/>
              <w:jc w:val="center"/>
              <w:rPr>
                <w:rFonts w:ascii="宋体" w:hAnsi="宋体" w:cs="宋体"/>
                <w:color w:val="auto"/>
                <w:highlight w:val="none"/>
              </w:rPr>
            </w:pPr>
            <w:r>
              <w:rPr>
                <w:rFonts w:hint="eastAsia" w:ascii="宋体" w:hAnsi="宋体" w:cs="宋体"/>
                <w:color w:val="auto"/>
                <w:highlight w:val="none"/>
              </w:rPr>
              <w:t>磋商内容</w:t>
            </w:r>
          </w:p>
        </w:tc>
        <w:tc>
          <w:tcPr>
            <w:tcW w:w="5530" w:type="dxa"/>
            <w:tcBorders>
              <w:top w:val="single" w:color="auto" w:sz="4" w:space="0"/>
              <w:left w:val="single" w:color="auto" w:sz="4" w:space="0"/>
              <w:bottom w:val="single" w:color="auto" w:sz="4" w:space="0"/>
              <w:right w:val="single" w:color="auto" w:sz="4" w:space="0"/>
            </w:tcBorders>
            <w:vAlign w:val="center"/>
          </w:tcPr>
          <w:p w14:paraId="6DC6960F">
            <w:pPr>
              <w:kinsoku/>
              <w:spacing w:line="400" w:lineRule="exact"/>
              <w:rPr>
                <w:rFonts w:ascii="宋体" w:hAnsi="宋体" w:cs="宋体"/>
                <w:color w:val="auto"/>
                <w:highlight w:val="none"/>
                <w:lang w:eastAsia="zh-CN"/>
              </w:rPr>
            </w:pPr>
            <w:r>
              <w:rPr>
                <w:rFonts w:hint="eastAsia" w:ascii="宋体" w:hAnsi="宋体" w:eastAsia="宋体" w:cs="宋体"/>
                <w:kern w:val="2"/>
                <w:sz w:val="22"/>
                <w:szCs w:val="22"/>
                <w:highlight w:val="none"/>
                <w:lang w:eastAsia="zh-CN" w:bidi="ar-SA"/>
              </w:rPr>
              <w:t>设备的供货、运输、保险、装卸、安装、检测、调试、试运行、验收交付、培训、技术支持、售后保修及相关伴随服务等；</w:t>
            </w:r>
          </w:p>
        </w:tc>
      </w:tr>
      <w:tr w14:paraId="5352853F">
        <w:tblPrEx>
          <w:tblCellMar>
            <w:top w:w="0" w:type="dxa"/>
            <w:left w:w="108" w:type="dxa"/>
            <w:bottom w:w="0" w:type="dxa"/>
            <w:right w:w="108" w:type="dxa"/>
          </w:tblCellMar>
        </w:tblPrEx>
        <w:trPr>
          <w:trHeight w:val="687"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14:paraId="20C54260">
            <w:pPr>
              <w:kinsoku/>
              <w:spacing w:line="400" w:lineRule="exact"/>
              <w:jc w:val="center"/>
              <w:rPr>
                <w:rFonts w:ascii="宋体" w:hAnsi="宋体" w:cs="宋体"/>
                <w:color w:val="auto"/>
                <w:highlight w:val="none"/>
              </w:rPr>
            </w:pPr>
            <w:r>
              <w:rPr>
                <w:rFonts w:hint="eastAsia" w:ascii="宋体" w:hAnsi="宋体" w:cs="宋体"/>
                <w:color w:val="auto"/>
                <w:highlight w:val="none"/>
              </w:rPr>
              <w:t>1.4.2</w:t>
            </w:r>
          </w:p>
        </w:tc>
        <w:tc>
          <w:tcPr>
            <w:tcW w:w="2255" w:type="dxa"/>
            <w:tcBorders>
              <w:top w:val="single" w:color="auto" w:sz="4" w:space="0"/>
              <w:left w:val="single" w:color="auto" w:sz="4" w:space="0"/>
              <w:bottom w:val="single" w:color="auto" w:sz="4" w:space="0"/>
              <w:right w:val="single" w:color="auto" w:sz="4" w:space="0"/>
            </w:tcBorders>
            <w:vAlign w:val="center"/>
          </w:tcPr>
          <w:p w14:paraId="15B2F1DB">
            <w:pPr>
              <w:kinsoku/>
              <w:spacing w:line="400" w:lineRule="exact"/>
              <w:ind w:firstLine="440" w:firstLineChars="200"/>
              <w:rPr>
                <w:rFonts w:hint="eastAsia" w:ascii="宋体" w:hAnsi="宋体" w:eastAsia="宋体" w:cs="宋体"/>
                <w:kern w:val="2"/>
                <w:sz w:val="22"/>
                <w:szCs w:val="22"/>
                <w:highlight w:val="none"/>
                <w:lang w:eastAsia="zh-CN" w:bidi="ar-SA"/>
              </w:rPr>
            </w:pPr>
            <w:r>
              <w:rPr>
                <w:rFonts w:hint="eastAsia" w:ascii="宋体" w:hAnsi="宋体" w:eastAsia="宋体" w:cs="宋体"/>
                <w:kern w:val="2"/>
                <w:sz w:val="22"/>
                <w:szCs w:val="22"/>
                <w:highlight w:val="none"/>
                <w:lang w:eastAsia="zh-CN" w:bidi="ar-SA"/>
              </w:rPr>
              <w:t>服务期限</w:t>
            </w:r>
          </w:p>
        </w:tc>
        <w:tc>
          <w:tcPr>
            <w:tcW w:w="5530" w:type="dxa"/>
            <w:tcBorders>
              <w:top w:val="single" w:color="auto" w:sz="4" w:space="0"/>
              <w:left w:val="single" w:color="auto" w:sz="4" w:space="0"/>
              <w:bottom w:val="single" w:color="auto" w:sz="4" w:space="0"/>
              <w:right w:val="single" w:color="auto" w:sz="4" w:space="0"/>
            </w:tcBorders>
            <w:vAlign w:val="center"/>
          </w:tcPr>
          <w:p w14:paraId="19B24DD5">
            <w:pPr>
              <w:kinsoku/>
              <w:spacing w:line="400" w:lineRule="exact"/>
              <w:rPr>
                <w:rFonts w:hint="eastAsia" w:ascii="宋体" w:hAnsi="宋体" w:eastAsia="宋体" w:cs="宋体"/>
                <w:kern w:val="2"/>
                <w:sz w:val="22"/>
                <w:szCs w:val="22"/>
                <w:highlight w:val="none"/>
                <w:lang w:eastAsia="zh-CN" w:bidi="ar-SA"/>
              </w:rPr>
            </w:pPr>
            <w:r>
              <w:rPr>
                <w:rFonts w:hint="eastAsia" w:ascii="宋体" w:hAnsi="宋体" w:eastAsia="宋体" w:cs="宋体"/>
                <w:kern w:val="2"/>
                <w:sz w:val="22"/>
                <w:szCs w:val="22"/>
                <w:highlight w:val="none"/>
                <w:lang w:val="en-US" w:eastAsia="zh-CN" w:bidi="ar-SA"/>
              </w:rPr>
              <w:t>365</w:t>
            </w:r>
            <w:r>
              <w:rPr>
                <w:rFonts w:hint="eastAsia" w:ascii="宋体" w:hAnsi="宋体" w:eastAsia="宋体" w:cs="宋体"/>
                <w:kern w:val="2"/>
                <w:sz w:val="22"/>
                <w:szCs w:val="22"/>
                <w:highlight w:val="none"/>
                <w:lang w:eastAsia="zh-CN" w:bidi="ar-SA"/>
              </w:rPr>
              <w:t>日历天</w:t>
            </w:r>
          </w:p>
        </w:tc>
      </w:tr>
      <w:tr w14:paraId="49181F64">
        <w:tblPrEx>
          <w:tblCellMar>
            <w:top w:w="0" w:type="dxa"/>
            <w:left w:w="108" w:type="dxa"/>
            <w:bottom w:w="0" w:type="dxa"/>
            <w:right w:w="108" w:type="dxa"/>
          </w:tblCellMar>
        </w:tblPrEx>
        <w:trPr>
          <w:trHeight w:val="90"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14:paraId="248A8B44">
            <w:pPr>
              <w:kinsoku/>
              <w:spacing w:line="400" w:lineRule="exact"/>
              <w:jc w:val="center"/>
              <w:rPr>
                <w:rFonts w:ascii="宋体" w:hAnsi="宋体" w:cs="宋体"/>
                <w:color w:val="auto"/>
                <w:highlight w:val="none"/>
              </w:rPr>
            </w:pPr>
            <w:r>
              <w:rPr>
                <w:rFonts w:hint="eastAsia" w:ascii="宋体" w:hAnsi="宋体" w:cs="宋体"/>
                <w:color w:val="auto"/>
                <w:highlight w:val="none"/>
              </w:rPr>
              <w:t>1.4.3</w:t>
            </w:r>
          </w:p>
        </w:tc>
        <w:tc>
          <w:tcPr>
            <w:tcW w:w="2255" w:type="dxa"/>
            <w:tcBorders>
              <w:top w:val="single" w:color="auto" w:sz="4" w:space="0"/>
              <w:left w:val="single" w:color="auto" w:sz="4" w:space="0"/>
              <w:bottom w:val="single" w:color="auto" w:sz="4" w:space="0"/>
              <w:right w:val="single" w:color="auto" w:sz="4" w:space="0"/>
            </w:tcBorders>
            <w:vAlign w:val="center"/>
          </w:tcPr>
          <w:p w14:paraId="04A3CAD4">
            <w:pPr>
              <w:kinsoku/>
              <w:spacing w:line="400" w:lineRule="exact"/>
              <w:jc w:val="center"/>
              <w:rPr>
                <w:rFonts w:ascii="宋体" w:hAnsi="宋体"/>
                <w:color w:val="auto"/>
                <w:highlight w:val="none"/>
              </w:rPr>
            </w:pPr>
            <w:r>
              <w:rPr>
                <w:rFonts w:hint="eastAsia" w:ascii="宋体" w:hAnsi="宋体"/>
                <w:color w:val="auto"/>
                <w:highlight w:val="none"/>
              </w:rPr>
              <w:t>质量要求</w:t>
            </w:r>
          </w:p>
        </w:tc>
        <w:tc>
          <w:tcPr>
            <w:tcW w:w="5530" w:type="dxa"/>
            <w:tcBorders>
              <w:top w:val="single" w:color="auto" w:sz="4" w:space="0"/>
              <w:left w:val="single" w:color="auto" w:sz="4" w:space="0"/>
              <w:bottom w:val="single" w:color="auto" w:sz="4" w:space="0"/>
              <w:right w:val="single" w:color="auto" w:sz="4" w:space="0"/>
            </w:tcBorders>
            <w:vAlign w:val="center"/>
          </w:tcPr>
          <w:p w14:paraId="0685040A">
            <w:pPr>
              <w:pStyle w:val="24"/>
              <w:widowControl w:val="0"/>
              <w:kinsoku/>
              <w:autoSpaceDE/>
              <w:autoSpaceDN/>
              <w:spacing w:beforeAutospacing="0" w:afterAutospacing="0" w:line="400" w:lineRule="exact"/>
              <w:textAlignment w:val="auto"/>
              <w:rPr>
                <w:rFonts w:eastAsia="宋体"/>
                <w:color w:val="auto"/>
                <w:szCs w:val="21"/>
                <w:highlight w:val="none"/>
                <w:lang w:eastAsia="zh-CN"/>
              </w:rPr>
            </w:pPr>
            <w:r>
              <w:rPr>
                <w:rFonts w:hint="eastAsia"/>
                <w:color w:val="auto"/>
                <w:sz w:val="21"/>
                <w:szCs w:val="21"/>
                <w:highlight w:val="none"/>
                <w:lang w:eastAsia="zh-CN"/>
              </w:rPr>
              <w:t>符合国家现行规范标准及行业最新规定，达到合格标准且满足采购人要求</w:t>
            </w:r>
          </w:p>
        </w:tc>
      </w:tr>
      <w:tr w14:paraId="4986B2D6">
        <w:tblPrEx>
          <w:tblCellMar>
            <w:top w:w="0" w:type="dxa"/>
            <w:left w:w="108" w:type="dxa"/>
            <w:bottom w:w="0" w:type="dxa"/>
            <w:right w:w="108" w:type="dxa"/>
          </w:tblCellMar>
        </w:tblPrEx>
        <w:trPr>
          <w:trHeight w:val="597"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14:paraId="446C4DA9">
            <w:pPr>
              <w:kinsoku/>
              <w:spacing w:line="400" w:lineRule="exact"/>
              <w:jc w:val="center"/>
              <w:rPr>
                <w:rFonts w:ascii="宋体" w:hAnsi="宋体" w:cs="宋体"/>
                <w:color w:val="auto"/>
                <w:highlight w:val="none"/>
              </w:rPr>
            </w:pPr>
            <w:r>
              <w:rPr>
                <w:rFonts w:hint="eastAsia" w:ascii="宋体" w:hAnsi="宋体" w:cs="宋体"/>
                <w:color w:val="auto"/>
                <w:highlight w:val="none"/>
              </w:rPr>
              <w:t>1.4.4</w:t>
            </w:r>
          </w:p>
        </w:tc>
        <w:tc>
          <w:tcPr>
            <w:tcW w:w="2255" w:type="dxa"/>
            <w:tcBorders>
              <w:top w:val="single" w:color="auto" w:sz="4" w:space="0"/>
              <w:left w:val="single" w:color="auto" w:sz="4" w:space="0"/>
              <w:bottom w:val="single" w:color="auto" w:sz="4" w:space="0"/>
              <w:right w:val="single" w:color="auto" w:sz="4" w:space="0"/>
            </w:tcBorders>
            <w:vAlign w:val="center"/>
          </w:tcPr>
          <w:p w14:paraId="72511A4F">
            <w:pPr>
              <w:kinsoku/>
              <w:spacing w:line="400" w:lineRule="exact"/>
              <w:jc w:val="center"/>
              <w:rPr>
                <w:rFonts w:ascii="宋体" w:hAnsi="宋体" w:cs="宋体"/>
                <w:color w:val="auto"/>
                <w:highlight w:val="none"/>
              </w:rPr>
            </w:pPr>
            <w:r>
              <w:rPr>
                <w:rFonts w:hint="eastAsia" w:ascii="宋体" w:hAnsi="宋体" w:cs="宋体"/>
                <w:color w:val="auto"/>
                <w:highlight w:val="none"/>
              </w:rPr>
              <w:t>付款方式</w:t>
            </w:r>
          </w:p>
        </w:tc>
        <w:tc>
          <w:tcPr>
            <w:tcW w:w="5530" w:type="dxa"/>
            <w:tcBorders>
              <w:top w:val="single" w:color="auto" w:sz="4" w:space="0"/>
              <w:left w:val="single" w:color="auto" w:sz="4" w:space="0"/>
              <w:bottom w:val="single" w:color="auto" w:sz="4" w:space="0"/>
              <w:right w:val="single" w:color="auto" w:sz="4" w:space="0"/>
            </w:tcBorders>
            <w:vAlign w:val="center"/>
          </w:tcPr>
          <w:p w14:paraId="4DE62DDE">
            <w:pPr>
              <w:pStyle w:val="2"/>
              <w:widowControl w:val="0"/>
              <w:kinsoku/>
              <w:autoSpaceDE/>
              <w:autoSpaceDN/>
              <w:spacing w:line="400" w:lineRule="exact"/>
              <w:ind w:firstLine="0" w:firstLineChars="0"/>
              <w:textAlignment w:val="auto"/>
              <w:rPr>
                <w:color w:val="auto"/>
                <w:highlight w:val="none"/>
              </w:rPr>
            </w:pPr>
            <w:r>
              <w:rPr>
                <w:rFonts w:hint="eastAsia"/>
                <w:color w:val="auto"/>
                <w:highlight w:val="none"/>
              </w:rPr>
              <w:t>合同中约定</w:t>
            </w:r>
          </w:p>
        </w:tc>
      </w:tr>
      <w:tr w14:paraId="2A373C1D">
        <w:tblPrEx>
          <w:tblCellMar>
            <w:top w:w="0" w:type="dxa"/>
            <w:left w:w="108" w:type="dxa"/>
            <w:bottom w:w="0" w:type="dxa"/>
            <w:right w:w="108" w:type="dxa"/>
          </w:tblCellMar>
        </w:tblPrEx>
        <w:trPr>
          <w:jc w:val="center"/>
        </w:trPr>
        <w:tc>
          <w:tcPr>
            <w:tcW w:w="1085" w:type="dxa"/>
            <w:tcBorders>
              <w:top w:val="single" w:color="auto" w:sz="4" w:space="0"/>
              <w:left w:val="single" w:color="auto" w:sz="4" w:space="0"/>
              <w:bottom w:val="single" w:color="auto" w:sz="4" w:space="0"/>
              <w:right w:val="single" w:color="auto" w:sz="4" w:space="0"/>
            </w:tcBorders>
            <w:vAlign w:val="center"/>
          </w:tcPr>
          <w:p w14:paraId="2B373C0E">
            <w:pPr>
              <w:kinsoku/>
              <w:spacing w:line="400" w:lineRule="exact"/>
              <w:jc w:val="center"/>
              <w:rPr>
                <w:rFonts w:ascii="宋体" w:hAnsi="宋体" w:cs="宋体"/>
                <w:color w:val="auto"/>
                <w:highlight w:val="none"/>
              </w:rPr>
            </w:pPr>
            <w:r>
              <w:rPr>
                <w:rFonts w:hint="eastAsia" w:ascii="宋体" w:hAnsi="宋体" w:cs="宋体"/>
                <w:color w:val="auto"/>
                <w:highlight w:val="none"/>
              </w:rPr>
              <w:t>1.5.1</w:t>
            </w:r>
          </w:p>
        </w:tc>
        <w:tc>
          <w:tcPr>
            <w:tcW w:w="2255" w:type="dxa"/>
            <w:tcBorders>
              <w:top w:val="single" w:color="auto" w:sz="4" w:space="0"/>
              <w:left w:val="single" w:color="auto" w:sz="4" w:space="0"/>
              <w:bottom w:val="single" w:color="auto" w:sz="4" w:space="0"/>
              <w:right w:val="single" w:color="auto" w:sz="4" w:space="0"/>
            </w:tcBorders>
            <w:vAlign w:val="center"/>
          </w:tcPr>
          <w:p w14:paraId="22491D9A">
            <w:pPr>
              <w:kinsoku/>
              <w:spacing w:line="400" w:lineRule="exact"/>
              <w:jc w:val="center"/>
              <w:rPr>
                <w:rFonts w:ascii="宋体" w:hAnsi="宋体" w:cs="宋体"/>
                <w:color w:val="auto"/>
                <w:highlight w:val="none"/>
                <w:lang w:eastAsia="zh-CN"/>
              </w:rPr>
            </w:pPr>
            <w:r>
              <w:rPr>
                <w:rFonts w:hint="eastAsia" w:ascii="宋体" w:hAnsi="宋体" w:cs="宋体"/>
                <w:color w:val="auto"/>
                <w:highlight w:val="none"/>
                <w:lang w:eastAsia="zh-CN"/>
              </w:rPr>
              <w:t>供应商资质条件及能力要求</w:t>
            </w:r>
          </w:p>
        </w:tc>
        <w:tc>
          <w:tcPr>
            <w:tcW w:w="5530" w:type="dxa"/>
            <w:tcBorders>
              <w:top w:val="single" w:color="auto" w:sz="4" w:space="0"/>
              <w:left w:val="single" w:color="auto" w:sz="4" w:space="0"/>
              <w:bottom w:val="single" w:color="auto" w:sz="4" w:space="0"/>
              <w:right w:val="single" w:color="auto" w:sz="4" w:space="0"/>
            </w:tcBorders>
            <w:vAlign w:val="center"/>
          </w:tcPr>
          <w:p w14:paraId="5F5D99A5">
            <w:pPr>
              <w:spacing w:line="360" w:lineRule="auto"/>
              <w:rPr>
                <w:rFonts w:hint="default" w:ascii="Arial" w:hAnsi="Arial" w:eastAsia="Arial" w:cs="Arial"/>
                <w:snapToGrid w:val="0"/>
                <w:color w:val="000000"/>
                <w:spacing w:val="10"/>
                <w:sz w:val="21"/>
                <w:szCs w:val="21"/>
                <w:highlight w:val="none"/>
                <w:lang w:val="en-US" w:eastAsia="zh-CN" w:bidi="ar-SA"/>
              </w:rPr>
            </w:pPr>
            <w:r>
              <w:rPr>
                <w:rFonts w:hint="eastAsia" w:cs="Arial"/>
                <w:snapToGrid w:val="0"/>
                <w:color w:val="000000"/>
                <w:spacing w:val="10"/>
                <w:sz w:val="21"/>
                <w:szCs w:val="21"/>
                <w:highlight w:val="none"/>
                <w:lang w:val="en-US" w:eastAsia="zh-CN" w:bidi="ar-SA"/>
              </w:rPr>
              <w:t>详见磋商公告</w:t>
            </w:r>
          </w:p>
        </w:tc>
      </w:tr>
      <w:tr w14:paraId="361873EA">
        <w:tblPrEx>
          <w:tblCellMar>
            <w:top w:w="0" w:type="dxa"/>
            <w:left w:w="108" w:type="dxa"/>
            <w:bottom w:w="0" w:type="dxa"/>
            <w:right w:w="108" w:type="dxa"/>
          </w:tblCellMar>
        </w:tblPrEx>
        <w:trPr>
          <w:trHeight w:val="397"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14:paraId="0E2F7681">
            <w:pPr>
              <w:kinsoku/>
              <w:spacing w:line="400" w:lineRule="exact"/>
              <w:jc w:val="center"/>
              <w:rPr>
                <w:rFonts w:ascii="宋体" w:hAnsi="宋体" w:cs="宋体"/>
                <w:color w:val="auto"/>
                <w:highlight w:val="none"/>
              </w:rPr>
            </w:pPr>
            <w:r>
              <w:rPr>
                <w:rFonts w:hint="eastAsia" w:ascii="宋体" w:hAnsi="宋体" w:cs="宋体"/>
                <w:color w:val="auto"/>
                <w:highlight w:val="none"/>
              </w:rPr>
              <w:t>1.5.2</w:t>
            </w:r>
          </w:p>
        </w:tc>
        <w:tc>
          <w:tcPr>
            <w:tcW w:w="2255" w:type="dxa"/>
            <w:tcBorders>
              <w:top w:val="single" w:color="auto" w:sz="4" w:space="0"/>
              <w:left w:val="single" w:color="auto" w:sz="4" w:space="0"/>
              <w:bottom w:val="single" w:color="auto" w:sz="4" w:space="0"/>
              <w:right w:val="single" w:color="auto" w:sz="4" w:space="0"/>
            </w:tcBorders>
            <w:vAlign w:val="center"/>
          </w:tcPr>
          <w:p w14:paraId="34AF7D23">
            <w:pPr>
              <w:kinsoku/>
              <w:spacing w:line="400" w:lineRule="exact"/>
              <w:jc w:val="center"/>
              <w:rPr>
                <w:rFonts w:ascii="宋体" w:hAnsi="宋体" w:cs="宋体"/>
                <w:color w:val="auto"/>
                <w:highlight w:val="none"/>
              </w:rPr>
            </w:pPr>
            <w:r>
              <w:rPr>
                <w:rFonts w:hint="eastAsia" w:ascii="宋体" w:hAnsi="宋体" w:cs="宋体"/>
                <w:color w:val="auto"/>
                <w:highlight w:val="none"/>
              </w:rPr>
              <w:t>是否接受联合体</w:t>
            </w:r>
          </w:p>
        </w:tc>
        <w:tc>
          <w:tcPr>
            <w:tcW w:w="5530" w:type="dxa"/>
            <w:tcBorders>
              <w:top w:val="single" w:color="auto" w:sz="4" w:space="0"/>
              <w:left w:val="single" w:color="auto" w:sz="4" w:space="0"/>
              <w:bottom w:val="single" w:color="auto" w:sz="4" w:space="0"/>
              <w:right w:val="single" w:color="auto" w:sz="4" w:space="0"/>
            </w:tcBorders>
            <w:vAlign w:val="center"/>
          </w:tcPr>
          <w:p w14:paraId="4808EF17">
            <w:pPr>
              <w:pStyle w:val="14"/>
              <w:kinsoku/>
              <w:topLinePunct/>
              <w:spacing w:line="400" w:lineRule="exact"/>
              <w:rPr>
                <w:rFonts w:ascii="Arial" w:hAnsi="Arial" w:eastAsia="Arial" w:cs="Arial"/>
                <w:snapToGrid w:val="0"/>
                <w:color w:val="000000"/>
                <w:spacing w:val="10"/>
                <w:sz w:val="21"/>
                <w:szCs w:val="21"/>
                <w:highlight w:val="none"/>
                <w:lang w:val="en-US" w:eastAsia="zh-CN" w:bidi="ar-SA"/>
              </w:rPr>
            </w:pPr>
            <w:r>
              <w:rPr>
                <w:rFonts w:hint="eastAsia" w:ascii="Arial" w:hAnsi="Arial" w:eastAsia="Arial" w:cs="Arial"/>
                <w:snapToGrid w:val="0"/>
                <w:color w:val="000000"/>
                <w:spacing w:val="10"/>
                <w:sz w:val="21"/>
                <w:szCs w:val="21"/>
                <w:highlight w:val="none"/>
                <w:lang w:val="en-US" w:eastAsia="zh-CN" w:bidi="ar-SA"/>
              </w:rPr>
              <w:t>不接受</w:t>
            </w:r>
          </w:p>
        </w:tc>
      </w:tr>
      <w:tr w14:paraId="182C6FBA">
        <w:tblPrEx>
          <w:tblCellMar>
            <w:top w:w="0" w:type="dxa"/>
            <w:left w:w="108" w:type="dxa"/>
            <w:bottom w:w="0" w:type="dxa"/>
            <w:right w:w="108" w:type="dxa"/>
          </w:tblCellMar>
        </w:tblPrEx>
        <w:trPr>
          <w:trHeight w:val="584"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14:paraId="4819130D">
            <w:pPr>
              <w:kinsoku/>
              <w:spacing w:line="400" w:lineRule="exact"/>
              <w:jc w:val="center"/>
              <w:rPr>
                <w:rFonts w:ascii="宋体" w:hAnsi="宋体" w:cs="宋体"/>
                <w:color w:val="auto"/>
                <w:highlight w:val="none"/>
              </w:rPr>
            </w:pPr>
            <w:r>
              <w:rPr>
                <w:rFonts w:hint="eastAsia" w:ascii="宋体" w:hAnsi="宋体" w:cs="宋体"/>
                <w:color w:val="auto"/>
                <w:highlight w:val="none"/>
              </w:rPr>
              <w:t>1.10</w:t>
            </w:r>
          </w:p>
        </w:tc>
        <w:tc>
          <w:tcPr>
            <w:tcW w:w="2255" w:type="dxa"/>
            <w:tcBorders>
              <w:top w:val="single" w:color="auto" w:sz="4" w:space="0"/>
              <w:left w:val="single" w:color="auto" w:sz="4" w:space="0"/>
              <w:bottom w:val="single" w:color="auto" w:sz="4" w:space="0"/>
              <w:right w:val="single" w:color="auto" w:sz="4" w:space="0"/>
            </w:tcBorders>
            <w:vAlign w:val="center"/>
          </w:tcPr>
          <w:p w14:paraId="135CC641">
            <w:pPr>
              <w:kinsoku/>
              <w:spacing w:line="400" w:lineRule="exact"/>
              <w:jc w:val="center"/>
              <w:rPr>
                <w:rFonts w:ascii="宋体" w:hAnsi="宋体" w:cs="宋体"/>
                <w:color w:val="auto"/>
                <w:highlight w:val="none"/>
              </w:rPr>
            </w:pPr>
            <w:r>
              <w:rPr>
                <w:rFonts w:hint="eastAsia" w:ascii="宋体" w:hAnsi="宋体" w:cs="宋体"/>
                <w:color w:val="auto"/>
                <w:highlight w:val="none"/>
              </w:rPr>
              <w:t>现场踏勘</w:t>
            </w:r>
          </w:p>
        </w:tc>
        <w:tc>
          <w:tcPr>
            <w:tcW w:w="5530" w:type="dxa"/>
            <w:tcBorders>
              <w:top w:val="single" w:color="auto" w:sz="4" w:space="0"/>
              <w:left w:val="single" w:color="auto" w:sz="4" w:space="0"/>
              <w:bottom w:val="single" w:color="auto" w:sz="4" w:space="0"/>
              <w:right w:val="single" w:color="auto" w:sz="4" w:space="0"/>
            </w:tcBorders>
            <w:vAlign w:val="center"/>
          </w:tcPr>
          <w:p w14:paraId="08DDD8B6">
            <w:pPr>
              <w:pStyle w:val="14"/>
              <w:kinsoku/>
              <w:topLinePunct/>
              <w:spacing w:line="400" w:lineRule="exact"/>
              <w:rPr>
                <w:rFonts w:ascii="宋体" w:hAnsi="宋体" w:cs="宋体"/>
                <w:color w:val="auto"/>
                <w:kern w:val="2"/>
                <w:sz w:val="21"/>
                <w:szCs w:val="21"/>
                <w:highlight w:val="none"/>
              </w:rPr>
            </w:pPr>
            <w:r>
              <w:rPr>
                <w:rFonts w:hint="eastAsia" w:ascii="宋体" w:hAnsi="宋体" w:cs="宋体"/>
                <w:color w:val="auto"/>
                <w:kern w:val="2"/>
                <w:sz w:val="21"/>
                <w:szCs w:val="21"/>
                <w:highlight w:val="none"/>
              </w:rPr>
              <w:t>不组织</w:t>
            </w:r>
            <w:r>
              <w:rPr>
                <w:rFonts w:hint="eastAsia" w:ascii="宋体" w:hAnsi="宋体" w:cs="宋体"/>
                <w:color w:val="auto"/>
                <w:kern w:val="2"/>
                <w:sz w:val="21"/>
                <w:szCs w:val="21"/>
                <w:highlight w:val="none"/>
                <w:lang w:eastAsia="zh-CN"/>
              </w:rPr>
              <w:t>，</w:t>
            </w:r>
            <w:r>
              <w:rPr>
                <w:rFonts w:hint="eastAsia" w:ascii="宋体" w:hAnsi="宋体" w:cs="宋体"/>
                <w:color w:val="auto"/>
                <w:kern w:val="2"/>
                <w:sz w:val="21"/>
                <w:szCs w:val="21"/>
                <w:highlight w:val="none"/>
              </w:rPr>
              <w:t>自行勘察</w:t>
            </w:r>
          </w:p>
        </w:tc>
      </w:tr>
      <w:tr w14:paraId="17FB746C">
        <w:tblPrEx>
          <w:tblCellMar>
            <w:top w:w="0" w:type="dxa"/>
            <w:left w:w="108" w:type="dxa"/>
            <w:bottom w:w="0" w:type="dxa"/>
            <w:right w:w="108" w:type="dxa"/>
          </w:tblCellMar>
        </w:tblPrEx>
        <w:trPr>
          <w:trHeight w:val="564"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14:paraId="6732A15E">
            <w:pPr>
              <w:kinsoku/>
              <w:spacing w:line="400" w:lineRule="exact"/>
              <w:jc w:val="center"/>
              <w:rPr>
                <w:rFonts w:ascii="宋体" w:hAnsi="宋体" w:cs="宋体"/>
                <w:color w:val="auto"/>
                <w:highlight w:val="none"/>
              </w:rPr>
            </w:pPr>
            <w:r>
              <w:rPr>
                <w:rFonts w:hint="eastAsia" w:ascii="宋体" w:hAnsi="宋体" w:cs="宋体"/>
                <w:color w:val="auto"/>
                <w:highlight w:val="none"/>
              </w:rPr>
              <w:t>1.11</w:t>
            </w:r>
          </w:p>
        </w:tc>
        <w:tc>
          <w:tcPr>
            <w:tcW w:w="2255" w:type="dxa"/>
            <w:tcBorders>
              <w:top w:val="single" w:color="auto" w:sz="4" w:space="0"/>
              <w:left w:val="single" w:color="auto" w:sz="4" w:space="0"/>
              <w:bottom w:val="single" w:color="auto" w:sz="4" w:space="0"/>
              <w:right w:val="single" w:color="auto" w:sz="4" w:space="0"/>
            </w:tcBorders>
            <w:vAlign w:val="center"/>
          </w:tcPr>
          <w:p w14:paraId="07CDA433">
            <w:pPr>
              <w:kinsoku/>
              <w:spacing w:line="400" w:lineRule="exact"/>
              <w:jc w:val="center"/>
              <w:rPr>
                <w:rFonts w:ascii="宋体" w:hAnsi="宋体" w:cs="宋体"/>
                <w:color w:val="auto"/>
                <w:highlight w:val="none"/>
              </w:rPr>
            </w:pPr>
            <w:r>
              <w:rPr>
                <w:rFonts w:hint="eastAsia" w:ascii="宋体" w:hAnsi="宋体" w:cs="宋体"/>
                <w:color w:val="auto"/>
                <w:highlight w:val="none"/>
              </w:rPr>
              <w:t>分包</w:t>
            </w:r>
          </w:p>
        </w:tc>
        <w:tc>
          <w:tcPr>
            <w:tcW w:w="5530" w:type="dxa"/>
            <w:tcBorders>
              <w:top w:val="single" w:color="auto" w:sz="4" w:space="0"/>
              <w:left w:val="single" w:color="auto" w:sz="4" w:space="0"/>
              <w:bottom w:val="single" w:color="auto" w:sz="4" w:space="0"/>
              <w:right w:val="single" w:color="auto" w:sz="4" w:space="0"/>
            </w:tcBorders>
            <w:vAlign w:val="center"/>
          </w:tcPr>
          <w:p w14:paraId="0C5FD8BE">
            <w:pPr>
              <w:pStyle w:val="14"/>
              <w:kinsoku/>
              <w:topLinePunct/>
              <w:spacing w:line="400" w:lineRule="exact"/>
              <w:rPr>
                <w:rFonts w:ascii="宋体" w:hAnsi="宋体" w:cs="宋体"/>
                <w:color w:val="auto"/>
                <w:kern w:val="2"/>
                <w:sz w:val="21"/>
                <w:szCs w:val="21"/>
                <w:highlight w:val="none"/>
              </w:rPr>
            </w:pPr>
            <w:r>
              <w:rPr>
                <w:rFonts w:hint="eastAsia" w:ascii="宋体" w:hAnsi="宋体" w:cs="宋体"/>
                <w:color w:val="auto"/>
                <w:kern w:val="2"/>
                <w:sz w:val="21"/>
                <w:szCs w:val="21"/>
                <w:highlight w:val="none"/>
              </w:rPr>
              <w:t>不允许</w:t>
            </w:r>
          </w:p>
        </w:tc>
      </w:tr>
      <w:tr w14:paraId="3EC5D24F">
        <w:tblPrEx>
          <w:tblCellMar>
            <w:top w:w="0" w:type="dxa"/>
            <w:left w:w="108" w:type="dxa"/>
            <w:bottom w:w="0" w:type="dxa"/>
            <w:right w:w="108" w:type="dxa"/>
          </w:tblCellMar>
        </w:tblPrEx>
        <w:trPr>
          <w:trHeight w:val="469"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14:paraId="4E5FB510">
            <w:pPr>
              <w:kinsoku/>
              <w:spacing w:line="400" w:lineRule="exact"/>
              <w:jc w:val="center"/>
              <w:rPr>
                <w:rFonts w:ascii="宋体" w:hAnsi="宋体" w:cs="宋体"/>
                <w:color w:val="auto"/>
                <w:highlight w:val="none"/>
              </w:rPr>
            </w:pPr>
            <w:r>
              <w:rPr>
                <w:rFonts w:hint="eastAsia" w:ascii="宋体" w:hAnsi="宋体" w:cs="宋体"/>
                <w:color w:val="auto"/>
                <w:highlight w:val="none"/>
              </w:rPr>
              <w:t>2.1</w:t>
            </w:r>
          </w:p>
        </w:tc>
        <w:tc>
          <w:tcPr>
            <w:tcW w:w="2255" w:type="dxa"/>
            <w:tcBorders>
              <w:top w:val="single" w:color="auto" w:sz="4" w:space="0"/>
              <w:left w:val="single" w:color="auto" w:sz="4" w:space="0"/>
              <w:bottom w:val="single" w:color="auto" w:sz="4" w:space="0"/>
              <w:right w:val="single" w:color="auto" w:sz="4" w:space="0"/>
            </w:tcBorders>
            <w:vAlign w:val="center"/>
          </w:tcPr>
          <w:p w14:paraId="2B24D620">
            <w:pPr>
              <w:kinsoku/>
              <w:spacing w:line="400" w:lineRule="exact"/>
              <w:jc w:val="center"/>
              <w:rPr>
                <w:rFonts w:ascii="宋体" w:hAnsi="宋体" w:cs="宋体"/>
                <w:color w:val="auto"/>
                <w:highlight w:val="none"/>
              </w:rPr>
            </w:pPr>
            <w:r>
              <w:rPr>
                <w:rFonts w:hint="eastAsia" w:ascii="宋体" w:hAnsi="宋体" w:cs="宋体"/>
                <w:color w:val="auto"/>
                <w:highlight w:val="none"/>
              </w:rPr>
              <w:t>构成磋商文件的其他材料</w:t>
            </w:r>
          </w:p>
        </w:tc>
        <w:tc>
          <w:tcPr>
            <w:tcW w:w="5530" w:type="dxa"/>
            <w:tcBorders>
              <w:top w:val="single" w:color="auto" w:sz="4" w:space="0"/>
              <w:left w:val="single" w:color="auto" w:sz="4" w:space="0"/>
              <w:bottom w:val="single" w:color="auto" w:sz="4" w:space="0"/>
              <w:right w:val="single" w:color="auto" w:sz="4" w:space="0"/>
            </w:tcBorders>
            <w:vAlign w:val="center"/>
          </w:tcPr>
          <w:p w14:paraId="5F637311">
            <w:pPr>
              <w:kinsoku/>
              <w:spacing w:line="400" w:lineRule="exact"/>
              <w:rPr>
                <w:rFonts w:ascii="宋体" w:hAnsi="宋体" w:cs="宋体"/>
                <w:color w:val="auto"/>
                <w:highlight w:val="none"/>
                <w:lang w:eastAsia="zh-CN"/>
              </w:rPr>
            </w:pPr>
            <w:r>
              <w:rPr>
                <w:rFonts w:hint="eastAsia" w:ascii="宋体" w:hAnsi="宋体" w:cs="宋体"/>
                <w:color w:val="auto"/>
                <w:highlight w:val="none"/>
                <w:lang w:eastAsia="zh-CN"/>
              </w:rPr>
              <w:t>除磋商文件外，采购人在磋商期间发出的澄清、修改、补充、补遗和其它有效正式函件等内容均是磋商文件的组成部分</w:t>
            </w:r>
          </w:p>
        </w:tc>
      </w:tr>
      <w:tr w14:paraId="2778EE96">
        <w:tblPrEx>
          <w:tblCellMar>
            <w:top w:w="0" w:type="dxa"/>
            <w:left w:w="108" w:type="dxa"/>
            <w:bottom w:w="0" w:type="dxa"/>
            <w:right w:w="108" w:type="dxa"/>
          </w:tblCellMar>
        </w:tblPrEx>
        <w:trPr>
          <w:trHeight w:val="90"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14:paraId="00FDBD77">
            <w:pPr>
              <w:kinsoku/>
              <w:spacing w:line="400" w:lineRule="exact"/>
              <w:jc w:val="center"/>
              <w:rPr>
                <w:rFonts w:ascii="宋体" w:hAnsi="宋体" w:cs="宋体"/>
                <w:color w:val="auto"/>
                <w:highlight w:val="none"/>
              </w:rPr>
            </w:pPr>
            <w:r>
              <w:rPr>
                <w:rFonts w:hint="eastAsia" w:ascii="宋体" w:hAnsi="宋体" w:cs="宋体"/>
                <w:color w:val="auto"/>
                <w:highlight w:val="none"/>
              </w:rPr>
              <w:t>2.2.1</w:t>
            </w:r>
          </w:p>
        </w:tc>
        <w:tc>
          <w:tcPr>
            <w:tcW w:w="2255" w:type="dxa"/>
            <w:tcBorders>
              <w:top w:val="single" w:color="auto" w:sz="4" w:space="0"/>
              <w:left w:val="single" w:color="auto" w:sz="4" w:space="0"/>
              <w:bottom w:val="single" w:color="auto" w:sz="4" w:space="0"/>
              <w:right w:val="single" w:color="auto" w:sz="4" w:space="0"/>
            </w:tcBorders>
            <w:vAlign w:val="center"/>
          </w:tcPr>
          <w:p w14:paraId="123A142D">
            <w:pPr>
              <w:kinsoku/>
              <w:spacing w:line="400" w:lineRule="exact"/>
              <w:jc w:val="center"/>
              <w:rPr>
                <w:rFonts w:ascii="宋体" w:hAnsi="宋体" w:cs="宋体"/>
                <w:color w:val="auto"/>
                <w:highlight w:val="none"/>
                <w:lang w:eastAsia="zh-CN"/>
              </w:rPr>
            </w:pPr>
            <w:r>
              <w:rPr>
                <w:rFonts w:hint="eastAsia" w:ascii="宋体" w:hAnsi="宋体" w:cs="宋体"/>
                <w:color w:val="auto"/>
                <w:highlight w:val="none"/>
                <w:lang w:eastAsia="zh-CN"/>
              </w:rPr>
              <w:t>供应商提出问题的截止时间</w:t>
            </w:r>
          </w:p>
        </w:tc>
        <w:tc>
          <w:tcPr>
            <w:tcW w:w="5530" w:type="dxa"/>
            <w:tcBorders>
              <w:top w:val="single" w:color="auto" w:sz="4" w:space="0"/>
              <w:left w:val="single" w:color="auto" w:sz="4" w:space="0"/>
              <w:bottom w:val="single" w:color="auto" w:sz="4" w:space="0"/>
              <w:right w:val="single" w:color="auto" w:sz="4" w:space="0"/>
            </w:tcBorders>
            <w:vAlign w:val="center"/>
          </w:tcPr>
          <w:p w14:paraId="18B9571B">
            <w:pPr>
              <w:kinsoku/>
              <w:spacing w:line="400" w:lineRule="exact"/>
              <w:rPr>
                <w:rFonts w:ascii="宋体" w:hAnsi="宋体" w:cs="宋体"/>
                <w:color w:val="auto"/>
                <w:highlight w:val="none"/>
              </w:rPr>
            </w:pPr>
            <w:r>
              <w:rPr>
                <w:rFonts w:hint="eastAsia" w:ascii="宋体" w:hAnsi="宋体" w:cs="宋体"/>
                <w:color w:val="auto"/>
                <w:highlight w:val="none"/>
                <w:lang w:eastAsia="zh-CN"/>
              </w:rPr>
              <w:t>递交响应文件截止之日</w:t>
            </w:r>
            <w:r>
              <w:rPr>
                <w:rFonts w:hint="eastAsia" w:ascii="宋体" w:hAnsi="宋体" w:cs="宋体"/>
                <w:color w:val="auto"/>
                <w:highlight w:val="none"/>
                <w:u w:val="single"/>
                <w:lang w:eastAsia="zh-CN"/>
              </w:rPr>
              <w:t>5</w:t>
            </w:r>
            <w:r>
              <w:rPr>
                <w:rFonts w:hint="eastAsia" w:ascii="宋体" w:hAnsi="宋体" w:cs="宋体"/>
                <w:color w:val="auto"/>
                <w:highlight w:val="none"/>
                <w:lang w:eastAsia="zh-CN"/>
              </w:rPr>
              <w:t>天前</w:t>
            </w:r>
          </w:p>
        </w:tc>
      </w:tr>
      <w:tr w14:paraId="7F637B46">
        <w:tblPrEx>
          <w:tblCellMar>
            <w:top w:w="0" w:type="dxa"/>
            <w:left w:w="108" w:type="dxa"/>
            <w:bottom w:w="0" w:type="dxa"/>
            <w:right w:w="108" w:type="dxa"/>
          </w:tblCellMar>
        </w:tblPrEx>
        <w:trPr>
          <w:trHeight w:val="90"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14:paraId="28824F25">
            <w:pPr>
              <w:kinsoku/>
              <w:spacing w:line="400" w:lineRule="exact"/>
              <w:jc w:val="center"/>
              <w:rPr>
                <w:rFonts w:ascii="宋体" w:hAnsi="宋体" w:cs="宋体"/>
                <w:color w:val="auto"/>
                <w:highlight w:val="none"/>
              </w:rPr>
            </w:pPr>
            <w:r>
              <w:rPr>
                <w:rFonts w:hint="eastAsia" w:ascii="宋体" w:hAnsi="宋体" w:cs="宋体"/>
                <w:color w:val="auto"/>
                <w:highlight w:val="none"/>
              </w:rPr>
              <w:t>2.2.2</w:t>
            </w:r>
          </w:p>
        </w:tc>
        <w:tc>
          <w:tcPr>
            <w:tcW w:w="2255" w:type="dxa"/>
            <w:tcBorders>
              <w:top w:val="single" w:color="auto" w:sz="4" w:space="0"/>
              <w:left w:val="single" w:color="auto" w:sz="4" w:space="0"/>
              <w:bottom w:val="single" w:color="auto" w:sz="4" w:space="0"/>
              <w:right w:val="single" w:color="auto" w:sz="4" w:space="0"/>
            </w:tcBorders>
            <w:vAlign w:val="center"/>
          </w:tcPr>
          <w:p w14:paraId="0B74AC31">
            <w:pPr>
              <w:kinsoku/>
              <w:spacing w:line="400" w:lineRule="exact"/>
              <w:jc w:val="center"/>
              <w:rPr>
                <w:rFonts w:ascii="宋体" w:hAnsi="宋体" w:cs="宋体"/>
                <w:color w:val="auto"/>
                <w:highlight w:val="none"/>
                <w:lang w:eastAsia="zh-CN"/>
              </w:rPr>
            </w:pPr>
            <w:r>
              <w:rPr>
                <w:rFonts w:hint="eastAsia" w:ascii="宋体" w:hAnsi="宋体" w:cs="宋体"/>
                <w:color w:val="auto"/>
                <w:highlight w:val="none"/>
                <w:lang w:eastAsia="zh-CN"/>
              </w:rPr>
              <w:t>采购人澄清磋商文件的截止时间</w:t>
            </w:r>
          </w:p>
        </w:tc>
        <w:tc>
          <w:tcPr>
            <w:tcW w:w="5530" w:type="dxa"/>
            <w:tcBorders>
              <w:top w:val="single" w:color="auto" w:sz="4" w:space="0"/>
              <w:left w:val="single" w:color="auto" w:sz="4" w:space="0"/>
              <w:bottom w:val="single" w:color="auto" w:sz="4" w:space="0"/>
              <w:right w:val="single" w:color="auto" w:sz="4" w:space="0"/>
            </w:tcBorders>
            <w:vAlign w:val="center"/>
          </w:tcPr>
          <w:p w14:paraId="21ED30D6">
            <w:pPr>
              <w:kinsoku/>
              <w:spacing w:line="400" w:lineRule="exact"/>
              <w:rPr>
                <w:rFonts w:ascii="宋体" w:hAnsi="宋体" w:cs="宋体"/>
                <w:color w:val="auto"/>
                <w:highlight w:val="none"/>
                <w:lang w:eastAsia="zh-CN"/>
              </w:rPr>
            </w:pPr>
            <w:r>
              <w:rPr>
                <w:rFonts w:hint="eastAsia" w:ascii="宋体" w:hAnsi="宋体" w:cs="宋体"/>
                <w:color w:val="auto"/>
                <w:highlight w:val="none"/>
                <w:lang w:eastAsia="zh-CN"/>
              </w:rPr>
              <w:t>递交响应文件截止之日</w:t>
            </w:r>
            <w:r>
              <w:rPr>
                <w:rFonts w:hint="eastAsia" w:ascii="宋体" w:hAnsi="宋体" w:cs="宋体"/>
                <w:color w:val="auto"/>
                <w:highlight w:val="none"/>
                <w:u w:val="single"/>
                <w:lang w:eastAsia="zh-CN"/>
              </w:rPr>
              <w:t>5</w:t>
            </w:r>
            <w:r>
              <w:rPr>
                <w:rFonts w:hint="eastAsia" w:ascii="宋体" w:hAnsi="宋体" w:cs="宋体"/>
                <w:color w:val="auto"/>
                <w:highlight w:val="none"/>
                <w:lang w:eastAsia="zh-CN"/>
              </w:rPr>
              <w:t>天前</w:t>
            </w:r>
          </w:p>
        </w:tc>
      </w:tr>
      <w:tr w14:paraId="46749247">
        <w:tblPrEx>
          <w:tblCellMar>
            <w:top w:w="0" w:type="dxa"/>
            <w:left w:w="108" w:type="dxa"/>
            <w:bottom w:w="0" w:type="dxa"/>
            <w:right w:w="108" w:type="dxa"/>
          </w:tblCellMar>
        </w:tblPrEx>
        <w:trPr>
          <w:trHeight w:val="1142"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14:paraId="321BF638">
            <w:pPr>
              <w:kinsoku/>
              <w:spacing w:line="400" w:lineRule="exact"/>
              <w:jc w:val="center"/>
              <w:rPr>
                <w:rFonts w:ascii="宋体" w:hAnsi="宋体" w:cs="宋体"/>
                <w:color w:val="auto"/>
                <w:highlight w:val="none"/>
              </w:rPr>
            </w:pPr>
            <w:r>
              <w:rPr>
                <w:rFonts w:hint="eastAsia" w:ascii="宋体" w:hAnsi="宋体" w:cs="宋体"/>
                <w:color w:val="auto"/>
                <w:highlight w:val="none"/>
              </w:rPr>
              <w:t>2.2.3</w:t>
            </w:r>
          </w:p>
        </w:tc>
        <w:tc>
          <w:tcPr>
            <w:tcW w:w="2255" w:type="dxa"/>
            <w:tcBorders>
              <w:top w:val="single" w:color="auto" w:sz="4" w:space="0"/>
              <w:left w:val="single" w:color="auto" w:sz="4" w:space="0"/>
              <w:bottom w:val="single" w:color="auto" w:sz="4" w:space="0"/>
              <w:right w:val="single" w:color="auto" w:sz="4" w:space="0"/>
            </w:tcBorders>
            <w:vAlign w:val="center"/>
          </w:tcPr>
          <w:p w14:paraId="017C36F1">
            <w:pPr>
              <w:kinsoku/>
              <w:spacing w:line="400" w:lineRule="exact"/>
              <w:jc w:val="center"/>
              <w:rPr>
                <w:rFonts w:ascii="宋体" w:hAnsi="宋体" w:cs="宋体"/>
                <w:color w:val="auto"/>
                <w:highlight w:val="none"/>
                <w:lang w:eastAsia="zh-CN"/>
              </w:rPr>
            </w:pPr>
            <w:r>
              <w:rPr>
                <w:rFonts w:hint="eastAsia" w:ascii="宋体" w:hAnsi="宋体" w:cs="宋体"/>
                <w:color w:val="auto"/>
                <w:highlight w:val="none"/>
                <w:lang w:eastAsia="zh-CN"/>
              </w:rPr>
              <w:t>供应商确认收到磋商文件澄清的时间</w:t>
            </w:r>
          </w:p>
        </w:tc>
        <w:tc>
          <w:tcPr>
            <w:tcW w:w="5530" w:type="dxa"/>
            <w:tcBorders>
              <w:top w:val="single" w:color="auto" w:sz="4" w:space="0"/>
              <w:left w:val="single" w:color="auto" w:sz="4" w:space="0"/>
              <w:bottom w:val="single" w:color="auto" w:sz="4" w:space="0"/>
              <w:right w:val="single" w:color="auto" w:sz="4" w:space="0"/>
            </w:tcBorders>
            <w:vAlign w:val="center"/>
          </w:tcPr>
          <w:p w14:paraId="6E865364">
            <w:pPr>
              <w:kinsoku/>
              <w:spacing w:line="400" w:lineRule="exact"/>
              <w:rPr>
                <w:rFonts w:ascii="宋体" w:hAnsi="宋体" w:cs="宋体"/>
                <w:color w:val="auto"/>
                <w:highlight w:val="none"/>
                <w:lang w:eastAsia="zh-CN"/>
              </w:rPr>
            </w:pPr>
            <w:r>
              <w:rPr>
                <w:rFonts w:hint="eastAsia" w:ascii="宋体" w:hAnsi="宋体" w:cs="宋体"/>
                <w:color w:val="auto"/>
                <w:highlight w:val="none"/>
                <w:lang w:eastAsia="zh-CN"/>
              </w:rPr>
              <w:t>在收到相应澄清文件后</w:t>
            </w:r>
            <w:r>
              <w:rPr>
                <w:rFonts w:hint="eastAsia" w:ascii="宋体" w:hAnsi="宋体" w:cs="宋体"/>
                <w:color w:val="auto"/>
                <w:highlight w:val="none"/>
                <w:u w:val="single"/>
                <w:lang w:eastAsia="zh-CN"/>
              </w:rPr>
              <w:t xml:space="preserve"> 24 </w:t>
            </w:r>
            <w:r>
              <w:rPr>
                <w:rFonts w:hint="eastAsia" w:ascii="宋体" w:hAnsi="宋体" w:cs="宋体"/>
                <w:color w:val="auto"/>
                <w:highlight w:val="none"/>
                <w:lang w:eastAsia="zh-CN"/>
              </w:rPr>
              <w:t>小时内</w:t>
            </w:r>
          </w:p>
        </w:tc>
      </w:tr>
      <w:tr w14:paraId="4C6C01A8">
        <w:tblPrEx>
          <w:tblCellMar>
            <w:top w:w="0" w:type="dxa"/>
            <w:left w:w="108" w:type="dxa"/>
            <w:bottom w:w="0" w:type="dxa"/>
            <w:right w:w="108" w:type="dxa"/>
          </w:tblCellMar>
        </w:tblPrEx>
        <w:trPr>
          <w:jc w:val="center"/>
        </w:trPr>
        <w:tc>
          <w:tcPr>
            <w:tcW w:w="1085" w:type="dxa"/>
            <w:tcBorders>
              <w:top w:val="single" w:color="auto" w:sz="4" w:space="0"/>
              <w:left w:val="single" w:color="auto" w:sz="4" w:space="0"/>
              <w:bottom w:val="single" w:color="auto" w:sz="4" w:space="0"/>
              <w:right w:val="single" w:color="auto" w:sz="4" w:space="0"/>
            </w:tcBorders>
            <w:vAlign w:val="center"/>
          </w:tcPr>
          <w:p w14:paraId="024F2191">
            <w:pPr>
              <w:kinsoku/>
              <w:spacing w:line="400" w:lineRule="exact"/>
              <w:jc w:val="center"/>
              <w:rPr>
                <w:rFonts w:ascii="宋体" w:hAnsi="宋体" w:cs="宋体"/>
                <w:color w:val="auto"/>
                <w:highlight w:val="none"/>
              </w:rPr>
            </w:pPr>
            <w:r>
              <w:rPr>
                <w:rFonts w:hint="eastAsia" w:ascii="宋体" w:hAnsi="宋体" w:cs="宋体"/>
                <w:color w:val="auto"/>
                <w:highlight w:val="none"/>
              </w:rPr>
              <w:t>2.3.2</w:t>
            </w:r>
          </w:p>
        </w:tc>
        <w:tc>
          <w:tcPr>
            <w:tcW w:w="2255" w:type="dxa"/>
            <w:tcBorders>
              <w:top w:val="single" w:color="auto" w:sz="4" w:space="0"/>
              <w:left w:val="single" w:color="auto" w:sz="4" w:space="0"/>
              <w:bottom w:val="single" w:color="auto" w:sz="4" w:space="0"/>
              <w:right w:val="single" w:color="auto" w:sz="4" w:space="0"/>
            </w:tcBorders>
            <w:vAlign w:val="center"/>
          </w:tcPr>
          <w:p w14:paraId="58E2186C">
            <w:pPr>
              <w:kinsoku/>
              <w:spacing w:line="400" w:lineRule="exact"/>
              <w:jc w:val="center"/>
              <w:rPr>
                <w:rFonts w:ascii="宋体" w:hAnsi="宋体" w:cs="宋体"/>
                <w:color w:val="auto"/>
                <w:highlight w:val="none"/>
                <w:lang w:eastAsia="zh-CN"/>
              </w:rPr>
            </w:pPr>
            <w:r>
              <w:rPr>
                <w:rFonts w:hint="eastAsia" w:ascii="宋体" w:hAnsi="宋体" w:cs="宋体"/>
                <w:color w:val="auto"/>
                <w:highlight w:val="none"/>
                <w:lang w:eastAsia="zh-CN"/>
              </w:rPr>
              <w:t>供应商确认收到磋商文件修改的时间</w:t>
            </w:r>
          </w:p>
        </w:tc>
        <w:tc>
          <w:tcPr>
            <w:tcW w:w="5530" w:type="dxa"/>
            <w:tcBorders>
              <w:top w:val="single" w:color="auto" w:sz="4" w:space="0"/>
              <w:left w:val="single" w:color="auto" w:sz="4" w:space="0"/>
              <w:bottom w:val="single" w:color="auto" w:sz="4" w:space="0"/>
              <w:right w:val="single" w:color="auto" w:sz="4" w:space="0"/>
            </w:tcBorders>
            <w:vAlign w:val="center"/>
          </w:tcPr>
          <w:p w14:paraId="22ED3707">
            <w:pPr>
              <w:kinsoku/>
              <w:spacing w:line="400" w:lineRule="exact"/>
              <w:rPr>
                <w:rFonts w:ascii="宋体" w:hAnsi="宋体" w:cs="宋体"/>
                <w:color w:val="auto"/>
                <w:highlight w:val="none"/>
                <w:lang w:eastAsia="zh-CN"/>
              </w:rPr>
            </w:pPr>
            <w:r>
              <w:rPr>
                <w:rFonts w:hint="eastAsia" w:ascii="宋体" w:hAnsi="宋体" w:cs="宋体"/>
                <w:color w:val="auto"/>
                <w:highlight w:val="none"/>
                <w:lang w:eastAsia="zh-CN"/>
              </w:rPr>
              <w:t>在收到相应修改文件后</w:t>
            </w:r>
            <w:r>
              <w:rPr>
                <w:rFonts w:hint="eastAsia" w:ascii="宋体" w:hAnsi="宋体" w:cs="宋体"/>
                <w:color w:val="auto"/>
                <w:highlight w:val="none"/>
                <w:u w:val="single"/>
                <w:lang w:eastAsia="zh-CN"/>
              </w:rPr>
              <w:t xml:space="preserve"> 24 </w:t>
            </w:r>
            <w:r>
              <w:rPr>
                <w:rFonts w:hint="eastAsia" w:ascii="宋体" w:hAnsi="宋体" w:cs="宋体"/>
                <w:color w:val="auto"/>
                <w:highlight w:val="none"/>
                <w:lang w:eastAsia="zh-CN"/>
              </w:rPr>
              <w:t>小时内</w:t>
            </w:r>
          </w:p>
        </w:tc>
      </w:tr>
      <w:tr w14:paraId="3ED1E78F">
        <w:tblPrEx>
          <w:tblCellMar>
            <w:top w:w="0" w:type="dxa"/>
            <w:left w:w="108" w:type="dxa"/>
            <w:bottom w:w="0" w:type="dxa"/>
            <w:right w:w="108" w:type="dxa"/>
          </w:tblCellMar>
        </w:tblPrEx>
        <w:trPr>
          <w:jc w:val="center"/>
        </w:trPr>
        <w:tc>
          <w:tcPr>
            <w:tcW w:w="1085" w:type="dxa"/>
            <w:tcBorders>
              <w:top w:val="single" w:color="auto" w:sz="4" w:space="0"/>
              <w:left w:val="single" w:color="auto" w:sz="4" w:space="0"/>
              <w:bottom w:val="single" w:color="auto" w:sz="4" w:space="0"/>
              <w:right w:val="single" w:color="auto" w:sz="4" w:space="0"/>
            </w:tcBorders>
            <w:vAlign w:val="center"/>
          </w:tcPr>
          <w:p w14:paraId="15F98E0F">
            <w:pPr>
              <w:kinsoku/>
              <w:spacing w:line="400" w:lineRule="exact"/>
              <w:jc w:val="center"/>
              <w:rPr>
                <w:rFonts w:ascii="宋体" w:hAnsi="宋体" w:cs="宋体"/>
                <w:color w:val="auto"/>
                <w:highlight w:val="none"/>
              </w:rPr>
            </w:pPr>
            <w:r>
              <w:rPr>
                <w:rFonts w:hint="eastAsia" w:ascii="宋体" w:hAnsi="宋体" w:cs="宋体"/>
                <w:color w:val="auto"/>
                <w:highlight w:val="none"/>
              </w:rPr>
              <w:t>3.1</w:t>
            </w:r>
          </w:p>
        </w:tc>
        <w:tc>
          <w:tcPr>
            <w:tcW w:w="2255" w:type="dxa"/>
            <w:tcBorders>
              <w:top w:val="single" w:color="auto" w:sz="4" w:space="0"/>
              <w:left w:val="single" w:color="auto" w:sz="4" w:space="0"/>
              <w:bottom w:val="single" w:color="auto" w:sz="4" w:space="0"/>
              <w:right w:val="single" w:color="auto" w:sz="4" w:space="0"/>
            </w:tcBorders>
            <w:vAlign w:val="center"/>
          </w:tcPr>
          <w:p w14:paraId="374924C5">
            <w:pPr>
              <w:kinsoku/>
              <w:spacing w:line="400" w:lineRule="exact"/>
              <w:jc w:val="center"/>
              <w:rPr>
                <w:rFonts w:ascii="宋体" w:hAnsi="宋体" w:cs="宋体"/>
                <w:color w:val="auto"/>
                <w:highlight w:val="none"/>
                <w:lang w:eastAsia="zh-CN"/>
              </w:rPr>
            </w:pPr>
            <w:r>
              <w:rPr>
                <w:rFonts w:hint="eastAsia" w:ascii="宋体" w:hAnsi="宋体" w:cs="宋体"/>
                <w:color w:val="auto"/>
                <w:highlight w:val="none"/>
                <w:lang w:eastAsia="zh-CN"/>
              </w:rPr>
              <w:t>构成响应文件的其他材料</w:t>
            </w:r>
          </w:p>
        </w:tc>
        <w:tc>
          <w:tcPr>
            <w:tcW w:w="5530" w:type="dxa"/>
            <w:tcBorders>
              <w:top w:val="single" w:color="auto" w:sz="4" w:space="0"/>
              <w:left w:val="single" w:color="auto" w:sz="4" w:space="0"/>
              <w:bottom w:val="single" w:color="auto" w:sz="4" w:space="0"/>
              <w:right w:val="single" w:color="auto" w:sz="4" w:space="0"/>
            </w:tcBorders>
            <w:vAlign w:val="center"/>
          </w:tcPr>
          <w:p w14:paraId="71507CEF">
            <w:pPr>
              <w:kinsoku/>
              <w:spacing w:line="400" w:lineRule="exact"/>
              <w:rPr>
                <w:rFonts w:ascii="宋体" w:hAnsi="宋体" w:cs="宋体"/>
                <w:color w:val="auto"/>
                <w:highlight w:val="none"/>
                <w:lang w:eastAsia="zh-CN"/>
              </w:rPr>
            </w:pPr>
            <w:r>
              <w:rPr>
                <w:rFonts w:hint="eastAsia" w:ascii="宋体" w:hAnsi="宋体" w:cs="宋体"/>
                <w:color w:val="auto"/>
                <w:highlight w:val="none"/>
                <w:lang w:eastAsia="zh-CN"/>
              </w:rPr>
              <w:t>供应商认为需要提交的其他证明材料</w:t>
            </w:r>
          </w:p>
        </w:tc>
      </w:tr>
      <w:tr w14:paraId="1747E155">
        <w:tblPrEx>
          <w:tblCellMar>
            <w:top w:w="0" w:type="dxa"/>
            <w:left w:w="108" w:type="dxa"/>
            <w:bottom w:w="0" w:type="dxa"/>
            <w:right w:w="108" w:type="dxa"/>
          </w:tblCellMar>
        </w:tblPrEx>
        <w:trPr>
          <w:trHeight w:val="705"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14:paraId="78CD3AB0">
            <w:pPr>
              <w:kinsoku/>
              <w:spacing w:line="400" w:lineRule="exact"/>
              <w:jc w:val="center"/>
              <w:rPr>
                <w:rFonts w:ascii="宋体" w:hAnsi="宋体" w:cs="宋体"/>
                <w:color w:val="auto"/>
                <w:highlight w:val="none"/>
              </w:rPr>
            </w:pPr>
            <w:r>
              <w:rPr>
                <w:rFonts w:hint="eastAsia" w:ascii="宋体" w:hAnsi="宋体" w:cs="宋体"/>
                <w:color w:val="auto"/>
                <w:highlight w:val="none"/>
              </w:rPr>
              <w:t>3.3.1</w:t>
            </w:r>
          </w:p>
        </w:tc>
        <w:tc>
          <w:tcPr>
            <w:tcW w:w="2255" w:type="dxa"/>
            <w:tcBorders>
              <w:top w:val="single" w:color="auto" w:sz="4" w:space="0"/>
              <w:left w:val="single" w:color="auto" w:sz="4" w:space="0"/>
              <w:bottom w:val="single" w:color="auto" w:sz="4" w:space="0"/>
              <w:right w:val="single" w:color="auto" w:sz="4" w:space="0"/>
            </w:tcBorders>
            <w:vAlign w:val="center"/>
          </w:tcPr>
          <w:p w14:paraId="07B3D35B">
            <w:pPr>
              <w:kinsoku/>
              <w:spacing w:line="400" w:lineRule="exact"/>
              <w:jc w:val="center"/>
              <w:rPr>
                <w:rFonts w:ascii="宋体" w:hAnsi="宋体" w:cs="宋体"/>
                <w:color w:val="auto"/>
                <w:highlight w:val="none"/>
              </w:rPr>
            </w:pPr>
            <w:r>
              <w:rPr>
                <w:rFonts w:hint="eastAsia" w:ascii="宋体" w:hAnsi="宋体" w:cs="宋体"/>
                <w:color w:val="auto"/>
                <w:highlight w:val="none"/>
              </w:rPr>
              <w:t>磋商有效期</w:t>
            </w:r>
          </w:p>
        </w:tc>
        <w:tc>
          <w:tcPr>
            <w:tcW w:w="5530" w:type="dxa"/>
            <w:tcBorders>
              <w:top w:val="single" w:color="auto" w:sz="4" w:space="0"/>
              <w:left w:val="single" w:color="auto" w:sz="4" w:space="0"/>
              <w:bottom w:val="single" w:color="auto" w:sz="4" w:space="0"/>
              <w:right w:val="single" w:color="auto" w:sz="4" w:space="0"/>
            </w:tcBorders>
            <w:vAlign w:val="center"/>
          </w:tcPr>
          <w:p w14:paraId="1F8CDE06">
            <w:pPr>
              <w:kinsoku/>
              <w:spacing w:line="400" w:lineRule="exact"/>
              <w:rPr>
                <w:rFonts w:ascii="宋体" w:hAnsi="宋体" w:cs="宋体"/>
                <w:color w:val="auto"/>
                <w:highlight w:val="none"/>
                <w:lang w:eastAsia="zh-CN"/>
              </w:rPr>
            </w:pPr>
            <w:r>
              <w:rPr>
                <w:rFonts w:hint="eastAsia" w:ascii="宋体" w:hAnsi="宋体" w:cs="宋体"/>
                <w:color w:val="auto"/>
                <w:highlight w:val="none"/>
                <w:lang w:eastAsia="zh-CN"/>
              </w:rPr>
              <w:t>60日历天（响应文件截止之日起）</w:t>
            </w:r>
          </w:p>
        </w:tc>
      </w:tr>
      <w:tr w14:paraId="2D209A4B">
        <w:tblPrEx>
          <w:tblCellMar>
            <w:top w:w="0" w:type="dxa"/>
            <w:left w:w="108" w:type="dxa"/>
            <w:bottom w:w="0" w:type="dxa"/>
            <w:right w:w="108" w:type="dxa"/>
          </w:tblCellMar>
        </w:tblPrEx>
        <w:trPr>
          <w:trHeight w:val="552"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14:paraId="0B875F6E">
            <w:pPr>
              <w:kinsoku/>
              <w:spacing w:line="400" w:lineRule="exact"/>
              <w:jc w:val="center"/>
              <w:textAlignment w:val="center"/>
              <w:rPr>
                <w:rFonts w:ascii="宋体" w:hAnsi="宋体"/>
                <w:color w:val="auto"/>
                <w:highlight w:val="none"/>
              </w:rPr>
            </w:pPr>
            <w:r>
              <w:rPr>
                <w:rFonts w:hint="eastAsia" w:ascii="宋体" w:hAnsi="宋体"/>
                <w:color w:val="auto"/>
                <w:highlight w:val="none"/>
              </w:rPr>
              <w:t>3.2.3</w:t>
            </w:r>
          </w:p>
        </w:tc>
        <w:tc>
          <w:tcPr>
            <w:tcW w:w="2255" w:type="dxa"/>
            <w:tcBorders>
              <w:top w:val="single" w:color="auto" w:sz="4" w:space="0"/>
              <w:left w:val="single" w:color="auto" w:sz="4" w:space="0"/>
              <w:bottom w:val="single" w:color="auto" w:sz="4" w:space="0"/>
              <w:right w:val="single" w:color="auto" w:sz="4" w:space="0"/>
            </w:tcBorders>
            <w:vAlign w:val="center"/>
          </w:tcPr>
          <w:p w14:paraId="1B9ED607">
            <w:pPr>
              <w:kinsoku/>
              <w:spacing w:line="400" w:lineRule="exact"/>
              <w:jc w:val="center"/>
              <w:textAlignment w:val="center"/>
              <w:rPr>
                <w:color w:val="auto"/>
                <w:szCs w:val="24"/>
                <w:highlight w:val="none"/>
              </w:rPr>
            </w:pPr>
            <w:r>
              <w:rPr>
                <w:color w:val="auto"/>
                <w:highlight w:val="none"/>
              </w:rPr>
              <w:t>报价方式</w:t>
            </w:r>
          </w:p>
        </w:tc>
        <w:tc>
          <w:tcPr>
            <w:tcW w:w="5530" w:type="dxa"/>
            <w:tcBorders>
              <w:top w:val="single" w:color="auto" w:sz="4" w:space="0"/>
              <w:left w:val="single" w:color="auto" w:sz="4" w:space="0"/>
              <w:bottom w:val="single" w:color="auto" w:sz="4" w:space="0"/>
              <w:right w:val="single" w:color="auto" w:sz="4" w:space="0"/>
            </w:tcBorders>
            <w:vAlign w:val="center"/>
          </w:tcPr>
          <w:p w14:paraId="51196DF8">
            <w:pPr>
              <w:kinsoku/>
              <w:spacing w:line="400" w:lineRule="exact"/>
              <w:textAlignment w:val="center"/>
              <w:rPr>
                <w:rFonts w:ascii="宋体" w:hAnsi="宋体"/>
                <w:color w:val="auto"/>
                <w:szCs w:val="24"/>
                <w:highlight w:val="none"/>
              </w:rPr>
            </w:pPr>
            <w:r>
              <w:rPr>
                <w:rFonts w:hint="eastAsia" w:ascii="宋体" w:hAnsi="宋体"/>
                <w:color w:val="auto"/>
                <w:highlight w:val="none"/>
              </w:rPr>
              <w:t>自主报价</w:t>
            </w:r>
          </w:p>
        </w:tc>
      </w:tr>
      <w:tr w14:paraId="2E4677C5">
        <w:tblPrEx>
          <w:tblCellMar>
            <w:top w:w="0" w:type="dxa"/>
            <w:left w:w="108" w:type="dxa"/>
            <w:bottom w:w="0" w:type="dxa"/>
            <w:right w:w="108" w:type="dxa"/>
          </w:tblCellMar>
        </w:tblPrEx>
        <w:trPr>
          <w:jc w:val="center"/>
        </w:trPr>
        <w:tc>
          <w:tcPr>
            <w:tcW w:w="1085" w:type="dxa"/>
            <w:tcBorders>
              <w:top w:val="single" w:color="auto" w:sz="4" w:space="0"/>
              <w:left w:val="single" w:color="auto" w:sz="4" w:space="0"/>
              <w:bottom w:val="single" w:color="auto" w:sz="4" w:space="0"/>
              <w:right w:val="single" w:color="auto" w:sz="4" w:space="0"/>
            </w:tcBorders>
            <w:vAlign w:val="center"/>
          </w:tcPr>
          <w:p w14:paraId="31597FEB">
            <w:pPr>
              <w:kinsoku/>
              <w:spacing w:line="400" w:lineRule="exact"/>
              <w:jc w:val="center"/>
              <w:rPr>
                <w:rFonts w:ascii="宋体" w:hAnsi="宋体" w:cs="宋体"/>
                <w:color w:val="auto"/>
                <w:highlight w:val="none"/>
              </w:rPr>
            </w:pPr>
            <w:r>
              <w:rPr>
                <w:rFonts w:hint="eastAsia" w:ascii="宋体" w:hAnsi="宋体" w:cs="宋体"/>
                <w:color w:val="auto"/>
                <w:highlight w:val="none"/>
              </w:rPr>
              <w:t>3.6</w:t>
            </w:r>
          </w:p>
        </w:tc>
        <w:tc>
          <w:tcPr>
            <w:tcW w:w="2255" w:type="dxa"/>
            <w:tcBorders>
              <w:top w:val="single" w:color="auto" w:sz="4" w:space="0"/>
              <w:left w:val="single" w:color="auto" w:sz="4" w:space="0"/>
              <w:bottom w:val="single" w:color="auto" w:sz="4" w:space="0"/>
              <w:right w:val="single" w:color="auto" w:sz="4" w:space="0"/>
            </w:tcBorders>
            <w:vAlign w:val="center"/>
          </w:tcPr>
          <w:p w14:paraId="2F28BF41">
            <w:pPr>
              <w:kinsoku/>
              <w:spacing w:line="400" w:lineRule="exact"/>
              <w:jc w:val="center"/>
              <w:rPr>
                <w:rFonts w:ascii="宋体" w:hAnsi="宋体" w:cs="宋体"/>
                <w:color w:val="auto"/>
                <w:highlight w:val="none"/>
                <w:lang w:eastAsia="zh-CN"/>
              </w:rPr>
            </w:pPr>
            <w:r>
              <w:rPr>
                <w:rFonts w:hint="eastAsia" w:ascii="宋体" w:hAnsi="宋体" w:cs="宋体"/>
                <w:color w:val="auto"/>
                <w:highlight w:val="none"/>
                <w:lang w:eastAsia="zh-CN"/>
              </w:rPr>
              <w:t>是否允许递交备选磋商方案</w:t>
            </w:r>
          </w:p>
        </w:tc>
        <w:tc>
          <w:tcPr>
            <w:tcW w:w="5530" w:type="dxa"/>
            <w:tcBorders>
              <w:top w:val="single" w:color="auto" w:sz="4" w:space="0"/>
              <w:left w:val="single" w:color="auto" w:sz="4" w:space="0"/>
              <w:bottom w:val="single" w:color="auto" w:sz="4" w:space="0"/>
              <w:right w:val="single" w:color="auto" w:sz="4" w:space="0"/>
            </w:tcBorders>
            <w:vAlign w:val="center"/>
          </w:tcPr>
          <w:p w14:paraId="6941ADA8">
            <w:pPr>
              <w:pStyle w:val="14"/>
              <w:kinsoku/>
              <w:topLinePunct/>
              <w:spacing w:line="400" w:lineRule="exact"/>
              <w:rPr>
                <w:rFonts w:ascii="宋体" w:hAnsi="宋体" w:cs="宋体"/>
                <w:color w:val="auto"/>
                <w:kern w:val="2"/>
                <w:sz w:val="21"/>
                <w:szCs w:val="21"/>
                <w:highlight w:val="none"/>
              </w:rPr>
            </w:pPr>
            <w:r>
              <w:rPr>
                <w:rFonts w:hint="eastAsia" w:ascii="宋体" w:hAnsi="宋体" w:cs="宋体"/>
                <w:color w:val="auto"/>
                <w:kern w:val="2"/>
                <w:sz w:val="21"/>
                <w:szCs w:val="21"/>
                <w:highlight w:val="none"/>
              </w:rPr>
              <w:t>不允许</w:t>
            </w:r>
          </w:p>
        </w:tc>
      </w:tr>
      <w:tr w14:paraId="70D07046">
        <w:tblPrEx>
          <w:tblCellMar>
            <w:top w:w="0" w:type="dxa"/>
            <w:left w:w="108" w:type="dxa"/>
            <w:bottom w:w="0" w:type="dxa"/>
            <w:right w:w="108" w:type="dxa"/>
          </w:tblCellMar>
        </w:tblPrEx>
        <w:trPr>
          <w:trHeight w:val="1660"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14:paraId="37204579">
            <w:pPr>
              <w:kinsoku/>
              <w:spacing w:line="400" w:lineRule="exact"/>
              <w:jc w:val="center"/>
              <w:rPr>
                <w:rFonts w:ascii="宋体" w:hAnsi="宋体" w:cs="宋体"/>
                <w:color w:val="auto"/>
                <w:highlight w:val="none"/>
              </w:rPr>
            </w:pPr>
            <w:r>
              <w:rPr>
                <w:rFonts w:hint="eastAsia" w:ascii="宋体" w:hAnsi="宋体" w:cs="宋体"/>
                <w:color w:val="auto"/>
                <w:highlight w:val="none"/>
              </w:rPr>
              <w:t>3.7.3</w:t>
            </w:r>
          </w:p>
        </w:tc>
        <w:tc>
          <w:tcPr>
            <w:tcW w:w="2255" w:type="dxa"/>
            <w:tcBorders>
              <w:top w:val="single" w:color="auto" w:sz="4" w:space="0"/>
              <w:left w:val="single" w:color="auto" w:sz="4" w:space="0"/>
              <w:bottom w:val="single" w:color="auto" w:sz="4" w:space="0"/>
              <w:right w:val="single" w:color="auto" w:sz="4" w:space="0"/>
            </w:tcBorders>
            <w:vAlign w:val="center"/>
          </w:tcPr>
          <w:p w14:paraId="44CDACA6">
            <w:pPr>
              <w:kinsoku/>
              <w:spacing w:line="400" w:lineRule="exact"/>
              <w:jc w:val="center"/>
              <w:rPr>
                <w:rFonts w:ascii="宋体" w:hAnsi="宋体" w:cs="宋体"/>
                <w:color w:val="auto"/>
                <w:highlight w:val="none"/>
                <w:lang w:eastAsia="zh-CN"/>
              </w:rPr>
            </w:pPr>
            <w:r>
              <w:rPr>
                <w:rFonts w:hint="eastAsia" w:ascii="宋体" w:hAnsi="宋体" w:cs="宋体"/>
                <w:color w:val="auto"/>
                <w:highlight w:val="none"/>
                <w:lang w:eastAsia="zh-CN"/>
              </w:rPr>
              <w:t>电子响应文件签字盖章要求</w:t>
            </w:r>
          </w:p>
        </w:tc>
        <w:tc>
          <w:tcPr>
            <w:tcW w:w="5530" w:type="dxa"/>
            <w:tcBorders>
              <w:top w:val="single" w:color="auto" w:sz="4" w:space="0"/>
              <w:left w:val="single" w:color="auto" w:sz="4" w:space="0"/>
              <w:bottom w:val="single" w:color="auto" w:sz="4" w:space="0"/>
              <w:right w:val="single" w:color="auto" w:sz="4" w:space="0"/>
            </w:tcBorders>
            <w:vAlign w:val="center"/>
          </w:tcPr>
          <w:p w14:paraId="68F9A994">
            <w:pPr>
              <w:kinsoku/>
              <w:spacing w:line="400" w:lineRule="exact"/>
              <w:rPr>
                <w:rFonts w:ascii="宋体" w:hAnsi="宋体" w:cs="宋体"/>
                <w:color w:val="auto"/>
                <w:highlight w:val="none"/>
                <w:lang w:eastAsia="zh-CN"/>
              </w:rPr>
            </w:pPr>
            <w:r>
              <w:rPr>
                <w:rFonts w:hint="eastAsia" w:ascii="宋体" w:hAnsi="宋体" w:cs="宋体"/>
                <w:color w:val="auto"/>
                <w:highlight w:val="none"/>
                <w:lang w:eastAsia="zh-CN"/>
              </w:rPr>
              <w:t>（1）所有要求供应商加盖公章的地方都须加盖供应商的 CA 印章。</w:t>
            </w:r>
          </w:p>
          <w:p w14:paraId="46961C01">
            <w:pPr>
              <w:kinsoku/>
              <w:spacing w:line="400" w:lineRule="exact"/>
              <w:rPr>
                <w:rFonts w:ascii="宋体" w:hAnsi="宋体" w:cs="宋体"/>
                <w:color w:val="auto"/>
                <w:highlight w:val="none"/>
                <w:lang w:eastAsia="zh-CN"/>
              </w:rPr>
            </w:pPr>
            <w:r>
              <w:rPr>
                <w:rFonts w:hint="eastAsia" w:ascii="宋体" w:hAnsi="宋体" w:cs="宋体"/>
                <w:color w:val="auto"/>
                <w:highlight w:val="none"/>
                <w:lang w:eastAsia="zh-CN"/>
              </w:rPr>
              <w:t>（2）所有要求法定代表人或其委托代理人签字的地方都须法定代表人或其委托代理人加盖CA印章或签字。</w:t>
            </w:r>
          </w:p>
        </w:tc>
      </w:tr>
      <w:tr w14:paraId="6D230B80">
        <w:tblPrEx>
          <w:tblCellMar>
            <w:top w:w="0" w:type="dxa"/>
            <w:left w:w="108" w:type="dxa"/>
            <w:bottom w:w="0" w:type="dxa"/>
            <w:right w:w="108" w:type="dxa"/>
          </w:tblCellMar>
        </w:tblPrEx>
        <w:trPr>
          <w:trHeight w:val="7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14:paraId="201A67F5">
            <w:pPr>
              <w:kinsoku/>
              <w:spacing w:line="400" w:lineRule="exact"/>
              <w:jc w:val="center"/>
              <w:rPr>
                <w:rFonts w:ascii="宋体" w:hAnsi="宋体" w:cs="宋体"/>
                <w:bCs/>
                <w:color w:val="auto"/>
                <w:highlight w:val="none"/>
              </w:rPr>
            </w:pPr>
            <w:r>
              <w:rPr>
                <w:rFonts w:hint="eastAsia" w:ascii="宋体" w:hAnsi="宋体" w:cs="宋体"/>
                <w:bCs/>
                <w:color w:val="auto"/>
                <w:highlight w:val="none"/>
              </w:rPr>
              <w:t>3.7.4</w:t>
            </w:r>
          </w:p>
        </w:tc>
        <w:tc>
          <w:tcPr>
            <w:tcW w:w="2255" w:type="dxa"/>
            <w:tcBorders>
              <w:top w:val="single" w:color="auto" w:sz="4" w:space="0"/>
              <w:left w:val="single" w:color="auto" w:sz="4" w:space="0"/>
              <w:bottom w:val="single" w:color="auto" w:sz="4" w:space="0"/>
              <w:right w:val="single" w:color="auto" w:sz="4" w:space="0"/>
            </w:tcBorders>
            <w:vAlign w:val="center"/>
          </w:tcPr>
          <w:p w14:paraId="46BE1CF0">
            <w:pPr>
              <w:kinsoku/>
              <w:spacing w:line="400" w:lineRule="exact"/>
              <w:jc w:val="center"/>
              <w:rPr>
                <w:rFonts w:ascii="宋体" w:hAnsi="宋体" w:cs="宋体"/>
                <w:bCs/>
                <w:color w:val="auto"/>
                <w:highlight w:val="none"/>
              </w:rPr>
            </w:pPr>
            <w:r>
              <w:rPr>
                <w:rFonts w:hint="eastAsia" w:ascii="宋体" w:hAnsi="宋体" w:cs="宋体"/>
                <w:bCs/>
                <w:color w:val="auto"/>
                <w:highlight w:val="none"/>
              </w:rPr>
              <w:t>响应文件份数</w:t>
            </w:r>
          </w:p>
        </w:tc>
        <w:tc>
          <w:tcPr>
            <w:tcW w:w="5530" w:type="dxa"/>
            <w:tcBorders>
              <w:top w:val="single" w:color="auto" w:sz="4" w:space="0"/>
              <w:left w:val="single" w:color="auto" w:sz="4" w:space="0"/>
              <w:bottom w:val="single" w:color="auto" w:sz="4" w:space="0"/>
              <w:right w:val="single" w:color="auto" w:sz="4" w:space="0"/>
            </w:tcBorders>
            <w:vAlign w:val="center"/>
          </w:tcPr>
          <w:p w14:paraId="226F5916">
            <w:pPr>
              <w:kinsoku/>
              <w:spacing w:line="400" w:lineRule="exact"/>
              <w:rPr>
                <w:rFonts w:ascii="宋体" w:hAnsi="宋体" w:cs="宋体"/>
                <w:bCs/>
                <w:color w:val="auto"/>
                <w:highlight w:val="none"/>
                <w:lang w:eastAsia="zh-CN"/>
              </w:rPr>
            </w:pPr>
            <w:r>
              <w:rPr>
                <w:rFonts w:hint="eastAsia"/>
                <w:highlight w:val="none"/>
                <w:lang w:eastAsia="zh-CN"/>
              </w:rPr>
              <w:t>网上上传GEF电子磋商响应文件一份(按商丘市公共资源交易中心对电子磋商响应文件的要求进行制作，在系统指定位置上传)</w:t>
            </w:r>
          </w:p>
        </w:tc>
      </w:tr>
      <w:tr w14:paraId="16D9439A">
        <w:tblPrEx>
          <w:tblCellMar>
            <w:top w:w="0" w:type="dxa"/>
            <w:left w:w="108" w:type="dxa"/>
            <w:bottom w:w="0" w:type="dxa"/>
            <w:right w:w="108" w:type="dxa"/>
          </w:tblCellMar>
        </w:tblPrEx>
        <w:trPr>
          <w:trHeight w:val="617"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14:paraId="7E7C1061">
            <w:pPr>
              <w:kinsoku/>
              <w:spacing w:line="400" w:lineRule="exact"/>
              <w:jc w:val="center"/>
              <w:rPr>
                <w:rFonts w:ascii="宋体" w:hAnsi="宋体" w:cs="宋体"/>
                <w:color w:val="auto"/>
                <w:highlight w:val="none"/>
              </w:rPr>
            </w:pPr>
            <w:r>
              <w:rPr>
                <w:rFonts w:hint="eastAsia" w:ascii="宋体" w:hAnsi="宋体" w:cs="宋体"/>
                <w:color w:val="auto"/>
                <w:highlight w:val="none"/>
              </w:rPr>
              <w:t>4.2</w:t>
            </w:r>
          </w:p>
        </w:tc>
        <w:tc>
          <w:tcPr>
            <w:tcW w:w="2255" w:type="dxa"/>
            <w:tcBorders>
              <w:top w:val="single" w:color="auto" w:sz="4" w:space="0"/>
              <w:left w:val="single" w:color="auto" w:sz="4" w:space="0"/>
              <w:bottom w:val="single" w:color="auto" w:sz="4" w:space="0"/>
              <w:right w:val="single" w:color="auto" w:sz="4" w:space="0"/>
            </w:tcBorders>
            <w:vAlign w:val="center"/>
          </w:tcPr>
          <w:p w14:paraId="00E9DE8B">
            <w:pPr>
              <w:kinsoku/>
              <w:spacing w:line="400" w:lineRule="exact"/>
              <w:jc w:val="center"/>
              <w:rPr>
                <w:rFonts w:ascii="宋体" w:hAnsi="宋体" w:cs="宋体"/>
                <w:color w:val="auto"/>
                <w:highlight w:val="none"/>
              </w:rPr>
            </w:pPr>
            <w:r>
              <w:rPr>
                <w:rFonts w:hint="eastAsia" w:ascii="宋体" w:hAnsi="宋体" w:cs="宋体"/>
                <w:color w:val="auto"/>
                <w:highlight w:val="none"/>
              </w:rPr>
              <w:t>响应文件的递交</w:t>
            </w:r>
          </w:p>
        </w:tc>
        <w:tc>
          <w:tcPr>
            <w:tcW w:w="5530" w:type="dxa"/>
            <w:tcBorders>
              <w:top w:val="single" w:color="auto" w:sz="4" w:space="0"/>
              <w:left w:val="single" w:color="auto" w:sz="4" w:space="0"/>
              <w:bottom w:val="single" w:color="auto" w:sz="4" w:space="0"/>
              <w:right w:val="single" w:color="auto" w:sz="4" w:space="0"/>
            </w:tcBorders>
            <w:vAlign w:val="center"/>
          </w:tcPr>
          <w:p w14:paraId="6A4C1D8B">
            <w:pPr>
              <w:kinsoku/>
              <w:spacing w:line="400" w:lineRule="exact"/>
              <w:rPr>
                <w:rFonts w:ascii="宋体" w:hAnsi="宋体" w:cs="宋体"/>
                <w:color w:val="auto"/>
                <w:highlight w:val="none"/>
                <w:lang w:eastAsia="zh-CN"/>
              </w:rPr>
            </w:pPr>
            <w:r>
              <w:rPr>
                <w:rFonts w:hint="eastAsia" w:ascii="宋体" w:hAnsi="宋体" w:cs="宋体"/>
                <w:color w:val="auto"/>
                <w:highlight w:val="none"/>
                <w:lang w:eastAsia="zh-CN"/>
              </w:rPr>
              <w:t>在电子投标文件网上递交的截止时间前，使用CA锁登录后将已固化且加密的电子投标文件通过网上递交的方式在投标专区自行网上递交，并确保网上递交成功（为保证文件正常网上递交，请投标人错峰上传，详细操作可参阅交易平台办事服务-操作指南-投标阶段）；</w:t>
            </w:r>
          </w:p>
        </w:tc>
      </w:tr>
      <w:tr w14:paraId="00E4E3FE">
        <w:tblPrEx>
          <w:tblCellMar>
            <w:top w:w="0" w:type="dxa"/>
            <w:left w:w="108" w:type="dxa"/>
            <w:bottom w:w="0" w:type="dxa"/>
            <w:right w:w="108" w:type="dxa"/>
          </w:tblCellMar>
        </w:tblPrEx>
        <w:trPr>
          <w:trHeight w:val="911"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14:paraId="076F2295">
            <w:pPr>
              <w:kinsoku/>
              <w:spacing w:line="400" w:lineRule="exact"/>
              <w:jc w:val="center"/>
              <w:rPr>
                <w:rFonts w:ascii="宋体" w:hAnsi="宋体" w:cs="宋体"/>
                <w:color w:val="auto"/>
                <w:highlight w:val="none"/>
              </w:rPr>
            </w:pPr>
            <w:r>
              <w:rPr>
                <w:rFonts w:hint="eastAsia" w:ascii="宋体" w:hAnsi="宋体" w:cs="宋体"/>
                <w:color w:val="auto"/>
                <w:highlight w:val="none"/>
              </w:rPr>
              <w:t>5.1</w:t>
            </w:r>
          </w:p>
        </w:tc>
        <w:tc>
          <w:tcPr>
            <w:tcW w:w="2255" w:type="dxa"/>
            <w:tcBorders>
              <w:top w:val="single" w:color="auto" w:sz="4" w:space="0"/>
              <w:left w:val="single" w:color="auto" w:sz="4" w:space="0"/>
              <w:bottom w:val="single" w:color="auto" w:sz="4" w:space="0"/>
              <w:right w:val="single" w:color="auto" w:sz="4" w:space="0"/>
            </w:tcBorders>
            <w:vAlign w:val="center"/>
          </w:tcPr>
          <w:p w14:paraId="4490B80F">
            <w:pPr>
              <w:kinsoku/>
              <w:spacing w:line="400" w:lineRule="exact"/>
              <w:jc w:val="center"/>
              <w:rPr>
                <w:rFonts w:ascii="宋体" w:hAnsi="宋体" w:cs="宋体"/>
                <w:color w:val="auto"/>
                <w:highlight w:val="none"/>
                <w:lang w:eastAsia="zh-CN"/>
              </w:rPr>
            </w:pPr>
            <w:r>
              <w:rPr>
                <w:rFonts w:hint="eastAsia" w:ascii="宋体" w:hAnsi="宋体" w:cs="宋体"/>
                <w:color w:val="auto"/>
                <w:highlight w:val="none"/>
                <w:lang w:eastAsia="zh-CN"/>
              </w:rPr>
              <w:t>提交响应文件</w:t>
            </w:r>
          </w:p>
          <w:p w14:paraId="6EEB7A77">
            <w:pPr>
              <w:kinsoku/>
              <w:spacing w:line="400" w:lineRule="exact"/>
              <w:jc w:val="center"/>
              <w:rPr>
                <w:rFonts w:ascii="宋体" w:hAnsi="宋体" w:cs="宋体"/>
                <w:color w:val="auto"/>
                <w:highlight w:val="none"/>
                <w:lang w:eastAsia="zh-CN"/>
              </w:rPr>
            </w:pPr>
            <w:r>
              <w:rPr>
                <w:rFonts w:hint="eastAsia" w:ascii="宋体" w:hAnsi="宋体" w:cs="宋体"/>
                <w:color w:val="auto"/>
                <w:highlight w:val="none"/>
                <w:lang w:eastAsia="zh-CN"/>
              </w:rPr>
              <w:t>截止时间</w:t>
            </w:r>
          </w:p>
        </w:tc>
        <w:tc>
          <w:tcPr>
            <w:tcW w:w="5530" w:type="dxa"/>
            <w:tcBorders>
              <w:top w:val="single" w:color="auto" w:sz="4" w:space="0"/>
              <w:left w:val="single" w:color="auto" w:sz="4" w:space="0"/>
              <w:bottom w:val="single" w:color="auto" w:sz="4" w:space="0"/>
              <w:right w:val="single" w:color="auto" w:sz="4" w:space="0"/>
            </w:tcBorders>
            <w:vAlign w:val="center"/>
          </w:tcPr>
          <w:p w14:paraId="35492D4D">
            <w:pPr>
              <w:kinsoku/>
              <w:spacing w:line="400" w:lineRule="exact"/>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详见磋商公告</w:t>
            </w:r>
          </w:p>
        </w:tc>
      </w:tr>
      <w:tr w14:paraId="77EF31DB">
        <w:tblPrEx>
          <w:tblCellMar>
            <w:top w:w="0" w:type="dxa"/>
            <w:left w:w="108" w:type="dxa"/>
            <w:bottom w:w="0" w:type="dxa"/>
            <w:right w:w="108" w:type="dxa"/>
          </w:tblCellMar>
        </w:tblPrEx>
        <w:trPr>
          <w:trHeight w:val="685"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14:paraId="3ACB14C9">
            <w:pPr>
              <w:kinsoku/>
              <w:spacing w:line="400" w:lineRule="exact"/>
              <w:jc w:val="center"/>
              <w:rPr>
                <w:rFonts w:ascii="宋体" w:hAnsi="宋体" w:cs="宋体"/>
                <w:color w:val="auto"/>
                <w:highlight w:val="none"/>
              </w:rPr>
            </w:pPr>
            <w:r>
              <w:rPr>
                <w:rFonts w:hint="eastAsia" w:ascii="宋体" w:hAnsi="宋体" w:cs="宋体"/>
                <w:color w:val="auto"/>
                <w:highlight w:val="none"/>
              </w:rPr>
              <w:t>5.1.1</w:t>
            </w:r>
          </w:p>
        </w:tc>
        <w:tc>
          <w:tcPr>
            <w:tcW w:w="2255" w:type="dxa"/>
            <w:tcBorders>
              <w:top w:val="single" w:color="auto" w:sz="4" w:space="0"/>
              <w:left w:val="single" w:color="auto" w:sz="4" w:space="0"/>
              <w:bottom w:val="single" w:color="auto" w:sz="4" w:space="0"/>
              <w:right w:val="single" w:color="auto" w:sz="4" w:space="0"/>
            </w:tcBorders>
            <w:vAlign w:val="center"/>
          </w:tcPr>
          <w:p w14:paraId="41D43448">
            <w:pPr>
              <w:kinsoku/>
              <w:spacing w:line="400" w:lineRule="exact"/>
              <w:jc w:val="center"/>
              <w:rPr>
                <w:rFonts w:ascii="宋体" w:hAnsi="宋体" w:cs="宋体"/>
                <w:color w:val="auto"/>
                <w:highlight w:val="none"/>
              </w:rPr>
            </w:pPr>
            <w:r>
              <w:rPr>
                <w:rFonts w:hint="eastAsia" w:ascii="宋体" w:hAnsi="宋体" w:cs="宋体"/>
                <w:color w:val="auto"/>
                <w:highlight w:val="none"/>
              </w:rPr>
              <w:t>磋商时间和地点</w:t>
            </w:r>
          </w:p>
        </w:tc>
        <w:tc>
          <w:tcPr>
            <w:tcW w:w="5530" w:type="dxa"/>
            <w:tcBorders>
              <w:top w:val="single" w:color="auto" w:sz="4" w:space="0"/>
              <w:left w:val="single" w:color="auto" w:sz="4" w:space="0"/>
              <w:bottom w:val="single" w:color="auto" w:sz="4" w:space="0"/>
              <w:right w:val="single" w:color="auto" w:sz="4" w:space="0"/>
            </w:tcBorders>
            <w:vAlign w:val="center"/>
          </w:tcPr>
          <w:p w14:paraId="01A3864F">
            <w:pPr>
              <w:kinsoku/>
              <w:spacing w:line="400" w:lineRule="exact"/>
              <w:rPr>
                <w:rFonts w:ascii="宋体" w:hAnsi="宋体" w:eastAsia="宋体" w:cs="宋体"/>
                <w:color w:val="auto"/>
                <w:highlight w:val="none"/>
                <w:lang w:eastAsia="zh-CN"/>
              </w:rPr>
            </w:pPr>
            <w:r>
              <w:rPr>
                <w:rFonts w:hint="eastAsia" w:ascii="宋体" w:hAnsi="宋体" w:cs="宋体"/>
                <w:color w:val="auto"/>
                <w:highlight w:val="none"/>
                <w:lang w:eastAsia="zh-CN"/>
              </w:rPr>
              <w:t>磋商时间：详见磋商公告</w:t>
            </w:r>
          </w:p>
          <w:p w14:paraId="504F0D2D">
            <w:pPr>
              <w:kinsoku/>
              <w:spacing w:line="400" w:lineRule="exact"/>
              <w:rPr>
                <w:rFonts w:ascii="宋体" w:hAnsi="宋体" w:eastAsia="宋体" w:cs="宋体"/>
                <w:color w:val="auto"/>
                <w:highlight w:val="none"/>
                <w:lang w:eastAsia="zh-CN"/>
              </w:rPr>
            </w:pPr>
            <w:r>
              <w:rPr>
                <w:rFonts w:hint="eastAsia" w:ascii="宋体" w:hAnsi="宋体" w:cs="宋体"/>
                <w:color w:val="auto"/>
                <w:highlight w:val="none"/>
                <w:lang w:eastAsia="zh-CN"/>
              </w:rPr>
              <w:t>磋商地点：详见磋商公告</w:t>
            </w:r>
          </w:p>
        </w:tc>
      </w:tr>
      <w:tr w14:paraId="1660AE92">
        <w:tblPrEx>
          <w:tblCellMar>
            <w:top w:w="0" w:type="dxa"/>
            <w:left w:w="108" w:type="dxa"/>
            <w:bottom w:w="0" w:type="dxa"/>
            <w:right w:w="108" w:type="dxa"/>
          </w:tblCellMar>
        </w:tblPrEx>
        <w:trPr>
          <w:trHeight w:val="544"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14:paraId="39827F0A">
            <w:pPr>
              <w:kinsoku/>
              <w:spacing w:line="400" w:lineRule="exact"/>
              <w:jc w:val="center"/>
              <w:rPr>
                <w:rFonts w:ascii="宋体" w:hAnsi="宋体" w:cs="宋体"/>
                <w:color w:val="auto"/>
                <w:highlight w:val="none"/>
              </w:rPr>
            </w:pPr>
            <w:r>
              <w:rPr>
                <w:rFonts w:hint="eastAsia" w:ascii="宋体" w:hAnsi="宋体" w:cs="宋体"/>
                <w:color w:val="auto"/>
                <w:highlight w:val="none"/>
              </w:rPr>
              <w:t>6.1</w:t>
            </w:r>
          </w:p>
        </w:tc>
        <w:tc>
          <w:tcPr>
            <w:tcW w:w="2255" w:type="dxa"/>
            <w:tcBorders>
              <w:top w:val="single" w:color="auto" w:sz="4" w:space="0"/>
              <w:left w:val="single" w:color="auto" w:sz="4" w:space="0"/>
              <w:bottom w:val="single" w:color="auto" w:sz="4" w:space="0"/>
              <w:right w:val="single" w:color="auto" w:sz="4" w:space="0"/>
            </w:tcBorders>
            <w:vAlign w:val="center"/>
          </w:tcPr>
          <w:p w14:paraId="5ECFBE3E">
            <w:pPr>
              <w:kinsoku/>
              <w:spacing w:line="400" w:lineRule="exact"/>
              <w:jc w:val="center"/>
              <w:rPr>
                <w:rFonts w:ascii="宋体" w:hAnsi="宋体" w:cs="宋体"/>
                <w:color w:val="auto"/>
                <w:highlight w:val="none"/>
              </w:rPr>
            </w:pPr>
            <w:r>
              <w:rPr>
                <w:rFonts w:hint="eastAsia" w:ascii="宋体" w:hAnsi="宋体" w:cs="宋体"/>
                <w:color w:val="auto"/>
                <w:highlight w:val="none"/>
              </w:rPr>
              <w:t>磋商小组的组建</w:t>
            </w:r>
          </w:p>
        </w:tc>
        <w:tc>
          <w:tcPr>
            <w:tcW w:w="5530" w:type="dxa"/>
            <w:tcBorders>
              <w:top w:val="single" w:color="auto" w:sz="4" w:space="0"/>
              <w:left w:val="single" w:color="auto" w:sz="4" w:space="0"/>
              <w:bottom w:val="single" w:color="auto" w:sz="4" w:space="0"/>
              <w:right w:val="single" w:color="auto" w:sz="4" w:space="0"/>
            </w:tcBorders>
            <w:vAlign w:val="center"/>
          </w:tcPr>
          <w:p w14:paraId="4E245E06">
            <w:pPr>
              <w:kinsoku/>
              <w:spacing w:line="400" w:lineRule="exact"/>
              <w:rPr>
                <w:rFonts w:ascii="宋体" w:hAnsi="宋体" w:cs="宋体"/>
                <w:color w:val="auto"/>
                <w:highlight w:val="none"/>
                <w:lang w:eastAsia="zh-CN"/>
              </w:rPr>
            </w:pPr>
            <w:r>
              <w:rPr>
                <w:rFonts w:ascii="宋体" w:hAnsi="宋体" w:cs="宋体"/>
                <w:color w:val="auto"/>
                <w:highlight w:val="none"/>
                <w:lang w:eastAsia="zh-CN"/>
              </w:rPr>
              <w:t>磋商小组构成：磋商小组评审专家由业主代表1名、相关专家库中随机抽取2名专家组成</w:t>
            </w:r>
            <w:r>
              <w:rPr>
                <w:rFonts w:hint="eastAsia" w:ascii="宋体" w:hAnsi="宋体" w:cs="宋体"/>
                <w:color w:val="auto"/>
                <w:highlight w:val="none"/>
                <w:lang w:eastAsia="zh-CN"/>
              </w:rPr>
              <w:t>，</w:t>
            </w:r>
            <w:r>
              <w:rPr>
                <w:rFonts w:ascii="宋体" w:hAnsi="宋体" w:cs="宋体"/>
                <w:color w:val="auto"/>
                <w:highlight w:val="none"/>
                <w:lang w:eastAsia="zh-CN"/>
              </w:rPr>
              <w:t>或者从相关专家库中随机抽取3名专家组成</w:t>
            </w:r>
            <w:r>
              <w:rPr>
                <w:rFonts w:hint="eastAsia" w:ascii="宋体" w:hAnsi="宋体" w:cs="宋体"/>
                <w:color w:val="auto"/>
                <w:highlight w:val="none"/>
                <w:lang w:eastAsia="zh-CN"/>
              </w:rPr>
              <w:t>。</w:t>
            </w:r>
          </w:p>
        </w:tc>
      </w:tr>
      <w:tr w14:paraId="22C160B9">
        <w:tblPrEx>
          <w:tblCellMar>
            <w:top w:w="0" w:type="dxa"/>
            <w:left w:w="108" w:type="dxa"/>
            <w:bottom w:w="0" w:type="dxa"/>
            <w:right w:w="108" w:type="dxa"/>
          </w:tblCellMar>
        </w:tblPrEx>
        <w:trPr>
          <w:trHeight w:val="735"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14:paraId="5CADB0A7">
            <w:pPr>
              <w:kinsoku/>
              <w:spacing w:line="400" w:lineRule="exact"/>
              <w:jc w:val="center"/>
              <w:rPr>
                <w:rFonts w:ascii="宋体" w:hAnsi="宋体" w:cs="宋体"/>
                <w:color w:val="auto"/>
                <w:highlight w:val="none"/>
              </w:rPr>
            </w:pPr>
            <w:r>
              <w:rPr>
                <w:rFonts w:hint="eastAsia" w:ascii="宋体" w:hAnsi="宋体" w:cs="宋体"/>
                <w:color w:val="auto"/>
                <w:highlight w:val="none"/>
              </w:rPr>
              <w:t>7.1</w:t>
            </w:r>
          </w:p>
        </w:tc>
        <w:tc>
          <w:tcPr>
            <w:tcW w:w="2255" w:type="dxa"/>
            <w:tcBorders>
              <w:top w:val="single" w:color="auto" w:sz="4" w:space="0"/>
              <w:left w:val="single" w:color="auto" w:sz="4" w:space="0"/>
              <w:bottom w:val="single" w:color="auto" w:sz="4" w:space="0"/>
              <w:right w:val="single" w:color="auto" w:sz="4" w:space="0"/>
            </w:tcBorders>
            <w:vAlign w:val="center"/>
          </w:tcPr>
          <w:p w14:paraId="49AEB293">
            <w:pPr>
              <w:kinsoku/>
              <w:spacing w:line="400" w:lineRule="exact"/>
              <w:jc w:val="center"/>
              <w:rPr>
                <w:rFonts w:ascii="宋体" w:hAnsi="宋体" w:cs="宋体"/>
                <w:color w:val="auto"/>
                <w:highlight w:val="none"/>
                <w:lang w:eastAsia="zh-CN"/>
              </w:rPr>
            </w:pPr>
            <w:r>
              <w:rPr>
                <w:rFonts w:hint="eastAsia" w:ascii="宋体" w:hAnsi="宋体" w:cs="宋体"/>
                <w:color w:val="auto"/>
                <w:highlight w:val="none"/>
                <w:lang w:eastAsia="zh-CN"/>
              </w:rPr>
              <w:t>是否授权磋商小组确定成交人</w:t>
            </w:r>
          </w:p>
        </w:tc>
        <w:tc>
          <w:tcPr>
            <w:tcW w:w="5530" w:type="dxa"/>
            <w:tcBorders>
              <w:top w:val="single" w:color="auto" w:sz="4" w:space="0"/>
              <w:left w:val="single" w:color="auto" w:sz="4" w:space="0"/>
              <w:bottom w:val="single" w:color="auto" w:sz="4" w:space="0"/>
              <w:right w:val="single" w:color="auto" w:sz="4" w:space="0"/>
            </w:tcBorders>
            <w:vAlign w:val="center"/>
          </w:tcPr>
          <w:p w14:paraId="2302B3A8">
            <w:pPr>
              <w:kinsoku/>
              <w:spacing w:line="400" w:lineRule="exact"/>
              <w:rPr>
                <w:rFonts w:ascii="宋体" w:hAnsi="宋体" w:cs="宋体"/>
                <w:color w:val="auto"/>
                <w:highlight w:val="none"/>
                <w:lang w:eastAsia="zh-CN"/>
              </w:rPr>
            </w:pPr>
            <w:r>
              <w:rPr>
                <w:rFonts w:hint="eastAsia" w:ascii="宋体" w:hAnsi="宋体" w:cs="宋体"/>
                <w:color w:val="auto"/>
                <w:highlight w:val="none"/>
                <w:lang w:eastAsia="zh-CN"/>
              </w:rPr>
              <w:t>否；推荐的成交候选人数：3名</w:t>
            </w:r>
          </w:p>
        </w:tc>
      </w:tr>
      <w:tr w14:paraId="120A6342">
        <w:tblPrEx>
          <w:tblCellMar>
            <w:top w:w="0" w:type="dxa"/>
            <w:left w:w="108" w:type="dxa"/>
            <w:bottom w:w="0" w:type="dxa"/>
            <w:right w:w="108" w:type="dxa"/>
          </w:tblCellMar>
        </w:tblPrEx>
        <w:trPr>
          <w:trHeight w:val="735"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14:paraId="318B3972">
            <w:pPr>
              <w:kinsoku/>
              <w:spacing w:line="400" w:lineRule="exact"/>
              <w:jc w:val="center"/>
              <w:rPr>
                <w:rFonts w:ascii="宋体" w:hAnsi="宋体" w:cs="宋体"/>
                <w:color w:val="auto"/>
                <w:highlight w:val="none"/>
              </w:rPr>
            </w:pPr>
            <w:r>
              <w:rPr>
                <w:rFonts w:hint="eastAsia" w:ascii="宋体" w:hAnsi="宋体" w:cs="宋体"/>
                <w:color w:val="auto"/>
                <w:highlight w:val="none"/>
              </w:rPr>
              <w:t>7.3</w:t>
            </w:r>
          </w:p>
        </w:tc>
        <w:tc>
          <w:tcPr>
            <w:tcW w:w="2255" w:type="dxa"/>
            <w:tcBorders>
              <w:top w:val="single" w:color="auto" w:sz="4" w:space="0"/>
              <w:left w:val="single" w:color="auto" w:sz="4" w:space="0"/>
              <w:bottom w:val="single" w:color="auto" w:sz="4" w:space="0"/>
              <w:right w:val="single" w:color="auto" w:sz="4" w:space="0"/>
            </w:tcBorders>
            <w:vAlign w:val="center"/>
          </w:tcPr>
          <w:p w14:paraId="50A7825C">
            <w:pPr>
              <w:kinsoku/>
              <w:spacing w:line="400" w:lineRule="exact"/>
              <w:jc w:val="center"/>
              <w:rPr>
                <w:rFonts w:ascii="宋体" w:hAnsi="宋体" w:cs="宋体"/>
                <w:color w:val="auto"/>
                <w:highlight w:val="none"/>
              </w:rPr>
            </w:pPr>
            <w:r>
              <w:rPr>
                <w:rFonts w:hint="eastAsia" w:ascii="宋体" w:hAnsi="宋体" w:cs="宋体"/>
                <w:color w:val="auto"/>
                <w:highlight w:val="none"/>
              </w:rPr>
              <w:t>履约保证金</w:t>
            </w:r>
          </w:p>
        </w:tc>
        <w:tc>
          <w:tcPr>
            <w:tcW w:w="5530" w:type="dxa"/>
            <w:tcBorders>
              <w:top w:val="single" w:color="auto" w:sz="4" w:space="0"/>
              <w:left w:val="single" w:color="auto" w:sz="4" w:space="0"/>
              <w:bottom w:val="single" w:color="auto" w:sz="4" w:space="0"/>
              <w:right w:val="single" w:color="auto" w:sz="4" w:space="0"/>
            </w:tcBorders>
            <w:vAlign w:val="center"/>
          </w:tcPr>
          <w:p w14:paraId="3502483D">
            <w:pPr>
              <w:kinsoku/>
              <w:spacing w:line="400" w:lineRule="exact"/>
              <w:rPr>
                <w:rFonts w:ascii="宋体" w:hAnsi="宋体" w:cs="宋体"/>
                <w:color w:val="auto"/>
                <w:highlight w:val="none"/>
              </w:rPr>
            </w:pPr>
            <w:r>
              <w:rPr>
                <w:rFonts w:hint="eastAsia" w:ascii="宋体" w:hAnsi="宋体" w:cs="宋体"/>
                <w:color w:val="auto"/>
                <w:highlight w:val="none"/>
              </w:rPr>
              <w:t>无</w:t>
            </w:r>
          </w:p>
        </w:tc>
      </w:tr>
      <w:tr w14:paraId="3796289B">
        <w:tblPrEx>
          <w:tblCellMar>
            <w:top w:w="0" w:type="dxa"/>
            <w:left w:w="108" w:type="dxa"/>
            <w:bottom w:w="0" w:type="dxa"/>
            <w:right w:w="108" w:type="dxa"/>
          </w:tblCellMar>
        </w:tblPrEx>
        <w:trPr>
          <w:trHeight w:val="735"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14:paraId="06FA639F">
            <w:pPr>
              <w:kinsoku/>
              <w:spacing w:line="400" w:lineRule="exact"/>
              <w:jc w:val="center"/>
              <w:rPr>
                <w:rFonts w:ascii="宋体" w:hAnsi="宋体" w:eastAsia="宋体" w:cs="宋体"/>
                <w:color w:val="auto"/>
                <w:highlight w:val="none"/>
                <w:lang w:eastAsia="zh-CN"/>
              </w:rPr>
            </w:pPr>
            <w:r>
              <w:rPr>
                <w:rFonts w:hint="eastAsia" w:ascii="宋体" w:hAnsi="宋体" w:cs="宋体"/>
                <w:color w:val="auto"/>
                <w:highlight w:val="none"/>
                <w:lang w:eastAsia="zh-CN"/>
              </w:rPr>
              <w:t>7.4</w:t>
            </w:r>
          </w:p>
        </w:tc>
        <w:tc>
          <w:tcPr>
            <w:tcW w:w="2255" w:type="dxa"/>
            <w:tcBorders>
              <w:top w:val="single" w:color="auto" w:sz="4" w:space="0"/>
              <w:left w:val="single" w:color="auto" w:sz="4" w:space="0"/>
              <w:bottom w:val="single" w:color="auto" w:sz="4" w:space="0"/>
              <w:right w:val="single" w:color="auto" w:sz="4" w:space="0"/>
            </w:tcBorders>
            <w:vAlign w:val="center"/>
          </w:tcPr>
          <w:p w14:paraId="734AB872">
            <w:pPr>
              <w:pStyle w:val="35"/>
              <w:ind w:firstLine="0"/>
              <w:jc w:val="center"/>
              <w:rPr>
                <w:rFonts w:ascii="宋体" w:hAnsi="宋体" w:cs="宋体"/>
                <w:szCs w:val="21"/>
                <w:highlight w:val="none"/>
              </w:rPr>
            </w:pPr>
            <w:r>
              <w:rPr>
                <w:rFonts w:hint="eastAsia" w:ascii="宋体" w:hAnsi="宋体" w:eastAsia="宋体"/>
                <w:kern w:val="2"/>
                <w:sz w:val="22"/>
                <w:szCs w:val="22"/>
                <w:highlight w:val="none"/>
              </w:rPr>
              <w:t>落实政府采购政策要求</w:t>
            </w:r>
          </w:p>
        </w:tc>
        <w:tc>
          <w:tcPr>
            <w:tcW w:w="5530" w:type="dxa"/>
            <w:tcBorders>
              <w:top w:val="single" w:color="auto" w:sz="4" w:space="0"/>
              <w:left w:val="single" w:color="auto" w:sz="4" w:space="0"/>
              <w:bottom w:val="single" w:color="auto" w:sz="4" w:space="0"/>
              <w:right w:val="single" w:color="auto" w:sz="4" w:space="0"/>
            </w:tcBorders>
            <w:vAlign w:val="center"/>
          </w:tcPr>
          <w:p w14:paraId="6FE9DDD0">
            <w:pPr>
              <w:pStyle w:val="35"/>
              <w:ind w:firstLine="0"/>
              <w:jc w:val="left"/>
              <w:rPr>
                <w:rFonts w:hint="eastAsia" w:ascii="宋体" w:hAnsi="宋体" w:eastAsia="微软雅黑" w:cs="宋体"/>
                <w:szCs w:val="21"/>
                <w:highlight w:val="none"/>
                <w:lang w:val="en-US" w:eastAsia="zh-CN"/>
              </w:rPr>
            </w:pPr>
            <w:r>
              <w:rPr>
                <w:rFonts w:hint="eastAsia" w:ascii="宋体" w:hAnsi="宋体" w:cs="宋体"/>
                <w:szCs w:val="21"/>
                <w:highlight w:val="none"/>
                <w:lang w:val="en-US" w:eastAsia="zh-CN"/>
              </w:rPr>
              <w:t>详见磋商公告</w:t>
            </w:r>
          </w:p>
        </w:tc>
      </w:tr>
      <w:tr w14:paraId="2525A950">
        <w:tblPrEx>
          <w:tblCellMar>
            <w:top w:w="0" w:type="dxa"/>
            <w:left w:w="108" w:type="dxa"/>
            <w:bottom w:w="0" w:type="dxa"/>
            <w:right w:w="108" w:type="dxa"/>
          </w:tblCellMar>
        </w:tblPrEx>
        <w:trPr>
          <w:trHeight w:val="90"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14:paraId="68A5AF98">
            <w:pPr>
              <w:kinsoku/>
              <w:spacing w:line="400" w:lineRule="exact"/>
              <w:jc w:val="center"/>
              <w:rPr>
                <w:rFonts w:ascii="宋体" w:hAnsi="宋体" w:cs="宋体"/>
                <w:color w:val="auto"/>
                <w:highlight w:val="none"/>
                <w:lang w:eastAsia="zh-CN"/>
              </w:rPr>
            </w:pPr>
            <w:r>
              <w:rPr>
                <w:rFonts w:hint="eastAsia" w:ascii="宋体" w:hAnsi="宋体" w:cs="宋体"/>
                <w:color w:val="auto"/>
                <w:highlight w:val="none"/>
                <w:lang w:eastAsia="zh-CN"/>
              </w:rPr>
              <w:t>7.5</w:t>
            </w:r>
          </w:p>
        </w:tc>
        <w:tc>
          <w:tcPr>
            <w:tcW w:w="2255" w:type="dxa"/>
            <w:tcBorders>
              <w:top w:val="single" w:color="auto" w:sz="4" w:space="0"/>
              <w:left w:val="single" w:color="auto" w:sz="4" w:space="0"/>
              <w:bottom w:val="single" w:color="auto" w:sz="4" w:space="0"/>
              <w:right w:val="single" w:color="auto" w:sz="4" w:space="0"/>
            </w:tcBorders>
            <w:vAlign w:val="center"/>
          </w:tcPr>
          <w:p w14:paraId="69F4F202">
            <w:pPr>
              <w:pStyle w:val="35"/>
              <w:ind w:firstLine="0"/>
              <w:jc w:val="center"/>
              <w:rPr>
                <w:rFonts w:ascii="宋体" w:hAnsi="宋体" w:eastAsia="宋体"/>
                <w:kern w:val="2"/>
                <w:sz w:val="22"/>
                <w:szCs w:val="22"/>
                <w:highlight w:val="none"/>
              </w:rPr>
            </w:pPr>
            <w:r>
              <w:rPr>
                <w:rFonts w:hint="eastAsia" w:ascii="宋体" w:hAnsi="宋体" w:eastAsia="宋体"/>
                <w:kern w:val="2"/>
                <w:sz w:val="22"/>
                <w:szCs w:val="22"/>
                <w:highlight w:val="none"/>
              </w:rPr>
              <w:t>政府采购相关政策信息</w:t>
            </w:r>
          </w:p>
        </w:tc>
        <w:tc>
          <w:tcPr>
            <w:tcW w:w="5530" w:type="dxa"/>
            <w:tcBorders>
              <w:top w:val="single" w:color="auto" w:sz="4" w:space="0"/>
              <w:left w:val="single" w:color="auto" w:sz="4" w:space="0"/>
              <w:bottom w:val="single" w:color="auto" w:sz="4" w:space="0"/>
              <w:right w:val="single" w:color="auto" w:sz="4" w:space="0"/>
            </w:tcBorders>
            <w:vAlign w:val="center"/>
          </w:tcPr>
          <w:p w14:paraId="1E944316">
            <w:pPr>
              <w:pStyle w:val="35"/>
              <w:ind w:firstLine="0"/>
              <w:jc w:val="left"/>
              <w:rPr>
                <w:rFonts w:hint="eastAsia" w:ascii="宋体" w:hAnsi="宋体" w:eastAsia="宋体"/>
                <w:b w:val="0"/>
                <w:bCs w:val="0"/>
                <w:kern w:val="2"/>
                <w:sz w:val="22"/>
                <w:szCs w:val="22"/>
                <w:highlight w:val="none"/>
                <w:lang w:val="en-US" w:eastAsia="zh-CN"/>
              </w:rPr>
            </w:pPr>
            <w:r>
              <w:rPr>
                <w:rFonts w:hint="eastAsia" w:ascii="宋体" w:hAnsi="宋体" w:eastAsia="宋体"/>
                <w:b w:val="0"/>
                <w:bCs w:val="0"/>
                <w:kern w:val="2"/>
                <w:sz w:val="22"/>
                <w:szCs w:val="22"/>
                <w:highlight w:val="none"/>
                <w:lang w:val="en-US" w:eastAsia="zh-CN"/>
              </w:rPr>
              <w:t>根据《政府采购促进中小型 企业发展暂行办法》规定，本项目对小型和微型企业的价格给予20%的扣除（监狱企业、残疾 人福利性企业视同小型、微型企业），用扣除后的价格参与评审，参加政府采购活动的中小企业应当提供《中小企业声明函》，未填写中小企业声明函的在评标过程中不予认可，参加政府采购活动的残疾人福利性单位应当提供《残疾人福利性单位声明函》，未填写残疾人福利性单位声明函的在评标过程中不予认可。中标人如为小型和微型企业的，并在投标时填写了中小企业声明函，则需要在领取中标通知书时提供由相关政府部门出具的企业划型认定材料；中标人如为残疾人福利性企业的，并在投标时填写了残疾人福利性单位声明函，则需要在领取中标通知书时提供由相关政府部门出具的相关证明材料，若不能提供或提供的材料与投标时做出的声明不符，采购人有权取消该中标人的中标资格，并对因其造成的损失进行追责。</w:t>
            </w:r>
          </w:p>
          <w:p w14:paraId="657410C1">
            <w:pPr>
              <w:pStyle w:val="35"/>
              <w:ind w:firstLine="0"/>
              <w:jc w:val="left"/>
              <w:rPr>
                <w:rFonts w:hint="eastAsia" w:ascii="宋体" w:hAnsi="宋体" w:eastAsia="宋体"/>
                <w:b w:val="0"/>
                <w:bCs w:val="0"/>
                <w:kern w:val="2"/>
                <w:sz w:val="22"/>
                <w:szCs w:val="22"/>
                <w:highlight w:val="none"/>
              </w:rPr>
            </w:pPr>
            <w:r>
              <w:rPr>
                <w:rFonts w:hint="eastAsia" w:ascii="宋体" w:hAnsi="宋体" w:eastAsia="宋体"/>
                <w:b w:val="0"/>
                <w:bCs w:val="0"/>
                <w:kern w:val="2"/>
                <w:sz w:val="22"/>
                <w:szCs w:val="22"/>
                <w:highlight w:val="none"/>
                <w:lang w:val="en-US" w:eastAsia="zh-CN"/>
              </w:rPr>
              <w:t>注：本项目落实的政府采购政策：支持中小企业发展、强制采购节能产品、优先采购环境标志产品（如有）</w:t>
            </w:r>
            <w:r>
              <w:rPr>
                <w:rFonts w:hint="eastAsia" w:ascii="宋体" w:hAnsi="宋体" w:eastAsia="宋体"/>
                <w:b w:val="0"/>
                <w:bCs w:val="0"/>
                <w:kern w:val="2"/>
                <w:sz w:val="22"/>
                <w:szCs w:val="22"/>
                <w:highlight w:val="none"/>
              </w:rPr>
              <w:t xml:space="preserve"> </w:t>
            </w:r>
          </w:p>
          <w:p w14:paraId="68FAABF9">
            <w:pPr>
              <w:pStyle w:val="35"/>
              <w:ind w:firstLine="0"/>
              <w:jc w:val="left"/>
              <w:rPr>
                <w:highlight w:val="none"/>
              </w:rPr>
            </w:pPr>
          </w:p>
        </w:tc>
      </w:tr>
      <w:tr w14:paraId="128F267B">
        <w:tblPrEx>
          <w:tblCellMar>
            <w:top w:w="0" w:type="dxa"/>
            <w:left w:w="108" w:type="dxa"/>
            <w:bottom w:w="0" w:type="dxa"/>
            <w:right w:w="108" w:type="dxa"/>
          </w:tblCellMar>
        </w:tblPrEx>
        <w:trPr>
          <w:trHeight w:val="538" w:hRule="atLeast"/>
          <w:jc w:val="center"/>
        </w:trPr>
        <w:tc>
          <w:tcPr>
            <w:tcW w:w="8870" w:type="dxa"/>
            <w:gridSpan w:val="3"/>
            <w:tcBorders>
              <w:top w:val="single" w:color="auto" w:sz="4" w:space="0"/>
              <w:left w:val="single" w:color="auto" w:sz="4" w:space="0"/>
              <w:bottom w:val="single" w:color="auto" w:sz="4" w:space="0"/>
              <w:right w:val="single" w:color="auto" w:sz="4" w:space="0"/>
            </w:tcBorders>
            <w:vAlign w:val="center"/>
          </w:tcPr>
          <w:p w14:paraId="024536E5">
            <w:pPr>
              <w:kinsoku/>
              <w:spacing w:line="400" w:lineRule="exact"/>
              <w:jc w:val="center"/>
              <w:rPr>
                <w:rFonts w:ascii="宋体" w:hAnsi="宋体" w:cs="宋体"/>
                <w:color w:val="auto"/>
                <w:highlight w:val="none"/>
              </w:rPr>
            </w:pPr>
            <w:r>
              <w:rPr>
                <w:rFonts w:hint="eastAsia" w:ascii="宋体" w:hAnsi="宋体" w:cs="宋体"/>
                <w:color w:val="auto"/>
                <w:highlight w:val="none"/>
              </w:rPr>
              <w:t>需要补充的其他内容</w:t>
            </w:r>
          </w:p>
        </w:tc>
      </w:tr>
      <w:tr w14:paraId="5D856B12">
        <w:tblPrEx>
          <w:tblCellMar>
            <w:top w:w="0" w:type="dxa"/>
            <w:left w:w="108" w:type="dxa"/>
            <w:bottom w:w="0" w:type="dxa"/>
            <w:right w:w="108" w:type="dxa"/>
          </w:tblCellMar>
        </w:tblPrEx>
        <w:trPr>
          <w:trHeight w:val="560"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14:paraId="10528ADA">
            <w:pPr>
              <w:kinsoku/>
              <w:spacing w:line="400" w:lineRule="exact"/>
              <w:rPr>
                <w:rFonts w:ascii="宋体" w:hAnsi="宋体" w:eastAsia="宋体" w:cs="宋体"/>
                <w:color w:val="auto"/>
                <w:highlight w:val="none"/>
              </w:rPr>
            </w:pPr>
            <w:r>
              <w:rPr>
                <w:rFonts w:hint="eastAsia" w:ascii="宋体" w:hAnsi="宋体" w:eastAsia="宋体" w:cs="宋体"/>
                <w:color w:val="auto"/>
                <w:highlight w:val="none"/>
              </w:rPr>
              <w:t>解释权</w:t>
            </w:r>
          </w:p>
        </w:tc>
        <w:tc>
          <w:tcPr>
            <w:tcW w:w="7785" w:type="dxa"/>
            <w:gridSpan w:val="2"/>
            <w:tcBorders>
              <w:top w:val="single" w:color="auto" w:sz="4" w:space="0"/>
              <w:left w:val="single" w:color="auto" w:sz="4" w:space="0"/>
              <w:bottom w:val="single" w:color="auto" w:sz="4" w:space="0"/>
              <w:right w:val="single" w:color="auto" w:sz="4" w:space="0"/>
            </w:tcBorders>
            <w:vAlign w:val="center"/>
          </w:tcPr>
          <w:p w14:paraId="0B31F284">
            <w:pPr>
              <w:kinsoku/>
              <w:spacing w:line="400" w:lineRule="exact"/>
              <w:rPr>
                <w:rFonts w:ascii="宋体" w:hAnsi="宋体" w:eastAsia="宋体" w:cs="宋体"/>
                <w:color w:val="auto"/>
                <w:highlight w:val="none"/>
                <w:lang w:eastAsia="zh-CN"/>
              </w:rPr>
            </w:pPr>
            <w:r>
              <w:rPr>
                <w:rFonts w:hint="eastAsia" w:ascii="宋体" w:hAnsi="宋体" w:eastAsia="宋体" w:cs="宋体"/>
                <w:color w:val="auto"/>
                <w:highlight w:val="none"/>
                <w:lang w:eastAsia="zh-CN"/>
              </w:rPr>
              <w:t>构成本磋商文件的各个组成文件应互为解释，互为说明；如有不明确或不一致，按竞争性磋商公告、供应商须知、评审办法、竞争性磋商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4206DA04">
        <w:tblPrEx>
          <w:tblCellMar>
            <w:top w:w="0" w:type="dxa"/>
            <w:left w:w="108" w:type="dxa"/>
            <w:bottom w:w="0" w:type="dxa"/>
            <w:right w:w="108" w:type="dxa"/>
          </w:tblCellMar>
        </w:tblPrEx>
        <w:trPr>
          <w:trHeight w:val="560" w:hRule="atLeast"/>
          <w:jc w:val="center"/>
        </w:trPr>
        <w:tc>
          <w:tcPr>
            <w:tcW w:w="1085" w:type="dxa"/>
            <w:tcBorders>
              <w:top w:val="single" w:color="auto" w:sz="4" w:space="0"/>
              <w:left w:val="single" w:color="auto" w:sz="4" w:space="0"/>
              <w:bottom w:val="single" w:color="auto" w:sz="4" w:space="0"/>
              <w:right w:val="single" w:color="auto" w:sz="4" w:space="0"/>
            </w:tcBorders>
          </w:tcPr>
          <w:p w14:paraId="068DC616">
            <w:pPr>
              <w:kinsoku/>
              <w:spacing w:line="400" w:lineRule="exact"/>
              <w:rPr>
                <w:rFonts w:ascii="宋体" w:hAnsi="宋体" w:eastAsia="宋体" w:cs="宋体"/>
                <w:color w:val="auto"/>
                <w:highlight w:val="none"/>
                <w:lang w:eastAsia="zh-CN"/>
              </w:rPr>
            </w:pPr>
            <w:bookmarkStart w:id="30" w:name="_Toc152042305"/>
            <w:bookmarkStart w:id="31" w:name="_Toc466298091"/>
            <w:bookmarkStart w:id="32" w:name="_Toc152045529"/>
            <w:bookmarkStart w:id="33" w:name="_Toc10694"/>
            <w:bookmarkStart w:id="34" w:name="_Toc144974497"/>
            <w:bookmarkStart w:id="35" w:name="_Toc455080108"/>
            <w:bookmarkStart w:id="36" w:name="_Toc31181"/>
            <w:bookmarkStart w:id="37" w:name="_Toc24266"/>
          </w:p>
          <w:p w14:paraId="3E43AC46">
            <w:pPr>
              <w:kinsoku/>
              <w:spacing w:line="400" w:lineRule="exact"/>
              <w:rPr>
                <w:rFonts w:ascii="宋体" w:hAnsi="宋体" w:eastAsia="宋体" w:cs="宋体"/>
                <w:color w:val="auto"/>
                <w:highlight w:val="none"/>
                <w:lang w:eastAsia="zh-CN"/>
              </w:rPr>
            </w:pPr>
          </w:p>
          <w:p w14:paraId="6906B009">
            <w:pPr>
              <w:kinsoku/>
              <w:spacing w:line="400" w:lineRule="exact"/>
              <w:rPr>
                <w:rFonts w:ascii="宋体" w:hAnsi="宋体" w:eastAsia="宋体" w:cs="宋体"/>
                <w:color w:val="auto"/>
                <w:highlight w:val="none"/>
                <w:lang w:eastAsia="zh-CN"/>
              </w:rPr>
            </w:pPr>
          </w:p>
          <w:p w14:paraId="1328CB86">
            <w:pPr>
              <w:kinsoku/>
              <w:spacing w:line="400" w:lineRule="exact"/>
              <w:rPr>
                <w:rFonts w:ascii="宋体" w:hAnsi="宋体" w:eastAsia="宋体" w:cs="宋体"/>
                <w:color w:val="auto"/>
                <w:highlight w:val="none"/>
                <w:lang w:eastAsia="zh-CN"/>
              </w:rPr>
            </w:pPr>
          </w:p>
          <w:p w14:paraId="16151007">
            <w:pPr>
              <w:kinsoku/>
              <w:spacing w:line="400" w:lineRule="exact"/>
              <w:rPr>
                <w:rFonts w:ascii="宋体" w:hAnsi="宋体" w:eastAsia="宋体" w:cs="宋体"/>
                <w:color w:val="auto"/>
                <w:highlight w:val="none"/>
                <w:lang w:eastAsia="zh-CN"/>
              </w:rPr>
            </w:pPr>
          </w:p>
          <w:p w14:paraId="41299EAF">
            <w:pPr>
              <w:kinsoku/>
              <w:spacing w:line="400" w:lineRule="exact"/>
              <w:rPr>
                <w:rFonts w:ascii="宋体" w:hAnsi="宋体" w:eastAsia="宋体" w:cs="宋体"/>
                <w:color w:val="auto"/>
                <w:highlight w:val="none"/>
                <w:lang w:eastAsia="zh-CN"/>
              </w:rPr>
            </w:pPr>
          </w:p>
          <w:p w14:paraId="017136EC">
            <w:pPr>
              <w:kinsoku/>
              <w:spacing w:line="400" w:lineRule="exact"/>
              <w:rPr>
                <w:rFonts w:ascii="宋体" w:hAnsi="宋体" w:eastAsia="宋体" w:cs="宋体"/>
                <w:color w:val="auto"/>
                <w:highlight w:val="none"/>
                <w:lang w:eastAsia="zh-CN"/>
              </w:rPr>
            </w:pPr>
          </w:p>
          <w:p w14:paraId="34E88E3A">
            <w:pPr>
              <w:kinsoku/>
              <w:spacing w:line="400" w:lineRule="exact"/>
              <w:rPr>
                <w:rFonts w:ascii="宋体" w:hAnsi="宋体" w:eastAsia="宋体" w:cs="宋体"/>
                <w:color w:val="auto"/>
                <w:highlight w:val="none"/>
                <w:lang w:eastAsia="zh-CN"/>
              </w:rPr>
            </w:pPr>
          </w:p>
          <w:p w14:paraId="6DE6EFE5">
            <w:pPr>
              <w:kinsoku/>
              <w:spacing w:line="400" w:lineRule="exact"/>
              <w:rPr>
                <w:rFonts w:ascii="宋体" w:hAnsi="宋体" w:eastAsia="宋体" w:cs="宋体"/>
                <w:color w:val="auto"/>
                <w:highlight w:val="none"/>
                <w:lang w:eastAsia="zh-CN"/>
              </w:rPr>
            </w:pPr>
          </w:p>
          <w:p w14:paraId="29178AF0">
            <w:pPr>
              <w:kinsoku/>
              <w:spacing w:line="400" w:lineRule="exact"/>
              <w:rPr>
                <w:rFonts w:ascii="宋体" w:hAnsi="宋体" w:eastAsia="宋体" w:cs="宋体"/>
                <w:color w:val="auto"/>
                <w:highlight w:val="none"/>
                <w:lang w:eastAsia="zh-CN"/>
              </w:rPr>
            </w:pPr>
          </w:p>
          <w:p w14:paraId="5FEEA559">
            <w:pPr>
              <w:kinsoku/>
              <w:spacing w:line="400" w:lineRule="exact"/>
              <w:rPr>
                <w:rFonts w:ascii="宋体" w:hAnsi="宋体" w:eastAsia="宋体" w:cs="宋体"/>
                <w:color w:val="auto"/>
                <w:highlight w:val="none"/>
                <w:lang w:eastAsia="zh-CN"/>
              </w:rPr>
            </w:pPr>
          </w:p>
          <w:p w14:paraId="11502F39">
            <w:pPr>
              <w:kinsoku/>
              <w:spacing w:line="400" w:lineRule="exact"/>
              <w:rPr>
                <w:rFonts w:ascii="宋体" w:hAnsi="宋体" w:eastAsia="宋体" w:cs="宋体"/>
                <w:color w:val="auto"/>
                <w:highlight w:val="none"/>
                <w:lang w:eastAsia="zh-CN"/>
              </w:rPr>
            </w:pPr>
          </w:p>
          <w:p w14:paraId="3014DC39">
            <w:pPr>
              <w:kinsoku/>
              <w:spacing w:line="400" w:lineRule="exact"/>
              <w:rPr>
                <w:rFonts w:ascii="宋体" w:hAnsi="宋体" w:eastAsia="宋体" w:cs="宋体"/>
                <w:color w:val="auto"/>
                <w:highlight w:val="none"/>
                <w:lang w:eastAsia="zh-CN"/>
              </w:rPr>
            </w:pPr>
          </w:p>
          <w:p w14:paraId="35BBF74D">
            <w:pPr>
              <w:kinsoku/>
              <w:spacing w:line="400" w:lineRule="exact"/>
              <w:rPr>
                <w:rFonts w:ascii="宋体" w:hAnsi="宋体" w:eastAsia="宋体" w:cs="宋体"/>
                <w:color w:val="auto"/>
                <w:highlight w:val="none"/>
                <w:lang w:eastAsia="zh-CN"/>
              </w:rPr>
            </w:pPr>
          </w:p>
          <w:p w14:paraId="186A91EB">
            <w:pPr>
              <w:kinsoku/>
              <w:spacing w:line="400" w:lineRule="exact"/>
              <w:rPr>
                <w:rFonts w:ascii="宋体" w:hAnsi="宋体" w:eastAsia="宋体" w:cs="宋体"/>
                <w:color w:val="auto"/>
                <w:highlight w:val="none"/>
              </w:rPr>
            </w:pPr>
            <w:r>
              <w:rPr>
                <w:rFonts w:hint="eastAsia" w:ascii="宋体" w:hAnsi="宋体" w:eastAsia="宋体" w:cs="宋体"/>
                <w:color w:val="auto"/>
                <w:highlight w:val="none"/>
              </w:rPr>
              <w:t>特别提醒</w:t>
            </w:r>
          </w:p>
          <w:p w14:paraId="5D376E3B">
            <w:pPr>
              <w:kinsoku/>
              <w:spacing w:line="400" w:lineRule="exact"/>
              <w:rPr>
                <w:rFonts w:ascii="宋体" w:hAnsi="宋体" w:eastAsia="宋体" w:cs="宋体"/>
                <w:color w:val="auto"/>
                <w:highlight w:val="none"/>
              </w:rPr>
            </w:pPr>
          </w:p>
          <w:p w14:paraId="458B9540">
            <w:pPr>
              <w:kinsoku/>
              <w:spacing w:line="400" w:lineRule="exact"/>
              <w:rPr>
                <w:rFonts w:ascii="宋体" w:hAnsi="宋体" w:eastAsia="宋体" w:cs="宋体"/>
                <w:color w:val="auto"/>
                <w:highlight w:val="none"/>
              </w:rPr>
            </w:pPr>
          </w:p>
          <w:p w14:paraId="7CB5A03C">
            <w:pPr>
              <w:kinsoku/>
              <w:spacing w:line="400" w:lineRule="exact"/>
              <w:rPr>
                <w:rFonts w:ascii="宋体" w:hAnsi="宋体" w:eastAsia="宋体" w:cs="宋体"/>
                <w:color w:val="auto"/>
                <w:highlight w:val="none"/>
              </w:rPr>
            </w:pPr>
          </w:p>
          <w:p w14:paraId="42BF9A87">
            <w:pPr>
              <w:kinsoku/>
              <w:spacing w:line="400" w:lineRule="exact"/>
              <w:rPr>
                <w:rFonts w:ascii="宋体" w:hAnsi="宋体" w:eastAsia="宋体" w:cs="宋体"/>
                <w:color w:val="auto"/>
                <w:highlight w:val="none"/>
              </w:rPr>
            </w:pPr>
          </w:p>
          <w:p w14:paraId="4925BD07">
            <w:pPr>
              <w:kinsoku/>
              <w:spacing w:line="400" w:lineRule="exact"/>
              <w:rPr>
                <w:rFonts w:ascii="宋体" w:hAnsi="宋体" w:eastAsia="宋体" w:cs="宋体"/>
                <w:color w:val="auto"/>
                <w:highlight w:val="none"/>
              </w:rPr>
            </w:pPr>
          </w:p>
        </w:tc>
        <w:tc>
          <w:tcPr>
            <w:tcW w:w="7785" w:type="dxa"/>
            <w:gridSpan w:val="2"/>
            <w:tcBorders>
              <w:top w:val="single" w:color="auto" w:sz="4" w:space="0"/>
              <w:left w:val="single" w:color="auto" w:sz="4" w:space="0"/>
              <w:bottom w:val="single" w:color="auto" w:sz="4" w:space="0"/>
              <w:right w:val="single" w:color="auto" w:sz="4" w:space="0"/>
            </w:tcBorders>
          </w:tcPr>
          <w:p w14:paraId="28C36E8B">
            <w:pPr>
              <w:kinsoku/>
              <w:spacing w:line="400" w:lineRule="exact"/>
              <w:rPr>
                <w:rFonts w:ascii="宋体" w:hAnsi="宋体" w:eastAsia="宋体" w:cs="宋体"/>
                <w:color w:val="auto"/>
                <w:highlight w:val="none"/>
                <w:lang w:eastAsia="zh-CN"/>
              </w:rPr>
            </w:pPr>
            <w:r>
              <w:rPr>
                <w:rFonts w:hint="eastAsia" w:ascii="宋体" w:hAnsi="宋体" w:eastAsia="宋体" w:cs="宋体"/>
                <w:color w:val="auto"/>
                <w:highlight w:val="none"/>
                <w:lang w:eastAsia="zh-CN"/>
              </w:rPr>
              <w:t>本项目实行不见面开评标，投标人不需要再到现场（需 要现场演示或样品展示的除外）关于实行全过程不见面 交易的通知，具体内容请详见交易中心2019 年12月 31 日首页-通知公告</w:t>
            </w:r>
          </w:p>
          <w:p w14:paraId="0D483C68">
            <w:pPr>
              <w:kinsoku/>
              <w:spacing w:line="400" w:lineRule="exact"/>
              <w:rPr>
                <w:rFonts w:ascii="宋体" w:hAnsi="宋体" w:eastAsia="宋体" w:cs="宋体"/>
                <w:color w:val="auto"/>
                <w:highlight w:val="none"/>
                <w:lang w:eastAsia="zh-CN"/>
              </w:rPr>
            </w:pPr>
            <w:r>
              <w:rPr>
                <w:rFonts w:hint="eastAsia" w:ascii="宋体" w:hAnsi="宋体" w:eastAsia="宋体" w:cs="宋体"/>
                <w:color w:val="auto"/>
                <w:highlight w:val="none"/>
                <w:lang w:eastAsia="zh-CN"/>
              </w:rPr>
              <w:t>（一）登录开标大厅流程</w:t>
            </w:r>
          </w:p>
          <w:p w14:paraId="09EFD2B3">
            <w:pPr>
              <w:kinsoku/>
              <w:spacing w:line="400" w:lineRule="exact"/>
              <w:rPr>
                <w:rFonts w:ascii="宋体" w:hAnsi="宋体" w:eastAsia="宋体" w:cs="宋体"/>
                <w:color w:val="auto"/>
                <w:highlight w:val="none"/>
                <w:lang w:eastAsia="zh-CN"/>
              </w:rPr>
            </w:pPr>
            <w:r>
              <w:rPr>
                <w:rFonts w:hint="eastAsia" w:ascii="宋体" w:hAnsi="宋体" w:eastAsia="宋体" w:cs="宋体"/>
                <w:color w:val="auto"/>
                <w:highlight w:val="none"/>
                <w:lang w:eastAsia="zh-CN"/>
              </w:rPr>
              <w:t>1、投标人登录自己账号进入商丘市公共资源交易平台， 根据项目选择主体角色和要进入的项目，点击“操作 ” —“我要投标 ”—“操作 ”—“在线开标 ”进入开标大厅，详见下图操作。</w:t>
            </w:r>
          </w:p>
          <w:p w14:paraId="5E4E7FC3">
            <w:pPr>
              <w:kinsoku/>
              <w:spacing w:line="400" w:lineRule="exact"/>
              <w:rPr>
                <w:rFonts w:ascii="宋体" w:hAnsi="宋体" w:eastAsia="宋体" w:cs="宋体"/>
                <w:color w:val="auto"/>
                <w:highlight w:val="none"/>
                <w:lang w:eastAsia="zh-CN"/>
              </w:rPr>
            </w:pPr>
            <w:r>
              <w:rPr>
                <w:rFonts w:hint="eastAsia" w:ascii="宋体" w:hAnsi="宋体" w:eastAsia="宋体" w:cs="宋体"/>
                <w:color w:val="auto"/>
                <w:highlight w:val="none"/>
                <w:lang w:eastAsia="zh-CN"/>
              </w:rPr>
              <w:t>2、投标人请在开标前一小时之后进入，比如9点开标，请在8点至9点之间进入，请不要提前进入，也不要太晚进入，以免签到时间不足，导致未能成功签到。</w:t>
            </w:r>
          </w:p>
          <w:p w14:paraId="6F8A17C8">
            <w:pPr>
              <w:kinsoku/>
              <w:spacing w:line="400" w:lineRule="exact"/>
              <w:rPr>
                <w:rFonts w:ascii="宋体" w:hAnsi="宋体" w:eastAsia="宋体" w:cs="宋体"/>
                <w:color w:val="auto"/>
                <w:highlight w:val="none"/>
                <w:lang w:eastAsia="zh-CN"/>
              </w:rPr>
            </w:pPr>
            <w:r>
              <w:rPr>
                <w:rFonts w:hint="eastAsia" w:ascii="宋体" w:hAnsi="宋体" w:eastAsia="宋体" w:cs="宋体"/>
                <w:color w:val="auto"/>
                <w:highlight w:val="none"/>
                <w:lang w:eastAsia="zh-CN"/>
              </w:rPr>
              <w:t>（二）签到流程</w:t>
            </w:r>
          </w:p>
          <w:p w14:paraId="43819117">
            <w:pPr>
              <w:kinsoku/>
              <w:spacing w:line="400" w:lineRule="exact"/>
              <w:rPr>
                <w:rFonts w:ascii="宋体" w:hAnsi="宋体" w:eastAsia="宋体" w:cs="宋体"/>
                <w:color w:val="auto"/>
                <w:highlight w:val="none"/>
                <w:lang w:eastAsia="zh-CN"/>
              </w:rPr>
            </w:pPr>
            <w:r>
              <w:rPr>
                <w:rFonts w:hint="eastAsia" w:ascii="宋体" w:hAnsi="宋体" w:eastAsia="宋体" w:cs="宋体"/>
                <w:color w:val="auto"/>
                <w:highlight w:val="none"/>
                <w:lang w:eastAsia="zh-CN"/>
              </w:rPr>
              <w:t>进入开标大厅后，投标人的界面为直播界面，当前页面 随着代理公司的点击而变化，页面自动刷新（刷新间隔 时间为20秒），右下方有四个按钮，分别为投标签到、 在线澄清、解密。</w:t>
            </w:r>
          </w:p>
          <w:p w14:paraId="192C6714">
            <w:pPr>
              <w:kinsoku/>
              <w:spacing w:line="400" w:lineRule="exact"/>
              <w:rPr>
                <w:rFonts w:ascii="宋体" w:hAnsi="宋体" w:eastAsia="宋体" w:cs="宋体"/>
                <w:color w:val="auto"/>
                <w:highlight w:val="none"/>
                <w:lang w:eastAsia="zh-CN"/>
              </w:rPr>
            </w:pPr>
            <w:r>
              <w:rPr>
                <w:rFonts w:hint="eastAsia" w:ascii="宋体" w:hAnsi="宋体" w:eastAsia="宋体" w:cs="宋体"/>
                <w:color w:val="auto"/>
                <w:highlight w:val="none"/>
                <w:lang w:eastAsia="zh-CN"/>
              </w:rPr>
              <w:t>投标人点击投标签到，会弹出签到页面，投标人名称和 社会统一信用代码可以手动填写也可以读取CA，请CA中仍然是组织机构代码的单位在参与投标前来中心更换</w:t>
            </w:r>
          </w:p>
          <w:p w14:paraId="64045656">
            <w:pPr>
              <w:kinsoku/>
              <w:spacing w:line="400" w:lineRule="exact"/>
              <w:rPr>
                <w:rFonts w:ascii="宋体" w:hAnsi="宋体" w:eastAsia="宋体" w:cs="宋体"/>
                <w:color w:val="auto"/>
                <w:highlight w:val="none"/>
                <w:lang w:eastAsia="zh-CN"/>
              </w:rPr>
            </w:pPr>
            <w:r>
              <w:rPr>
                <w:rFonts w:hint="eastAsia" w:ascii="宋体" w:hAnsi="宋体" w:eastAsia="宋体" w:cs="宋体"/>
                <w:color w:val="auto"/>
                <w:highlight w:val="none"/>
                <w:lang w:eastAsia="zh-CN"/>
              </w:rPr>
              <w:t>成社会统一信用代码，下面的签到人和联系电话手动输 入，此号码为在该项目开标评标过程中的消息接收号码， 应保持畅通，输入完成后点击保存即签到成功。</w:t>
            </w:r>
          </w:p>
          <w:p w14:paraId="1D575318">
            <w:pPr>
              <w:kinsoku/>
              <w:spacing w:line="400" w:lineRule="exact"/>
              <w:rPr>
                <w:rFonts w:ascii="宋体" w:hAnsi="宋体" w:eastAsia="宋体" w:cs="宋体"/>
                <w:color w:val="auto"/>
                <w:highlight w:val="none"/>
                <w:lang w:eastAsia="zh-CN"/>
              </w:rPr>
            </w:pPr>
            <w:r>
              <w:rPr>
                <w:rFonts w:hint="eastAsia" w:ascii="宋体" w:hAnsi="宋体" w:eastAsia="宋体" w:cs="宋体"/>
                <w:color w:val="auto"/>
                <w:highlight w:val="none"/>
                <w:lang w:eastAsia="zh-CN"/>
              </w:rPr>
              <w:t>信息提醒以交易平台为准，投标人应保持交易平台处于 登录状态并实时关注。手机短信提醒功能是系统开发的 附加功能，无论因为任何原因导致投标人没有接到手机 短信提醒而导致不良后果，中心均不承担责任。</w:t>
            </w:r>
          </w:p>
          <w:p w14:paraId="5186856F">
            <w:pPr>
              <w:kinsoku/>
              <w:spacing w:line="400" w:lineRule="exact"/>
              <w:rPr>
                <w:rFonts w:ascii="宋体" w:hAnsi="宋体" w:eastAsia="宋体" w:cs="宋体"/>
                <w:color w:val="auto"/>
                <w:highlight w:val="none"/>
                <w:lang w:eastAsia="zh-CN"/>
              </w:rPr>
            </w:pPr>
            <w:r>
              <w:rPr>
                <w:rFonts w:hint="eastAsia" w:ascii="宋体" w:hAnsi="宋体" w:eastAsia="宋体" w:cs="宋体"/>
                <w:color w:val="auto"/>
                <w:highlight w:val="none"/>
                <w:lang w:eastAsia="zh-CN"/>
              </w:rPr>
              <w:t>（三）投标文件解密流程</w:t>
            </w:r>
          </w:p>
          <w:p w14:paraId="07551FE6">
            <w:pPr>
              <w:kinsoku/>
              <w:spacing w:line="400" w:lineRule="exact"/>
              <w:rPr>
                <w:rFonts w:ascii="宋体" w:hAnsi="宋体" w:eastAsia="宋体" w:cs="宋体"/>
                <w:color w:val="auto"/>
                <w:highlight w:val="none"/>
                <w:lang w:eastAsia="zh-CN"/>
              </w:rPr>
            </w:pPr>
            <w:r>
              <w:rPr>
                <w:rFonts w:hint="eastAsia" w:ascii="宋体" w:hAnsi="宋体" w:eastAsia="宋体" w:cs="宋体"/>
                <w:color w:val="auto"/>
                <w:highlight w:val="none"/>
                <w:lang w:eastAsia="zh-CN"/>
              </w:rPr>
              <w:t>1、CA 证书解密</w:t>
            </w:r>
          </w:p>
          <w:p w14:paraId="17DDD4B6">
            <w:pPr>
              <w:kinsoku/>
              <w:spacing w:line="400" w:lineRule="exact"/>
              <w:rPr>
                <w:rFonts w:ascii="宋体" w:hAnsi="宋体" w:eastAsia="宋体" w:cs="宋体"/>
                <w:color w:val="auto"/>
                <w:highlight w:val="none"/>
                <w:lang w:eastAsia="zh-CN"/>
              </w:rPr>
            </w:pPr>
            <w:r>
              <w:rPr>
                <w:rFonts w:hint="eastAsia" w:ascii="宋体" w:hAnsi="宋体" w:eastAsia="宋体" w:cs="宋体"/>
                <w:color w:val="auto"/>
                <w:highlight w:val="none"/>
                <w:lang w:eastAsia="zh-CN"/>
              </w:rPr>
              <w:t>投标人首先确保电脑已经正常安装投标人工具箱且 BJCA 证书助手处于打开状态，插入CA 锁。在投标截止 时间后，解密截止时间前点击右下角解密会跳转到解密页面，输入解密工程编号，此编号为标段编号，投标人可以从我要投标的页面复制粘贴进去，然后点击搜索， 即可出来项目和公司信息，点击解密，输入CA锁的密码 即可解密。</w:t>
            </w:r>
          </w:p>
          <w:p w14:paraId="31E7A214">
            <w:pPr>
              <w:kinsoku/>
              <w:spacing w:line="400" w:lineRule="exact"/>
              <w:rPr>
                <w:rFonts w:ascii="宋体" w:hAnsi="宋体" w:eastAsia="宋体" w:cs="宋体"/>
                <w:color w:val="auto"/>
                <w:highlight w:val="none"/>
                <w:lang w:eastAsia="zh-CN"/>
              </w:rPr>
            </w:pPr>
            <w:r>
              <w:rPr>
                <w:rFonts w:hint="eastAsia" w:ascii="宋体" w:hAnsi="宋体" w:eastAsia="宋体" w:cs="宋体"/>
                <w:color w:val="auto"/>
                <w:highlight w:val="none"/>
                <w:lang w:eastAsia="zh-CN"/>
              </w:rPr>
              <w:t>2、评标澄清答疑</w:t>
            </w:r>
          </w:p>
          <w:p w14:paraId="6869602C">
            <w:pPr>
              <w:kinsoku/>
              <w:spacing w:line="400" w:lineRule="exact"/>
              <w:rPr>
                <w:rFonts w:ascii="宋体" w:hAnsi="宋体" w:eastAsia="宋体" w:cs="宋体"/>
                <w:color w:val="auto"/>
                <w:highlight w:val="none"/>
                <w:lang w:eastAsia="zh-CN"/>
              </w:rPr>
            </w:pPr>
            <w:r>
              <w:rPr>
                <w:rFonts w:hint="eastAsia" w:ascii="宋体" w:hAnsi="宋体" w:eastAsia="宋体" w:cs="宋体"/>
                <w:color w:val="auto"/>
                <w:highlight w:val="none"/>
                <w:lang w:eastAsia="zh-CN"/>
              </w:rPr>
              <w:t>专家在评标过程中如果有问题需要代理公司及投标人解答，可以在评标系统页面点击澄清答疑，选择代理公司或者投标人进行问题描述，然后设置回答时间后点击提交。提交之后代理公司或者投标人可以点击各自的交易平台右上角的澄清答疑按钮。进入项目选择页面。选择要进行回答的项目，里面会显示专家提问的问题，专家问题可以预览和下载。可以在答疑文件信息选项里提交回答文件（文件格式为PDF），确认无误后提交，提交之后无法修改。</w:t>
            </w:r>
          </w:p>
          <w:p w14:paraId="78ED15B1">
            <w:pPr>
              <w:kinsoku/>
              <w:spacing w:line="400" w:lineRule="exact"/>
              <w:rPr>
                <w:rFonts w:ascii="宋体" w:hAnsi="宋体" w:eastAsia="宋体" w:cs="宋体"/>
                <w:color w:val="auto"/>
                <w:highlight w:val="none"/>
                <w:lang w:eastAsia="zh-CN"/>
              </w:rPr>
            </w:pPr>
            <w:r>
              <w:rPr>
                <w:rFonts w:hint="eastAsia" w:ascii="宋体" w:hAnsi="宋体" w:eastAsia="宋体" w:cs="宋体"/>
                <w:color w:val="auto"/>
                <w:highlight w:val="none"/>
                <w:lang w:eastAsia="zh-CN"/>
              </w:rPr>
              <w:t>1、本次项目采用不见面开评标，投标人不需要再到现场，投标人通过互联网登录交易平台自助完成投标签到、投标文件解密及澄清答疑等操作，具体流程详见附件“不见面开标系统投标人操作及说明 ”。</w:t>
            </w:r>
          </w:p>
          <w:p w14:paraId="7700DF31">
            <w:pPr>
              <w:kinsoku/>
              <w:spacing w:line="400" w:lineRule="exact"/>
              <w:rPr>
                <w:rFonts w:ascii="宋体" w:hAnsi="宋体" w:eastAsia="宋体" w:cs="宋体"/>
                <w:color w:val="auto"/>
                <w:highlight w:val="none"/>
                <w:lang w:eastAsia="zh-CN"/>
              </w:rPr>
            </w:pPr>
            <w:r>
              <w:rPr>
                <w:rFonts w:hint="eastAsia" w:ascii="宋体" w:hAnsi="宋体" w:eastAsia="宋体" w:cs="宋体"/>
                <w:color w:val="auto"/>
                <w:highlight w:val="none"/>
                <w:lang w:eastAsia="zh-CN"/>
              </w:rPr>
              <w:t>2、投标人需根据招标文件要求，如有需提供企业资质、 业绩、获奖等资料的，投标人应将相应涉及评审的相关 客观资料上传至市场主体诚信库对应位置（涉密的除外），由评标评审专家予以认定，没有上传的视同没有 提供相应评审资料，不再要求投标人现场提交原件。</w:t>
            </w:r>
          </w:p>
          <w:p w14:paraId="598D8780">
            <w:pPr>
              <w:kinsoku/>
              <w:spacing w:line="400" w:lineRule="exact"/>
              <w:rPr>
                <w:rFonts w:ascii="宋体" w:hAnsi="宋体" w:eastAsia="宋体" w:cs="宋体"/>
                <w:color w:val="auto"/>
                <w:highlight w:val="none"/>
                <w:lang w:eastAsia="zh-CN"/>
              </w:rPr>
            </w:pPr>
            <w:r>
              <w:rPr>
                <w:rFonts w:hint="eastAsia" w:ascii="宋体" w:hAnsi="宋体" w:eastAsia="宋体" w:cs="宋体"/>
                <w:color w:val="auto"/>
                <w:highlight w:val="none"/>
                <w:lang w:eastAsia="zh-CN"/>
              </w:rPr>
              <w:t>3、投标人应根据《商丘市公共资源交易平台操作指南2019-12-31版本》，按照招标文件要求，将本单位相关 资料上传至市场主体库相应位置，为确保材料上传成功并方便评标评审专家查找核对，投标人应在开标前完成资料上传并在投标文件中列明资料上传位置，市场主体诚信库中市场主体信息以评标评审专家核对时为准，核对后主体库信息发生的任何变更均不再作为评标依据。</w:t>
            </w:r>
          </w:p>
          <w:p w14:paraId="5CD0EDDF">
            <w:pPr>
              <w:kinsoku/>
              <w:spacing w:line="400" w:lineRule="exact"/>
              <w:rPr>
                <w:rFonts w:ascii="宋体" w:hAnsi="宋体" w:eastAsia="宋体" w:cs="宋体"/>
                <w:color w:val="auto"/>
                <w:highlight w:val="none"/>
                <w:lang w:eastAsia="zh-CN"/>
              </w:rPr>
            </w:pPr>
            <w:r>
              <w:rPr>
                <w:rFonts w:hint="eastAsia" w:ascii="宋体" w:hAnsi="宋体" w:eastAsia="宋体" w:cs="宋体"/>
                <w:color w:val="auto"/>
                <w:highlight w:val="none"/>
                <w:lang w:eastAsia="zh-CN"/>
              </w:rPr>
              <w:t>4、当中标通知书发出后，中标人可以登陆交易平台点击 对应项目操作—我要投标—操作—下载中标通知书完成自行下载。</w:t>
            </w:r>
          </w:p>
          <w:p w14:paraId="469C3A40">
            <w:pPr>
              <w:kinsoku/>
              <w:spacing w:line="400" w:lineRule="exact"/>
              <w:rPr>
                <w:rFonts w:ascii="宋体" w:hAnsi="宋体" w:eastAsia="宋体" w:cs="宋体"/>
                <w:color w:val="auto"/>
                <w:highlight w:val="none"/>
                <w:lang w:eastAsia="zh-CN"/>
              </w:rPr>
            </w:pPr>
            <w:r>
              <w:rPr>
                <w:rFonts w:hint="eastAsia" w:ascii="宋体" w:hAnsi="宋体" w:eastAsia="宋体" w:cs="宋体"/>
                <w:color w:val="auto"/>
                <w:highlight w:val="none"/>
                <w:lang w:eastAsia="zh-CN"/>
              </w:rPr>
              <w:t>5、投标人制作投标文件，请使用新版投标人工具箱，具 体请查阅商丘市公共资源交易中心网站 (</w:t>
            </w:r>
            <w:r>
              <w:rPr>
                <w:highlight w:val="none"/>
              </w:rPr>
              <w:fldChar w:fldCharType="begin"/>
            </w:r>
            <w:r>
              <w:rPr>
                <w:highlight w:val="none"/>
              </w:rPr>
              <w:instrText xml:space="preserve"> HYPERLINK "http://ggzyjy.shangqiu.gov.cn" </w:instrText>
            </w:r>
            <w:r>
              <w:rPr>
                <w:highlight w:val="none"/>
              </w:rPr>
              <w:fldChar w:fldCharType="separate"/>
            </w:r>
            <w:r>
              <w:rPr>
                <w:rFonts w:hint="eastAsia" w:ascii="宋体" w:hAnsi="宋体" w:eastAsia="宋体" w:cs="宋体"/>
                <w:color w:val="auto"/>
                <w:highlight w:val="none"/>
                <w:lang w:eastAsia="zh-CN"/>
              </w:rPr>
              <w:t>http://ggzyjy.shangqiu.gov.cn</w:t>
            </w:r>
            <w:r>
              <w:rPr>
                <w:rFonts w:hint="eastAsia" w:ascii="宋体" w:hAnsi="宋体" w:eastAsia="宋体" w:cs="宋体"/>
                <w:color w:val="auto"/>
                <w:highlight w:val="none"/>
                <w:lang w:eastAsia="zh-CN"/>
              </w:rPr>
              <w:fldChar w:fldCharType="end"/>
            </w:r>
            <w:r>
              <w:rPr>
                <w:rFonts w:hint="eastAsia" w:ascii="宋体" w:hAnsi="宋体" w:eastAsia="宋体" w:cs="宋体"/>
                <w:color w:val="auto"/>
                <w:highlight w:val="none"/>
                <w:lang w:eastAsia="zh-CN"/>
              </w:rPr>
              <w:t xml:space="preserve">）点击通知公告栏目。 </w:t>
            </w:r>
          </w:p>
          <w:p w14:paraId="43605BA2">
            <w:pPr>
              <w:kinsoku/>
              <w:spacing w:line="400" w:lineRule="exact"/>
              <w:rPr>
                <w:rFonts w:ascii="宋体" w:hAnsi="宋体" w:eastAsia="宋体" w:cs="宋体"/>
                <w:color w:val="auto"/>
                <w:highlight w:val="none"/>
                <w:lang w:eastAsia="zh-CN"/>
              </w:rPr>
            </w:pPr>
            <w:r>
              <w:rPr>
                <w:rFonts w:hint="eastAsia" w:ascii="宋体" w:hAnsi="宋体" w:eastAsia="宋体" w:cs="宋体"/>
                <w:color w:val="auto"/>
                <w:highlight w:val="none"/>
                <w:lang w:eastAsia="zh-CN"/>
              </w:rPr>
              <w:t>6、新增加开标过程在线询问功能，在开标结束之前，投标 人可通过开标大厅在线询问按钮与代理机构在线交流。</w:t>
            </w:r>
          </w:p>
          <w:p w14:paraId="335FDB21">
            <w:pPr>
              <w:kinsoku/>
              <w:spacing w:line="400" w:lineRule="exact"/>
              <w:rPr>
                <w:rFonts w:ascii="宋体" w:hAnsi="宋体" w:eastAsia="宋体" w:cs="宋体"/>
                <w:color w:val="auto"/>
                <w:highlight w:val="none"/>
                <w:lang w:eastAsia="zh-CN"/>
              </w:rPr>
            </w:pPr>
            <w:r>
              <w:rPr>
                <w:rFonts w:hint="eastAsia" w:ascii="宋体" w:hAnsi="宋体" w:eastAsia="宋体" w:cs="宋体"/>
                <w:color w:val="auto"/>
                <w:highlight w:val="none"/>
                <w:lang w:eastAsia="zh-CN"/>
              </w:rPr>
              <w:t>7、开标大厅增加开标过程直播功能，投标人安装直播插件后，在代理机构开启直播后，投标人可以点击查看直播可实时查看代理机构开标过程。直播功能插件压缩包附件下载后直接解压，并将解压后的文件放入电脑 C 盘 Windows 文件夹中即可。</w:t>
            </w:r>
          </w:p>
          <w:p w14:paraId="59ECDB27">
            <w:pPr>
              <w:kinsoku/>
              <w:spacing w:line="400" w:lineRule="exact"/>
              <w:rPr>
                <w:rFonts w:ascii="宋体" w:hAnsi="宋体" w:eastAsia="宋体" w:cs="宋体"/>
                <w:color w:val="auto"/>
                <w:highlight w:val="none"/>
                <w:lang w:eastAsia="zh-CN"/>
              </w:rPr>
            </w:pPr>
            <w:r>
              <w:rPr>
                <w:rFonts w:hint="eastAsia" w:ascii="宋体" w:hAnsi="宋体" w:eastAsia="宋体" w:cs="宋体"/>
                <w:color w:val="auto"/>
                <w:highlight w:val="none"/>
                <w:lang w:eastAsia="zh-CN"/>
              </w:rPr>
              <w:t>8、新增加开标结束提示信息，代理机构点击开标结束后，投标人在开标大厅和交易平台会收到项目开标已结束的提醒。</w:t>
            </w:r>
          </w:p>
          <w:p w14:paraId="6FC05D0C">
            <w:pPr>
              <w:kinsoku/>
              <w:spacing w:line="400" w:lineRule="exact"/>
              <w:rPr>
                <w:rFonts w:ascii="宋体" w:hAnsi="宋体" w:eastAsia="宋体" w:cs="宋体"/>
                <w:color w:val="auto"/>
                <w:highlight w:val="none"/>
                <w:lang w:eastAsia="zh-CN"/>
              </w:rPr>
            </w:pPr>
            <w:r>
              <w:rPr>
                <w:rFonts w:hint="eastAsia" w:ascii="宋体" w:hAnsi="宋体" w:eastAsia="宋体" w:cs="宋体"/>
                <w:color w:val="auto"/>
                <w:highlight w:val="none"/>
                <w:lang w:eastAsia="zh-CN"/>
              </w:rPr>
              <w:t>9、新增加市场主体资信库锁定功能，市场主体参与项目评审期间，市场主体资信库无法更新上传内容的设定，锁定时间为开标签到至评审结束。锁定期间，市场主体资信库信息提交发布时会提示：参与的项目正在评审，</w:t>
            </w:r>
          </w:p>
          <w:p w14:paraId="0088B3AC">
            <w:pPr>
              <w:kinsoku/>
              <w:spacing w:line="400" w:lineRule="exact"/>
              <w:rPr>
                <w:rFonts w:ascii="宋体" w:hAnsi="宋体" w:eastAsia="宋体" w:cs="宋体"/>
                <w:color w:val="auto"/>
                <w:highlight w:val="none"/>
                <w:lang w:eastAsia="zh-CN"/>
              </w:rPr>
            </w:pPr>
            <w:r>
              <w:rPr>
                <w:rFonts w:hint="eastAsia" w:ascii="宋体" w:hAnsi="宋体" w:eastAsia="宋体" w:cs="宋体"/>
                <w:color w:val="auto"/>
                <w:highlight w:val="none"/>
                <w:lang w:eastAsia="zh-CN"/>
              </w:rPr>
              <w:t>主体诚信库已被锁定，不可编辑，评审结束后自动解锁。 因此友情提示各市场主体，如有多天连续参与项目交易时，建议将主体库信息根据项目招标文件要求一次更新完成，以免造成不利后果。</w:t>
            </w:r>
          </w:p>
          <w:p w14:paraId="7F611EBE">
            <w:pPr>
              <w:kinsoku/>
              <w:spacing w:line="400" w:lineRule="exact"/>
              <w:rPr>
                <w:rFonts w:ascii="宋体" w:hAnsi="宋体" w:eastAsia="宋体" w:cs="宋体"/>
                <w:color w:val="auto"/>
                <w:highlight w:val="none"/>
                <w:lang w:eastAsia="zh-CN"/>
              </w:rPr>
            </w:pPr>
            <w:r>
              <w:rPr>
                <w:rFonts w:hint="eastAsia" w:ascii="宋体" w:hAnsi="宋体" w:eastAsia="宋体" w:cs="宋体"/>
                <w:color w:val="auto"/>
                <w:highlight w:val="none"/>
                <w:lang w:eastAsia="zh-CN"/>
              </w:rPr>
              <w:t>10、交易平台菜单栏目更新，把澄清答疑等按钮统一集中在了快捷导航里面。各市场主体在使用过程中遇到自行无法解决技术问题时请及时咨询，技术服务电话0370-2853693。</w:t>
            </w:r>
          </w:p>
          <w:p w14:paraId="08BB9B96">
            <w:pPr>
              <w:kinsoku/>
              <w:spacing w:line="400" w:lineRule="exact"/>
              <w:rPr>
                <w:rFonts w:ascii="宋体" w:hAnsi="宋体" w:eastAsia="宋体" w:cs="宋体"/>
                <w:color w:val="auto"/>
                <w:highlight w:val="none"/>
                <w:lang w:eastAsia="zh-CN"/>
              </w:rPr>
            </w:pPr>
            <w:r>
              <w:rPr>
                <w:rFonts w:hint="eastAsia" w:ascii="宋体" w:hAnsi="宋体" w:eastAsia="宋体" w:cs="宋体"/>
                <w:color w:val="auto"/>
                <w:highlight w:val="none"/>
                <w:lang w:eastAsia="zh-CN"/>
              </w:rPr>
              <w:t>11.为贯彻落实《河南省营商环境优化提升行动方案(2022 版)》 (豫营商〔2022〕1 号)、《2022 年全省公共 资源交易管理工作要点》 (豫公管委〔2022〕2 号)、《河 南省财政厅关于防范供应商串通投标促进政府采购公平竞争的通知》、《河南省财政厅关于防范供应商串通投标促进政府采购公平竞争的通知》(豫财购〔2021〕6号) 精神，按照商丘市公共资源交易管理办公室《关于进一步使用大数据分析监测预警信息的通知》要求，发挥市公共资源交易中心大数据分析系统监测预警作用，进一步优化公共资源交易领域营商环境，维护公平公正、竞争有序的市场秩序，防范和惩治串通投标等不正当竞争行为，现将启用大数据分析监测预警功能，有关事项通知如下：</w:t>
            </w:r>
          </w:p>
          <w:p w14:paraId="2217C4D5">
            <w:pPr>
              <w:kinsoku/>
              <w:spacing w:line="400" w:lineRule="exact"/>
              <w:rPr>
                <w:rFonts w:ascii="宋体" w:hAnsi="宋体" w:eastAsia="宋体" w:cs="宋体"/>
                <w:color w:val="auto"/>
                <w:highlight w:val="none"/>
                <w:lang w:eastAsia="zh-CN"/>
              </w:rPr>
            </w:pPr>
            <w:r>
              <w:rPr>
                <w:rFonts w:hint="eastAsia" w:ascii="宋体" w:hAnsi="宋体" w:eastAsia="宋体" w:cs="宋体"/>
                <w:color w:val="auto"/>
                <w:highlight w:val="none"/>
                <w:lang w:eastAsia="zh-CN"/>
              </w:rPr>
              <w:t>一、分析监测预警情形：</w:t>
            </w:r>
          </w:p>
          <w:p w14:paraId="1FC8A06E">
            <w:pPr>
              <w:kinsoku/>
              <w:spacing w:line="400" w:lineRule="exact"/>
              <w:rPr>
                <w:rFonts w:ascii="宋体" w:hAnsi="宋体" w:eastAsia="宋体" w:cs="宋体"/>
                <w:color w:val="auto"/>
                <w:highlight w:val="none"/>
                <w:lang w:eastAsia="zh-CN"/>
              </w:rPr>
            </w:pPr>
            <w:r>
              <w:rPr>
                <w:rFonts w:hint="eastAsia" w:ascii="宋体" w:hAnsi="宋体" w:eastAsia="宋体" w:cs="宋体"/>
                <w:color w:val="auto"/>
                <w:highlight w:val="none"/>
                <w:lang w:eastAsia="zh-CN"/>
              </w:rPr>
              <w:t>对参与本项目同一标段的投标人存在下列情形的，大数 据分析系统会将监测信息在电子评标系统中给予预警  提示存在下列情形的，大数据分析系统会将监测信息在 电子评标系统中给予预警提示：</w:t>
            </w:r>
          </w:p>
          <w:p w14:paraId="740A1EFD">
            <w:pPr>
              <w:kinsoku/>
              <w:spacing w:line="400" w:lineRule="exact"/>
              <w:rPr>
                <w:rFonts w:ascii="宋体" w:hAnsi="宋体" w:eastAsia="宋体" w:cs="宋体"/>
                <w:color w:val="auto"/>
                <w:highlight w:val="none"/>
                <w:lang w:eastAsia="zh-CN"/>
              </w:rPr>
            </w:pPr>
            <w:r>
              <w:rPr>
                <w:rFonts w:hint="eastAsia" w:ascii="宋体" w:hAnsi="宋体" w:eastAsia="宋体" w:cs="宋体"/>
                <w:color w:val="auto"/>
                <w:highlight w:val="none"/>
                <w:lang w:eastAsia="zh-CN"/>
              </w:rPr>
              <w:t>1、不同投标人的电子投标文件上传计算机的网卡MAC地 址、CPU 序列号和硬盘序列号等硬件信息相同；序列号和 硬盘序列号等硬件信息相同；</w:t>
            </w:r>
          </w:p>
          <w:p w14:paraId="3F7546D5">
            <w:pPr>
              <w:kinsoku/>
              <w:spacing w:line="400" w:lineRule="exact"/>
              <w:rPr>
                <w:rFonts w:ascii="宋体" w:hAnsi="宋体" w:eastAsia="宋体" w:cs="宋体"/>
                <w:color w:val="auto"/>
                <w:highlight w:val="none"/>
                <w:lang w:eastAsia="zh-CN"/>
              </w:rPr>
            </w:pPr>
            <w:r>
              <w:rPr>
                <w:rFonts w:hint="eastAsia" w:ascii="宋体" w:hAnsi="宋体" w:eastAsia="宋体" w:cs="宋体"/>
                <w:color w:val="auto"/>
                <w:highlight w:val="none"/>
                <w:lang w:eastAsia="zh-CN"/>
              </w:rPr>
              <w:t>2、不同投标人的电子投标文件由同一电子设备编制或者上传；</w:t>
            </w:r>
          </w:p>
          <w:p w14:paraId="1252F7FF">
            <w:pPr>
              <w:kinsoku/>
              <w:spacing w:line="400" w:lineRule="exact"/>
              <w:rPr>
                <w:rFonts w:ascii="宋体" w:hAnsi="宋体" w:eastAsia="宋体" w:cs="宋体"/>
                <w:color w:val="auto"/>
                <w:highlight w:val="none"/>
                <w:lang w:eastAsia="zh-CN"/>
              </w:rPr>
            </w:pPr>
            <w:r>
              <w:rPr>
                <w:rFonts w:hint="eastAsia" w:ascii="宋体" w:hAnsi="宋体" w:eastAsia="宋体" w:cs="宋体"/>
                <w:color w:val="auto"/>
                <w:highlight w:val="none"/>
                <w:lang w:eastAsia="zh-CN"/>
              </w:rPr>
              <w:t>3、不同投标人的电子投标文件由同一IP地址上传；</w:t>
            </w:r>
          </w:p>
          <w:p w14:paraId="0BF579F8">
            <w:pPr>
              <w:kinsoku/>
              <w:spacing w:line="400" w:lineRule="exact"/>
              <w:rPr>
                <w:rFonts w:ascii="宋体" w:hAnsi="宋体" w:eastAsia="宋体" w:cs="宋体"/>
                <w:color w:val="auto"/>
                <w:highlight w:val="none"/>
                <w:lang w:eastAsia="zh-CN"/>
              </w:rPr>
            </w:pPr>
            <w:r>
              <w:rPr>
                <w:rFonts w:hint="eastAsia" w:ascii="宋体" w:hAnsi="宋体" w:eastAsia="宋体" w:cs="宋体"/>
                <w:color w:val="auto"/>
                <w:highlight w:val="none"/>
                <w:lang w:eastAsia="zh-CN"/>
              </w:rPr>
              <w:t>4、不同投标人的电子投标文件工程预算由同一预算软件 (同一把预算锁)编制。</w:t>
            </w:r>
          </w:p>
          <w:p w14:paraId="24798973">
            <w:pPr>
              <w:kinsoku/>
              <w:spacing w:line="400" w:lineRule="exact"/>
              <w:rPr>
                <w:rFonts w:ascii="宋体" w:hAnsi="宋体" w:eastAsia="宋体" w:cs="宋体"/>
                <w:color w:val="auto"/>
                <w:highlight w:val="none"/>
                <w:lang w:eastAsia="zh-CN"/>
              </w:rPr>
            </w:pPr>
            <w:r>
              <w:rPr>
                <w:rFonts w:hint="eastAsia" w:ascii="宋体" w:hAnsi="宋体" w:eastAsia="宋体" w:cs="宋体"/>
                <w:color w:val="auto"/>
                <w:highlight w:val="none"/>
                <w:lang w:eastAsia="zh-CN"/>
              </w:rPr>
              <w:t>存在上述预警情形之一的，其投标文件无效。</w:t>
            </w:r>
          </w:p>
          <w:p w14:paraId="48E403FE">
            <w:pPr>
              <w:kinsoku/>
              <w:spacing w:line="400" w:lineRule="exact"/>
              <w:rPr>
                <w:rFonts w:ascii="宋体" w:hAnsi="宋体" w:eastAsia="宋体" w:cs="宋体"/>
                <w:color w:val="auto"/>
                <w:highlight w:val="none"/>
                <w:lang w:eastAsia="zh-CN"/>
              </w:rPr>
            </w:pPr>
            <w:r>
              <w:rPr>
                <w:rFonts w:hint="eastAsia" w:ascii="宋体" w:hAnsi="宋体" w:eastAsia="宋体" w:cs="宋体"/>
                <w:color w:val="auto"/>
                <w:highlight w:val="none"/>
                <w:lang w:eastAsia="zh-CN"/>
              </w:rPr>
              <w:t>二、关于启用新版招标人工具箱和投标人工具箱 2024-12-24（V6.8.0)的通知，具体内容请详见商丘市公共资源交易中心（2024.12.24）首页-通知公告。</w:t>
            </w:r>
          </w:p>
          <w:p w14:paraId="3CAB62DE">
            <w:pPr>
              <w:kinsoku/>
              <w:spacing w:line="400" w:lineRule="exact"/>
              <w:rPr>
                <w:rFonts w:ascii="宋体" w:hAnsi="宋体" w:eastAsia="宋体" w:cs="宋体"/>
                <w:color w:val="auto"/>
                <w:highlight w:val="none"/>
                <w:lang w:eastAsia="zh-CN"/>
              </w:rPr>
            </w:pPr>
            <w:r>
              <w:rPr>
                <w:rFonts w:hint="eastAsia" w:ascii="宋体" w:hAnsi="宋体" w:eastAsia="宋体" w:cs="宋体"/>
                <w:color w:val="auto"/>
                <w:highlight w:val="none"/>
                <w:lang w:eastAsia="zh-CN"/>
              </w:rPr>
              <w:t>投标人在制作投标文件时，投标人使用的工具箱版本需 与代理使用同一版本的投标工具箱，请及时关注招标代理公司使用的招标文件制作工具版本，并使用同一版本号的投标文件制作工具。</w:t>
            </w:r>
          </w:p>
          <w:p w14:paraId="563FDA4A">
            <w:pPr>
              <w:kinsoku/>
              <w:spacing w:line="400" w:lineRule="exact"/>
              <w:rPr>
                <w:rFonts w:ascii="宋体" w:hAnsi="宋体" w:eastAsia="宋体" w:cs="宋体"/>
                <w:color w:val="auto"/>
                <w:highlight w:val="none"/>
                <w:lang w:eastAsia="zh-CN"/>
              </w:rPr>
            </w:pPr>
            <w:r>
              <w:rPr>
                <w:rFonts w:hint="eastAsia" w:ascii="宋体" w:hAnsi="宋体" w:eastAsia="宋体" w:cs="宋体"/>
                <w:color w:val="auto"/>
                <w:highlight w:val="none"/>
                <w:lang w:eastAsia="zh-CN"/>
              </w:rPr>
              <w:t>本文件未尽事宜，按国家有关法律、法规执行。</w:t>
            </w:r>
          </w:p>
        </w:tc>
      </w:tr>
    </w:tbl>
    <w:p w14:paraId="2E98E717">
      <w:pPr>
        <w:rPr>
          <w:rFonts w:hint="eastAsia"/>
          <w:b/>
          <w:bCs/>
          <w:highlight w:val="none"/>
          <w:lang w:eastAsia="zh-CN"/>
        </w:rPr>
      </w:pPr>
      <w:r>
        <w:rPr>
          <w:rFonts w:hint="eastAsia"/>
          <w:b/>
          <w:bCs w:val="0"/>
          <w:sz w:val="24"/>
          <w:szCs w:val="24"/>
          <w:highlight w:val="none"/>
          <w:lang w:eastAsia="zh-CN"/>
        </w:rPr>
        <w:t>备注</w:t>
      </w:r>
      <w:r>
        <w:rPr>
          <w:rFonts w:hint="eastAsia"/>
          <w:b/>
          <w:bCs w:val="0"/>
          <w:sz w:val="36"/>
          <w:szCs w:val="36"/>
          <w:highlight w:val="none"/>
          <w:lang w:eastAsia="zh-CN"/>
        </w:rPr>
        <w:t>：</w:t>
      </w:r>
      <w:r>
        <w:rPr>
          <w:rFonts w:hint="eastAsia"/>
          <w:b/>
          <w:bCs/>
          <w:highlight w:val="none"/>
          <w:lang w:eastAsia="zh-CN"/>
        </w:rPr>
        <w:t>各投标企业应根据项目招标文件要求，将</w:t>
      </w:r>
      <w:r>
        <w:rPr>
          <w:rFonts w:hint="eastAsia" w:ascii="宋体" w:hAnsi="宋体" w:eastAsia="宋体" w:cs="宋体"/>
          <w:b/>
          <w:bCs/>
          <w:highlight w:val="none"/>
          <w:lang w:eastAsia="zh-CN"/>
        </w:rPr>
        <w:t>企业资质、业绩、安全生产许可证（如有）、人员、社保、财务资料</w:t>
      </w:r>
      <w:r>
        <w:rPr>
          <w:rFonts w:hint="eastAsia"/>
          <w:b/>
          <w:bCs/>
          <w:highlight w:val="none"/>
          <w:lang w:eastAsia="zh-CN"/>
        </w:rPr>
        <w:t>上传市场主题库对应位置，通过公开展示、修改留痕，接受社会监督，投标文件中需附与“市场主体诚信库上传资格证明文件一致的复印件或扫描件，否则视为不能通过资格评审或不得分。招标文件中所要求证件、证明等，投标人应根据《商丘市公共资源交易平台操作指南2019-12-31版本》要求上传至“市场主体诚信库”对应位置</w:t>
      </w:r>
    </w:p>
    <w:p w14:paraId="4B8F5293">
      <w:pPr>
        <w:kinsoku/>
        <w:spacing w:line="400" w:lineRule="exact"/>
        <w:outlineLvl w:val="1"/>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注：响应人须知正文与响应人须知前附表相应条款不一致时，以须知前附表内容为准。</w:t>
      </w:r>
    </w:p>
    <w:p w14:paraId="1C14DACB">
      <w:pPr>
        <w:pStyle w:val="2"/>
        <w:rPr>
          <w:highlight w:val="none"/>
          <w:lang w:eastAsia="zh-CN"/>
        </w:rPr>
        <w:sectPr>
          <w:footerReference r:id="rId5" w:type="default"/>
          <w:pgSz w:w="11907" w:h="16840"/>
          <w:pgMar w:top="1431" w:right="1015" w:bottom="981" w:left="1180" w:header="0" w:footer="746" w:gutter="0"/>
          <w:cols w:space="720" w:num="1"/>
        </w:sectPr>
      </w:pPr>
    </w:p>
    <w:p w14:paraId="02B6DA22">
      <w:pPr>
        <w:pStyle w:val="2"/>
        <w:rPr>
          <w:rFonts w:hint="eastAsia"/>
          <w:highlight w:val="none"/>
          <w:lang w:val="en-US" w:eastAsia="zh-CN"/>
        </w:rPr>
      </w:pPr>
    </w:p>
    <w:p w14:paraId="30837D25">
      <w:pPr>
        <w:kinsoku/>
        <w:spacing w:line="400" w:lineRule="exact"/>
        <w:outlineLvl w:val="1"/>
        <w:rPr>
          <w:color w:val="auto"/>
          <w:sz w:val="24"/>
          <w:szCs w:val="24"/>
          <w:highlight w:val="none"/>
          <w:lang w:eastAsia="zh-CN"/>
        </w:rPr>
      </w:pPr>
      <w:r>
        <w:rPr>
          <w:rFonts w:hint="eastAsia" w:ascii="宋体" w:hAnsi="宋体" w:eastAsia="宋体" w:cs="宋体"/>
          <w:color w:val="auto"/>
          <w:highlight w:val="none"/>
          <w:lang w:eastAsia="zh-CN"/>
        </w:rPr>
        <w:t>1. 总则</w:t>
      </w:r>
      <w:bookmarkEnd w:id="30"/>
      <w:bookmarkEnd w:id="31"/>
      <w:bookmarkEnd w:id="32"/>
      <w:bookmarkEnd w:id="33"/>
      <w:bookmarkEnd w:id="34"/>
      <w:bookmarkEnd w:id="35"/>
      <w:bookmarkEnd w:id="36"/>
      <w:bookmarkEnd w:id="37"/>
    </w:p>
    <w:p w14:paraId="55510432">
      <w:pPr>
        <w:pStyle w:val="37"/>
        <w:spacing w:line="360" w:lineRule="auto"/>
        <w:ind w:firstLine="422" w:firstLineChars="0"/>
        <w:outlineLvl w:val="9"/>
        <w:rPr>
          <w:rFonts w:ascii="宋体" w:hAnsi="宋体" w:eastAsia="宋体"/>
          <w:b/>
          <w:bCs/>
          <w:color w:val="auto"/>
          <w:sz w:val="21"/>
          <w:szCs w:val="21"/>
          <w:highlight w:val="none"/>
          <w:lang w:eastAsia="zh-CN"/>
        </w:rPr>
      </w:pPr>
      <w:bookmarkStart w:id="38" w:name="_Toc6747"/>
      <w:bookmarkStart w:id="39" w:name="_Toc455080109"/>
      <w:bookmarkStart w:id="40" w:name="_Toc490667828"/>
      <w:bookmarkStart w:id="41" w:name="_Toc10273"/>
      <w:bookmarkStart w:id="42" w:name="_Toc31404"/>
      <w:bookmarkStart w:id="43" w:name="_Toc20827"/>
      <w:bookmarkStart w:id="44" w:name="_Toc274409866"/>
      <w:bookmarkStart w:id="45" w:name="_Toc658"/>
      <w:bookmarkStart w:id="46" w:name="_Toc21266"/>
      <w:bookmarkStart w:id="47" w:name="_Toc1172"/>
      <w:bookmarkStart w:id="48" w:name="_Toc29023"/>
      <w:bookmarkStart w:id="49" w:name="_Toc21458"/>
      <w:bookmarkStart w:id="50" w:name="_Toc15709"/>
      <w:bookmarkStart w:id="51" w:name="_Toc281380952"/>
      <w:bookmarkStart w:id="52" w:name="_Toc318450675"/>
      <w:bookmarkStart w:id="53" w:name="_Toc455867769"/>
      <w:bookmarkStart w:id="54" w:name="_Toc6999"/>
      <w:bookmarkStart w:id="55" w:name="_Toc466298092"/>
      <w:bookmarkStart w:id="56" w:name="_Toc5921"/>
      <w:bookmarkStart w:id="57" w:name="_Toc144974499"/>
      <w:bookmarkStart w:id="58" w:name="_Toc152042307"/>
      <w:bookmarkStart w:id="59" w:name="_Toc152045531"/>
      <w:r>
        <w:rPr>
          <w:rFonts w:hint="eastAsia" w:ascii="宋体" w:hAnsi="宋体" w:eastAsia="宋体"/>
          <w:b/>
          <w:bCs/>
          <w:color w:val="auto"/>
          <w:sz w:val="21"/>
          <w:szCs w:val="21"/>
          <w:highlight w:val="none"/>
          <w:lang w:eastAsia="zh-CN"/>
        </w:rPr>
        <w:t>1.1 适用范围</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27458966">
      <w:pPr>
        <w:spacing w:line="360" w:lineRule="auto"/>
        <w:ind w:firstLine="420"/>
        <w:rPr>
          <w:rFonts w:ascii="宋体" w:hAnsi="宋体" w:cs="宋体"/>
          <w:color w:val="auto"/>
          <w:highlight w:val="none"/>
          <w:lang w:eastAsia="zh-CN"/>
        </w:rPr>
      </w:pPr>
      <w:r>
        <w:rPr>
          <w:rFonts w:hint="eastAsia" w:ascii="宋体" w:hAnsi="宋体" w:cs="宋体"/>
          <w:color w:val="auto"/>
          <w:highlight w:val="none"/>
          <w:lang w:eastAsia="zh-CN"/>
        </w:rPr>
        <w:t>1.1.1根据《中华人民共和国政府采购法》等有关法律、法规和规章的规定，编制本项目磋商文件。</w:t>
      </w:r>
    </w:p>
    <w:p w14:paraId="33E0BE2C">
      <w:pPr>
        <w:pStyle w:val="37"/>
        <w:tabs>
          <w:tab w:val="left" w:pos="7410"/>
        </w:tabs>
        <w:spacing w:line="360" w:lineRule="auto"/>
        <w:ind w:firstLine="422" w:firstLineChars="0"/>
        <w:outlineLvl w:val="9"/>
        <w:rPr>
          <w:rFonts w:ascii="宋体" w:hAnsi="宋体" w:eastAsia="宋体"/>
          <w:b/>
          <w:bCs/>
          <w:color w:val="auto"/>
          <w:sz w:val="21"/>
          <w:szCs w:val="21"/>
          <w:highlight w:val="none"/>
          <w:lang w:eastAsia="zh-CN"/>
        </w:rPr>
      </w:pPr>
      <w:bookmarkStart w:id="60" w:name="_Toc8680"/>
      <w:bookmarkStart w:id="61" w:name="_Toc274409867"/>
      <w:bookmarkStart w:id="62" w:name="_Toc7237"/>
      <w:bookmarkStart w:id="63" w:name="_Toc30891"/>
      <w:bookmarkStart w:id="64" w:name="_Toc32619"/>
      <w:bookmarkStart w:id="65" w:name="_Toc455867770"/>
      <w:bookmarkStart w:id="66" w:name="_Toc318450676"/>
      <w:bookmarkStart w:id="67" w:name="_Toc3336"/>
      <w:bookmarkStart w:id="68" w:name="_Toc24852"/>
      <w:bookmarkStart w:id="69" w:name="_Toc710"/>
      <w:bookmarkStart w:id="70" w:name="_Toc25773"/>
      <w:bookmarkStart w:id="71" w:name="_Toc455080110"/>
      <w:bookmarkStart w:id="72" w:name="_Toc281405468"/>
      <w:bookmarkStart w:id="73" w:name="_Toc2929"/>
      <w:bookmarkStart w:id="74" w:name="_Toc10269"/>
      <w:bookmarkStart w:id="75" w:name="_Toc490667829"/>
      <w:bookmarkStart w:id="76" w:name="_Toc466298093"/>
      <w:bookmarkStart w:id="77" w:name="_Toc10556"/>
      <w:bookmarkStart w:id="78" w:name="_Toc23548"/>
      <w:r>
        <w:rPr>
          <w:rFonts w:hint="eastAsia" w:ascii="宋体" w:hAnsi="宋体" w:eastAsia="宋体"/>
          <w:b/>
          <w:bCs/>
          <w:color w:val="auto"/>
          <w:sz w:val="21"/>
          <w:szCs w:val="21"/>
          <w:highlight w:val="none"/>
          <w:lang w:eastAsia="zh-CN"/>
        </w:rPr>
        <w:t>1.2 招标项目说明</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4D4CAC8C">
      <w:pPr>
        <w:spacing w:line="360" w:lineRule="auto"/>
        <w:ind w:firstLine="420"/>
        <w:rPr>
          <w:rFonts w:ascii="宋体" w:hAnsi="宋体" w:cs="宋体"/>
          <w:color w:val="auto"/>
          <w:highlight w:val="none"/>
          <w:lang w:eastAsia="zh-CN"/>
        </w:rPr>
      </w:pPr>
      <w:r>
        <w:rPr>
          <w:rFonts w:hint="eastAsia" w:ascii="宋体" w:hAnsi="宋体" w:cs="宋体"/>
          <w:color w:val="auto"/>
          <w:highlight w:val="none"/>
          <w:lang w:eastAsia="zh-CN"/>
        </w:rPr>
        <w:t>1.2.1 本项目</w:t>
      </w:r>
      <w:r>
        <w:rPr>
          <w:rFonts w:hint="eastAsia" w:ascii="宋体" w:hAnsi="宋体"/>
          <w:color w:val="auto"/>
          <w:highlight w:val="none"/>
          <w:lang w:eastAsia="zh-CN"/>
        </w:rPr>
        <w:t>采购人</w:t>
      </w:r>
      <w:r>
        <w:rPr>
          <w:rFonts w:hint="eastAsia" w:ascii="宋体" w:hAnsi="宋体" w:cs="宋体"/>
          <w:color w:val="auto"/>
          <w:highlight w:val="none"/>
          <w:lang w:eastAsia="zh-CN"/>
        </w:rPr>
        <w:t>：见供应商须知前附表。</w:t>
      </w:r>
    </w:p>
    <w:p w14:paraId="1CEAF818">
      <w:pPr>
        <w:spacing w:line="360" w:lineRule="auto"/>
        <w:ind w:firstLine="420"/>
        <w:rPr>
          <w:rFonts w:ascii="宋体" w:hAnsi="宋体" w:cs="宋体"/>
          <w:color w:val="auto"/>
          <w:highlight w:val="none"/>
          <w:lang w:eastAsia="zh-CN"/>
        </w:rPr>
      </w:pPr>
      <w:r>
        <w:rPr>
          <w:rFonts w:hint="eastAsia" w:ascii="宋体" w:hAnsi="宋体" w:cs="宋体"/>
          <w:color w:val="auto"/>
          <w:highlight w:val="none"/>
          <w:lang w:eastAsia="zh-CN"/>
        </w:rPr>
        <w:t>1.2.2 本项目采购代理机构：见供应商须知前附表。</w:t>
      </w:r>
    </w:p>
    <w:p w14:paraId="09838EE8">
      <w:pPr>
        <w:spacing w:line="360" w:lineRule="auto"/>
        <w:ind w:firstLine="420"/>
        <w:rPr>
          <w:rFonts w:ascii="宋体" w:hAnsi="宋体" w:cs="宋体"/>
          <w:color w:val="auto"/>
          <w:highlight w:val="none"/>
          <w:lang w:eastAsia="zh-CN"/>
        </w:rPr>
      </w:pPr>
      <w:r>
        <w:rPr>
          <w:rFonts w:hint="eastAsia" w:ascii="宋体" w:hAnsi="宋体" w:cs="宋体"/>
          <w:color w:val="auto"/>
          <w:highlight w:val="none"/>
          <w:lang w:eastAsia="zh-CN"/>
        </w:rPr>
        <w:t>1.2.3 本项目名称：见供应商须知前附表。</w:t>
      </w:r>
    </w:p>
    <w:p w14:paraId="0DA86D7B">
      <w:pPr>
        <w:spacing w:line="360" w:lineRule="auto"/>
        <w:ind w:firstLine="420"/>
        <w:rPr>
          <w:rFonts w:ascii="宋体" w:hAnsi="宋体" w:cs="宋体"/>
          <w:color w:val="auto"/>
          <w:highlight w:val="none"/>
          <w:lang w:eastAsia="zh-CN"/>
        </w:rPr>
      </w:pPr>
      <w:r>
        <w:rPr>
          <w:rFonts w:hint="eastAsia" w:ascii="宋体" w:hAnsi="宋体" w:cs="宋体"/>
          <w:color w:val="auto"/>
          <w:highlight w:val="none"/>
          <w:lang w:eastAsia="zh-CN"/>
        </w:rPr>
        <w:t>1.2.4本项目采购方式：见供应商须知前附表。</w:t>
      </w:r>
    </w:p>
    <w:p w14:paraId="27FD2E3D">
      <w:pPr>
        <w:spacing w:line="360" w:lineRule="auto"/>
        <w:ind w:firstLine="420"/>
        <w:rPr>
          <w:rFonts w:ascii="宋体" w:hAnsi="宋体" w:cs="宋体"/>
          <w:color w:val="auto"/>
          <w:highlight w:val="none"/>
          <w:lang w:eastAsia="zh-CN"/>
        </w:rPr>
      </w:pPr>
      <w:r>
        <w:rPr>
          <w:rFonts w:hint="eastAsia" w:ascii="宋体" w:hAnsi="宋体" w:cs="宋体"/>
          <w:color w:val="auto"/>
          <w:highlight w:val="none"/>
          <w:lang w:eastAsia="zh-CN"/>
        </w:rPr>
        <w:t>1.2.5本项目预算价（最高限价）：见供应商须知前附表。</w:t>
      </w:r>
    </w:p>
    <w:p w14:paraId="70B9AAE7">
      <w:pPr>
        <w:pStyle w:val="37"/>
        <w:spacing w:line="360" w:lineRule="auto"/>
        <w:ind w:firstLine="422" w:firstLineChars="0"/>
        <w:outlineLvl w:val="9"/>
        <w:rPr>
          <w:rFonts w:ascii="宋体" w:hAnsi="宋体" w:eastAsia="宋体"/>
          <w:b/>
          <w:bCs/>
          <w:color w:val="auto"/>
          <w:sz w:val="21"/>
          <w:szCs w:val="21"/>
          <w:highlight w:val="none"/>
          <w:lang w:eastAsia="zh-CN"/>
        </w:rPr>
      </w:pPr>
      <w:bookmarkStart w:id="79" w:name="_Toc466298094"/>
      <w:bookmarkStart w:id="80" w:name="_Toc17016"/>
      <w:bookmarkStart w:id="81" w:name="_Toc490667830"/>
      <w:bookmarkStart w:id="82" w:name="_Toc274409868"/>
      <w:bookmarkStart w:id="83" w:name="_Toc318450677"/>
      <w:bookmarkStart w:id="84" w:name="_Toc455080111"/>
      <w:bookmarkStart w:id="85" w:name="_Toc17146"/>
      <w:bookmarkStart w:id="86" w:name="_Toc18960"/>
      <w:bookmarkStart w:id="87" w:name="_Toc12213"/>
      <w:bookmarkStart w:id="88" w:name="_Toc4563"/>
      <w:bookmarkStart w:id="89" w:name="_Toc4122"/>
      <w:bookmarkStart w:id="90" w:name="_Toc455867771"/>
      <w:bookmarkStart w:id="91" w:name="_Toc16931"/>
      <w:bookmarkStart w:id="92" w:name="_Toc4952"/>
      <w:bookmarkStart w:id="93" w:name="_Toc1373"/>
      <w:bookmarkStart w:id="94" w:name="_Toc281405469"/>
      <w:bookmarkStart w:id="95" w:name="_Toc22979"/>
      <w:bookmarkStart w:id="96" w:name="_Toc17753"/>
      <w:bookmarkStart w:id="97" w:name="_Toc3477"/>
      <w:r>
        <w:rPr>
          <w:rFonts w:hint="eastAsia" w:ascii="宋体" w:hAnsi="宋体" w:eastAsia="宋体"/>
          <w:b/>
          <w:bCs/>
          <w:color w:val="auto"/>
          <w:sz w:val="21"/>
          <w:szCs w:val="21"/>
          <w:highlight w:val="none"/>
          <w:lang w:eastAsia="zh-CN"/>
        </w:rPr>
        <w:t>1.3 定义及解释</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3A89A522">
      <w:pPr>
        <w:spacing w:line="360" w:lineRule="auto"/>
        <w:ind w:firstLine="420"/>
        <w:rPr>
          <w:rFonts w:ascii="宋体" w:hAnsi="宋体" w:cs="宋体"/>
          <w:color w:val="auto"/>
          <w:highlight w:val="none"/>
          <w:lang w:eastAsia="zh-CN"/>
        </w:rPr>
      </w:pPr>
      <w:r>
        <w:rPr>
          <w:rFonts w:hint="eastAsia" w:ascii="宋体" w:hAnsi="宋体" w:cs="宋体"/>
          <w:color w:val="auto"/>
          <w:highlight w:val="none"/>
          <w:lang w:eastAsia="zh-CN"/>
        </w:rPr>
        <w:t>1.3.1</w:t>
      </w:r>
      <w:r>
        <w:rPr>
          <w:rFonts w:hint="eastAsia" w:ascii="宋体" w:hAnsi="宋体"/>
          <w:color w:val="auto"/>
          <w:highlight w:val="none"/>
          <w:lang w:eastAsia="zh-CN"/>
        </w:rPr>
        <w:t>采购人</w:t>
      </w:r>
      <w:r>
        <w:rPr>
          <w:rFonts w:hint="eastAsia" w:ascii="宋体" w:hAnsi="宋体" w:cs="宋体"/>
          <w:color w:val="auto"/>
          <w:highlight w:val="none"/>
          <w:lang w:eastAsia="zh-CN"/>
        </w:rPr>
        <w:t>：依法进行政府采购的国家机关、事业单位、团体组织。</w:t>
      </w:r>
    </w:p>
    <w:p w14:paraId="79A0D5CB">
      <w:pPr>
        <w:spacing w:line="360" w:lineRule="auto"/>
        <w:ind w:firstLine="420"/>
        <w:rPr>
          <w:rFonts w:ascii="宋体" w:hAnsi="宋体" w:cs="宋体"/>
          <w:color w:val="auto"/>
          <w:highlight w:val="none"/>
          <w:lang w:eastAsia="zh-CN"/>
        </w:rPr>
      </w:pPr>
      <w:r>
        <w:rPr>
          <w:rFonts w:hint="eastAsia" w:ascii="宋体" w:hAnsi="宋体" w:cs="宋体"/>
          <w:color w:val="auto"/>
          <w:highlight w:val="none"/>
          <w:lang w:eastAsia="zh-CN"/>
        </w:rPr>
        <w:t>1.3.2</w:t>
      </w:r>
      <w:r>
        <w:rPr>
          <w:rFonts w:hint="eastAsia" w:ascii="宋体" w:hAnsi="宋体"/>
          <w:color w:val="auto"/>
          <w:highlight w:val="none"/>
          <w:lang w:eastAsia="zh-CN"/>
        </w:rPr>
        <w:t>采购代理机构</w:t>
      </w:r>
      <w:r>
        <w:rPr>
          <w:rFonts w:hint="eastAsia" w:ascii="宋体" w:hAnsi="宋体" w:cs="宋体"/>
          <w:color w:val="auto"/>
          <w:highlight w:val="none"/>
          <w:lang w:eastAsia="zh-CN"/>
        </w:rPr>
        <w:t>：取得政府采购招标代理资质，受采购人委托组织招标活动的社会中介组织。</w:t>
      </w:r>
    </w:p>
    <w:p w14:paraId="0066BC03">
      <w:pPr>
        <w:spacing w:line="360" w:lineRule="auto"/>
        <w:ind w:firstLine="420"/>
        <w:rPr>
          <w:rFonts w:ascii="宋体" w:hAnsi="宋体" w:cs="宋体"/>
          <w:color w:val="auto"/>
          <w:highlight w:val="none"/>
          <w:lang w:eastAsia="zh-CN"/>
        </w:rPr>
      </w:pPr>
      <w:r>
        <w:rPr>
          <w:rFonts w:hint="eastAsia" w:ascii="宋体" w:hAnsi="宋体" w:cs="宋体"/>
          <w:color w:val="auto"/>
          <w:highlight w:val="none"/>
          <w:lang w:eastAsia="zh-CN"/>
        </w:rPr>
        <w:t>1.3.3服务：系指根据本磋商文件规定供应商须承担的服务以及其他类似的义务等。</w:t>
      </w:r>
    </w:p>
    <w:p w14:paraId="4B065F21">
      <w:pPr>
        <w:spacing w:line="360" w:lineRule="auto"/>
        <w:ind w:firstLine="420"/>
        <w:rPr>
          <w:rFonts w:ascii="宋体" w:hAnsi="宋体" w:cs="宋体"/>
          <w:color w:val="auto"/>
          <w:highlight w:val="none"/>
          <w:lang w:eastAsia="zh-CN"/>
        </w:rPr>
      </w:pPr>
      <w:r>
        <w:rPr>
          <w:rFonts w:hint="eastAsia" w:ascii="宋体" w:hAnsi="宋体" w:cs="宋体"/>
          <w:color w:val="auto"/>
          <w:highlight w:val="none"/>
          <w:lang w:eastAsia="zh-CN"/>
        </w:rPr>
        <w:t>1.3.4供应商：供应商是响应磋商文件、参加磋商竞争的中华人民共和国境内的法人、其它组织。</w:t>
      </w:r>
    </w:p>
    <w:p w14:paraId="738D8162">
      <w:pPr>
        <w:spacing w:line="360" w:lineRule="auto"/>
        <w:ind w:firstLine="420"/>
        <w:rPr>
          <w:rFonts w:ascii="宋体" w:hAnsi="宋体" w:cs="宋体"/>
          <w:color w:val="auto"/>
          <w:highlight w:val="none"/>
          <w:lang w:eastAsia="zh-CN"/>
        </w:rPr>
      </w:pPr>
      <w:r>
        <w:rPr>
          <w:rFonts w:hint="eastAsia" w:ascii="宋体" w:hAnsi="宋体" w:cs="宋体"/>
          <w:color w:val="auto"/>
          <w:highlight w:val="none"/>
          <w:lang w:eastAsia="zh-CN"/>
        </w:rPr>
        <w:t>1.3.5响应文件：指供应商根据竞争性磋商文件提交的所有文件。</w:t>
      </w:r>
    </w:p>
    <w:p w14:paraId="3E913FCC">
      <w:pPr>
        <w:spacing w:line="360" w:lineRule="auto"/>
        <w:ind w:firstLine="420"/>
        <w:rPr>
          <w:rFonts w:ascii="宋体" w:hAnsi="宋体" w:cs="宋体"/>
          <w:color w:val="auto"/>
          <w:highlight w:val="none"/>
          <w:lang w:eastAsia="zh-CN"/>
        </w:rPr>
      </w:pPr>
      <w:r>
        <w:rPr>
          <w:rFonts w:hint="eastAsia" w:ascii="宋体" w:hAnsi="宋体" w:cs="宋体"/>
          <w:color w:val="auto"/>
          <w:highlight w:val="none"/>
          <w:lang w:eastAsia="zh-CN"/>
        </w:rPr>
        <w:t>1.3.6磋商小组：依据</w:t>
      </w:r>
      <w:r>
        <w:rPr>
          <w:rFonts w:hint="eastAsia" w:ascii="宋体" w:hAnsi="宋体" w:cs="宋体"/>
          <w:color w:val="auto"/>
          <w:highlight w:val="none"/>
          <w:lang w:eastAsia="zh-CN" w:bidi="en-US"/>
        </w:rPr>
        <w:t>《中华人民共和国政府采购法》及有关法律、法规的规定依法组建的专门负责本次评标工作的临时机构</w:t>
      </w:r>
      <w:r>
        <w:rPr>
          <w:rFonts w:hint="eastAsia" w:ascii="宋体" w:hAnsi="宋体" w:cs="宋体"/>
          <w:color w:val="auto"/>
          <w:highlight w:val="none"/>
          <w:lang w:eastAsia="zh-CN"/>
        </w:rPr>
        <w:t>。</w:t>
      </w:r>
    </w:p>
    <w:p w14:paraId="052F80FC">
      <w:pPr>
        <w:spacing w:line="360" w:lineRule="auto"/>
        <w:ind w:firstLine="420"/>
        <w:rPr>
          <w:rFonts w:ascii="宋体" w:hAnsi="宋体" w:cs="宋体"/>
          <w:color w:val="auto"/>
          <w:highlight w:val="none"/>
          <w:lang w:eastAsia="zh-CN"/>
        </w:rPr>
      </w:pPr>
      <w:r>
        <w:rPr>
          <w:rFonts w:hint="eastAsia" w:ascii="宋体" w:hAnsi="宋体" w:cs="宋体"/>
          <w:color w:val="auto"/>
          <w:highlight w:val="none"/>
          <w:lang w:eastAsia="zh-CN"/>
        </w:rPr>
        <w:t>1.3.7偏离：响应文件的响应相对于竞争性磋商文件要求的偏差，该偏差优于竞争性磋商文件要求的为正偏离；劣于的为负偏离。</w:t>
      </w:r>
    </w:p>
    <w:p w14:paraId="162611D8">
      <w:pPr>
        <w:spacing w:line="360" w:lineRule="auto"/>
        <w:ind w:firstLine="420"/>
        <w:rPr>
          <w:rFonts w:ascii="宋体" w:hAnsi="宋体" w:cs="宋体"/>
          <w:color w:val="auto"/>
          <w:highlight w:val="none"/>
          <w:lang w:eastAsia="zh-CN"/>
        </w:rPr>
      </w:pPr>
      <w:r>
        <w:rPr>
          <w:rFonts w:hint="eastAsia" w:ascii="宋体" w:hAnsi="宋体" w:cs="宋体"/>
          <w:color w:val="auto"/>
          <w:highlight w:val="none"/>
          <w:lang w:eastAsia="zh-CN"/>
        </w:rPr>
        <w:t>1.3.8“日期”或“天”：指日历天。</w:t>
      </w:r>
    </w:p>
    <w:p w14:paraId="762D7FFC">
      <w:pPr>
        <w:spacing w:line="360" w:lineRule="auto"/>
        <w:ind w:firstLine="420"/>
        <w:rPr>
          <w:rFonts w:ascii="宋体" w:hAnsi="宋体" w:cs="宋体"/>
          <w:color w:val="auto"/>
          <w:highlight w:val="none"/>
          <w:lang w:eastAsia="zh-CN"/>
        </w:rPr>
      </w:pPr>
      <w:r>
        <w:rPr>
          <w:rFonts w:hint="eastAsia" w:ascii="宋体" w:hAnsi="宋体" w:cs="宋体"/>
          <w:color w:val="auto"/>
          <w:highlight w:val="none"/>
          <w:lang w:eastAsia="zh-CN"/>
        </w:rPr>
        <w:t>1.3.9合同：指依据本次服务采购招标结果签订的协议或合约文件。</w:t>
      </w:r>
    </w:p>
    <w:p w14:paraId="14A7FBA8">
      <w:pPr>
        <w:spacing w:line="360" w:lineRule="auto"/>
        <w:ind w:firstLine="420"/>
        <w:rPr>
          <w:rFonts w:ascii="宋体" w:hAnsi="宋体" w:cs="宋体"/>
          <w:color w:val="auto"/>
          <w:highlight w:val="none"/>
          <w:lang w:eastAsia="zh-CN"/>
        </w:rPr>
      </w:pPr>
      <w:r>
        <w:rPr>
          <w:rFonts w:hint="eastAsia" w:ascii="宋体" w:hAnsi="宋体" w:cs="宋体"/>
          <w:color w:val="auto"/>
          <w:highlight w:val="none"/>
          <w:lang w:eastAsia="zh-CN"/>
        </w:rPr>
        <w:t>1.3.10竞争性磋商文件中的标题或题名仅起引导作用，而不应视为对竞争性磋商文件内容的理解和解释。</w:t>
      </w:r>
    </w:p>
    <w:bookmarkEnd w:id="57"/>
    <w:bookmarkEnd w:id="58"/>
    <w:bookmarkEnd w:id="59"/>
    <w:p w14:paraId="4E4724CB">
      <w:pPr>
        <w:pStyle w:val="37"/>
        <w:spacing w:line="360" w:lineRule="auto"/>
        <w:ind w:firstLine="422" w:firstLineChars="0"/>
        <w:outlineLvl w:val="9"/>
        <w:rPr>
          <w:rFonts w:ascii="宋体" w:hAnsi="宋体" w:eastAsia="宋体"/>
          <w:b/>
          <w:bCs/>
          <w:color w:val="auto"/>
          <w:sz w:val="21"/>
          <w:szCs w:val="21"/>
          <w:highlight w:val="none"/>
          <w:lang w:eastAsia="zh-CN"/>
        </w:rPr>
      </w:pPr>
      <w:bookmarkStart w:id="98" w:name="_Toc152042308"/>
      <w:bookmarkStart w:id="99" w:name="_Toc21766"/>
      <w:bookmarkStart w:id="100" w:name="_Toc152045532"/>
      <w:bookmarkStart w:id="101" w:name="_Toc12838"/>
      <w:bookmarkStart w:id="102" w:name="_Toc10894"/>
      <w:bookmarkStart w:id="103" w:name="_Toc455867772"/>
      <w:bookmarkStart w:id="104" w:name="_Toc12752"/>
      <w:bookmarkStart w:id="105" w:name="_Toc318450678"/>
      <w:bookmarkStart w:id="106" w:name="_Toc14043"/>
      <w:bookmarkStart w:id="107" w:name="_Toc466298095"/>
      <w:bookmarkStart w:id="108" w:name="_Toc32236"/>
      <w:bookmarkStart w:id="109" w:name="_Toc144974500"/>
      <w:bookmarkStart w:id="110" w:name="_Toc19363"/>
      <w:bookmarkStart w:id="111" w:name="_Toc490667831"/>
      <w:bookmarkStart w:id="112" w:name="_Toc9025"/>
      <w:bookmarkStart w:id="113" w:name="_Toc17908"/>
      <w:bookmarkStart w:id="114" w:name="_Toc27407"/>
      <w:bookmarkStart w:id="115" w:name="_Toc16470"/>
      <w:bookmarkStart w:id="116" w:name="_Toc455080112"/>
      <w:bookmarkStart w:id="117" w:name="_Toc17808"/>
      <w:r>
        <w:rPr>
          <w:rFonts w:hint="eastAsia" w:ascii="宋体" w:hAnsi="宋体" w:eastAsia="宋体"/>
          <w:b/>
          <w:bCs/>
          <w:color w:val="auto"/>
          <w:sz w:val="21"/>
          <w:szCs w:val="21"/>
          <w:highlight w:val="none"/>
          <w:lang w:eastAsia="zh-CN"/>
        </w:rPr>
        <w:t>1.4 磋商内容、服务期限、质保期和质量要求</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077C29C4">
      <w:pPr>
        <w:spacing w:line="360" w:lineRule="auto"/>
        <w:ind w:firstLine="420"/>
        <w:rPr>
          <w:rFonts w:ascii="宋体" w:hAnsi="宋体" w:cs="宋体"/>
          <w:color w:val="auto"/>
          <w:highlight w:val="none"/>
          <w:lang w:eastAsia="zh-CN"/>
        </w:rPr>
      </w:pPr>
      <w:r>
        <w:rPr>
          <w:rFonts w:hint="eastAsia" w:ascii="宋体" w:hAnsi="宋体" w:cs="宋体"/>
          <w:color w:val="auto"/>
          <w:highlight w:val="none"/>
          <w:lang w:eastAsia="zh-CN"/>
        </w:rPr>
        <w:t>1.4.1本次磋商内容：见供应商须知前附表。</w:t>
      </w:r>
    </w:p>
    <w:p w14:paraId="147D35B3">
      <w:pPr>
        <w:spacing w:line="360" w:lineRule="auto"/>
        <w:ind w:firstLine="420"/>
        <w:rPr>
          <w:rFonts w:ascii="宋体" w:hAnsi="宋体" w:cs="宋体"/>
          <w:color w:val="auto"/>
          <w:highlight w:val="none"/>
          <w:lang w:eastAsia="zh-CN"/>
        </w:rPr>
      </w:pPr>
      <w:r>
        <w:rPr>
          <w:rFonts w:hint="eastAsia" w:ascii="宋体" w:hAnsi="宋体" w:cs="宋体"/>
          <w:color w:val="auto"/>
          <w:highlight w:val="none"/>
          <w:lang w:eastAsia="zh-CN"/>
        </w:rPr>
        <w:t>1.4.2本项目的服务期限：见供应商须知前附表。</w:t>
      </w:r>
    </w:p>
    <w:p w14:paraId="33D916F9">
      <w:pPr>
        <w:spacing w:line="360" w:lineRule="auto"/>
        <w:ind w:firstLine="420"/>
        <w:rPr>
          <w:rFonts w:ascii="宋体" w:hAnsi="宋体" w:cs="宋体"/>
          <w:color w:val="auto"/>
          <w:highlight w:val="none"/>
          <w:lang w:eastAsia="zh-CN"/>
        </w:rPr>
      </w:pPr>
      <w:r>
        <w:rPr>
          <w:rFonts w:hint="eastAsia" w:ascii="宋体" w:hAnsi="宋体" w:cs="宋体"/>
          <w:color w:val="auto"/>
          <w:highlight w:val="none"/>
          <w:lang w:eastAsia="zh-CN"/>
        </w:rPr>
        <w:t>1.4.3本项目的质量要求：见供应商须知前附表。</w:t>
      </w:r>
    </w:p>
    <w:p w14:paraId="73C3C679">
      <w:pPr>
        <w:spacing w:line="360" w:lineRule="auto"/>
        <w:ind w:firstLine="420"/>
        <w:rPr>
          <w:rFonts w:ascii="宋体" w:hAnsi="宋体" w:cs="宋体"/>
          <w:color w:val="auto"/>
          <w:highlight w:val="none"/>
          <w:lang w:eastAsia="zh-CN"/>
        </w:rPr>
      </w:pPr>
      <w:r>
        <w:rPr>
          <w:rFonts w:hint="eastAsia" w:ascii="宋体" w:hAnsi="宋体" w:cs="宋体"/>
          <w:color w:val="auto"/>
          <w:highlight w:val="none"/>
          <w:lang w:eastAsia="zh-CN"/>
        </w:rPr>
        <w:t>1.4.4付款方式：见供应商须知前附表。</w:t>
      </w:r>
    </w:p>
    <w:p w14:paraId="258B4F41">
      <w:pPr>
        <w:pStyle w:val="37"/>
        <w:spacing w:line="360" w:lineRule="auto"/>
        <w:ind w:firstLine="422" w:firstLineChars="0"/>
        <w:outlineLvl w:val="9"/>
        <w:rPr>
          <w:rFonts w:ascii="宋体" w:hAnsi="宋体" w:eastAsia="宋体"/>
          <w:b/>
          <w:bCs/>
          <w:color w:val="auto"/>
          <w:sz w:val="21"/>
          <w:szCs w:val="21"/>
          <w:highlight w:val="none"/>
          <w:lang w:eastAsia="zh-CN"/>
        </w:rPr>
      </w:pPr>
      <w:bookmarkStart w:id="118" w:name="_Toc144974502"/>
      <w:bookmarkStart w:id="119" w:name="_Toc318450679"/>
      <w:bookmarkStart w:id="120" w:name="_Toc152045534"/>
      <w:bookmarkStart w:id="121" w:name="_Toc152042310"/>
      <w:bookmarkStart w:id="122" w:name="_Toc1602"/>
      <w:bookmarkStart w:id="123" w:name="_Toc455867773"/>
      <w:bookmarkStart w:id="124" w:name="_Toc18004"/>
      <w:bookmarkStart w:id="125" w:name="_Toc32156"/>
      <w:bookmarkStart w:id="126" w:name="_Toc5019"/>
      <w:bookmarkStart w:id="127" w:name="_Toc16148"/>
      <w:bookmarkStart w:id="128" w:name="_Toc22643"/>
      <w:bookmarkStart w:id="129" w:name="_Toc11063"/>
      <w:bookmarkStart w:id="130" w:name="_Toc490667832"/>
      <w:bookmarkStart w:id="131" w:name="_Toc7209"/>
      <w:bookmarkStart w:id="132" w:name="_Toc455080113"/>
      <w:bookmarkStart w:id="133" w:name="_Toc4301"/>
      <w:bookmarkStart w:id="134" w:name="_Toc18689"/>
      <w:bookmarkStart w:id="135" w:name="_Toc11621"/>
      <w:bookmarkStart w:id="136" w:name="_Toc4711"/>
      <w:bookmarkStart w:id="137" w:name="_Toc466298096"/>
      <w:r>
        <w:rPr>
          <w:rFonts w:hint="eastAsia" w:ascii="宋体" w:hAnsi="宋体" w:eastAsia="宋体"/>
          <w:b/>
          <w:bCs/>
          <w:color w:val="auto"/>
          <w:sz w:val="21"/>
          <w:szCs w:val="21"/>
          <w:highlight w:val="none"/>
          <w:lang w:eastAsia="zh-CN"/>
        </w:rPr>
        <w:t xml:space="preserve">1.5 </w:t>
      </w:r>
      <w:bookmarkEnd w:id="118"/>
      <w:bookmarkEnd w:id="119"/>
      <w:bookmarkEnd w:id="120"/>
      <w:bookmarkEnd w:id="121"/>
      <w:r>
        <w:rPr>
          <w:rFonts w:hint="eastAsia" w:ascii="宋体" w:hAnsi="宋体" w:eastAsia="宋体"/>
          <w:b/>
          <w:bCs/>
          <w:color w:val="auto"/>
          <w:sz w:val="21"/>
          <w:szCs w:val="21"/>
          <w:highlight w:val="none"/>
          <w:lang w:eastAsia="zh-CN"/>
        </w:rPr>
        <w:t>供应商资质条件和能力</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14:paraId="5E68E523">
      <w:pPr>
        <w:spacing w:line="360" w:lineRule="auto"/>
        <w:ind w:firstLine="420"/>
        <w:rPr>
          <w:rFonts w:ascii="宋体" w:hAnsi="宋体" w:cs="宋体"/>
          <w:color w:val="auto"/>
          <w:highlight w:val="none"/>
          <w:lang w:eastAsia="zh-CN"/>
        </w:rPr>
      </w:pPr>
      <w:r>
        <w:rPr>
          <w:rFonts w:hint="eastAsia" w:ascii="宋体" w:hAnsi="宋体" w:cs="宋体"/>
          <w:color w:val="auto"/>
          <w:highlight w:val="none"/>
          <w:lang w:eastAsia="zh-CN"/>
        </w:rPr>
        <w:t>1.5.1供应商资质及能力要求：见供应商须知前附表。</w:t>
      </w:r>
    </w:p>
    <w:p w14:paraId="17906DD1">
      <w:pPr>
        <w:spacing w:line="360" w:lineRule="auto"/>
        <w:ind w:firstLine="420"/>
        <w:rPr>
          <w:rFonts w:ascii="宋体" w:hAnsi="宋体" w:cs="宋体"/>
          <w:color w:val="auto"/>
          <w:highlight w:val="none"/>
          <w:lang w:eastAsia="zh-CN"/>
        </w:rPr>
      </w:pPr>
      <w:r>
        <w:rPr>
          <w:rFonts w:hint="eastAsia" w:ascii="宋体" w:hAnsi="宋体" w:cs="宋体"/>
          <w:color w:val="auto"/>
          <w:highlight w:val="none"/>
          <w:lang w:eastAsia="zh-CN"/>
        </w:rPr>
        <w:t>1.5.2是否接受联合体：见供应商须知前附表。</w:t>
      </w:r>
    </w:p>
    <w:p w14:paraId="2CF8DED6">
      <w:pPr>
        <w:pStyle w:val="37"/>
        <w:spacing w:line="360" w:lineRule="auto"/>
        <w:ind w:firstLine="422" w:firstLineChars="0"/>
        <w:outlineLvl w:val="9"/>
        <w:rPr>
          <w:rFonts w:ascii="宋体" w:hAnsi="宋体" w:eastAsia="宋体"/>
          <w:b/>
          <w:bCs/>
          <w:color w:val="auto"/>
          <w:sz w:val="21"/>
          <w:szCs w:val="21"/>
          <w:highlight w:val="none"/>
          <w:lang w:eastAsia="zh-CN"/>
        </w:rPr>
      </w:pPr>
      <w:bookmarkStart w:id="138" w:name="_Toc32446"/>
      <w:bookmarkStart w:id="139" w:name="_Toc9505"/>
      <w:bookmarkStart w:id="140" w:name="_Toc11905"/>
      <w:bookmarkStart w:id="141" w:name="_Toc455867774"/>
      <w:bookmarkStart w:id="142" w:name="_Toc144974503"/>
      <w:bookmarkStart w:id="143" w:name="_Toc466298097"/>
      <w:bookmarkStart w:id="144" w:name="_Toc31854"/>
      <w:bookmarkStart w:id="145" w:name="_Toc12403"/>
      <w:bookmarkStart w:id="146" w:name="_Toc318450680"/>
      <w:bookmarkStart w:id="147" w:name="_Toc5162"/>
      <w:bookmarkStart w:id="148" w:name="_Toc651"/>
      <w:bookmarkStart w:id="149" w:name="_Toc21564"/>
      <w:bookmarkStart w:id="150" w:name="_Toc28135"/>
      <w:bookmarkStart w:id="151" w:name="_Toc490667833"/>
      <w:bookmarkStart w:id="152" w:name="_Toc152045535"/>
      <w:bookmarkStart w:id="153" w:name="_Toc3534"/>
      <w:bookmarkStart w:id="154" w:name="_Toc16889"/>
      <w:bookmarkStart w:id="155" w:name="_Toc981"/>
      <w:bookmarkStart w:id="156" w:name="_Toc455080114"/>
      <w:bookmarkStart w:id="157" w:name="_Toc152042311"/>
      <w:r>
        <w:rPr>
          <w:rFonts w:hint="eastAsia" w:ascii="宋体" w:hAnsi="宋体" w:eastAsia="宋体"/>
          <w:b/>
          <w:bCs/>
          <w:color w:val="auto"/>
          <w:sz w:val="21"/>
          <w:szCs w:val="21"/>
          <w:highlight w:val="none"/>
          <w:lang w:eastAsia="zh-CN"/>
        </w:rPr>
        <w:t>1.6 费用承担</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4067AAAE">
      <w:pPr>
        <w:spacing w:line="360" w:lineRule="auto"/>
        <w:ind w:firstLine="420"/>
        <w:rPr>
          <w:rFonts w:ascii="宋体" w:hAnsi="宋体" w:cs="宋体"/>
          <w:color w:val="auto"/>
          <w:highlight w:val="none"/>
          <w:lang w:eastAsia="zh-CN"/>
        </w:rPr>
      </w:pPr>
      <w:r>
        <w:rPr>
          <w:rFonts w:hint="eastAsia" w:ascii="宋体" w:hAnsi="宋体" w:cs="宋体"/>
          <w:color w:val="auto"/>
          <w:highlight w:val="none"/>
          <w:lang w:eastAsia="zh-CN"/>
        </w:rPr>
        <w:t>供应商准备和参加磋商活动发生的费用自理，不论磋商的结果如何，采购人和采购代理机构在任何情况下均无义务和责任承担这些费用。</w:t>
      </w:r>
    </w:p>
    <w:p w14:paraId="209BF374">
      <w:pPr>
        <w:pStyle w:val="37"/>
        <w:spacing w:line="360" w:lineRule="auto"/>
        <w:ind w:firstLine="422" w:firstLineChars="0"/>
        <w:outlineLvl w:val="9"/>
        <w:rPr>
          <w:rFonts w:ascii="宋体" w:hAnsi="宋体" w:eastAsia="宋体"/>
          <w:b/>
          <w:bCs/>
          <w:color w:val="auto"/>
          <w:sz w:val="21"/>
          <w:szCs w:val="21"/>
          <w:highlight w:val="none"/>
          <w:lang w:eastAsia="zh-CN"/>
        </w:rPr>
      </w:pPr>
      <w:bookmarkStart w:id="158" w:name="_Toc2622"/>
      <w:bookmarkStart w:id="159" w:name="_Toc455867775"/>
      <w:bookmarkStart w:id="160" w:name="_Toc6014"/>
      <w:bookmarkStart w:id="161" w:name="_Toc32542"/>
      <w:bookmarkStart w:id="162" w:name="_Toc144974504"/>
      <w:bookmarkStart w:id="163" w:name="_Toc20145"/>
      <w:bookmarkStart w:id="164" w:name="_Toc152042312"/>
      <w:bookmarkStart w:id="165" w:name="_Toc8055"/>
      <w:bookmarkStart w:id="166" w:name="_Toc1879"/>
      <w:bookmarkStart w:id="167" w:name="_Toc466298098"/>
      <w:bookmarkStart w:id="168" w:name="_Toc152045536"/>
      <w:bookmarkStart w:id="169" w:name="_Toc318450681"/>
      <w:bookmarkStart w:id="170" w:name="_Toc490667834"/>
      <w:bookmarkStart w:id="171" w:name="_Toc10377"/>
      <w:bookmarkStart w:id="172" w:name="_Toc32053"/>
      <w:bookmarkStart w:id="173" w:name="_Toc5402"/>
      <w:bookmarkStart w:id="174" w:name="_Toc22800"/>
      <w:bookmarkStart w:id="175" w:name="_Toc455080115"/>
      <w:bookmarkStart w:id="176" w:name="_Toc22136"/>
      <w:bookmarkStart w:id="177" w:name="_Toc24601"/>
      <w:r>
        <w:rPr>
          <w:rFonts w:hint="eastAsia" w:ascii="宋体" w:hAnsi="宋体" w:eastAsia="宋体"/>
          <w:b/>
          <w:bCs/>
          <w:color w:val="auto"/>
          <w:sz w:val="21"/>
          <w:szCs w:val="21"/>
          <w:highlight w:val="none"/>
          <w:lang w:eastAsia="zh-CN"/>
        </w:rPr>
        <w:t>1.7 保密</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14:paraId="05364BAC">
      <w:pPr>
        <w:spacing w:line="360" w:lineRule="auto"/>
        <w:ind w:firstLine="420"/>
        <w:rPr>
          <w:rFonts w:ascii="宋体" w:hAnsi="宋体" w:cs="宋体"/>
          <w:color w:val="auto"/>
          <w:highlight w:val="none"/>
          <w:lang w:eastAsia="zh-CN"/>
        </w:rPr>
      </w:pPr>
      <w:r>
        <w:rPr>
          <w:rFonts w:hint="eastAsia" w:ascii="宋体" w:hAnsi="宋体" w:cs="宋体"/>
          <w:color w:val="auto"/>
          <w:highlight w:val="none"/>
          <w:lang w:eastAsia="zh-CN"/>
        </w:rPr>
        <w:t xml:space="preserve">参与磋商活动的各方应对竞争性磋商文件和响应文件中的商业和技术等秘密保密，违者应对由此造成的后果承担法律责任。 </w:t>
      </w:r>
    </w:p>
    <w:p w14:paraId="1F08D312">
      <w:pPr>
        <w:pStyle w:val="37"/>
        <w:spacing w:line="360" w:lineRule="auto"/>
        <w:ind w:firstLine="422" w:firstLineChars="0"/>
        <w:outlineLvl w:val="9"/>
        <w:rPr>
          <w:rFonts w:ascii="宋体" w:hAnsi="宋体" w:eastAsia="宋体"/>
          <w:b/>
          <w:bCs/>
          <w:color w:val="auto"/>
          <w:sz w:val="21"/>
          <w:szCs w:val="21"/>
          <w:highlight w:val="none"/>
          <w:lang w:eastAsia="zh-CN"/>
        </w:rPr>
      </w:pPr>
      <w:bookmarkStart w:id="178" w:name="_Toc144974505"/>
      <w:bookmarkStart w:id="179" w:name="_Toc490667835"/>
      <w:bookmarkStart w:id="180" w:name="_Toc466298099"/>
      <w:bookmarkStart w:id="181" w:name="_Toc455867776"/>
      <w:bookmarkStart w:id="182" w:name="_Toc152042313"/>
      <w:bookmarkStart w:id="183" w:name="_Toc9432"/>
      <w:bookmarkStart w:id="184" w:name="_Toc7031"/>
      <w:bookmarkStart w:id="185" w:name="_Toc30583"/>
      <w:bookmarkStart w:id="186" w:name="_Toc6615"/>
      <w:bookmarkStart w:id="187" w:name="_Toc21089"/>
      <w:bookmarkStart w:id="188" w:name="_Toc152045537"/>
      <w:bookmarkStart w:id="189" w:name="_Toc3628"/>
      <w:bookmarkStart w:id="190" w:name="_Toc15673"/>
      <w:bookmarkStart w:id="191" w:name="_Toc455080116"/>
      <w:bookmarkStart w:id="192" w:name="_Toc25517"/>
      <w:bookmarkStart w:id="193" w:name="_Toc30747"/>
      <w:bookmarkStart w:id="194" w:name="_Toc13976"/>
      <w:bookmarkStart w:id="195" w:name="_Toc15141"/>
      <w:bookmarkStart w:id="196" w:name="_Toc318450682"/>
      <w:bookmarkStart w:id="197" w:name="_Toc14775"/>
      <w:r>
        <w:rPr>
          <w:rFonts w:hint="eastAsia" w:ascii="宋体" w:hAnsi="宋体" w:eastAsia="宋体"/>
          <w:b/>
          <w:bCs/>
          <w:color w:val="auto"/>
          <w:sz w:val="21"/>
          <w:szCs w:val="21"/>
          <w:highlight w:val="none"/>
          <w:lang w:eastAsia="zh-CN"/>
        </w:rPr>
        <w:t>1.8 语言</w:t>
      </w:r>
      <w:bookmarkEnd w:id="178"/>
      <w:r>
        <w:rPr>
          <w:rFonts w:hint="eastAsia" w:ascii="宋体" w:hAnsi="宋体" w:eastAsia="宋体"/>
          <w:b/>
          <w:bCs/>
          <w:color w:val="auto"/>
          <w:sz w:val="21"/>
          <w:szCs w:val="21"/>
          <w:highlight w:val="none"/>
          <w:lang w:eastAsia="zh-CN"/>
        </w:rPr>
        <w:t>文字</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14:paraId="614C6C3F">
      <w:pPr>
        <w:spacing w:line="360" w:lineRule="auto"/>
        <w:ind w:firstLine="420"/>
        <w:rPr>
          <w:rFonts w:ascii="宋体" w:hAnsi="宋体" w:cs="宋体"/>
          <w:color w:val="auto"/>
          <w:highlight w:val="none"/>
          <w:lang w:eastAsia="zh-CN"/>
        </w:rPr>
      </w:pPr>
      <w:r>
        <w:rPr>
          <w:rFonts w:hint="eastAsia" w:ascii="宋体" w:hAnsi="宋体" w:cs="宋体"/>
          <w:color w:val="auto"/>
          <w:highlight w:val="none"/>
          <w:lang w:eastAsia="zh-CN"/>
        </w:rPr>
        <w:t>除专用术语外，与磋商有关的语言均使用中文。必要时专用术语应附有中文注释，</w:t>
      </w:r>
      <w:r>
        <w:rPr>
          <w:rFonts w:hint="eastAsia" w:ascii="宋体" w:hAnsi="宋体" w:cs="宋体"/>
          <w:color w:val="auto"/>
          <w:highlight w:val="none"/>
          <w:lang w:eastAsia="zh-CN" w:bidi="en-US"/>
        </w:rPr>
        <w:t>对不同文字文本响应文件的解释发生异议的，以中文文本为准。</w:t>
      </w:r>
    </w:p>
    <w:p w14:paraId="5ED84A8C">
      <w:pPr>
        <w:pStyle w:val="37"/>
        <w:spacing w:line="360" w:lineRule="auto"/>
        <w:ind w:firstLine="422" w:firstLineChars="0"/>
        <w:outlineLvl w:val="9"/>
        <w:rPr>
          <w:rFonts w:ascii="宋体" w:hAnsi="宋体" w:eastAsia="宋体"/>
          <w:b/>
          <w:bCs/>
          <w:color w:val="auto"/>
          <w:sz w:val="21"/>
          <w:szCs w:val="21"/>
          <w:highlight w:val="none"/>
          <w:lang w:eastAsia="zh-CN"/>
        </w:rPr>
      </w:pPr>
      <w:bookmarkStart w:id="198" w:name="_Toc144974506"/>
      <w:bookmarkStart w:id="199" w:name="_Toc9446"/>
      <w:bookmarkStart w:id="200" w:name="_Toc14934"/>
      <w:bookmarkStart w:id="201" w:name="_Toc466298100"/>
      <w:bookmarkStart w:id="202" w:name="_Toc152045538"/>
      <w:bookmarkStart w:id="203" w:name="_Toc152042314"/>
      <w:bookmarkStart w:id="204" w:name="_Toc4501"/>
      <w:bookmarkStart w:id="205" w:name="_Toc490667836"/>
      <w:bookmarkStart w:id="206" w:name="_Toc22378"/>
      <w:bookmarkStart w:id="207" w:name="_Toc455867777"/>
      <w:bookmarkStart w:id="208" w:name="_Toc4237"/>
      <w:bookmarkStart w:id="209" w:name="_Toc24337"/>
      <w:bookmarkStart w:id="210" w:name="_Toc20536"/>
      <w:bookmarkStart w:id="211" w:name="_Toc32507"/>
      <w:bookmarkStart w:id="212" w:name="_Toc318450683"/>
      <w:bookmarkStart w:id="213" w:name="_Toc22231"/>
      <w:bookmarkStart w:id="214" w:name="_Toc22415"/>
      <w:bookmarkStart w:id="215" w:name="_Toc455080117"/>
      <w:bookmarkStart w:id="216" w:name="_Toc2702"/>
      <w:bookmarkStart w:id="217" w:name="_Toc18357"/>
      <w:r>
        <w:rPr>
          <w:rFonts w:hint="eastAsia" w:ascii="宋体" w:hAnsi="宋体" w:eastAsia="宋体"/>
          <w:b/>
          <w:bCs/>
          <w:color w:val="auto"/>
          <w:sz w:val="21"/>
          <w:szCs w:val="21"/>
          <w:highlight w:val="none"/>
          <w:lang w:eastAsia="zh-CN"/>
        </w:rPr>
        <w:t>1.9 计量单位</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14:paraId="0D72869C">
      <w:pPr>
        <w:spacing w:line="360" w:lineRule="auto"/>
        <w:ind w:firstLine="420"/>
        <w:rPr>
          <w:rFonts w:ascii="宋体" w:hAnsi="宋体" w:cs="宋体"/>
          <w:color w:val="auto"/>
          <w:highlight w:val="none"/>
          <w:lang w:eastAsia="zh-CN"/>
        </w:rPr>
      </w:pPr>
      <w:r>
        <w:rPr>
          <w:rFonts w:hint="eastAsia" w:ascii="宋体" w:hAnsi="宋体" w:cs="宋体"/>
          <w:color w:val="auto"/>
          <w:highlight w:val="none"/>
          <w:lang w:eastAsia="zh-CN"/>
        </w:rPr>
        <w:t>所有计量均采用中华人民共和国法定计量单位。</w:t>
      </w:r>
    </w:p>
    <w:p w14:paraId="32E029C2">
      <w:pPr>
        <w:pStyle w:val="37"/>
        <w:spacing w:line="360" w:lineRule="auto"/>
        <w:ind w:firstLine="422" w:firstLineChars="0"/>
        <w:outlineLvl w:val="9"/>
        <w:rPr>
          <w:rFonts w:ascii="宋体" w:hAnsi="宋体" w:eastAsia="宋体"/>
          <w:color w:val="auto"/>
          <w:sz w:val="21"/>
          <w:szCs w:val="21"/>
          <w:highlight w:val="none"/>
          <w:lang w:eastAsia="zh-CN"/>
        </w:rPr>
      </w:pPr>
      <w:bookmarkStart w:id="218" w:name="_Toc31195"/>
      <w:bookmarkStart w:id="219" w:name="_Toc12027"/>
      <w:bookmarkStart w:id="220" w:name="_Toc19685"/>
      <w:bookmarkStart w:id="221" w:name="_Toc29845"/>
      <w:bookmarkStart w:id="222" w:name="_Toc27570"/>
      <w:bookmarkStart w:id="223" w:name="_Toc318450684"/>
      <w:bookmarkStart w:id="224" w:name="_Toc455867778"/>
      <w:bookmarkStart w:id="225" w:name="_Toc455080118"/>
      <w:bookmarkStart w:id="226" w:name="_Toc490667837"/>
      <w:bookmarkStart w:id="227" w:name="_Toc144974508"/>
      <w:bookmarkStart w:id="228" w:name="_Toc284"/>
      <w:bookmarkStart w:id="229" w:name="_Toc18589"/>
      <w:bookmarkStart w:id="230" w:name="_Toc152042316"/>
      <w:bookmarkStart w:id="231" w:name="_Toc2508"/>
      <w:bookmarkStart w:id="232" w:name="_Toc338"/>
      <w:bookmarkStart w:id="233" w:name="_Toc466298101"/>
      <w:bookmarkStart w:id="234" w:name="_Toc13675"/>
      <w:bookmarkStart w:id="235" w:name="_Toc152045540"/>
      <w:bookmarkStart w:id="236" w:name="_Toc21856"/>
      <w:bookmarkStart w:id="237" w:name="_Toc2394"/>
      <w:r>
        <w:rPr>
          <w:rFonts w:hint="eastAsia" w:ascii="宋体" w:hAnsi="宋体" w:eastAsia="宋体"/>
          <w:b/>
          <w:bCs/>
          <w:color w:val="auto"/>
          <w:sz w:val="21"/>
          <w:szCs w:val="21"/>
          <w:highlight w:val="none"/>
          <w:lang w:eastAsia="zh-CN"/>
        </w:rPr>
        <w:t xml:space="preserve">1.10 </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r>
        <w:rPr>
          <w:rFonts w:hint="eastAsia" w:ascii="宋体" w:hAnsi="宋体" w:eastAsia="宋体"/>
          <w:b/>
          <w:bCs/>
          <w:color w:val="auto"/>
          <w:sz w:val="21"/>
          <w:szCs w:val="21"/>
          <w:highlight w:val="none"/>
          <w:lang w:eastAsia="zh-CN"/>
        </w:rPr>
        <w:t>现场踏勘：</w:t>
      </w:r>
      <w:r>
        <w:rPr>
          <w:rFonts w:hint="eastAsia" w:ascii="宋体" w:hAnsi="宋体" w:eastAsia="宋体"/>
          <w:color w:val="auto"/>
          <w:sz w:val="21"/>
          <w:szCs w:val="21"/>
          <w:highlight w:val="none"/>
          <w:lang w:eastAsia="zh-CN"/>
        </w:rPr>
        <w:t>自行踏勘，与之相关的费用，供应商自行承担。</w:t>
      </w:r>
      <w:bookmarkEnd w:id="236"/>
      <w:bookmarkEnd w:id="237"/>
    </w:p>
    <w:p w14:paraId="1EF61E58">
      <w:pPr>
        <w:pStyle w:val="37"/>
        <w:spacing w:line="360" w:lineRule="auto"/>
        <w:ind w:firstLine="422" w:firstLineChars="0"/>
        <w:outlineLvl w:val="9"/>
        <w:rPr>
          <w:rFonts w:ascii="宋体" w:hAnsi="宋体" w:eastAsia="宋体"/>
          <w:b/>
          <w:bCs/>
          <w:color w:val="auto"/>
          <w:sz w:val="21"/>
          <w:szCs w:val="21"/>
          <w:highlight w:val="none"/>
          <w:lang w:eastAsia="zh-CN"/>
        </w:rPr>
      </w:pPr>
      <w:bookmarkStart w:id="238" w:name="_Toc11744"/>
      <w:bookmarkStart w:id="239" w:name="_Toc23678"/>
      <w:bookmarkStart w:id="240" w:name="_Toc490667838"/>
      <w:bookmarkStart w:id="241" w:name="_Toc23635"/>
      <w:bookmarkStart w:id="242" w:name="_Toc3853"/>
      <w:bookmarkStart w:id="243" w:name="_Toc16469"/>
      <w:bookmarkStart w:id="244" w:name="_Toc455867779"/>
      <w:bookmarkStart w:id="245" w:name="_Toc152042317"/>
      <w:bookmarkStart w:id="246" w:name="_Toc12562"/>
      <w:bookmarkStart w:id="247" w:name="_Toc31725"/>
      <w:bookmarkStart w:id="248" w:name="_Toc9182"/>
      <w:bookmarkStart w:id="249" w:name="_Toc24262"/>
      <w:bookmarkStart w:id="250" w:name="_Toc152045541"/>
      <w:bookmarkStart w:id="251" w:name="_Toc32757"/>
      <w:bookmarkStart w:id="252" w:name="_Toc466298102"/>
      <w:bookmarkStart w:id="253" w:name="_Toc14688"/>
      <w:bookmarkStart w:id="254" w:name="_Toc25208"/>
      <w:bookmarkStart w:id="255" w:name="_Toc318450685"/>
      <w:bookmarkStart w:id="256" w:name="_Toc455080119"/>
      <w:bookmarkStart w:id="257" w:name="_Toc144974509"/>
      <w:r>
        <w:rPr>
          <w:rFonts w:hint="eastAsia" w:ascii="宋体" w:hAnsi="宋体" w:eastAsia="宋体"/>
          <w:b/>
          <w:bCs/>
          <w:color w:val="auto"/>
          <w:sz w:val="21"/>
          <w:szCs w:val="21"/>
          <w:highlight w:val="none"/>
          <w:lang w:eastAsia="zh-CN"/>
        </w:rPr>
        <w:t>1.11分包</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p w14:paraId="5DC7F28B">
      <w:pPr>
        <w:spacing w:line="360" w:lineRule="auto"/>
        <w:ind w:firstLine="567" w:firstLineChars="270"/>
        <w:rPr>
          <w:rFonts w:ascii="宋体" w:hAnsi="宋体" w:cs="宋体"/>
          <w:color w:val="auto"/>
          <w:highlight w:val="none"/>
          <w:lang w:eastAsia="zh-CN"/>
        </w:rPr>
      </w:pPr>
      <w:r>
        <w:rPr>
          <w:rFonts w:hint="eastAsia" w:ascii="宋体" w:hAnsi="宋体" w:cs="宋体"/>
          <w:color w:val="auto"/>
          <w:highlight w:val="none"/>
          <w:lang w:eastAsia="zh-CN"/>
        </w:rPr>
        <w:t>是否允许分包：见供应商须知前附表。</w:t>
      </w:r>
      <w:bookmarkStart w:id="258" w:name="_Toc152042318"/>
      <w:bookmarkStart w:id="259" w:name="_Toc144974510"/>
      <w:bookmarkStart w:id="260" w:name="_Toc152045542"/>
      <w:bookmarkStart w:id="261" w:name="_Toc455080120"/>
    </w:p>
    <w:bookmarkEnd w:id="258"/>
    <w:bookmarkEnd w:id="259"/>
    <w:bookmarkEnd w:id="260"/>
    <w:p w14:paraId="61A9171B">
      <w:pPr>
        <w:pStyle w:val="10"/>
        <w:outlineLvl w:val="1"/>
        <w:rPr>
          <w:color w:val="auto"/>
          <w:sz w:val="24"/>
          <w:szCs w:val="24"/>
          <w:highlight w:val="none"/>
          <w:lang w:eastAsia="zh-CN"/>
        </w:rPr>
      </w:pPr>
      <w:bookmarkStart w:id="262" w:name="_Toc12453"/>
      <w:bookmarkStart w:id="263" w:name="_Toc12156"/>
      <w:bookmarkStart w:id="264" w:name="_Toc31097"/>
      <w:r>
        <w:rPr>
          <w:rFonts w:hint="eastAsia"/>
          <w:color w:val="auto"/>
          <w:sz w:val="24"/>
          <w:szCs w:val="24"/>
          <w:highlight w:val="none"/>
          <w:lang w:eastAsia="zh-CN"/>
        </w:rPr>
        <w:t>2.</w:t>
      </w:r>
      <w:bookmarkEnd w:id="261"/>
      <w:bookmarkEnd w:id="262"/>
      <w:r>
        <w:rPr>
          <w:rFonts w:hint="eastAsia"/>
          <w:color w:val="auto"/>
          <w:sz w:val="24"/>
          <w:szCs w:val="24"/>
          <w:highlight w:val="none"/>
          <w:lang w:eastAsia="zh-CN"/>
        </w:rPr>
        <w:t>竞争性磋商文件</w:t>
      </w:r>
      <w:bookmarkEnd w:id="263"/>
      <w:bookmarkEnd w:id="264"/>
    </w:p>
    <w:p w14:paraId="7E71A542">
      <w:pPr>
        <w:pStyle w:val="37"/>
        <w:spacing w:line="360" w:lineRule="auto"/>
        <w:ind w:firstLine="422" w:firstLineChars="0"/>
        <w:outlineLvl w:val="2"/>
        <w:rPr>
          <w:rFonts w:ascii="宋体" w:hAnsi="宋体" w:eastAsia="宋体"/>
          <w:b/>
          <w:bCs/>
          <w:color w:val="auto"/>
          <w:sz w:val="21"/>
          <w:szCs w:val="21"/>
          <w:highlight w:val="none"/>
          <w:lang w:eastAsia="zh-CN"/>
        </w:rPr>
      </w:pPr>
      <w:bookmarkStart w:id="265" w:name="_Toc7999"/>
      <w:bookmarkStart w:id="266" w:name="_Toc455080121"/>
      <w:bookmarkStart w:id="267" w:name="_Toc23649"/>
      <w:bookmarkStart w:id="268" w:name="_Toc144974511"/>
      <w:bookmarkStart w:id="269" w:name="_Toc11599"/>
      <w:bookmarkStart w:id="270" w:name="_Toc12640"/>
      <w:bookmarkStart w:id="271" w:name="_Toc490667840"/>
      <w:bookmarkStart w:id="272" w:name="_Toc152042319"/>
      <w:bookmarkStart w:id="273" w:name="_Toc3982"/>
      <w:bookmarkStart w:id="274" w:name="_Toc466298104"/>
      <w:bookmarkStart w:id="275" w:name="_Toc32711"/>
      <w:bookmarkStart w:id="276" w:name="_Toc152045543"/>
      <w:bookmarkStart w:id="277" w:name="_Toc11567"/>
      <w:bookmarkStart w:id="278" w:name="_Toc1008"/>
      <w:bookmarkStart w:id="279" w:name="_Toc12622"/>
      <w:bookmarkStart w:id="280" w:name="_Toc9780"/>
      <w:bookmarkStart w:id="281" w:name="_Toc455867781"/>
      <w:bookmarkStart w:id="282" w:name="_Toc318450687"/>
      <w:bookmarkStart w:id="283" w:name="_Toc12004"/>
      <w:bookmarkStart w:id="284" w:name="_Toc5881"/>
      <w:r>
        <w:rPr>
          <w:rFonts w:hint="eastAsia" w:ascii="宋体" w:hAnsi="宋体" w:eastAsia="宋体"/>
          <w:b/>
          <w:bCs/>
          <w:color w:val="auto"/>
          <w:sz w:val="21"/>
          <w:szCs w:val="21"/>
          <w:highlight w:val="none"/>
          <w:lang w:eastAsia="zh-CN"/>
        </w:rPr>
        <w:t>2.1 竞争性磋商文件的组成</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14:paraId="0EF928EB">
      <w:pPr>
        <w:spacing w:line="360" w:lineRule="auto"/>
        <w:ind w:firstLine="420"/>
        <w:rPr>
          <w:rFonts w:ascii="宋体" w:hAnsi="宋体" w:cs="宋体"/>
          <w:color w:val="auto"/>
          <w:highlight w:val="none"/>
          <w:lang w:eastAsia="zh-CN"/>
        </w:rPr>
      </w:pPr>
      <w:r>
        <w:rPr>
          <w:rFonts w:hint="eastAsia" w:ascii="宋体" w:hAnsi="宋体" w:cs="宋体"/>
          <w:color w:val="auto"/>
          <w:highlight w:val="none"/>
          <w:lang w:eastAsia="zh-CN"/>
        </w:rPr>
        <w:t>　　本竞争性磋商文件包括：</w:t>
      </w:r>
    </w:p>
    <w:p w14:paraId="0E02887D">
      <w:pPr>
        <w:spacing w:line="360" w:lineRule="auto"/>
        <w:ind w:firstLine="359" w:firstLineChars="171"/>
        <w:rPr>
          <w:rFonts w:ascii="宋体" w:hAnsi="宋体" w:cs="宋体"/>
          <w:color w:val="auto"/>
          <w:highlight w:val="none"/>
          <w:lang w:eastAsia="zh-CN"/>
        </w:rPr>
      </w:pPr>
      <w:r>
        <w:rPr>
          <w:rFonts w:hint="eastAsia" w:ascii="宋体" w:hAnsi="宋体" w:cs="宋体"/>
          <w:color w:val="auto"/>
          <w:highlight w:val="none"/>
          <w:lang w:eastAsia="zh-CN"/>
        </w:rPr>
        <w:t>（1）竞争性磋商公告；</w:t>
      </w:r>
    </w:p>
    <w:p w14:paraId="6C171BD9">
      <w:pPr>
        <w:spacing w:line="360" w:lineRule="auto"/>
        <w:ind w:firstLine="359" w:firstLineChars="171"/>
        <w:rPr>
          <w:rFonts w:ascii="宋体" w:hAnsi="宋体" w:cs="宋体"/>
          <w:color w:val="auto"/>
          <w:highlight w:val="none"/>
          <w:lang w:eastAsia="zh-CN"/>
        </w:rPr>
      </w:pPr>
      <w:r>
        <w:rPr>
          <w:rFonts w:hint="eastAsia" w:ascii="宋体" w:hAnsi="宋体" w:cs="宋体"/>
          <w:color w:val="auto"/>
          <w:highlight w:val="none"/>
          <w:lang w:eastAsia="zh-CN"/>
        </w:rPr>
        <w:t>（2）供应商须知；</w:t>
      </w:r>
    </w:p>
    <w:p w14:paraId="0CB3743D">
      <w:pPr>
        <w:spacing w:line="360" w:lineRule="auto"/>
        <w:ind w:firstLine="359" w:firstLineChars="171"/>
        <w:rPr>
          <w:rFonts w:ascii="宋体" w:hAnsi="宋体" w:cs="宋体"/>
          <w:color w:val="auto"/>
          <w:highlight w:val="none"/>
          <w:lang w:eastAsia="zh-CN"/>
        </w:rPr>
      </w:pPr>
      <w:r>
        <w:rPr>
          <w:rFonts w:hint="eastAsia" w:ascii="宋体" w:hAnsi="宋体" w:cs="宋体"/>
          <w:color w:val="auto"/>
          <w:highlight w:val="none"/>
          <w:lang w:eastAsia="zh-CN"/>
        </w:rPr>
        <w:t>（3）评审办法；</w:t>
      </w:r>
    </w:p>
    <w:p w14:paraId="24F4CF09">
      <w:pPr>
        <w:spacing w:line="360" w:lineRule="auto"/>
        <w:ind w:firstLine="359" w:firstLineChars="171"/>
        <w:rPr>
          <w:rFonts w:ascii="宋体" w:hAnsi="宋体" w:cs="宋体"/>
          <w:color w:val="auto"/>
          <w:highlight w:val="none"/>
          <w:lang w:eastAsia="zh-CN"/>
        </w:rPr>
      </w:pPr>
      <w:r>
        <w:rPr>
          <w:rFonts w:hint="eastAsia" w:ascii="宋体" w:hAnsi="宋体" w:cs="宋体"/>
          <w:color w:val="auto"/>
          <w:highlight w:val="none"/>
          <w:lang w:eastAsia="zh-CN"/>
        </w:rPr>
        <w:t>（4）河南省政府采购合同（参考文本）；</w:t>
      </w:r>
    </w:p>
    <w:p w14:paraId="4CFE3F9E">
      <w:pPr>
        <w:spacing w:line="360" w:lineRule="auto"/>
        <w:ind w:firstLine="359" w:firstLineChars="171"/>
        <w:rPr>
          <w:rFonts w:ascii="宋体" w:hAnsi="宋体" w:cs="宋体"/>
          <w:color w:val="auto"/>
          <w:highlight w:val="none"/>
          <w:lang w:eastAsia="zh-CN"/>
        </w:rPr>
      </w:pPr>
      <w:r>
        <w:rPr>
          <w:rFonts w:hint="eastAsia" w:ascii="宋体" w:hAnsi="宋体" w:cs="宋体"/>
          <w:color w:val="auto"/>
          <w:highlight w:val="none"/>
          <w:lang w:eastAsia="zh-CN"/>
        </w:rPr>
        <w:t>（5）采购需求与技术要求；</w:t>
      </w:r>
    </w:p>
    <w:p w14:paraId="4361A1E0">
      <w:pPr>
        <w:spacing w:line="360" w:lineRule="auto"/>
        <w:ind w:firstLine="359" w:firstLineChars="171"/>
        <w:rPr>
          <w:rFonts w:ascii="宋体" w:hAnsi="宋体" w:cs="宋体"/>
          <w:color w:val="auto"/>
          <w:highlight w:val="none"/>
          <w:lang w:eastAsia="zh-CN"/>
        </w:rPr>
      </w:pPr>
      <w:r>
        <w:rPr>
          <w:rFonts w:hint="eastAsia" w:ascii="宋体" w:hAnsi="宋体" w:cs="宋体"/>
          <w:color w:val="auto"/>
          <w:highlight w:val="none"/>
          <w:lang w:eastAsia="zh-CN"/>
        </w:rPr>
        <w:t>（6）竞争性磋商响应文件格式；</w:t>
      </w:r>
    </w:p>
    <w:p w14:paraId="346048AD">
      <w:pPr>
        <w:spacing w:line="360" w:lineRule="auto"/>
        <w:ind w:firstLine="359" w:firstLineChars="171"/>
        <w:rPr>
          <w:rFonts w:ascii="宋体" w:hAnsi="宋体" w:cs="宋体"/>
          <w:color w:val="auto"/>
          <w:highlight w:val="none"/>
          <w:lang w:eastAsia="zh-CN"/>
        </w:rPr>
      </w:pPr>
      <w:r>
        <w:rPr>
          <w:rFonts w:hint="eastAsia" w:ascii="宋体" w:hAnsi="宋体" w:cs="宋体"/>
          <w:color w:val="auto"/>
          <w:highlight w:val="none"/>
          <w:lang w:eastAsia="zh-CN"/>
        </w:rPr>
        <w:t>（7）供应商须知前附表规定的其他材料。</w:t>
      </w:r>
    </w:p>
    <w:p w14:paraId="008059DD">
      <w:pPr>
        <w:spacing w:line="360" w:lineRule="auto"/>
        <w:ind w:firstLine="420"/>
        <w:rPr>
          <w:rFonts w:ascii="宋体" w:hAnsi="宋体" w:cs="宋体"/>
          <w:color w:val="auto"/>
          <w:highlight w:val="none"/>
          <w:lang w:eastAsia="zh-CN"/>
        </w:rPr>
      </w:pPr>
      <w:r>
        <w:rPr>
          <w:rFonts w:hint="eastAsia" w:ascii="宋体" w:hAnsi="宋体" w:cs="宋体"/>
          <w:color w:val="auto"/>
          <w:highlight w:val="none"/>
          <w:lang w:eastAsia="zh-CN"/>
        </w:rPr>
        <w:t>根据本章第2.2款和第2.3款对竞争性磋商文件所作的澄清、修改，构成竞争性磋商文件的组成部分。</w:t>
      </w:r>
    </w:p>
    <w:p w14:paraId="012D3E5B">
      <w:pPr>
        <w:pStyle w:val="37"/>
        <w:spacing w:line="360" w:lineRule="auto"/>
        <w:ind w:firstLine="422" w:firstLineChars="0"/>
        <w:outlineLvl w:val="2"/>
        <w:rPr>
          <w:rFonts w:ascii="宋体" w:hAnsi="宋体" w:eastAsia="宋体"/>
          <w:b/>
          <w:bCs/>
          <w:color w:val="auto"/>
          <w:sz w:val="21"/>
          <w:szCs w:val="21"/>
          <w:highlight w:val="none"/>
          <w:lang w:eastAsia="zh-CN"/>
        </w:rPr>
      </w:pPr>
      <w:bookmarkStart w:id="285" w:name="_Toc23381"/>
      <w:bookmarkStart w:id="286" w:name="_Toc32482"/>
      <w:bookmarkStart w:id="287" w:name="_Toc15658"/>
      <w:bookmarkStart w:id="288" w:name="_Toc152042322"/>
      <w:bookmarkStart w:id="289" w:name="_Toc152045546"/>
      <w:bookmarkStart w:id="290" w:name="_Toc144974514"/>
      <w:bookmarkStart w:id="291" w:name="_Toc455080124"/>
      <w:r>
        <w:rPr>
          <w:rFonts w:hint="eastAsia" w:ascii="宋体" w:hAnsi="宋体" w:eastAsia="宋体"/>
          <w:b/>
          <w:bCs/>
          <w:color w:val="auto"/>
          <w:sz w:val="21"/>
          <w:szCs w:val="21"/>
          <w:highlight w:val="none"/>
          <w:lang w:eastAsia="zh-CN"/>
        </w:rPr>
        <w:t>2.2 竞争性磋商文件的澄清</w:t>
      </w:r>
      <w:bookmarkEnd w:id="285"/>
      <w:bookmarkEnd w:id="286"/>
      <w:bookmarkEnd w:id="287"/>
    </w:p>
    <w:p w14:paraId="5A60F30B">
      <w:pPr>
        <w:spacing w:line="400" w:lineRule="exact"/>
        <w:ind w:firstLine="420"/>
        <w:rPr>
          <w:rFonts w:ascii="宋体" w:hAnsi="宋体" w:cs="宋体"/>
          <w:color w:val="auto"/>
          <w:highlight w:val="none"/>
          <w:lang w:eastAsia="zh-CN"/>
        </w:rPr>
      </w:pPr>
      <w:r>
        <w:rPr>
          <w:rFonts w:hint="eastAsia" w:ascii="宋体" w:hAnsi="宋体" w:cs="宋体"/>
          <w:color w:val="auto"/>
          <w:highlight w:val="none"/>
          <w:lang w:eastAsia="zh-CN"/>
        </w:rPr>
        <w:t>2.2.1供应商应仔细阅读和检查竞争性磋商文件的全部内容。如发现缺页或附件不全，应及时向采购人提出，以便补齐。如有疑问，应在供应商须知前附表规定的时间前</w:t>
      </w:r>
      <w:r>
        <w:rPr>
          <w:rFonts w:hint="eastAsia" w:ascii="宋体" w:hAnsi="宋体"/>
          <w:color w:val="auto"/>
          <w:highlight w:val="none"/>
          <w:lang w:eastAsia="zh-CN"/>
        </w:rPr>
        <w:t>以书面形式（包括信函、电报、传真等可以有形表现所载内容的形式，下同），</w:t>
      </w:r>
      <w:r>
        <w:rPr>
          <w:rFonts w:hint="eastAsia" w:ascii="宋体" w:hAnsi="宋体" w:cs="宋体"/>
          <w:color w:val="auto"/>
          <w:highlight w:val="none"/>
          <w:lang w:eastAsia="zh-CN"/>
        </w:rPr>
        <w:t>要求采购人对竞争性磋商文件予以澄清。</w:t>
      </w:r>
    </w:p>
    <w:p w14:paraId="47FBC538">
      <w:pPr>
        <w:spacing w:line="400" w:lineRule="exact"/>
        <w:ind w:firstLine="420"/>
        <w:rPr>
          <w:rFonts w:ascii="宋体" w:hAnsi="宋体" w:cs="宋体"/>
          <w:color w:val="auto"/>
          <w:highlight w:val="none"/>
          <w:lang w:eastAsia="zh-CN"/>
        </w:rPr>
      </w:pPr>
      <w:r>
        <w:rPr>
          <w:rFonts w:hint="eastAsia" w:ascii="宋体" w:hAnsi="宋体" w:cs="宋体"/>
          <w:color w:val="auto"/>
          <w:highlight w:val="none"/>
          <w:lang w:eastAsia="zh-CN"/>
        </w:rPr>
        <w:t>2.2.2 竞争性磋商文件的澄清将在供应商须知前附表规定的响应文件递交截止时间5天前在商丘市公共资源交易系统“变更公告”或“答疑文件”</w:t>
      </w:r>
      <w:r>
        <w:rPr>
          <w:rFonts w:hint="eastAsia" w:ascii="宋体" w:hAnsi="宋体"/>
          <w:color w:val="auto"/>
          <w:highlight w:val="none"/>
          <w:lang w:eastAsia="zh-CN"/>
        </w:rPr>
        <w:t>将澄清内容予以发布，</w:t>
      </w:r>
      <w:r>
        <w:rPr>
          <w:rFonts w:hint="eastAsia" w:ascii="宋体" w:hAnsi="宋体" w:cs="宋体"/>
          <w:color w:val="auto"/>
          <w:highlight w:val="none"/>
          <w:lang w:eastAsia="zh-CN"/>
        </w:rPr>
        <w:t>但不指明澄清问题的来源。如果澄清的内容可能影响响应文件编制且发出的时间距响应文件递交截止时间不足5天，相应延长投标截止时间。</w:t>
      </w:r>
    </w:p>
    <w:p w14:paraId="3A4462C6">
      <w:pPr>
        <w:spacing w:line="400" w:lineRule="exact"/>
        <w:ind w:firstLine="420"/>
        <w:rPr>
          <w:rFonts w:ascii="宋体" w:hAnsi="宋体" w:cs="宋体"/>
          <w:color w:val="auto"/>
          <w:highlight w:val="none"/>
          <w:lang w:eastAsia="zh-CN"/>
        </w:rPr>
      </w:pPr>
      <w:r>
        <w:rPr>
          <w:rFonts w:hint="eastAsia" w:ascii="宋体" w:hAnsi="宋体" w:cs="宋体"/>
          <w:color w:val="auto"/>
          <w:highlight w:val="none"/>
          <w:lang w:eastAsia="zh-CN"/>
        </w:rPr>
        <w:t>2.2.3供应商应在响应文件递交截止时间前及时查看澄清内容，因供应商未及时查看而造成的后果自负。</w:t>
      </w:r>
    </w:p>
    <w:p w14:paraId="0C147C94">
      <w:pPr>
        <w:pStyle w:val="37"/>
        <w:spacing w:line="360" w:lineRule="auto"/>
        <w:ind w:firstLine="422" w:firstLineChars="0"/>
        <w:outlineLvl w:val="2"/>
        <w:rPr>
          <w:rFonts w:ascii="宋体" w:hAnsi="宋体" w:eastAsia="宋体"/>
          <w:b/>
          <w:bCs/>
          <w:color w:val="auto"/>
          <w:sz w:val="21"/>
          <w:szCs w:val="21"/>
          <w:highlight w:val="none"/>
          <w:lang w:eastAsia="zh-CN"/>
        </w:rPr>
      </w:pPr>
      <w:bookmarkStart w:id="292" w:name="_Toc8263"/>
      <w:bookmarkStart w:id="293" w:name="_Toc31482"/>
      <w:bookmarkStart w:id="294" w:name="_Toc29788"/>
      <w:r>
        <w:rPr>
          <w:rFonts w:hint="eastAsia" w:ascii="宋体" w:hAnsi="宋体" w:eastAsia="宋体"/>
          <w:b/>
          <w:bCs/>
          <w:color w:val="auto"/>
          <w:sz w:val="21"/>
          <w:szCs w:val="21"/>
          <w:highlight w:val="none"/>
          <w:lang w:eastAsia="zh-CN"/>
        </w:rPr>
        <w:t>2.3 竞争性磋商文件的修改</w:t>
      </w:r>
      <w:bookmarkEnd w:id="292"/>
      <w:bookmarkEnd w:id="293"/>
      <w:bookmarkEnd w:id="294"/>
    </w:p>
    <w:p w14:paraId="23A60D64">
      <w:pPr>
        <w:spacing w:line="400" w:lineRule="exact"/>
        <w:ind w:firstLine="420"/>
        <w:rPr>
          <w:rFonts w:ascii="宋体" w:hAnsi="宋体" w:cs="宋体"/>
          <w:color w:val="auto"/>
          <w:highlight w:val="none"/>
          <w:lang w:eastAsia="zh-CN"/>
        </w:rPr>
      </w:pPr>
      <w:r>
        <w:rPr>
          <w:rFonts w:hint="eastAsia" w:ascii="宋体" w:hAnsi="宋体" w:cs="宋体"/>
          <w:color w:val="auto"/>
          <w:highlight w:val="none"/>
          <w:lang w:eastAsia="zh-CN"/>
        </w:rPr>
        <w:t>2.3.1 在响应文件递交截止时间5天前，采购人可以修改竞争性磋商文件。如有修改，应在商丘市公共资源交易系统“变更公告”或“答疑文件”</w:t>
      </w:r>
      <w:r>
        <w:rPr>
          <w:rFonts w:hint="eastAsia" w:ascii="宋体" w:hAnsi="宋体"/>
          <w:color w:val="auto"/>
          <w:highlight w:val="none"/>
          <w:lang w:eastAsia="zh-CN"/>
        </w:rPr>
        <w:t>将修改内容予以发布</w:t>
      </w:r>
      <w:r>
        <w:rPr>
          <w:rFonts w:hint="eastAsia" w:ascii="宋体" w:hAnsi="宋体" w:cs="宋体"/>
          <w:color w:val="auto"/>
          <w:highlight w:val="none"/>
          <w:lang w:eastAsia="zh-CN"/>
        </w:rPr>
        <w:t>。如果修改的内容可能影响响应文件编制且发出的时间距响应文件递交截止时间不足5天，相应延长响应文件递交截止时间。</w:t>
      </w:r>
    </w:p>
    <w:p w14:paraId="0FAAB63B">
      <w:pPr>
        <w:spacing w:line="400" w:lineRule="exact"/>
        <w:ind w:firstLine="420"/>
        <w:rPr>
          <w:rFonts w:ascii="宋体" w:hAnsi="宋体" w:cs="宋体"/>
          <w:color w:val="auto"/>
          <w:highlight w:val="none"/>
          <w:lang w:eastAsia="zh-CN"/>
        </w:rPr>
      </w:pPr>
      <w:r>
        <w:rPr>
          <w:rFonts w:hint="eastAsia" w:ascii="宋体" w:hAnsi="宋体" w:cs="宋体"/>
          <w:color w:val="auto"/>
          <w:highlight w:val="none"/>
          <w:lang w:eastAsia="zh-CN"/>
        </w:rPr>
        <w:t>2.3.2当竞争性磋商文件的澄清、修改、补充等在同一内容的表述上不一致时，以最后在商丘市公共资源交易系统发出的文件为准。</w:t>
      </w:r>
    </w:p>
    <w:p w14:paraId="5269F218">
      <w:pPr>
        <w:spacing w:line="400" w:lineRule="exact"/>
        <w:ind w:firstLine="420"/>
        <w:rPr>
          <w:rFonts w:ascii="宋体" w:hAnsi="宋体" w:cs="宋体"/>
          <w:color w:val="auto"/>
          <w:highlight w:val="none"/>
          <w:lang w:eastAsia="zh-CN"/>
        </w:rPr>
      </w:pPr>
      <w:r>
        <w:rPr>
          <w:rFonts w:hint="eastAsia" w:ascii="宋体" w:hAnsi="宋体" w:cs="宋体"/>
          <w:color w:val="auto"/>
          <w:highlight w:val="none"/>
          <w:lang w:eastAsia="zh-CN"/>
        </w:rPr>
        <w:t>2.3.3供应商应在响应文件递交截止时间前及时查看修改内容，因供应商未及时查看而造成的后果自负。</w:t>
      </w:r>
    </w:p>
    <w:p w14:paraId="218F0C97">
      <w:pPr>
        <w:pStyle w:val="10"/>
        <w:outlineLvl w:val="1"/>
        <w:rPr>
          <w:color w:val="auto"/>
          <w:sz w:val="24"/>
          <w:szCs w:val="24"/>
          <w:highlight w:val="none"/>
          <w:lang w:eastAsia="zh-CN"/>
        </w:rPr>
      </w:pPr>
      <w:bookmarkStart w:id="295" w:name="_Toc253"/>
      <w:bookmarkStart w:id="296" w:name="_Toc32339"/>
      <w:bookmarkStart w:id="297" w:name="_Toc4666"/>
      <w:r>
        <w:rPr>
          <w:rFonts w:hint="eastAsia"/>
          <w:color w:val="auto"/>
          <w:sz w:val="24"/>
          <w:szCs w:val="24"/>
          <w:highlight w:val="none"/>
          <w:lang w:eastAsia="zh-CN"/>
        </w:rPr>
        <w:t xml:space="preserve">3. </w:t>
      </w:r>
      <w:bookmarkEnd w:id="288"/>
      <w:bookmarkEnd w:id="289"/>
      <w:bookmarkEnd w:id="290"/>
      <w:r>
        <w:rPr>
          <w:rFonts w:hint="eastAsia"/>
          <w:color w:val="auto"/>
          <w:sz w:val="24"/>
          <w:szCs w:val="24"/>
          <w:highlight w:val="none"/>
          <w:lang w:eastAsia="zh-CN"/>
        </w:rPr>
        <w:t>响应文件</w:t>
      </w:r>
      <w:bookmarkEnd w:id="291"/>
      <w:bookmarkEnd w:id="295"/>
      <w:bookmarkEnd w:id="296"/>
      <w:bookmarkEnd w:id="297"/>
    </w:p>
    <w:p w14:paraId="030370DB">
      <w:pPr>
        <w:pStyle w:val="37"/>
        <w:spacing w:line="360" w:lineRule="auto"/>
        <w:ind w:firstLine="422"/>
        <w:outlineLvl w:val="9"/>
        <w:rPr>
          <w:rFonts w:ascii="宋体" w:hAnsi="宋体" w:eastAsia="宋体"/>
          <w:b/>
          <w:bCs/>
          <w:color w:val="auto"/>
          <w:sz w:val="21"/>
          <w:szCs w:val="21"/>
          <w:highlight w:val="none"/>
          <w:lang w:eastAsia="zh-CN"/>
        </w:rPr>
      </w:pPr>
      <w:bookmarkStart w:id="298" w:name="_Toc24440"/>
      <w:bookmarkStart w:id="299" w:name="_Toc30170"/>
      <w:bookmarkStart w:id="300" w:name="_Toc15810"/>
      <w:bookmarkStart w:id="301" w:name="_Toc318450691"/>
      <w:bookmarkStart w:id="302" w:name="_Toc16198"/>
      <w:bookmarkStart w:id="303" w:name="_Toc490667844"/>
      <w:bookmarkStart w:id="304" w:name="_Toc152042323"/>
      <w:bookmarkStart w:id="305" w:name="_Toc9273"/>
      <w:bookmarkStart w:id="306" w:name="_Toc10096"/>
      <w:bookmarkStart w:id="307" w:name="_Toc27373"/>
      <w:bookmarkStart w:id="308" w:name="_Toc152045547"/>
      <w:bookmarkStart w:id="309" w:name="_Toc144974515"/>
      <w:r>
        <w:rPr>
          <w:rFonts w:hint="eastAsia" w:ascii="宋体" w:hAnsi="宋体" w:eastAsia="宋体"/>
          <w:b/>
          <w:bCs/>
          <w:color w:val="auto"/>
          <w:sz w:val="21"/>
          <w:szCs w:val="21"/>
          <w:highlight w:val="none"/>
          <w:lang w:eastAsia="zh-CN"/>
        </w:rPr>
        <w:t>3.1 响应文件的组成</w:t>
      </w:r>
      <w:bookmarkEnd w:id="298"/>
      <w:bookmarkEnd w:id="299"/>
      <w:bookmarkEnd w:id="300"/>
      <w:bookmarkEnd w:id="301"/>
      <w:bookmarkEnd w:id="302"/>
      <w:bookmarkEnd w:id="303"/>
      <w:bookmarkEnd w:id="304"/>
      <w:bookmarkEnd w:id="305"/>
      <w:bookmarkEnd w:id="306"/>
      <w:bookmarkEnd w:id="307"/>
      <w:bookmarkEnd w:id="308"/>
      <w:bookmarkEnd w:id="309"/>
    </w:p>
    <w:p w14:paraId="186BA603">
      <w:pPr>
        <w:spacing w:line="400" w:lineRule="exact"/>
        <w:ind w:firstLine="420"/>
        <w:rPr>
          <w:rFonts w:ascii="宋体" w:hAnsi="宋体" w:cs="宋体"/>
          <w:color w:val="auto"/>
          <w:highlight w:val="none"/>
          <w:lang w:eastAsia="zh-CN"/>
        </w:rPr>
      </w:pPr>
      <w:bookmarkStart w:id="310" w:name="_Toc144974516"/>
      <w:bookmarkStart w:id="311" w:name="_Toc152045548"/>
      <w:bookmarkStart w:id="312" w:name="_Toc26291"/>
      <w:bookmarkStart w:id="313" w:name="_Toc899"/>
      <w:bookmarkStart w:id="314" w:name="_Toc152042324"/>
      <w:bookmarkStart w:id="315" w:name="_Toc279156232"/>
      <w:bookmarkStart w:id="316" w:name="_Toc318450692"/>
      <w:r>
        <w:rPr>
          <w:rFonts w:hint="eastAsia" w:ascii="宋体" w:hAnsi="宋体" w:cs="宋体"/>
          <w:color w:val="auto"/>
          <w:highlight w:val="none"/>
          <w:lang w:eastAsia="zh-CN"/>
        </w:rPr>
        <w:t>响应文件应包括下列内容</w:t>
      </w:r>
      <w:r>
        <w:rPr>
          <w:rFonts w:hint="eastAsia" w:ascii="宋体" w:hAnsi="宋体" w:cs="宋体"/>
          <w:b/>
          <w:bCs/>
          <w:color w:val="auto"/>
          <w:highlight w:val="none"/>
          <w:lang w:eastAsia="zh-CN"/>
        </w:rPr>
        <w:t>（根据项目特点合理调整内容）：</w:t>
      </w:r>
    </w:p>
    <w:p w14:paraId="3D146D46">
      <w:pPr>
        <w:pStyle w:val="2"/>
        <w:spacing w:line="400" w:lineRule="exact"/>
        <w:ind w:firstLineChars="200"/>
        <w:rPr>
          <w:rFonts w:ascii="宋体" w:hAnsi="宋体" w:cs="宋体"/>
          <w:bCs/>
          <w:color w:val="auto"/>
          <w:highlight w:val="none"/>
          <w:lang w:eastAsia="zh-CN"/>
        </w:rPr>
      </w:pPr>
      <w:r>
        <w:rPr>
          <w:rFonts w:hint="eastAsia" w:ascii="宋体" w:hAnsi="宋体" w:cs="宋体"/>
          <w:bCs/>
          <w:color w:val="auto"/>
          <w:highlight w:val="none"/>
          <w:lang w:eastAsia="zh-CN"/>
        </w:rPr>
        <w:t xml:space="preserve">1）响应函及响应函附录 </w:t>
      </w:r>
    </w:p>
    <w:p w14:paraId="05C10B2C">
      <w:pPr>
        <w:pStyle w:val="2"/>
        <w:spacing w:line="400" w:lineRule="exact"/>
        <w:ind w:firstLineChars="200"/>
        <w:rPr>
          <w:rFonts w:ascii="宋体" w:hAnsi="宋体" w:cs="宋体"/>
          <w:bCs/>
          <w:color w:val="auto"/>
          <w:highlight w:val="none"/>
          <w:lang w:eastAsia="zh-CN"/>
        </w:rPr>
      </w:pPr>
      <w:r>
        <w:rPr>
          <w:rFonts w:hint="eastAsia" w:ascii="宋体" w:hAnsi="宋体" w:cs="宋体"/>
          <w:bCs/>
          <w:color w:val="auto"/>
          <w:highlight w:val="none"/>
          <w:lang w:eastAsia="zh-CN"/>
        </w:rPr>
        <w:t>2）法定代表人身份证明</w:t>
      </w:r>
    </w:p>
    <w:p w14:paraId="420FFCC2">
      <w:pPr>
        <w:pStyle w:val="2"/>
        <w:spacing w:line="400" w:lineRule="exact"/>
        <w:ind w:firstLineChars="200"/>
        <w:rPr>
          <w:rFonts w:ascii="宋体" w:hAnsi="宋体" w:cs="宋体"/>
          <w:bCs/>
          <w:color w:val="auto"/>
          <w:highlight w:val="none"/>
          <w:lang w:eastAsia="zh-CN"/>
        </w:rPr>
      </w:pPr>
      <w:r>
        <w:rPr>
          <w:rFonts w:hint="eastAsia" w:ascii="宋体" w:hAnsi="宋体" w:cs="宋体"/>
          <w:bCs/>
          <w:color w:val="auto"/>
          <w:highlight w:val="none"/>
          <w:lang w:eastAsia="zh-CN"/>
        </w:rPr>
        <w:t xml:space="preserve">3）授权委托书 </w:t>
      </w:r>
    </w:p>
    <w:p w14:paraId="1117D3F7">
      <w:pPr>
        <w:pStyle w:val="2"/>
        <w:spacing w:line="400" w:lineRule="exact"/>
        <w:ind w:firstLineChars="200"/>
        <w:rPr>
          <w:rFonts w:ascii="宋体" w:hAnsi="宋体" w:cs="宋体"/>
          <w:bCs/>
          <w:color w:val="auto"/>
          <w:highlight w:val="none"/>
          <w:lang w:eastAsia="zh-CN"/>
        </w:rPr>
      </w:pPr>
      <w:r>
        <w:rPr>
          <w:rFonts w:hint="eastAsia" w:ascii="宋体" w:hAnsi="宋体" w:cs="宋体"/>
          <w:bCs/>
          <w:color w:val="auto"/>
          <w:highlight w:val="none"/>
          <w:lang w:eastAsia="zh-CN"/>
        </w:rPr>
        <w:t>4）分项报价表</w:t>
      </w:r>
    </w:p>
    <w:p w14:paraId="781EF93B">
      <w:pPr>
        <w:pStyle w:val="2"/>
        <w:spacing w:line="400" w:lineRule="exact"/>
        <w:ind w:firstLineChars="200"/>
        <w:rPr>
          <w:rFonts w:ascii="宋体" w:hAnsi="宋体" w:cs="宋体"/>
          <w:bCs/>
          <w:color w:val="auto"/>
          <w:highlight w:val="none"/>
          <w:lang w:eastAsia="zh-CN"/>
        </w:rPr>
      </w:pPr>
      <w:r>
        <w:rPr>
          <w:rFonts w:hint="eastAsia" w:ascii="宋体" w:hAnsi="宋体" w:cs="宋体"/>
          <w:bCs/>
          <w:color w:val="auto"/>
          <w:highlight w:val="none"/>
          <w:lang w:eastAsia="zh-CN"/>
        </w:rPr>
        <w:t>5）商务偏差表</w:t>
      </w:r>
    </w:p>
    <w:p w14:paraId="6AB65E8C">
      <w:pPr>
        <w:pStyle w:val="2"/>
        <w:spacing w:line="400" w:lineRule="exact"/>
        <w:ind w:firstLineChars="200"/>
        <w:rPr>
          <w:rFonts w:ascii="宋体" w:hAnsi="宋体" w:cs="宋体"/>
          <w:bCs/>
          <w:color w:val="auto"/>
          <w:highlight w:val="none"/>
          <w:lang w:eastAsia="zh-CN"/>
        </w:rPr>
      </w:pPr>
      <w:r>
        <w:rPr>
          <w:rFonts w:hint="eastAsia" w:ascii="宋体" w:hAnsi="宋体" w:cs="宋体"/>
          <w:bCs/>
          <w:color w:val="auto"/>
          <w:highlight w:val="none"/>
          <w:lang w:eastAsia="zh-CN"/>
        </w:rPr>
        <w:t>6）采购需求与技术要求承诺函</w:t>
      </w:r>
    </w:p>
    <w:p w14:paraId="49E426D3">
      <w:pPr>
        <w:pStyle w:val="2"/>
        <w:spacing w:line="400" w:lineRule="exact"/>
        <w:ind w:firstLineChars="200"/>
        <w:rPr>
          <w:rFonts w:ascii="宋体" w:hAnsi="宋体" w:cs="宋体"/>
          <w:bCs/>
          <w:color w:val="auto"/>
          <w:highlight w:val="none"/>
          <w:lang w:eastAsia="zh-CN"/>
        </w:rPr>
      </w:pPr>
      <w:r>
        <w:rPr>
          <w:rFonts w:hint="eastAsia" w:ascii="宋体" w:hAnsi="宋体" w:cs="宋体"/>
          <w:bCs/>
          <w:color w:val="auto"/>
          <w:highlight w:val="none"/>
          <w:lang w:eastAsia="zh-CN"/>
        </w:rPr>
        <w:t>7）技术服务方案</w:t>
      </w:r>
    </w:p>
    <w:p w14:paraId="7A0E505D">
      <w:pPr>
        <w:pStyle w:val="2"/>
        <w:spacing w:line="400" w:lineRule="exact"/>
        <w:ind w:firstLineChars="200"/>
        <w:rPr>
          <w:rFonts w:ascii="宋体" w:hAnsi="宋体" w:cs="宋体"/>
          <w:bCs/>
          <w:color w:val="auto"/>
          <w:highlight w:val="none"/>
          <w:lang w:eastAsia="zh-CN"/>
        </w:rPr>
      </w:pPr>
      <w:r>
        <w:rPr>
          <w:rFonts w:hint="eastAsia" w:ascii="宋体" w:hAnsi="宋体" w:cs="宋体"/>
          <w:bCs/>
          <w:color w:val="auto"/>
          <w:highlight w:val="none"/>
          <w:lang w:eastAsia="zh-CN"/>
        </w:rPr>
        <w:t>8）服务承诺</w:t>
      </w:r>
    </w:p>
    <w:p w14:paraId="42F973B0">
      <w:pPr>
        <w:pStyle w:val="2"/>
        <w:spacing w:line="400" w:lineRule="exact"/>
        <w:ind w:firstLineChars="200"/>
        <w:rPr>
          <w:rFonts w:ascii="宋体" w:hAnsi="宋体" w:cs="宋体"/>
          <w:bCs/>
          <w:color w:val="auto"/>
          <w:highlight w:val="none"/>
          <w:lang w:eastAsia="zh-CN"/>
        </w:rPr>
      </w:pPr>
      <w:r>
        <w:rPr>
          <w:rFonts w:hint="eastAsia" w:ascii="宋体" w:hAnsi="宋体" w:cs="宋体"/>
          <w:bCs/>
          <w:color w:val="auto"/>
          <w:highlight w:val="none"/>
          <w:lang w:eastAsia="zh-CN"/>
        </w:rPr>
        <w:t>9）资格证明材料</w:t>
      </w:r>
    </w:p>
    <w:p w14:paraId="5F639BCC">
      <w:pPr>
        <w:pStyle w:val="2"/>
        <w:spacing w:line="400" w:lineRule="exact"/>
        <w:ind w:firstLineChars="200"/>
        <w:rPr>
          <w:rFonts w:ascii="宋体" w:hAnsi="宋体" w:cs="宋体"/>
          <w:bCs/>
          <w:color w:val="auto"/>
          <w:highlight w:val="none"/>
          <w:lang w:eastAsia="zh-CN"/>
        </w:rPr>
      </w:pPr>
      <w:r>
        <w:rPr>
          <w:rFonts w:hint="eastAsia" w:ascii="宋体" w:hAnsi="宋体" w:cs="宋体"/>
          <w:bCs/>
          <w:color w:val="auto"/>
          <w:highlight w:val="none"/>
          <w:lang w:eastAsia="zh-CN"/>
        </w:rPr>
        <w:t>10）中小企业声明函(服务)</w:t>
      </w:r>
    </w:p>
    <w:p w14:paraId="0FAB6F12">
      <w:pPr>
        <w:pStyle w:val="2"/>
        <w:spacing w:line="400" w:lineRule="exact"/>
        <w:ind w:firstLineChars="200"/>
        <w:rPr>
          <w:rFonts w:ascii="宋体" w:hAnsi="宋体" w:cs="宋体"/>
          <w:bCs/>
          <w:color w:val="auto"/>
          <w:highlight w:val="none"/>
          <w:lang w:eastAsia="zh-CN"/>
        </w:rPr>
      </w:pPr>
      <w:r>
        <w:rPr>
          <w:rFonts w:hint="eastAsia" w:ascii="宋体" w:hAnsi="宋体" w:cs="宋体"/>
          <w:bCs/>
          <w:color w:val="auto"/>
          <w:highlight w:val="none"/>
          <w:lang w:eastAsia="zh-CN"/>
        </w:rPr>
        <w:t>11）残疾人福利性单位声明函(如有)</w:t>
      </w:r>
    </w:p>
    <w:p w14:paraId="0661A369">
      <w:pPr>
        <w:pStyle w:val="2"/>
        <w:spacing w:line="400" w:lineRule="exact"/>
        <w:ind w:firstLineChars="200"/>
        <w:rPr>
          <w:rFonts w:ascii="宋体" w:hAnsi="宋体" w:cs="宋体"/>
          <w:bCs/>
          <w:color w:val="auto"/>
          <w:highlight w:val="none"/>
          <w:lang w:eastAsia="zh-CN"/>
        </w:rPr>
      </w:pPr>
      <w:r>
        <w:rPr>
          <w:rFonts w:hint="eastAsia" w:ascii="宋体" w:hAnsi="宋体" w:cs="宋体"/>
          <w:bCs/>
          <w:color w:val="auto"/>
          <w:highlight w:val="none"/>
          <w:lang w:eastAsia="zh-CN"/>
        </w:rPr>
        <w:t>12）监狱企业证明文件（如有）</w:t>
      </w:r>
    </w:p>
    <w:p w14:paraId="37933694">
      <w:pPr>
        <w:pStyle w:val="2"/>
        <w:spacing w:line="400" w:lineRule="exact"/>
        <w:ind w:firstLineChars="200"/>
        <w:rPr>
          <w:rFonts w:ascii="宋体" w:hAnsi="宋体" w:cs="宋体"/>
          <w:bCs/>
          <w:color w:val="auto"/>
          <w:highlight w:val="none"/>
          <w:lang w:eastAsia="zh-CN"/>
        </w:rPr>
      </w:pPr>
      <w:r>
        <w:rPr>
          <w:rFonts w:hint="eastAsia" w:ascii="宋体" w:hAnsi="宋体" w:cs="宋体"/>
          <w:bCs/>
          <w:color w:val="auto"/>
          <w:highlight w:val="none"/>
          <w:lang w:eastAsia="zh-CN"/>
        </w:rPr>
        <w:t>13）反商业贿赂承诺书</w:t>
      </w:r>
    </w:p>
    <w:p w14:paraId="16BF184A">
      <w:pPr>
        <w:pStyle w:val="2"/>
        <w:spacing w:line="400" w:lineRule="exact"/>
        <w:ind w:firstLineChars="200"/>
        <w:rPr>
          <w:rFonts w:ascii="宋体" w:hAnsi="宋体" w:cs="宋体"/>
          <w:bCs/>
          <w:color w:val="auto"/>
          <w:highlight w:val="none"/>
          <w:lang w:eastAsia="zh-CN"/>
        </w:rPr>
      </w:pPr>
      <w:r>
        <w:rPr>
          <w:rFonts w:hint="eastAsia" w:ascii="宋体" w:hAnsi="宋体" w:cs="宋体"/>
          <w:bCs/>
          <w:color w:val="auto"/>
          <w:highlight w:val="none"/>
          <w:lang w:eastAsia="zh-CN"/>
        </w:rPr>
        <w:t>14）其他材料</w:t>
      </w:r>
    </w:p>
    <w:p w14:paraId="13773434">
      <w:pPr>
        <w:spacing w:line="360" w:lineRule="auto"/>
        <w:ind w:firstLine="422"/>
        <w:rPr>
          <w:rFonts w:ascii="宋体" w:hAnsi="宋体" w:cs="宋体"/>
          <w:b/>
          <w:bCs/>
          <w:color w:val="auto"/>
          <w:highlight w:val="none"/>
          <w:lang w:eastAsia="zh-CN"/>
        </w:rPr>
      </w:pPr>
      <w:r>
        <w:rPr>
          <w:rFonts w:hint="eastAsia" w:ascii="宋体" w:hAnsi="宋体" w:cs="宋体"/>
          <w:b/>
          <w:bCs/>
          <w:color w:val="auto"/>
          <w:highlight w:val="none"/>
          <w:lang w:eastAsia="zh-CN"/>
        </w:rPr>
        <w:t>3.2 磋商报价</w:t>
      </w:r>
      <w:bookmarkEnd w:id="310"/>
      <w:bookmarkEnd w:id="311"/>
      <w:bookmarkEnd w:id="312"/>
      <w:bookmarkEnd w:id="313"/>
      <w:bookmarkEnd w:id="314"/>
      <w:bookmarkEnd w:id="315"/>
      <w:bookmarkEnd w:id="316"/>
    </w:p>
    <w:p w14:paraId="22F580C9">
      <w:pPr>
        <w:tabs>
          <w:tab w:val="left" w:pos="0"/>
          <w:tab w:val="left" w:pos="1050"/>
        </w:tabs>
        <w:spacing w:line="440" w:lineRule="exact"/>
        <w:ind w:firstLine="365" w:firstLineChars="174"/>
        <w:rPr>
          <w:rFonts w:ascii="宋体" w:hAnsi="宋体" w:cs="宋体"/>
          <w:color w:val="auto"/>
          <w:highlight w:val="none"/>
          <w:lang w:eastAsia="zh-CN"/>
        </w:rPr>
      </w:pPr>
      <w:bookmarkStart w:id="317" w:name="_Toc12402"/>
      <w:bookmarkStart w:id="318" w:name="_Toc152042325"/>
      <w:bookmarkStart w:id="319" w:name="_Toc7105"/>
      <w:bookmarkStart w:id="320" w:name="_Toc3624"/>
      <w:bookmarkStart w:id="321" w:name="_Toc25387"/>
      <w:bookmarkStart w:id="322" w:name="_Toc455867786"/>
      <w:bookmarkStart w:id="323" w:name="_Toc6105"/>
      <w:bookmarkStart w:id="324" w:name="_Toc29133"/>
      <w:bookmarkStart w:id="325" w:name="_Toc455080126"/>
      <w:bookmarkStart w:id="326" w:name="_Toc21600"/>
      <w:bookmarkStart w:id="327" w:name="_Toc144974517"/>
      <w:bookmarkStart w:id="328" w:name="_Toc490667846"/>
      <w:bookmarkStart w:id="329" w:name="_Toc318450693"/>
      <w:bookmarkStart w:id="330" w:name="_Toc11968"/>
      <w:bookmarkStart w:id="331" w:name="_Toc2425"/>
      <w:bookmarkStart w:id="332" w:name="_Toc152045549"/>
      <w:bookmarkStart w:id="333" w:name="_Toc21680"/>
      <w:bookmarkStart w:id="334" w:name="_Toc466298109"/>
      <w:bookmarkStart w:id="335" w:name="_Toc7910"/>
      <w:r>
        <w:rPr>
          <w:rFonts w:hint="eastAsia" w:ascii="宋体" w:hAnsi="宋体" w:cs="宋体"/>
          <w:color w:val="auto"/>
          <w:highlight w:val="none"/>
          <w:lang w:eastAsia="zh-CN"/>
        </w:rPr>
        <w:t>3.2.1本项目的磋商报价应按照竞争性磋商文件、补充通知、答疑纪要、现场情况、承包范围，并充分考虑供货期间各类材料、人工市场风险和国家政策性调整等风险系数，由各响应人根据自身情况，在合理范围内，自主考虑、优惠报价，检查费、防治费、监测装置费、方案印刷费、方案编制费用、人员工资、差旅费、保险费、税费、培训费等合同期间所发生的所有费用，但不得低于企业成本，分二次报价：第一次报价必须按照竞争性磋商文件的报价格式填报，第二次报价在磋商中填报，第二次报价（不得高于第一次报价）即为最终报价</w:t>
      </w:r>
      <w:bookmarkEnd w:id="317"/>
      <w:r>
        <w:rPr>
          <w:rFonts w:hint="eastAsia" w:ascii="宋体" w:hAnsi="宋体" w:cs="宋体"/>
          <w:color w:val="auto"/>
          <w:highlight w:val="none"/>
          <w:lang w:eastAsia="zh-CN"/>
        </w:rPr>
        <w:t>。</w:t>
      </w:r>
    </w:p>
    <w:p w14:paraId="400FD660">
      <w:pPr>
        <w:tabs>
          <w:tab w:val="left" w:pos="0"/>
          <w:tab w:val="left" w:pos="1050"/>
        </w:tabs>
        <w:spacing w:line="440" w:lineRule="exact"/>
        <w:ind w:firstLine="365" w:firstLineChars="174"/>
        <w:rPr>
          <w:rFonts w:ascii="宋体" w:hAnsi="宋体" w:cs="宋体"/>
          <w:color w:val="auto"/>
          <w:highlight w:val="none"/>
          <w:lang w:eastAsia="zh-CN"/>
        </w:rPr>
      </w:pPr>
      <w:r>
        <w:rPr>
          <w:rFonts w:hint="eastAsia" w:ascii="宋体" w:hAnsi="宋体" w:cs="宋体"/>
          <w:color w:val="auto"/>
          <w:highlight w:val="none"/>
          <w:lang w:eastAsia="zh-CN"/>
        </w:rPr>
        <w:t>3.2.2供应商应充分了解该项目的总体情况以及影响磋商报价的其它要素，考虑供货期间的价格风险因素，成交价在合同实施期内不得调整，同时也不因市场价格变动而调整。</w:t>
      </w:r>
    </w:p>
    <w:p w14:paraId="75E69A2F">
      <w:pPr>
        <w:tabs>
          <w:tab w:val="left" w:pos="0"/>
          <w:tab w:val="left" w:pos="1050"/>
        </w:tabs>
        <w:spacing w:line="440" w:lineRule="exact"/>
        <w:ind w:firstLine="365" w:firstLineChars="174"/>
        <w:rPr>
          <w:rFonts w:ascii="宋体" w:hAnsi="宋体" w:cs="宋体"/>
          <w:color w:val="auto"/>
          <w:highlight w:val="none"/>
          <w:lang w:eastAsia="zh-CN"/>
        </w:rPr>
      </w:pPr>
      <w:r>
        <w:rPr>
          <w:rFonts w:hint="eastAsia" w:ascii="宋体" w:hAnsi="宋体" w:cs="宋体"/>
          <w:color w:val="auto"/>
          <w:highlight w:val="none"/>
          <w:lang w:eastAsia="zh-CN"/>
        </w:rPr>
        <w:t>3.2.3 响应报价表中的大写金额和小写金额不一致的，以大写金额为准。</w:t>
      </w:r>
    </w:p>
    <w:p w14:paraId="6207C6A1">
      <w:pPr>
        <w:tabs>
          <w:tab w:val="left" w:pos="0"/>
          <w:tab w:val="left" w:pos="1050"/>
        </w:tabs>
        <w:spacing w:line="440" w:lineRule="exact"/>
        <w:ind w:firstLine="365" w:firstLineChars="174"/>
        <w:rPr>
          <w:rFonts w:ascii="宋体" w:hAnsi="宋体" w:cs="宋体"/>
          <w:b/>
          <w:bCs/>
          <w:color w:val="auto"/>
          <w:highlight w:val="none"/>
          <w:lang w:eastAsia="zh-CN"/>
        </w:rPr>
      </w:pPr>
      <w:r>
        <w:rPr>
          <w:rFonts w:hint="eastAsia" w:ascii="宋体" w:hAnsi="宋体" w:cs="宋体"/>
          <w:color w:val="auto"/>
          <w:highlight w:val="none"/>
          <w:lang w:eastAsia="zh-CN"/>
        </w:rPr>
        <w:t xml:space="preserve">3.2.4供应商的报价明显低于其他通过符合性审查供应商的报价，有可能影响产品质量或者不能诚信履约的，磋商委员会应当要求其在磋商现场（或电子交易系统）合理的时间内提供书面说明（或电子澄清说明文件），必要时提交相关证明材料；供应商不能证明其报价合理性的，磋商委员会应当将其作为无效投标处理。 </w:t>
      </w:r>
      <w:r>
        <w:rPr>
          <w:rFonts w:hint="eastAsia" w:ascii="宋体" w:hAnsi="宋体" w:cs="宋体"/>
          <w:b/>
          <w:bCs/>
          <w:color w:val="auto"/>
          <w:highlight w:val="none"/>
          <w:lang w:eastAsia="zh-CN"/>
        </w:rPr>
        <w:t xml:space="preserve"> </w:t>
      </w:r>
    </w:p>
    <w:p w14:paraId="39FD8838">
      <w:pPr>
        <w:spacing w:line="400" w:lineRule="exact"/>
        <w:ind w:firstLine="422"/>
        <w:rPr>
          <w:rFonts w:hAnsi="宋体"/>
          <w:color w:val="auto"/>
          <w:highlight w:val="none"/>
          <w:lang w:val="zh-CN"/>
        </w:rPr>
      </w:pPr>
      <w:r>
        <w:rPr>
          <w:rFonts w:hint="eastAsia" w:ascii="宋体" w:hAnsi="宋体" w:cs="宋体"/>
          <w:b/>
          <w:bCs/>
          <w:color w:val="auto"/>
          <w:highlight w:val="none"/>
          <w:lang w:eastAsia="zh-CN"/>
        </w:rPr>
        <w:t xml:space="preserve">3.3 </w:t>
      </w:r>
      <w:r>
        <w:rPr>
          <w:rFonts w:hint="eastAsia" w:ascii="宋体" w:hAnsi="宋体" w:cs="宋体"/>
          <w:b/>
          <w:bCs/>
          <w:color w:val="auto"/>
          <w:highlight w:val="none"/>
          <w:lang w:val="zh-CN" w:eastAsia="zh-CN"/>
        </w:rPr>
        <w:t>小型微型企业认定及评标价格评审（非专门面向中小企业适用）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1"/>
        <w:gridCol w:w="1561"/>
        <w:gridCol w:w="1492"/>
        <w:gridCol w:w="2273"/>
        <w:gridCol w:w="2094"/>
      </w:tblGrid>
      <w:tr w14:paraId="1378C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591" w:type="dxa"/>
            <w:vAlign w:val="center"/>
          </w:tcPr>
          <w:p w14:paraId="63E3E355">
            <w:pPr>
              <w:spacing w:line="400" w:lineRule="exact"/>
              <w:ind w:firstLine="420"/>
              <w:rPr>
                <w:rFonts w:ascii="宋体" w:hAnsi="宋体" w:cs="宋体"/>
                <w:color w:val="auto"/>
                <w:highlight w:val="none"/>
                <w:lang w:val="zh-CN"/>
              </w:rPr>
            </w:pPr>
            <w:r>
              <w:rPr>
                <w:rFonts w:hint="eastAsia" w:ascii="宋体" w:hAnsi="宋体" w:cs="宋体"/>
                <w:color w:val="auto"/>
                <w:highlight w:val="none"/>
                <w:lang w:val="zh-CN"/>
              </w:rPr>
              <w:t>内容</w:t>
            </w:r>
          </w:p>
        </w:tc>
        <w:tc>
          <w:tcPr>
            <w:tcW w:w="1561" w:type="dxa"/>
            <w:vAlign w:val="center"/>
          </w:tcPr>
          <w:p w14:paraId="29A541AB">
            <w:pPr>
              <w:spacing w:line="400" w:lineRule="exact"/>
              <w:ind w:firstLine="420"/>
              <w:rPr>
                <w:rFonts w:ascii="宋体" w:hAnsi="宋体" w:cs="宋体"/>
                <w:color w:val="auto"/>
                <w:highlight w:val="none"/>
                <w:lang w:val="zh-CN"/>
              </w:rPr>
            </w:pPr>
            <w:r>
              <w:rPr>
                <w:rFonts w:hint="eastAsia" w:ascii="宋体" w:hAnsi="宋体" w:cs="宋体"/>
                <w:color w:val="auto"/>
                <w:highlight w:val="none"/>
                <w:lang w:val="zh-CN"/>
              </w:rPr>
              <w:t>大型企业</w:t>
            </w:r>
          </w:p>
        </w:tc>
        <w:tc>
          <w:tcPr>
            <w:tcW w:w="1492" w:type="dxa"/>
            <w:vAlign w:val="center"/>
          </w:tcPr>
          <w:p w14:paraId="5FF9DDCF">
            <w:pPr>
              <w:spacing w:line="400" w:lineRule="exact"/>
              <w:ind w:firstLine="420"/>
              <w:rPr>
                <w:rFonts w:ascii="宋体" w:hAnsi="宋体" w:cs="宋体"/>
                <w:color w:val="auto"/>
                <w:highlight w:val="none"/>
                <w:lang w:val="zh-CN"/>
              </w:rPr>
            </w:pPr>
            <w:r>
              <w:rPr>
                <w:rFonts w:hint="eastAsia" w:ascii="宋体" w:hAnsi="宋体" w:cs="宋体"/>
                <w:color w:val="auto"/>
                <w:highlight w:val="none"/>
                <w:lang w:val="zh-CN"/>
              </w:rPr>
              <w:t>中型企业</w:t>
            </w:r>
          </w:p>
        </w:tc>
        <w:tc>
          <w:tcPr>
            <w:tcW w:w="2273" w:type="dxa"/>
            <w:vAlign w:val="center"/>
          </w:tcPr>
          <w:p w14:paraId="31DC28BD">
            <w:pPr>
              <w:spacing w:line="400" w:lineRule="exact"/>
              <w:ind w:firstLine="420"/>
              <w:rPr>
                <w:rFonts w:ascii="宋体" w:hAnsi="宋体" w:cs="宋体"/>
                <w:color w:val="auto"/>
                <w:highlight w:val="none"/>
                <w:lang w:val="zh-CN"/>
              </w:rPr>
            </w:pPr>
            <w:r>
              <w:rPr>
                <w:rFonts w:hint="eastAsia" w:ascii="宋体" w:hAnsi="宋体" w:cs="宋体"/>
                <w:color w:val="auto"/>
                <w:highlight w:val="none"/>
                <w:lang w:val="zh-CN"/>
              </w:rPr>
              <w:t>小型企业</w:t>
            </w:r>
          </w:p>
        </w:tc>
        <w:tc>
          <w:tcPr>
            <w:tcW w:w="2094" w:type="dxa"/>
            <w:vAlign w:val="center"/>
          </w:tcPr>
          <w:p w14:paraId="72A12DE4">
            <w:pPr>
              <w:spacing w:line="400" w:lineRule="exact"/>
              <w:ind w:firstLine="420"/>
              <w:rPr>
                <w:rFonts w:ascii="宋体" w:hAnsi="宋体" w:cs="宋体"/>
                <w:color w:val="auto"/>
                <w:highlight w:val="none"/>
                <w:lang w:val="zh-CN"/>
              </w:rPr>
            </w:pPr>
            <w:r>
              <w:rPr>
                <w:rFonts w:hint="eastAsia" w:ascii="宋体" w:hAnsi="宋体" w:cs="宋体"/>
                <w:color w:val="auto"/>
                <w:highlight w:val="none"/>
                <w:lang w:val="zh-CN"/>
              </w:rPr>
              <w:t>微型企业</w:t>
            </w:r>
          </w:p>
        </w:tc>
      </w:tr>
      <w:tr w14:paraId="4864E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591" w:type="dxa"/>
            <w:vAlign w:val="center"/>
          </w:tcPr>
          <w:p w14:paraId="36937AAF">
            <w:pPr>
              <w:spacing w:line="400" w:lineRule="exact"/>
              <w:ind w:firstLine="420"/>
              <w:rPr>
                <w:rFonts w:ascii="宋体" w:hAnsi="宋体" w:cs="宋体"/>
                <w:color w:val="auto"/>
                <w:highlight w:val="none"/>
                <w:lang w:val="zh-CN"/>
              </w:rPr>
            </w:pPr>
            <w:r>
              <w:rPr>
                <w:rFonts w:hint="eastAsia" w:ascii="宋体" w:hAnsi="宋体" w:cs="宋体"/>
                <w:color w:val="auto"/>
                <w:highlight w:val="none"/>
                <w:lang w:val="zh-CN"/>
              </w:rPr>
              <w:t>价格=</w:t>
            </w:r>
          </w:p>
        </w:tc>
        <w:tc>
          <w:tcPr>
            <w:tcW w:w="1561" w:type="dxa"/>
            <w:vAlign w:val="center"/>
          </w:tcPr>
          <w:p w14:paraId="3B42BF4B">
            <w:pPr>
              <w:spacing w:line="400" w:lineRule="exact"/>
              <w:ind w:firstLine="420"/>
              <w:rPr>
                <w:rFonts w:ascii="宋体" w:hAnsi="宋体" w:cs="宋体"/>
                <w:color w:val="auto"/>
                <w:highlight w:val="none"/>
                <w:lang w:val="zh-CN"/>
              </w:rPr>
            </w:pPr>
            <w:r>
              <w:rPr>
                <w:rFonts w:hint="eastAsia" w:ascii="宋体" w:hAnsi="宋体" w:cs="宋体"/>
                <w:color w:val="auto"/>
                <w:highlight w:val="none"/>
                <w:lang w:val="zh-CN"/>
              </w:rPr>
              <w:t>报价</w:t>
            </w:r>
          </w:p>
        </w:tc>
        <w:tc>
          <w:tcPr>
            <w:tcW w:w="1492" w:type="dxa"/>
            <w:vAlign w:val="center"/>
          </w:tcPr>
          <w:p w14:paraId="4D13EACD">
            <w:pPr>
              <w:spacing w:line="400" w:lineRule="exact"/>
              <w:ind w:firstLine="420"/>
              <w:rPr>
                <w:rFonts w:ascii="宋体" w:hAnsi="宋体" w:cs="宋体"/>
                <w:color w:val="auto"/>
                <w:highlight w:val="none"/>
                <w:lang w:val="zh-CN"/>
              </w:rPr>
            </w:pPr>
            <w:r>
              <w:rPr>
                <w:rFonts w:hint="eastAsia" w:ascii="宋体" w:hAnsi="宋体" w:cs="宋体"/>
                <w:color w:val="auto"/>
                <w:highlight w:val="none"/>
                <w:lang w:val="zh-CN"/>
              </w:rPr>
              <w:t>报价</w:t>
            </w:r>
          </w:p>
        </w:tc>
        <w:tc>
          <w:tcPr>
            <w:tcW w:w="2273" w:type="dxa"/>
            <w:vAlign w:val="center"/>
          </w:tcPr>
          <w:p w14:paraId="3453D24C">
            <w:pPr>
              <w:spacing w:line="400" w:lineRule="exact"/>
              <w:ind w:firstLine="420"/>
              <w:rPr>
                <w:rFonts w:ascii="宋体" w:hAnsi="宋体" w:cs="宋体"/>
                <w:color w:val="auto"/>
                <w:highlight w:val="none"/>
                <w:lang w:val="zh-CN"/>
              </w:rPr>
            </w:pPr>
            <w:r>
              <w:rPr>
                <w:rFonts w:hint="eastAsia" w:ascii="宋体" w:hAnsi="宋体" w:cs="宋体"/>
                <w:color w:val="auto"/>
                <w:highlight w:val="none"/>
                <w:lang w:val="zh-CN"/>
              </w:rPr>
              <w:t>报价×（1-</w:t>
            </w:r>
            <w:r>
              <w:rPr>
                <w:rFonts w:hint="eastAsia" w:ascii="宋体" w:hAnsi="宋体" w:cs="宋体"/>
                <w:color w:val="auto"/>
                <w:highlight w:val="none"/>
              </w:rPr>
              <w:t>20</w:t>
            </w:r>
            <w:r>
              <w:rPr>
                <w:rFonts w:hint="eastAsia" w:ascii="宋体" w:hAnsi="宋体" w:cs="宋体"/>
                <w:color w:val="auto"/>
                <w:highlight w:val="none"/>
                <w:lang w:val="zh-CN"/>
              </w:rPr>
              <w:t>%）</w:t>
            </w:r>
          </w:p>
        </w:tc>
        <w:tc>
          <w:tcPr>
            <w:tcW w:w="2094" w:type="dxa"/>
            <w:vAlign w:val="center"/>
          </w:tcPr>
          <w:p w14:paraId="0977E7F8">
            <w:pPr>
              <w:spacing w:line="400" w:lineRule="exact"/>
              <w:rPr>
                <w:rFonts w:ascii="宋体" w:hAnsi="宋体" w:cs="宋体"/>
                <w:color w:val="auto"/>
                <w:highlight w:val="none"/>
                <w:lang w:val="zh-CN"/>
              </w:rPr>
            </w:pPr>
            <w:r>
              <w:rPr>
                <w:rFonts w:hint="eastAsia" w:ascii="宋体" w:hAnsi="宋体" w:cs="宋体"/>
                <w:color w:val="auto"/>
                <w:highlight w:val="none"/>
                <w:lang w:val="zh-CN"/>
              </w:rPr>
              <w:t>报价×（1-</w:t>
            </w:r>
            <w:r>
              <w:rPr>
                <w:rFonts w:hint="eastAsia" w:ascii="宋体" w:hAnsi="宋体" w:cs="宋体"/>
                <w:color w:val="auto"/>
                <w:highlight w:val="none"/>
              </w:rPr>
              <w:t>20</w:t>
            </w:r>
            <w:r>
              <w:rPr>
                <w:rFonts w:hint="eastAsia" w:ascii="宋体" w:hAnsi="宋体" w:cs="宋体"/>
                <w:color w:val="auto"/>
                <w:highlight w:val="none"/>
                <w:lang w:val="zh-CN"/>
              </w:rPr>
              <w:t>%）</w:t>
            </w:r>
          </w:p>
        </w:tc>
      </w:tr>
    </w:tbl>
    <w:p w14:paraId="3A21AFC3">
      <w:pPr>
        <w:spacing w:line="400" w:lineRule="exact"/>
        <w:ind w:firstLine="420"/>
        <w:rPr>
          <w:rFonts w:ascii="宋体" w:hAnsi="宋体" w:cs="宋体"/>
          <w:color w:val="auto"/>
          <w:highlight w:val="none"/>
          <w:lang w:eastAsia="zh-CN"/>
        </w:rPr>
      </w:pPr>
      <w:r>
        <w:rPr>
          <w:rFonts w:hint="eastAsia" w:ascii="宋体" w:hAnsi="宋体" w:cs="宋体"/>
          <w:color w:val="auto"/>
          <w:highlight w:val="none"/>
          <w:lang w:eastAsia="zh-CN"/>
        </w:rPr>
        <w:t>3.3.1</w:t>
      </w:r>
      <w:r>
        <w:rPr>
          <w:rFonts w:hint="eastAsia" w:ascii="宋体" w:hAnsi="宋体" w:cs="宋体"/>
          <w:color w:val="auto"/>
          <w:highlight w:val="none"/>
          <w:lang w:val="zh-CN" w:eastAsia="zh-CN"/>
        </w:rPr>
        <w:t>根据《政府采购促进中小企业发展管理办法》（财库[20</w:t>
      </w:r>
      <w:r>
        <w:rPr>
          <w:rFonts w:hint="eastAsia" w:ascii="宋体" w:hAnsi="宋体" w:cs="宋体"/>
          <w:color w:val="auto"/>
          <w:highlight w:val="none"/>
          <w:lang w:eastAsia="zh-CN"/>
        </w:rPr>
        <w:t>20</w:t>
      </w:r>
      <w:r>
        <w:rPr>
          <w:rFonts w:hint="eastAsia" w:ascii="宋体" w:hAnsi="宋体" w:cs="宋体"/>
          <w:color w:val="auto"/>
          <w:highlight w:val="none"/>
          <w:lang w:val="zh-CN" w:eastAsia="zh-CN"/>
        </w:rPr>
        <w:t>]</w:t>
      </w:r>
      <w:r>
        <w:rPr>
          <w:rFonts w:hint="eastAsia" w:ascii="宋体" w:hAnsi="宋体" w:cs="宋体"/>
          <w:color w:val="auto"/>
          <w:highlight w:val="none"/>
          <w:lang w:eastAsia="zh-CN"/>
        </w:rPr>
        <w:t>46</w:t>
      </w:r>
      <w:r>
        <w:rPr>
          <w:rFonts w:hint="eastAsia" w:ascii="宋体" w:hAnsi="宋体" w:cs="宋体"/>
          <w:color w:val="auto"/>
          <w:highlight w:val="none"/>
          <w:lang w:val="zh-CN" w:eastAsia="zh-CN"/>
        </w:rPr>
        <w:t>号）的规定、《工业和信息化部、国家统计局、国家发展和改革委员会、财政部关于印发中小企业划型标准规定的通知》（工信部联企业[</w:t>
      </w:r>
      <w:r>
        <w:rPr>
          <w:rFonts w:hint="eastAsia" w:ascii="宋体" w:hAnsi="宋体" w:cs="宋体"/>
          <w:color w:val="auto"/>
          <w:highlight w:val="none"/>
          <w:lang w:eastAsia="zh-CN"/>
        </w:rPr>
        <w:t>20</w:t>
      </w:r>
      <w:r>
        <w:rPr>
          <w:rFonts w:hint="eastAsia" w:ascii="宋体" w:hAnsi="宋体" w:cs="宋体"/>
          <w:color w:val="auto"/>
          <w:highlight w:val="none"/>
          <w:lang w:val="zh-CN" w:eastAsia="zh-CN"/>
        </w:rPr>
        <w:t>11]300号）、河南省财政厅 河南省工业和信息化厅《关于政府采购促进小型微型企业发展的实施意见》（豫财购[</w:t>
      </w:r>
      <w:r>
        <w:rPr>
          <w:rFonts w:hint="eastAsia" w:ascii="宋体" w:hAnsi="宋体" w:cs="宋体"/>
          <w:color w:val="auto"/>
          <w:highlight w:val="none"/>
          <w:lang w:eastAsia="zh-CN"/>
        </w:rPr>
        <w:t>20</w:t>
      </w:r>
      <w:r>
        <w:rPr>
          <w:rFonts w:hint="eastAsia" w:ascii="宋体" w:hAnsi="宋体" w:cs="宋体"/>
          <w:color w:val="auto"/>
          <w:highlight w:val="none"/>
          <w:lang w:val="zh-CN" w:eastAsia="zh-CN"/>
        </w:rPr>
        <w:t>13]14号）文件规定，对小型和微型企业产品的价格给予</w:t>
      </w:r>
      <w:r>
        <w:rPr>
          <w:rFonts w:hint="eastAsia" w:ascii="宋体" w:hAnsi="宋体" w:cs="宋体"/>
          <w:color w:val="auto"/>
          <w:highlight w:val="none"/>
          <w:lang w:eastAsia="zh-CN"/>
        </w:rPr>
        <w:t>20</w:t>
      </w:r>
      <w:r>
        <w:rPr>
          <w:rFonts w:hint="eastAsia" w:ascii="宋体" w:hAnsi="宋体" w:cs="宋体"/>
          <w:color w:val="auto"/>
          <w:highlight w:val="none"/>
          <w:lang w:val="zh-CN" w:eastAsia="zh-CN"/>
        </w:rPr>
        <w:t>%的扣除，用扣除后的价格参与评审。</w:t>
      </w:r>
    </w:p>
    <w:p w14:paraId="278A0028">
      <w:pPr>
        <w:spacing w:line="400" w:lineRule="exact"/>
        <w:ind w:firstLine="420"/>
        <w:rPr>
          <w:rFonts w:ascii="宋体" w:hAnsi="宋体" w:cs="宋体"/>
          <w:color w:val="auto"/>
          <w:highlight w:val="none"/>
          <w:lang w:eastAsia="zh-CN"/>
        </w:rPr>
      </w:pPr>
      <w:r>
        <w:rPr>
          <w:rFonts w:hint="eastAsia" w:ascii="宋体" w:hAnsi="宋体" w:cs="宋体"/>
          <w:color w:val="auto"/>
          <w:highlight w:val="none"/>
          <w:lang w:eastAsia="zh-CN"/>
        </w:rPr>
        <w:t>3.3.2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20%的价格扣除，但必须提供由省级以上监狱管理局、戒毒管理局（含新疆生产建设兵团）出具的属于监狱企业的证明文件，否则评审时不予价格扣除优惠。</w:t>
      </w:r>
    </w:p>
    <w:p w14:paraId="17DFC1E0">
      <w:pPr>
        <w:spacing w:line="400" w:lineRule="exact"/>
        <w:ind w:firstLine="420"/>
        <w:rPr>
          <w:rFonts w:ascii="宋体" w:hAnsi="宋体" w:cs="宋体"/>
          <w:color w:val="auto"/>
          <w:highlight w:val="none"/>
          <w:lang w:eastAsia="zh-CN"/>
        </w:rPr>
      </w:pPr>
      <w:r>
        <w:rPr>
          <w:rFonts w:hint="eastAsia" w:ascii="宋体" w:hAnsi="宋体" w:cs="宋体"/>
          <w:color w:val="auto"/>
          <w:highlight w:val="none"/>
          <w:lang w:eastAsia="zh-CN"/>
        </w:rPr>
        <w:t>3.3.3根据财库(2017)141号文件规定，在政府采购活动中，残疾人福利性单位视同小型、微型企业，享受预留份额、评审中价格扣除等促进中小企业发展的政府采购政策。残疾人福利性单位属于小型、微型企业的，不重复享受政策。符合条件的残疾人福利性单位在参加政府采购活动时，应当提供《残疾人福利性单位声明函》(见竞争性磋商响应文件格式)，并对声明的真实性负责。</w:t>
      </w:r>
    </w:p>
    <w:p w14:paraId="41C9C5D1">
      <w:pPr>
        <w:spacing w:line="400" w:lineRule="exact"/>
        <w:ind w:firstLine="422"/>
        <w:rPr>
          <w:rFonts w:ascii="宋体" w:hAnsi="宋体" w:cs="宋体"/>
          <w:b/>
          <w:bCs/>
          <w:color w:val="auto"/>
          <w:highlight w:val="none"/>
          <w:lang w:eastAsia="zh-CN"/>
        </w:rPr>
      </w:pPr>
      <w:r>
        <w:rPr>
          <w:rFonts w:hint="eastAsia" w:ascii="宋体" w:hAnsi="宋体" w:cs="宋体"/>
          <w:b/>
          <w:bCs/>
          <w:color w:val="auto"/>
          <w:highlight w:val="none"/>
          <w:lang w:eastAsia="zh-CN"/>
        </w:rPr>
        <w:t>注：投标价格为含税价。</w:t>
      </w:r>
    </w:p>
    <w:p w14:paraId="4D872F0D">
      <w:pPr>
        <w:pStyle w:val="37"/>
        <w:spacing w:line="360" w:lineRule="auto"/>
        <w:ind w:firstLine="422" w:firstLineChars="0"/>
        <w:outlineLvl w:val="9"/>
        <w:rPr>
          <w:rFonts w:ascii="宋体" w:hAnsi="宋体" w:eastAsia="宋体"/>
          <w:b/>
          <w:bCs/>
          <w:color w:val="auto"/>
          <w:sz w:val="21"/>
          <w:szCs w:val="21"/>
          <w:highlight w:val="none"/>
          <w:lang w:eastAsia="zh-CN"/>
        </w:rPr>
      </w:pPr>
      <w:bookmarkStart w:id="336" w:name="_Toc23327"/>
      <w:bookmarkStart w:id="337" w:name="_Toc24881"/>
      <w:r>
        <w:rPr>
          <w:rFonts w:hint="eastAsia" w:ascii="宋体" w:hAnsi="宋体" w:eastAsia="宋体"/>
          <w:b/>
          <w:bCs/>
          <w:color w:val="auto"/>
          <w:sz w:val="21"/>
          <w:szCs w:val="21"/>
          <w:highlight w:val="none"/>
          <w:lang w:eastAsia="zh-CN"/>
        </w:rPr>
        <w:t>3.3 磋商有效期</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0B2029FF">
      <w:pPr>
        <w:spacing w:line="360" w:lineRule="auto"/>
        <w:ind w:firstLine="420"/>
        <w:rPr>
          <w:rFonts w:ascii="宋体" w:hAnsi="宋体" w:cs="宋体"/>
          <w:color w:val="auto"/>
          <w:highlight w:val="none"/>
          <w:lang w:eastAsia="zh-CN"/>
        </w:rPr>
      </w:pPr>
      <w:r>
        <w:rPr>
          <w:rFonts w:hint="eastAsia" w:ascii="宋体" w:hAnsi="宋体" w:cs="宋体"/>
          <w:color w:val="auto"/>
          <w:highlight w:val="none"/>
          <w:lang w:eastAsia="zh-CN"/>
        </w:rPr>
        <w:t>3.3.1 在供应商须知前附表规定的磋商有效期内，供应商不得要求撤销或修改其响应文件。</w:t>
      </w:r>
    </w:p>
    <w:p w14:paraId="4D7310BC">
      <w:pPr>
        <w:spacing w:line="360" w:lineRule="auto"/>
        <w:ind w:firstLine="420"/>
        <w:rPr>
          <w:rFonts w:ascii="宋体" w:hAnsi="宋体" w:cs="宋体"/>
          <w:color w:val="auto"/>
          <w:highlight w:val="none"/>
          <w:lang w:eastAsia="zh-CN"/>
        </w:rPr>
      </w:pPr>
      <w:r>
        <w:rPr>
          <w:rFonts w:hint="eastAsia" w:ascii="宋体" w:hAnsi="宋体" w:cs="宋体"/>
          <w:color w:val="auto"/>
          <w:highlight w:val="none"/>
          <w:lang w:eastAsia="zh-CN"/>
        </w:rPr>
        <w:t xml:space="preserve">3.3.2出现特殊情况需要延长磋商有效期的，采购人以书面形式通知所有供应商延长磋商有效期。供应商同意延长的，但不得要求或被允许修改或撤销其响应文件；供应商拒绝延长的，其响应文件失效。 </w:t>
      </w:r>
    </w:p>
    <w:p w14:paraId="0B076FCD">
      <w:pPr>
        <w:pStyle w:val="37"/>
        <w:spacing w:line="360" w:lineRule="auto"/>
        <w:ind w:firstLine="422" w:firstLineChars="0"/>
        <w:outlineLvl w:val="9"/>
        <w:rPr>
          <w:rFonts w:ascii="宋体" w:hAnsi="宋体" w:eastAsia="宋体"/>
          <w:b/>
          <w:bCs/>
          <w:color w:val="auto"/>
          <w:sz w:val="21"/>
          <w:szCs w:val="21"/>
          <w:highlight w:val="none"/>
          <w:lang w:eastAsia="zh-CN"/>
        </w:rPr>
      </w:pPr>
      <w:bookmarkStart w:id="338" w:name="_Toc22634"/>
      <w:bookmarkStart w:id="339" w:name="_Toc30697"/>
      <w:bookmarkStart w:id="340" w:name="_Toc466298110"/>
      <w:bookmarkStart w:id="341" w:name="_Toc318450694"/>
      <w:bookmarkStart w:id="342" w:name="_Toc152042326"/>
      <w:bookmarkStart w:id="343" w:name="_Toc4165"/>
      <w:bookmarkStart w:id="344" w:name="_Toc455867787"/>
      <w:bookmarkStart w:id="345" w:name="_Toc2505"/>
      <w:bookmarkStart w:id="346" w:name="_Toc7057"/>
      <w:bookmarkStart w:id="347" w:name="_Toc144974518"/>
      <w:bookmarkStart w:id="348" w:name="_Toc8406"/>
      <w:bookmarkStart w:id="349" w:name="_Toc10370"/>
      <w:bookmarkStart w:id="350" w:name="_Toc7973"/>
      <w:bookmarkStart w:id="351" w:name="_Toc7618"/>
      <w:bookmarkStart w:id="352" w:name="_Toc455080127"/>
      <w:bookmarkStart w:id="353" w:name="_Toc490667847"/>
      <w:bookmarkStart w:id="354" w:name="_Toc152045550"/>
      <w:bookmarkStart w:id="355" w:name="_Toc13012"/>
      <w:bookmarkStart w:id="356" w:name="_Toc10015"/>
      <w:bookmarkStart w:id="357" w:name="_Toc13921"/>
      <w:r>
        <w:rPr>
          <w:rFonts w:hint="eastAsia" w:ascii="宋体" w:hAnsi="宋体" w:eastAsia="宋体"/>
          <w:b/>
          <w:bCs/>
          <w:color w:val="auto"/>
          <w:sz w:val="21"/>
          <w:szCs w:val="21"/>
          <w:highlight w:val="none"/>
          <w:lang w:eastAsia="zh-CN"/>
        </w:rPr>
        <w:t>3.4 磋商保证金</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Start w:id="358" w:name="_Toc152045552"/>
      <w:bookmarkStart w:id="359" w:name="_Toc152042328"/>
      <w:bookmarkStart w:id="360" w:name="_Toc144974520"/>
      <w:bookmarkStart w:id="361" w:name="_Toc318450695"/>
      <w:r>
        <w:rPr>
          <w:rFonts w:hint="eastAsia" w:ascii="宋体" w:hAnsi="宋体" w:eastAsia="宋体"/>
          <w:b/>
          <w:bCs/>
          <w:color w:val="auto"/>
          <w:sz w:val="21"/>
          <w:szCs w:val="21"/>
          <w:highlight w:val="none"/>
          <w:lang w:eastAsia="zh-CN"/>
        </w:rPr>
        <w:t>：无。</w:t>
      </w:r>
      <w:bookmarkEnd w:id="355"/>
      <w:bookmarkEnd w:id="356"/>
      <w:bookmarkEnd w:id="357"/>
    </w:p>
    <w:p w14:paraId="2676D53C">
      <w:pPr>
        <w:pStyle w:val="37"/>
        <w:spacing w:line="360" w:lineRule="auto"/>
        <w:ind w:firstLine="422" w:firstLineChars="0"/>
        <w:outlineLvl w:val="9"/>
        <w:rPr>
          <w:rFonts w:ascii="宋体" w:hAnsi="宋体" w:eastAsia="宋体"/>
          <w:b/>
          <w:bCs/>
          <w:color w:val="auto"/>
          <w:sz w:val="21"/>
          <w:szCs w:val="21"/>
          <w:highlight w:val="none"/>
          <w:lang w:eastAsia="zh-CN"/>
        </w:rPr>
      </w:pPr>
      <w:bookmarkStart w:id="362" w:name="_Toc22384"/>
      <w:bookmarkStart w:id="363" w:name="_Toc5920"/>
      <w:bookmarkStart w:id="364" w:name="_Toc22527"/>
      <w:bookmarkStart w:id="365" w:name="_Toc20328"/>
      <w:bookmarkStart w:id="366" w:name="_Toc455867788"/>
      <w:bookmarkStart w:id="367" w:name="_Toc16747"/>
      <w:bookmarkStart w:id="368" w:name="_Toc15547"/>
      <w:bookmarkStart w:id="369" w:name="_Toc17153"/>
      <w:bookmarkStart w:id="370" w:name="_Toc27579"/>
      <w:bookmarkStart w:id="371" w:name="_Toc11077"/>
      <w:bookmarkStart w:id="372" w:name="_Toc490667848"/>
      <w:bookmarkStart w:id="373" w:name="_Toc455080128"/>
      <w:bookmarkStart w:id="374" w:name="_Toc466298111"/>
      <w:bookmarkStart w:id="375" w:name="_Toc28324"/>
      <w:bookmarkStart w:id="376" w:name="_Toc13680"/>
      <w:bookmarkStart w:id="377" w:name="_Toc2794"/>
      <w:r>
        <w:rPr>
          <w:rFonts w:hint="eastAsia" w:ascii="宋体" w:hAnsi="宋体" w:eastAsia="宋体"/>
          <w:b/>
          <w:bCs/>
          <w:color w:val="auto"/>
          <w:sz w:val="21"/>
          <w:szCs w:val="21"/>
          <w:highlight w:val="none"/>
          <w:lang w:eastAsia="zh-CN"/>
        </w:rPr>
        <w:t>3.5资格审查资料</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1BC07473">
      <w:pPr>
        <w:pStyle w:val="37"/>
        <w:spacing w:line="360" w:lineRule="auto"/>
        <w:outlineLvl w:val="9"/>
        <w:rPr>
          <w:rFonts w:ascii="宋体" w:hAnsi="宋体" w:eastAsia="宋体"/>
          <w:color w:val="auto"/>
          <w:sz w:val="21"/>
          <w:szCs w:val="21"/>
          <w:highlight w:val="none"/>
          <w:lang w:eastAsia="zh-CN"/>
        </w:rPr>
      </w:pPr>
      <w:bookmarkStart w:id="378" w:name="_Toc4586"/>
      <w:bookmarkStart w:id="379" w:name="_Toc9718"/>
      <w:bookmarkStart w:id="380" w:name="_Toc6539"/>
      <w:bookmarkStart w:id="381" w:name="_Toc455080129"/>
      <w:bookmarkStart w:id="382" w:name="_Toc144974521"/>
      <w:bookmarkStart w:id="383" w:name="_Toc11694"/>
      <w:bookmarkStart w:id="384" w:name="_Toc3286"/>
      <w:bookmarkStart w:id="385" w:name="_Toc9015"/>
      <w:bookmarkStart w:id="386" w:name="_Toc30442"/>
      <w:bookmarkStart w:id="387" w:name="_Toc152045553"/>
      <w:bookmarkStart w:id="388" w:name="_Toc26258"/>
      <w:bookmarkStart w:id="389" w:name="_Toc1228"/>
      <w:bookmarkStart w:id="390" w:name="_Toc19724"/>
      <w:bookmarkStart w:id="391" w:name="_Toc455867789"/>
      <w:bookmarkStart w:id="392" w:name="_Toc18915"/>
      <w:bookmarkStart w:id="393" w:name="_Toc490667849"/>
      <w:bookmarkStart w:id="394" w:name="_Toc5132"/>
      <w:bookmarkStart w:id="395" w:name="_Toc152042329"/>
      <w:bookmarkStart w:id="396" w:name="_Toc466298112"/>
      <w:bookmarkStart w:id="397" w:name="_Toc318450696"/>
      <w:r>
        <w:rPr>
          <w:rFonts w:hint="eastAsia" w:ascii="宋体" w:hAnsi="宋体" w:eastAsia="宋体"/>
          <w:color w:val="auto"/>
          <w:sz w:val="21"/>
          <w:szCs w:val="21"/>
          <w:highlight w:val="none"/>
          <w:lang w:eastAsia="zh-CN"/>
        </w:rPr>
        <w:t>按照第二章供应商须知表“供应商须知前附表”1.5.1要求，提供其他相关材料。</w:t>
      </w:r>
      <w:bookmarkEnd w:id="378"/>
      <w:bookmarkEnd w:id="379"/>
      <w:bookmarkEnd w:id="380"/>
    </w:p>
    <w:p w14:paraId="3C2C22B2">
      <w:pPr>
        <w:pStyle w:val="37"/>
        <w:spacing w:line="360" w:lineRule="auto"/>
        <w:ind w:firstLine="422" w:firstLineChars="0"/>
        <w:outlineLvl w:val="9"/>
        <w:rPr>
          <w:rFonts w:ascii="宋体" w:hAnsi="宋体" w:eastAsia="宋体"/>
          <w:b/>
          <w:bCs/>
          <w:color w:val="auto"/>
          <w:sz w:val="21"/>
          <w:szCs w:val="21"/>
          <w:highlight w:val="none"/>
          <w:lang w:eastAsia="zh-CN"/>
        </w:rPr>
      </w:pPr>
      <w:bookmarkStart w:id="398" w:name="_Toc28595"/>
      <w:bookmarkStart w:id="399" w:name="_Toc24859"/>
      <w:bookmarkStart w:id="400" w:name="_Toc2288"/>
      <w:r>
        <w:rPr>
          <w:rFonts w:hint="eastAsia" w:ascii="宋体" w:hAnsi="宋体" w:eastAsia="宋体"/>
          <w:b/>
          <w:bCs/>
          <w:color w:val="auto"/>
          <w:sz w:val="21"/>
          <w:szCs w:val="21"/>
          <w:highlight w:val="none"/>
          <w:lang w:eastAsia="zh-CN"/>
        </w:rPr>
        <w:t>3.6 备选方案</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p>
    <w:p w14:paraId="764D71AA">
      <w:pPr>
        <w:spacing w:line="360" w:lineRule="auto"/>
        <w:ind w:firstLine="420"/>
        <w:rPr>
          <w:rFonts w:ascii="宋体" w:hAnsi="宋体" w:cs="宋体"/>
          <w:color w:val="auto"/>
          <w:highlight w:val="none"/>
          <w:lang w:eastAsia="zh-CN"/>
        </w:rPr>
      </w:pPr>
      <w:r>
        <w:rPr>
          <w:rFonts w:hint="eastAsia" w:ascii="宋体" w:hAnsi="宋体" w:cs="宋体"/>
          <w:color w:val="auto"/>
          <w:highlight w:val="none"/>
          <w:lang w:eastAsia="zh-CN"/>
        </w:rPr>
        <w:t>除供应商须知前附表另有规定外，供应商不得递交备选磋商方案。</w:t>
      </w:r>
    </w:p>
    <w:p w14:paraId="1E716321">
      <w:pPr>
        <w:pStyle w:val="37"/>
        <w:spacing w:line="360" w:lineRule="auto"/>
        <w:ind w:firstLine="422" w:firstLineChars="0"/>
        <w:outlineLvl w:val="9"/>
        <w:rPr>
          <w:rFonts w:ascii="宋体" w:hAnsi="宋体" w:eastAsia="宋体"/>
          <w:b/>
          <w:bCs/>
          <w:color w:val="auto"/>
          <w:sz w:val="21"/>
          <w:szCs w:val="21"/>
          <w:highlight w:val="none"/>
          <w:lang w:eastAsia="zh-CN"/>
        </w:rPr>
      </w:pPr>
      <w:bookmarkStart w:id="401" w:name="_Toc25620"/>
      <w:bookmarkStart w:id="402" w:name="_Toc12275"/>
      <w:bookmarkStart w:id="403" w:name="_Toc318450697"/>
      <w:bookmarkStart w:id="404" w:name="_Toc7966"/>
      <w:bookmarkStart w:id="405" w:name="_Toc455867790"/>
      <w:bookmarkStart w:id="406" w:name="_Toc6323"/>
      <w:bookmarkStart w:id="407" w:name="_Toc144974522"/>
      <w:bookmarkStart w:id="408" w:name="_Toc5516"/>
      <w:bookmarkStart w:id="409" w:name="_Toc10662"/>
      <w:bookmarkStart w:id="410" w:name="_Toc455080130"/>
      <w:bookmarkStart w:id="411" w:name="_Toc466298113"/>
      <w:bookmarkStart w:id="412" w:name="_Toc12541"/>
      <w:bookmarkStart w:id="413" w:name="_Toc17697"/>
      <w:bookmarkStart w:id="414" w:name="_Toc152042330"/>
      <w:bookmarkStart w:id="415" w:name="_Toc490667850"/>
      <w:bookmarkStart w:id="416" w:name="_Toc5874"/>
      <w:bookmarkStart w:id="417" w:name="_Toc7626"/>
      <w:bookmarkStart w:id="418" w:name="_Toc28656"/>
      <w:bookmarkStart w:id="419" w:name="_Toc152045554"/>
      <w:bookmarkStart w:id="420" w:name="_Toc18912"/>
      <w:r>
        <w:rPr>
          <w:rFonts w:hint="eastAsia" w:ascii="宋体" w:hAnsi="宋体" w:eastAsia="宋体"/>
          <w:b/>
          <w:bCs/>
          <w:color w:val="auto"/>
          <w:sz w:val="21"/>
          <w:szCs w:val="21"/>
          <w:highlight w:val="none"/>
          <w:lang w:eastAsia="zh-CN"/>
        </w:rPr>
        <w:t>3.7 响应文件的编制</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14:paraId="32893BD8">
      <w:pPr>
        <w:spacing w:line="360" w:lineRule="auto"/>
        <w:ind w:firstLine="420"/>
        <w:rPr>
          <w:rFonts w:ascii="宋体" w:hAnsi="宋体" w:cs="宋体"/>
          <w:color w:val="auto"/>
          <w:highlight w:val="none"/>
          <w:lang w:eastAsia="zh-CN"/>
        </w:rPr>
      </w:pPr>
      <w:bookmarkStart w:id="421" w:name="_Toc152045555"/>
      <w:bookmarkStart w:id="422" w:name="_Toc455080131"/>
      <w:bookmarkStart w:id="423" w:name="_Toc144974523"/>
      <w:bookmarkStart w:id="424" w:name="_Toc152042331"/>
      <w:r>
        <w:rPr>
          <w:rFonts w:hint="eastAsia" w:ascii="宋体" w:hAnsi="宋体" w:cs="宋体"/>
          <w:color w:val="auto"/>
          <w:highlight w:val="none"/>
          <w:lang w:eastAsia="zh-CN"/>
        </w:rPr>
        <w:t>3.7.1响应文件应按第六章“竞争性磋商响应文件格式”进行编写，如有必要，可以增加附页，作为响应文件的组成部分。其中，响应函附录在满足竞争性磋商文件实质性要求的基础上，可以提出比竞争性磋商文件要求更有利于采购人的承诺。</w:t>
      </w:r>
    </w:p>
    <w:p w14:paraId="501D9CD6">
      <w:pPr>
        <w:spacing w:line="360" w:lineRule="auto"/>
        <w:ind w:firstLine="420"/>
        <w:rPr>
          <w:rFonts w:ascii="宋体" w:hAnsi="宋体" w:cs="宋体"/>
          <w:color w:val="auto"/>
          <w:highlight w:val="none"/>
          <w:lang w:eastAsia="zh-CN"/>
        </w:rPr>
      </w:pPr>
      <w:r>
        <w:rPr>
          <w:rFonts w:hint="eastAsia" w:ascii="宋体" w:hAnsi="宋体" w:cs="宋体"/>
          <w:color w:val="auto"/>
          <w:highlight w:val="none"/>
          <w:lang w:eastAsia="zh-CN"/>
        </w:rPr>
        <w:t>3.7.2 响应文件应当对竞争性磋商文件有关服务期限、磋商有效期、质量要求、磋商内容作出响应。</w:t>
      </w:r>
    </w:p>
    <w:p w14:paraId="416A9C46">
      <w:pPr>
        <w:spacing w:line="360" w:lineRule="auto"/>
        <w:ind w:firstLine="420"/>
        <w:rPr>
          <w:rFonts w:ascii="宋体" w:hAnsi="宋体" w:cs="宋体"/>
          <w:color w:val="auto"/>
          <w:highlight w:val="none"/>
          <w:lang w:eastAsia="zh-CN"/>
        </w:rPr>
      </w:pPr>
      <w:r>
        <w:rPr>
          <w:rFonts w:hint="eastAsia" w:ascii="宋体" w:hAnsi="宋体" w:cs="宋体"/>
          <w:color w:val="auto"/>
          <w:highlight w:val="none"/>
          <w:lang w:eastAsia="zh-CN"/>
        </w:rPr>
        <w:t>3.7.3。在投标（响应）文件递交截止时间前，使用CA锁登录后将已固化且加密的电子投标（响应）文件通过网上递交的方式在投标专区自行递交，并确保递交成功(为保证文件正常递交，请响应人错峰上传，详细操作可参阅交易平台办事服务-操作指南-投标阶段) 。</w:t>
      </w:r>
    </w:p>
    <w:p w14:paraId="4ED7F29D">
      <w:pPr>
        <w:spacing w:line="360" w:lineRule="auto"/>
        <w:ind w:firstLine="420"/>
        <w:rPr>
          <w:rFonts w:ascii="宋体" w:hAnsi="宋体" w:cs="宋体"/>
          <w:color w:val="auto"/>
          <w:highlight w:val="none"/>
          <w:lang w:eastAsia="zh-CN"/>
        </w:rPr>
      </w:pPr>
      <w:r>
        <w:rPr>
          <w:rFonts w:hint="eastAsia" w:ascii="宋体" w:hAnsi="宋体" w:cs="宋体"/>
          <w:color w:val="auto"/>
          <w:highlight w:val="none"/>
          <w:lang w:eastAsia="zh-CN"/>
        </w:rPr>
        <w:t>3.7.4 响应文件份数见供应商须知前附表。</w:t>
      </w:r>
    </w:p>
    <w:p w14:paraId="3DD71976">
      <w:pPr>
        <w:pStyle w:val="10"/>
        <w:outlineLvl w:val="1"/>
        <w:rPr>
          <w:color w:val="auto"/>
          <w:sz w:val="24"/>
          <w:szCs w:val="24"/>
          <w:highlight w:val="none"/>
          <w:lang w:eastAsia="zh-CN"/>
        </w:rPr>
      </w:pPr>
      <w:bookmarkStart w:id="425" w:name="_Toc32070"/>
      <w:bookmarkStart w:id="426" w:name="_Toc19433"/>
      <w:bookmarkStart w:id="427" w:name="_Toc7739"/>
      <w:r>
        <w:rPr>
          <w:rFonts w:hint="eastAsia"/>
          <w:color w:val="auto"/>
          <w:sz w:val="24"/>
          <w:szCs w:val="24"/>
          <w:highlight w:val="none"/>
          <w:lang w:eastAsia="zh-CN"/>
        </w:rPr>
        <w:t xml:space="preserve">4. </w:t>
      </w:r>
      <w:bookmarkEnd w:id="421"/>
      <w:bookmarkEnd w:id="422"/>
      <w:bookmarkEnd w:id="423"/>
      <w:bookmarkEnd w:id="424"/>
      <w:r>
        <w:rPr>
          <w:rFonts w:hint="eastAsia"/>
          <w:color w:val="auto"/>
          <w:sz w:val="24"/>
          <w:szCs w:val="24"/>
          <w:highlight w:val="none"/>
          <w:lang w:eastAsia="zh-CN"/>
        </w:rPr>
        <w:t>磋商</w:t>
      </w:r>
      <w:bookmarkEnd w:id="425"/>
      <w:bookmarkEnd w:id="426"/>
      <w:bookmarkEnd w:id="427"/>
    </w:p>
    <w:p w14:paraId="516772BC">
      <w:pPr>
        <w:pStyle w:val="37"/>
        <w:spacing w:line="360" w:lineRule="auto"/>
        <w:ind w:firstLine="422" w:firstLineChars="0"/>
        <w:outlineLvl w:val="1"/>
        <w:rPr>
          <w:rFonts w:ascii="宋体" w:hAnsi="宋体" w:eastAsia="宋体"/>
          <w:b/>
          <w:bCs/>
          <w:color w:val="auto"/>
          <w:sz w:val="21"/>
          <w:szCs w:val="21"/>
          <w:highlight w:val="none"/>
          <w:lang w:eastAsia="zh-CN"/>
        </w:rPr>
      </w:pPr>
      <w:bookmarkStart w:id="428" w:name="_Toc144974524"/>
      <w:bookmarkStart w:id="429" w:name="_Toc318450699"/>
      <w:bookmarkStart w:id="430" w:name="_Toc26583"/>
      <w:bookmarkStart w:id="431" w:name="_Toc490667852"/>
      <w:bookmarkStart w:id="432" w:name="_Toc152042332"/>
      <w:bookmarkStart w:id="433" w:name="_Toc11243"/>
      <w:bookmarkStart w:id="434" w:name="_Toc31492"/>
      <w:bookmarkStart w:id="435" w:name="_Toc152045556"/>
      <w:bookmarkStart w:id="436" w:name="_Toc455080132"/>
      <w:bookmarkStart w:id="437" w:name="_Toc466298115"/>
      <w:bookmarkStart w:id="438" w:name="_Toc16962"/>
      <w:bookmarkStart w:id="439" w:name="_Toc18820"/>
      <w:bookmarkStart w:id="440" w:name="_Toc16344"/>
      <w:bookmarkStart w:id="441" w:name="_Toc26550"/>
      <w:bookmarkStart w:id="442" w:name="_Toc455867792"/>
      <w:bookmarkStart w:id="443" w:name="_Toc22961"/>
      <w:bookmarkStart w:id="444" w:name="_Toc16783"/>
      <w:bookmarkStart w:id="445" w:name="_Toc25280"/>
      <w:bookmarkStart w:id="446" w:name="_Toc26897"/>
      <w:bookmarkStart w:id="447" w:name="_Toc21145"/>
      <w:r>
        <w:rPr>
          <w:rFonts w:hint="eastAsia" w:ascii="宋体" w:hAnsi="宋体" w:eastAsia="宋体"/>
          <w:b/>
          <w:bCs/>
          <w:color w:val="auto"/>
          <w:sz w:val="21"/>
          <w:szCs w:val="21"/>
          <w:highlight w:val="none"/>
          <w:lang w:eastAsia="zh-CN"/>
        </w:rPr>
        <w:t>4.1 响应文件的</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r>
        <w:rPr>
          <w:rFonts w:hint="eastAsia" w:ascii="宋体" w:hAnsi="宋体" w:eastAsia="宋体"/>
          <w:b/>
          <w:bCs/>
          <w:color w:val="auto"/>
          <w:sz w:val="21"/>
          <w:szCs w:val="21"/>
          <w:highlight w:val="none"/>
          <w:lang w:eastAsia="zh-CN"/>
        </w:rPr>
        <w:t>上传</w:t>
      </w:r>
      <w:bookmarkEnd w:id="445"/>
      <w:bookmarkEnd w:id="446"/>
      <w:bookmarkEnd w:id="447"/>
    </w:p>
    <w:p w14:paraId="3BCDD1B9">
      <w:pPr>
        <w:spacing w:line="360" w:lineRule="auto"/>
        <w:ind w:firstLine="420"/>
        <w:rPr>
          <w:rFonts w:ascii="宋体" w:hAnsi="宋体"/>
          <w:color w:val="auto"/>
          <w:highlight w:val="none"/>
          <w:lang w:eastAsia="zh-CN"/>
        </w:rPr>
      </w:pPr>
      <w:r>
        <w:rPr>
          <w:rFonts w:hint="eastAsia" w:ascii="宋体" w:hAnsi="宋体" w:cs="宋体"/>
          <w:color w:val="auto"/>
          <w:highlight w:val="none"/>
          <w:lang w:eastAsia="zh-CN"/>
        </w:rPr>
        <w:t>4.1.1网上上传的电子响应文件应使用供应商数字证书固化并加密</w:t>
      </w:r>
      <w:r>
        <w:rPr>
          <w:rFonts w:hint="eastAsia" w:ascii="宋体" w:hAnsi="宋体"/>
          <w:color w:val="auto"/>
          <w:highlight w:val="none"/>
          <w:lang w:eastAsia="zh-CN"/>
        </w:rPr>
        <w:t>。</w:t>
      </w:r>
    </w:p>
    <w:p w14:paraId="6F2D0728">
      <w:pPr>
        <w:pStyle w:val="37"/>
        <w:spacing w:line="360" w:lineRule="auto"/>
        <w:ind w:firstLine="422" w:firstLineChars="0"/>
        <w:outlineLvl w:val="1"/>
        <w:rPr>
          <w:rFonts w:ascii="宋体" w:hAnsi="宋体" w:eastAsia="宋体"/>
          <w:b/>
          <w:bCs/>
          <w:color w:val="auto"/>
          <w:sz w:val="21"/>
          <w:szCs w:val="21"/>
          <w:highlight w:val="none"/>
          <w:lang w:eastAsia="zh-CN"/>
        </w:rPr>
      </w:pPr>
      <w:bookmarkStart w:id="448" w:name="_Toc20932"/>
      <w:bookmarkStart w:id="449" w:name="_Toc16832"/>
      <w:bookmarkStart w:id="450" w:name="_Toc21897"/>
      <w:bookmarkStart w:id="451" w:name="_Toc20259"/>
      <w:bookmarkStart w:id="452" w:name="_Toc27132"/>
      <w:bookmarkStart w:id="453" w:name="_Toc152045557"/>
      <w:bookmarkStart w:id="454" w:name="_Toc144974525"/>
      <w:bookmarkStart w:id="455" w:name="_Toc455867793"/>
      <w:bookmarkStart w:id="456" w:name="_Toc28272"/>
      <w:bookmarkStart w:id="457" w:name="_Toc152042333"/>
      <w:bookmarkStart w:id="458" w:name="_Toc490667853"/>
      <w:bookmarkStart w:id="459" w:name="_Toc466298116"/>
      <w:bookmarkStart w:id="460" w:name="_Toc462"/>
      <w:bookmarkStart w:id="461" w:name="_Toc8754"/>
      <w:bookmarkStart w:id="462" w:name="_Toc4767"/>
      <w:bookmarkStart w:id="463" w:name="_Toc21072"/>
      <w:bookmarkStart w:id="464" w:name="_Toc6618"/>
      <w:bookmarkStart w:id="465" w:name="_Toc455080133"/>
      <w:bookmarkStart w:id="466" w:name="_Toc7663"/>
      <w:bookmarkStart w:id="467" w:name="_Toc318450700"/>
      <w:r>
        <w:rPr>
          <w:rFonts w:hint="eastAsia" w:ascii="宋体" w:hAnsi="宋体" w:eastAsia="宋体"/>
          <w:b/>
          <w:bCs/>
          <w:color w:val="auto"/>
          <w:sz w:val="21"/>
          <w:szCs w:val="21"/>
          <w:highlight w:val="none"/>
          <w:lang w:eastAsia="zh-CN"/>
        </w:rPr>
        <w:t>4.2 响应文件的递交</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p>
    <w:p w14:paraId="09D9CEB7">
      <w:pPr>
        <w:spacing w:line="400" w:lineRule="exact"/>
        <w:ind w:firstLine="420"/>
        <w:rPr>
          <w:rFonts w:ascii="宋体" w:hAnsi="宋体" w:cs="宋体"/>
          <w:color w:val="auto"/>
          <w:highlight w:val="none"/>
          <w:lang w:eastAsia="zh-CN"/>
        </w:rPr>
      </w:pPr>
      <w:bookmarkStart w:id="468" w:name="_Toc466298117"/>
      <w:bookmarkStart w:id="469" w:name="_Toc17161"/>
      <w:bookmarkStart w:id="470" w:name="_Toc26684"/>
      <w:bookmarkStart w:id="471" w:name="_Toc144974526"/>
      <w:bookmarkStart w:id="472" w:name="_Toc5102"/>
      <w:bookmarkStart w:id="473" w:name="_Toc21890"/>
      <w:bookmarkStart w:id="474" w:name="_Toc490667854"/>
      <w:bookmarkStart w:id="475" w:name="_Toc19951"/>
      <w:bookmarkStart w:id="476" w:name="_Toc2952"/>
      <w:bookmarkStart w:id="477" w:name="_Toc455080134"/>
      <w:bookmarkStart w:id="478" w:name="_Toc152045558"/>
      <w:bookmarkStart w:id="479" w:name="_Toc20281"/>
      <w:bookmarkStart w:id="480" w:name="_Toc30860"/>
      <w:bookmarkStart w:id="481" w:name="_Toc455867794"/>
      <w:bookmarkStart w:id="482" w:name="_Toc152042334"/>
      <w:bookmarkStart w:id="483" w:name="_Toc11817"/>
      <w:bookmarkStart w:id="484" w:name="_Toc318450701"/>
      <w:r>
        <w:rPr>
          <w:rFonts w:hint="eastAsia" w:ascii="宋体" w:hAnsi="宋体" w:cs="宋体"/>
          <w:color w:val="auto"/>
          <w:highlight w:val="none"/>
          <w:lang w:eastAsia="zh-CN"/>
        </w:rPr>
        <w:t>4.2.1电子响应文件的递交</w:t>
      </w:r>
    </w:p>
    <w:p w14:paraId="087F4D12">
      <w:pPr>
        <w:spacing w:line="400" w:lineRule="exact"/>
        <w:ind w:firstLine="420"/>
        <w:rPr>
          <w:rFonts w:ascii="宋体" w:hAnsi="宋体" w:cs="宋体"/>
          <w:color w:val="auto"/>
          <w:highlight w:val="none"/>
          <w:lang w:eastAsia="zh-CN"/>
        </w:rPr>
      </w:pPr>
      <w:r>
        <w:rPr>
          <w:rFonts w:hint="eastAsia" w:ascii="宋体" w:hAnsi="宋体" w:cs="宋体"/>
          <w:color w:val="auto"/>
          <w:highlight w:val="none"/>
          <w:lang w:eastAsia="zh-CN"/>
        </w:rPr>
        <w:t>在投标（响应）文件递交截止时间前，使用CA锁登录后将已固化且加密的电子投标（响应）文件通过网上递交的方式在投标专区自行递交。请供应商在上传前务必认真检查上传响应文件是否完整、正确。</w:t>
      </w:r>
    </w:p>
    <w:p w14:paraId="5B5ED9AA">
      <w:pPr>
        <w:pStyle w:val="37"/>
        <w:spacing w:line="360" w:lineRule="auto"/>
        <w:ind w:firstLine="422" w:firstLineChars="0"/>
        <w:outlineLvl w:val="1"/>
        <w:rPr>
          <w:rFonts w:ascii="宋体" w:hAnsi="宋体" w:eastAsia="宋体"/>
          <w:b/>
          <w:bCs/>
          <w:color w:val="auto"/>
          <w:sz w:val="21"/>
          <w:szCs w:val="21"/>
          <w:highlight w:val="none"/>
          <w:lang w:eastAsia="zh-CN"/>
        </w:rPr>
      </w:pPr>
      <w:bookmarkStart w:id="485" w:name="_Toc1790"/>
      <w:bookmarkStart w:id="486" w:name="_Toc11247"/>
      <w:bookmarkStart w:id="487" w:name="_Toc29295"/>
      <w:r>
        <w:rPr>
          <w:rFonts w:hint="eastAsia" w:ascii="宋体" w:hAnsi="宋体" w:eastAsia="宋体"/>
          <w:b/>
          <w:bCs/>
          <w:color w:val="auto"/>
          <w:sz w:val="21"/>
          <w:szCs w:val="21"/>
          <w:highlight w:val="none"/>
          <w:lang w:eastAsia="zh-CN"/>
        </w:rPr>
        <w:t>4.3 响应文件的修改与撤回</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p>
    <w:p w14:paraId="53680CF8">
      <w:pPr>
        <w:spacing w:line="400" w:lineRule="exact"/>
        <w:ind w:firstLine="420"/>
        <w:rPr>
          <w:rFonts w:ascii="宋体" w:hAnsi="宋体" w:cs="宋体"/>
          <w:color w:val="auto"/>
          <w:highlight w:val="none"/>
          <w:lang w:eastAsia="zh-CN"/>
        </w:rPr>
      </w:pPr>
      <w:bookmarkStart w:id="488" w:name="_Toc144974527"/>
      <w:bookmarkStart w:id="489" w:name="_Toc152045559"/>
      <w:bookmarkStart w:id="490" w:name="_Toc152042335"/>
      <w:bookmarkStart w:id="491" w:name="_Toc455080135"/>
      <w:r>
        <w:rPr>
          <w:rFonts w:hint="eastAsia" w:ascii="宋体" w:hAnsi="宋体" w:cs="宋体"/>
          <w:color w:val="auto"/>
          <w:highlight w:val="none"/>
          <w:lang w:eastAsia="zh-CN"/>
        </w:rPr>
        <w:t>4.3.1 在第一章“竞争性磋商公告”规定的响应文件提交截止时间前，供应商可以多次修改或撤回已递交的响应文件，最终响应文件以响应文件提交截止时间前完成上传至商丘市公共资源交易中心交易系统最后一份响应文件为准。</w:t>
      </w:r>
    </w:p>
    <w:p w14:paraId="4BB6F180">
      <w:pPr>
        <w:spacing w:line="400" w:lineRule="exact"/>
        <w:ind w:firstLine="420"/>
        <w:rPr>
          <w:rFonts w:ascii="宋体" w:hAnsi="宋体" w:cs="宋体"/>
          <w:color w:val="auto"/>
          <w:highlight w:val="none"/>
          <w:lang w:eastAsia="zh-CN"/>
        </w:rPr>
      </w:pPr>
      <w:r>
        <w:rPr>
          <w:rFonts w:hint="eastAsia" w:ascii="宋体" w:hAnsi="宋体" w:cs="宋体"/>
          <w:color w:val="auto"/>
          <w:highlight w:val="none"/>
          <w:lang w:eastAsia="zh-CN"/>
        </w:rPr>
        <w:t>4.3.2修改的响应文件应按照本章第3.7条、第4.2条规定进行编制和递交。</w:t>
      </w:r>
    </w:p>
    <w:bookmarkEnd w:id="488"/>
    <w:bookmarkEnd w:id="489"/>
    <w:bookmarkEnd w:id="490"/>
    <w:p w14:paraId="127BCA61">
      <w:pPr>
        <w:pStyle w:val="10"/>
        <w:outlineLvl w:val="1"/>
        <w:rPr>
          <w:color w:val="auto"/>
          <w:sz w:val="24"/>
          <w:szCs w:val="24"/>
          <w:highlight w:val="none"/>
          <w:lang w:eastAsia="zh-CN"/>
        </w:rPr>
      </w:pPr>
      <w:bookmarkStart w:id="492" w:name="_Toc20724"/>
      <w:bookmarkStart w:id="493" w:name="_Toc15462"/>
      <w:bookmarkStart w:id="494" w:name="_Toc14969"/>
      <w:r>
        <w:rPr>
          <w:rFonts w:hint="eastAsia"/>
          <w:color w:val="auto"/>
          <w:sz w:val="24"/>
          <w:szCs w:val="24"/>
          <w:highlight w:val="none"/>
          <w:lang w:eastAsia="zh-CN"/>
        </w:rPr>
        <w:t>5.磋商开始</w:t>
      </w:r>
      <w:bookmarkEnd w:id="491"/>
      <w:bookmarkEnd w:id="492"/>
      <w:bookmarkEnd w:id="493"/>
      <w:bookmarkEnd w:id="494"/>
      <w:bookmarkStart w:id="495" w:name="_Toc16040"/>
      <w:bookmarkStart w:id="496" w:name="_Toc466298119"/>
      <w:bookmarkStart w:id="497" w:name="_Toc152045560"/>
      <w:bookmarkStart w:id="498" w:name="_Toc25533"/>
      <w:bookmarkStart w:id="499" w:name="_Toc144974528"/>
      <w:bookmarkStart w:id="500" w:name="_Toc25809"/>
      <w:bookmarkStart w:id="501" w:name="_Toc455080136"/>
      <w:bookmarkStart w:id="502" w:name="_Toc14"/>
      <w:bookmarkStart w:id="503" w:name="_Toc9969"/>
      <w:bookmarkStart w:id="504" w:name="_Toc318450703"/>
      <w:bookmarkStart w:id="505" w:name="_Toc20660"/>
      <w:bookmarkStart w:id="506" w:name="_Toc455867796"/>
      <w:bookmarkStart w:id="507" w:name="_Toc6763"/>
      <w:bookmarkStart w:id="508" w:name="_Toc490667856"/>
      <w:bookmarkStart w:id="509" w:name="_Toc26426"/>
      <w:bookmarkStart w:id="510" w:name="_Toc20333"/>
      <w:bookmarkStart w:id="511" w:name="_Toc152042336"/>
    </w:p>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14:paraId="16E85EC3">
      <w:pPr>
        <w:spacing w:line="440" w:lineRule="exact"/>
        <w:ind w:firstLine="422" w:firstLineChars="0"/>
        <w:outlineLvl w:val="1"/>
        <w:rPr>
          <w:rFonts w:ascii="宋体" w:hAnsi="宋体"/>
          <w:b/>
          <w:bCs/>
          <w:color w:val="auto"/>
          <w:highlight w:val="none"/>
          <w:lang w:eastAsia="zh-CN"/>
        </w:rPr>
      </w:pPr>
      <w:bookmarkStart w:id="512" w:name="_Toc455867797"/>
      <w:bookmarkStart w:id="513" w:name="_Toc18582"/>
      <w:bookmarkStart w:id="514" w:name="_Toc455080137"/>
      <w:bookmarkStart w:id="515" w:name="_Toc747"/>
      <w:bookmarkStart w:id="516" w:name="_Toc466298120"/>
      <w:bookmarkStart w:id="517" w:name="_Toc25911"/>
      <w:bookmarkStart w:id="518" w:name="_Toc3865"/>
      <w:bookmarkStart w:id="519" w:name="_Toc318450704"/>
      <w:bookmarkStart w:id="520" w:name="_Toc152045561"/>
      <w:bookmarkStart w:id="521" w:name="_Toc17491"/>
      <w:bookmarkStart w:id="522" w:name="_Toc152042337"/>
      <w:bookmarkStart w:id="523" w:name="_Toc11148"/>
      <w:bookmarkStart w:id="524" w:name="_Toc30792"/>
      <w:bookmarkStart w:id="525" w:name="_Toc490667857"/>
      <w:bookmarkStart w:id="526" w:name="_Toc144974529"/>
      <w:bookmarkStart w:id="527" w:name="_Toc30074"/>
      <w:bookmarkStart w:id="528" w:name="_Toc9328"/>
      <w:bookmarkStart w:id="529" w:name="_Toc30965"/>
      <w:r>
        <w:rPr>
          <w:rFonts w:hint="eastAsia" w:ascii="宋体" w:hAnsi="宋体"/>
          <w:b/>
          <w:bCs/>
          <w:color w:val="auto"/>
          <w:highlight w:val="none"/>
          <w:lang w:eastAsia="zh-CN"/>
        </w:rPr>
        <w:t>5.1 磋商时间和地点</w:t>
      </w:r>
    </w:p>
    <w:p w14:paraId="2458ADFA">
      <w:pPr>
        <w:spacing w:line="440" w:lineRule="exact"/>
        <w:ind w:firstLine="420"/>
        <w:rPr>
          <w:rFonts w:ascii="宋体" w:hAnsi="宋体"/>
          <w:color w:val="auto"/>
          <w:highlight w:val="none"/>
          <w:lang w:eastAsia="zh-CN"/>
        </w:rPr>
      </w:pPr>
      <w:r>
        <w:rPr>
          <w:rFonts w:hint="eastAsia" w:ascii="宋体" w:hAnsi="宋体"/>
          <w:color w:val="auto"/>
          <w:highlight w:val="none"/>
          <w:lang w:eastAsia="zh-CN"/>
        </w:rPr>
        <w:t>5.1.1 采购人在本章规定的投标截止时间（开标时间）和供应商须知前附表规定的地点开标。</w:t>
      </w:r>
    </w:p>
    <w:p w14:paraId="41D67CE1">
      <w:pPr>
        <w:pStyle w:val="37"/>
        <w:spacing w:line="360" w:lineRule="auto"/>
        <w:ind w:firstLine="422" w:firstLineChars="0"/>
        <w:outlineLvl w:val="1"/>
        <w:rPr>
          <w:rFonts w:ascii="宋体" w:hAnsi="宋体" w:eastAsia="宋体"/>
          <w:b/>
          <w:bCs/>
          <w:color w:val="auto"/>
          <w:sz w:val="21"/>
          <w:szCs w:val="21"/>
          <w:highlight w:val="none"/>
          <w:lang w:eastAsia="zh-CN"/>
        </w:rPr>
      </w:pPr>
      <w:bookmarkStart w:id="530" w:name="_Toc3010"/>
      <w:bookmarkStart w:id="531" w:name="_Toc23126"/>
      <w:r>
        <w:rPr>
          <w:rFonts w:hint="eastAsia" w:ascii="宋体" w:hAnsi="宋体" w:eastAsia="宋体"/>
          <w:b/>
          <w:bCs/>
          <w:color w:val="auto"/>
          <w:sz w:val="21"/>
          <w:szCs w:val="21"/>
          <w:highlight w:val="none"/>
          <w:lang w:eastAsia="zh-CN"/>
        </w:rPr>
        <w:t>5.2 磋商程序</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p>
    <w:p w14:paraId="56F131C9">
      <w:pPr>
        <w:pStyle w:val="37"/>
        <w:spacing w:line="360" w:lineRule="auto"/>
        <w:ind w:firstLine="420" w:firstLineChars="0"/>
        <w:outlineLvl w:val="9"/>
        <w:rPr>
          <w:rFonts w:ascii="宋体" w:hAnsi="宋体" w:eastAsia="宋体"/>
          <w:color w:val="auto"/>
          <w:sz w:val="21"/>
          <w:szCs w:val="21"/>
          <w:highlight w:val="none"/>
          <w:lang w:eastAsia="zh-CN"/>
        </w:rPr>
      </w:pPr>
      <w:bookmarkStart w:id="532" w:name="_Toc16330"/>
      <w:bookmarkStart w:id="533" w:name="_Toc30403"/>
      <w:bookmarkStart w:id="534" w:name="_Toc20594"/>
      <w:r>
        <w:rPr>
          <w:rFonts w:hint="eastAsia" w:ascii="宋体" w:hAnsi="宋体" w:eastAsia="宋体"/>
          <w:color w:val="auto"/>
          <w:sz w:val="21"/>
          <w:szCs w:val="21"/>
          <w:highlight w:val="none"/>
          <w:lang w:eastAsia="zh-CN"/>
        </w:rPr>
        <w:t>5.2.1磋商小组对竞争性磋商文件进行熟悉确认。</w:t>
      </w:r>
      <w:bookmarkEnd w:id="532"/>
      <w:bookmarkEnd w:id="533"/>
      <w:bookmarkEnd w:id="534"/>
      <w:bookmarkStart w:id="535" w:name="_Toc144974530"/>
      <w:bookmarkStart w:id="536" w:name="_Toc152045562"/>
      <w:bookmarkStart w:id="537" w:name="_Toc152042338"/>
    </w:p>
    <w:p w14:paraId="57075836">
      <w:pPr>
        <w:pStyle w:val="37"/>
        <w:spacing w:line="360" w:lineRule="auto"/>
        <w:ind w:firstLine="420" w:firstLineChars="0"/>
        <w:outlineLvl w:val="9"/>
        <w:rPr>
          <w:rFonts w:ascii="宋体" w:hAnsi="宋体" w:eastAsia="宋体"/>
          <w:color w:val="auto"/>
          <w:sz w:val="21"/>
          <w:szCs w:val="21"/>
          <w:highlight w:val="none"/>
          <w:lang w:eastAsia="zh-CN"/>
        </w:rPr>
      </w:pPr>
      <w:bookmarkStart w:id="538" w:name="_Toc16978"/>
      <w:bookmarkStart w:id="539" w:name="_Toc2822"/>
      <w:r>
        <w:rPr>
          <w:rFonts w:hint="eastAsia" w:ascii="宋体" w:hAnsi="宋体" w:eastAsia="宋体"/>
          <w:color w:val="auto"/>
          <w:sz w:val="21"/>
          <w:szCs w:val="21"/>
          <w:highlight w:val="none"/>
          <w:lang w:eastAsia="zh-CN"/>
        </w:rPr>
        <w:t>5.2.2磋商小组推选组长，讨论、通过磋商工作流程和磋商要点。</w:t>
      </w:r>
      <w:bookmarkEnd w:id="538"/>
      <w:bookmarkEnd w:id="539"/>
    </w:p>
    <w:p w14:paraId="1B0E4710">
      <w:pPr>
        <w:spacing w:line="360" w:lineRule="auto"/>
        <w:ind w:firstLine="420"/>
        <w:rPr>
          <w:rFonts w:ascii="宋体" w:hAnsi="宋体" w:cs="宋体"/>
          <w:color w:val="auto"/>
          <w:highlight w:val="none"/>
          <w:lang w:eastAsia="zh-CN"/>
        </w:rPr>
      </w:pPr>
      <w:r>
        <w:rPr>
          <w:rFonts w:hint="eastAsia" w:ascii="宋体" w:hAnsi="宋体" w:cs="宋体"/>
          <w:color w:val="auto"/>
          <w:highlight w:val="none"/>
          <w:lang w:eastAsia="zh-CN"/>
        </w:rPr>
        <w:t>5.2.3资格评审审查：采购人依据竞争性磋商文件规定，对供应商进行审查，以确定磋商供应商是否具备参与磋商的资格。</w:t>
      </w:r>
    </w:p>
    <w:p w14:paraId="18D0DE1E">
      <w:pPr>
        <w:spacing w:line="360" w:lineRule="auto"/>
        <w:ind w:firstLine="420"/>
        <w:rPr>
          <w:rFonts w:ascii="宋体" w:hAnsi="宋体" w:cs="宋体"/>
          <w:color w:val="auto"/>
          <w:highlight w:val="none"/>
          <w:lang w:eastAsia="zh-CN"/>
        </w:rPr>
      </w:pPr>
      <w:r>
        <w:rPr>
          <w:rFonts w:hint="eastAsia" w:ascii="宋体" w:hAnsi="宋体" w:cs="宋体"/>
          <w:color w:val="auto"/>
          <w:highlight w:val="none"/>
          <w:lang w:eastAsia="zh-CN"/>
        </w:rPr>
        <w:t>5.2.4符合性评审审查：磋商开始后，磋商小组依据竞争性磋商文件规定，对通过资格评审的供应商进行审查，以确定磋商供应商是否具备参与磋商的资格。</w:t>
      </w:r>
    </w:p>
    <w:p w14:paraId="5C5E961E">
      <w:pPr>
        <w:spacing w:line="360" w:lineRule="auto"/>
        <w:ind w:firstLine="472" w:firstLineChars="225"/>
        <w:rPr>
          <w:rFonts w:ascii="宋体" w:hAnsi="宋体" w:cs="宋体"/>
          <w:color w:val="auto"/>
          <w:highlight w:val="none"/>
          <w:lang w:eastAsia="zh-CN"/>
        </w:rPr>
      </w:pPr>
      <w:r>
        <w:rPr>
          <w:rFonts w:hint="eastAsia" w:ascii="宋体" w:hAnsi="宋体" w:cs="宋体"/>
          <w:color w:val="auto"/>
          <w:highlight w:val="none"/>
          <w:lang w:eastAsia="zh-CN"/>
        </w:rPr>
        <w:t>5.2.5磋商小组对通过资格性和符合性审查的响应文件进行评估，确定与各竞标人磋商的具体内容。</w:t>
      </w:r>
    </w:p>
    <w:p w14:paraId="67CEC786">
      <w:pPr>
        <w:spacing w:line="360" w:lineRule="auto"/>
        <w:ind w:firstLine="472" w:firstLineChars="225"/>
        <w:rPr>
          <w:rFonts w:ascii="宋体" w:hAnsi="宋体" w:cs="宋体"/>
          <w:color w:val="auto"/>
          <w:highlight w:val="none"/>
          <w:lang w:eastAsia="zh-CN"/>
        </w:rPr>
      </w:pPr>
      <w:r>
        <w:rPr>
          <w:rFonts w:hint="eastAsia" w:ascii="宋体" w:hAnsi="宋体" w:cs="宋体"/>
          <w:color w:val="auto"/>
          <w:highlight w:val="none"/>
          <w:lang w:eastAsia="zh-CN"/>
        </w:rPr>
        <w:t>5.2.6磋商过程中，磋商小组可以根据磋商情况实质性变动招标需求中的技术、服务要求以及合同草案条款，但不得变动竞争性磋商文件中的其他内容。实质性变动的内容需经采购人(业主)代表确认。并以书面形式通知所有参加磋商的供应商，该变动是竞争性磋商文件的有效组成部分。供应商应当按照竞争性磋商文件的变动情况和磋商小组的要求重新提交响应文件并由其法定代表人或其授权代表签字或者加盖公章。由授权代表签字的应当附法定代表人授权书。供应商为自然人的应当由本人签字并附身份证。供应商应根据磋商小组的要求，以书面形式在规定时间内做出响应，未做出响应的响应文件将被视为无效竞标。若磋商小组没有实质性变动招标需求中的技术、服务要求以及合同草案条款，则供应商的最后报价不得高于首次报价，否则按废标处理。</w:t>
      </w:r>
    </w:p>
    <w:p w14:paraId="2B20A25B">
      <w:pPr>
        <w:spacing w:line="360" w:lineRule="auto"/>
        <w:ind w:firstLine="420"/>
        <w:rPr>
          <w:rFonts w:ascii="宋体" w:hAnsi="宋体" w:cs="宋体"/>
          <w:color w:val="auto"/>
          <w:highlight w:val="none"/>
          <w:lang w:eastAsia="zh-CN"/>
        </w:rPr>
      </w:pPr>
      <w:r>
        <w:rPr>
          <w:rFonts w:hint="eastAsia" w:ascii="宋体" w:hAnsi="宋体" w:cs="宋体"/>
          <w:color w:val="auto"/>
          <w:highlight w:val="none"/>
          <w:lang w:eastAsia="zh-CN"/>
        </w:rPr>
        <w:t>5.2.7磋商小组对符合招标需求的供应商进入下一轮报价；供应商只有通过资格评审及符合性评审后方可进入下一轮报价，在规定的时间内同时提交报价，最终报价不得超过响应文件中报价。</w:t>
      </w:r>
    </w:p>
    <w:p w14:paraId="12C4127E">
      <w:pPr>
        <w:spacing w:line="360" w:lineRule="auto"/>
        <w:ind w:firstLine="420"/>
        <w:rPr>
          <w:rFonts w:ascii="宋体" w:hAnsi="宋体" w:cs="宋体"/>
          <w:color w:val="auto"/>
          <w:highlight w:val="none"/>
          <w:lang w:eastAsia="zh-CN"/>
        </w:rPr>
      </w:pPr>
      <w:r>
        <w:rPr>
          <w:rFonts w:hint="eastAsia" w:ascii="宋体" w:hAnsi="宋体" w:cs="宋体"/>
          <w:color w:val="auto"/>
          <w:highlight w:val="none"/>
          <w:lang w:eastAsia="zh-CN"/>
        </w:rPr>
        <w:t>5.2.8竞争性磋商采用远程不见面方式，磋商内容主要为二次报价。</w:t>
      </w:r>
    </w:p>
    <w:p w14:paraId="1264A6B3">
      <w:pPr>
        <w:spacing w:line="360" w:lineRule="auto"/>
        <w:ind w:firstLine="420"/>
        <w:rPr>
          <w:rFonts w:ascii="宋体" w:hAnsi="宋体" w:cs="宋体"/>
          <w:color w:val="auto"/>
          <w:highlight w:val="none"/>
          <w:lang w:eastAsia="zh-CN"/>
        </w:rPr>
      </w:pPr>
      <w:r>
        <w:rPr>
          <w:rFonts w:hint="eastAsia" w:ascii="宋体" w:hAnsi="宋体" w:cs="宋体"/>
          <w:color w:val="auto"/>
          <w:highlight w:val="none"/>
          <w:lang w:eastAsia="zh-CN"/>
        </w:rPr>
        <w:t>5.2.9竞争性磋商结束后，竞争性磋商小组应当要求所有参加竞争性磋商的供应商在规定的时间内进行最后报价，响应性文件中报价为第二轮次报价为准。二次报价不得高于首次报价（除磋商文件有实质性变动外），否则将被视为未实质性响应磋商文件。</w:t>
      </w:r>
    </w:p>
    <w:p w14:paraId="032B1A8C">
      <w:pPr>
        <w:pStyle w:val="12"/>
        <w:spacing w:line="520" w:lineRule="exact"/>
        <w:ind w:firstLine="422" w:firstLineChars="0"/>
        <w:outlineLvl w:val="9"/>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本项目在开标后进行第二轮报价（二次报价），即最后报价</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lang w:eastAsia="zh-CN"/>
        </w:rPr>
        <w:t>磋商小组发起最后报价后，如供应商未在指定时限内提交最后报价，视为该供应商放弃最后报价机会。</w:t>
      </w:r>
    </w:p>
    <w:p w14:paraId="5B3B11EE">
      <w:pPr>
        <w:ind w:firstLine="420"/>
        <w:rPr>
          <w:color w:val="auto"/>
          <w:highlight w:val="none"/>
          <w:lang w:eastAsia="zh-CN"/>
        </w:rPr>
      </w:pPr>
      <w:r>
        <w:rPr>
          <w:rFonts w:hint="eastAsia" w:ascii="宋体" w:hAnsi="宋体" w:cs="宋体"/>
          <w:color w:val="auto"/>
          <w:highlight w:val="none"/>
          <w:lang w:eastAsia="zh-CN"/>
        </w:rPr>
        <w:t>5.2.9经磋商确定最终招标需求，由磋商小组采用综合评分法对通过初步评审的供应商的响应文件进行综合评分。</w:t>
      </w:r>
    </w:p>
    <w:p w14:paraId="1BBB1509">
      <w:pPr>
        <w:pStyle w:val="10"/>
        <w:outlineLvl w:val="1"/>
        <w:rPr>
          <w:color w:val="auto"/>
          <w:sz w:val="24"/>
          <w:szCs w:val="24"/>
          <w:highlight w:val="none"/>
          <w:lang w:eastAsia="zh-CN"/>
        </w:rPr>
      </w:pPr>
      <w:bookmarkStart w:id="540" w:name="_Toc455080138"/>
      <w:bookmarkStart w:id="541" w:name="_Toc18831"/>
      <w:bookmarkStart w:id="542" w:name="_Toc4097"/>
      <w:bookmarkStart w:id="543" w:name="_Toc14039"/>
      <w:r>
        <w:rPr>
          <w:rFonts w:hint="eastAsia"/>
          <w:color w:val="auto"/>
          <w:sz w:val="24"/>
          <w:szCs w:val="24"/>
          <w:highlight w:val="none"/>
          <w:lang w:eastAsia="zh-CN"/>
        </w:rPr>
        <w:t xml:space="preserve">6. </w:t>
      </w:r>
      <w:bookmarkEnd w:id="535"/>
      <w:bookmarkEnd w:id="536"/>
      <w:bookmarkEnd w:id="537"/>
      <w:r>
        <w:rPr>
          <w:rFonts w:hint="eastAsia"/>
          <w:color w:val="auto"/>
          <w:sz w:val="24"/>
          <w:szCs w:val="24"/>
          <w:highlight w:val="none"/>
          <w:lang w:eastAsia="zh-CN"/>
        </w:rPr>
        <w:t>磋商</w:t>
      </w:r>
      <w:bookmarkEnd w:id="540"/>
      <w:r>
        <w:rPr>
          <w:rFonts w:hint="eastAsia"/>
          <w:color w:val="auto"/>
          <w:sz w:val="24"/>
          <w:szCs w:val="24"/>
          <w:highlight w:val="none"/>
          <w:lang w:eastAsia="zh-CN"/>
        </w:rPr>
        <w:t>小组</w:t>
      </w:r>
      <w:bookmarkEnd w:id="541"/>
      <w:bookmarkEnd w:id="542"/>
      <w:bookmarkEnd w:id="543"/>
    </w:p>
    <w:p w14:paraId="6CA66B00">
      <w:pPr>
        <w:pStyle w:val="37"/>
        <w:spacing w:line="360" w:lineRule="auto"/>
        <w:ind w:firstLine="422" w:firstLineChars="0"/>
        <w:outlineLvl w:val="1"/>
        <w:rPr>
          <w:rFonts w:ascii="宋体" w:hAnsi="宋体" w:eastAsia="宋体"/>
          <w:b/>
          <w:bCs/>
          <w:color w:val="auto"/>
          <w:sz w:val="21"/>
          <w:szCs w:val="21"/>
          <w:highlight w:val="none"/>
          <w:lang w:eastAsia="zh-CN"/>
        </w:rPr>
      </w:pPr>
      <w:bookmarkStart w:id="544" w:name="_Toc318450706"/>
      <w:bookmarkStart w:id="545" w:name="_Toc152045563"/>
      <w:bookmarkStart w:id="546" w:name="_Toc22250"/>
      <w:bookmarkStart w:id="547" w:name="_Toc9808"/>
      <w:bookmarkStart w:id="548" w:name="_Toc144974531"/>
      <w:bookmarkStart w:id="549" w:name="_Toc152042339"/>
      <w:bookmarkStart w:id="550" w:name="_Toc26098"/>
      <w:bookmarkStart w:id="551" w:name="_Toc27289"/>
      <w:bookmarkStart w:id="552" w:name="_Toc466298122"/>
      <w:bookmarkStart w:id="553" w:name="_Toc7500"/>
      <w:bookmarkStart w:id="554" w:name="_Toc1546"/>
      <w:bookmarkStart w:id="555" w:name="_Toc13978"/>
      <w:bookmarkStart w:id="556" w:name="_Toc490667859"/>
      <w:bookmarkStart w:id="557" w:name="_Toc455080139"/>
      <w:bookmarkStart w:id="558" w:name="_Toc1574"/>
      <w:bookmarkStart w:id="559" w:name="_Toc8725"/>
      <w:bookmarkStart w:id="560" w:name="_Toc455867799"/>
      <w:bookmarkStart w:id="561" w:name="_Toc8157"/>
      <w:bookmarkStart w:id="562" w:name="_Toc23138"/>
      <w:bookmarkStart w:id="563" w:name="_Toc18985"/>
      <w:r>
        <w:rPr>
          <w:rFonts w:hint="eastAsia" w:ascii="宋体" w:hAnsi="宋体" w:eastAsia="宋体"/>
          <w:b/>
          <w:bCs/>
          <w:color w:val="auto"/>
          <w:sz w:val="21"/>
          <w:szCs w:val="21"/>
          <w:highlight w:val="none"/>
          <w:lang w:eastAsia="zh-CN"/>
        </w:rPr>
        <w:t>6.1</w:t>
      </w:r>
      <w:bookmarkEnd w:id="544"/>
      <w:bookmarkEnd w:id="545"/>
      <w:bookmarkEnd w:id="546"/>
      <w:bookmarkEnd w:id="547"/>
      <w:bookmarkEnd w:id="548"/>
      <w:bookmarkEnd w:id="549"/>
      <w:bookmarkEnd w:id="550"/>
      <w:r>
        <w:rPr>
          <w:rFonts w:hint="eastAsia" w:ascii="宋体" w:hAnsi="宋体" w:eastAsia="宋体"/>
          <w:b/>
          <w:bCs/>
          <w:color w:val="auto"/>
          <w:sz w:val="21"/>
          <w:szCs w:val="21"/>
          <w:highlight w:val="none"/>
          <w:lang w:eastAsia="zh-CN"/>
        </w:rPr>
        <w:t>磋商小组</w:t>
      </w:r>
      <w:bookmarkEnd w:id="551"/>
      <w:bookmarkEnd w:id="552"/>
      <w:bookmarkEnd w:id="553"/>
      <w:bookmarkEnd w:id="554"/>
      <w:bookmarkEnd w:id="555"/>
      <w:bookmarkEnd w:id="556"/>
      <w:bookmarkEnd w:id="557"/>
      <w:bookmarkEnd w:id="558"/>
      <w:bookmarkEnd w:id="559"/>
      <w:bookmarkEnd w:id="560"/>
      <w:bookmarkEnd w:id="561"/>
      <w:bookmarkEnd w:id="562"/>
      <w:bookmarkEnd w:id="563"/>
    </w:p>
    <w:p w14:paraId="66A4E572">
      <w:pPr>
        <w:spacing w:line="360" w:lineRule="auto"/>
        <w:ind w:firstLine="420"/>
        <w:rPr>
          <w:rFonts w:ascii="宋体" w:hAnsi="宋体" w:cs="宋体"/>
          <w:color w:val="auto"/>
          <w:highlight w:val="none"/>
          <w:lang w:eastAsia="zh-CN"/>
        </w:rPr>
      </w:pPr>
      <w:r>
        <w:rPr>
          <w:rFonts w:hint="eastAsia" w:ascii="宋体" w:hAnsi="宋体" w:cs="宋体"/>
          <w:color w:val="auto"/>
          <w:highlight w:val="none"/>
          <w:lang w:eastAsia="zh-CN"/>
        </w:rPr>
        <w:t>磋商由采购人依法组建的磋商小组负责。磋商小组由采购人代表以及有关技术、经济等方面的专家组成。磋商小组成员人数以及技术、经济等方面专家的确定方式见供应商须知前附表。</w:t>
      </w:r>
    </w:p>
    <w:p w14:paraId="1FD1B8D8">
      <w:pPr>
        <w:pStyle w:val="37"/>
        <w:tabs>
          <w:tab w:val="left" w:pos="2620"/>
        </w:tabs>
        <w:spacing w:line="360" w:lineRule="auto"/>
        <w:ind w:firstLine="422" w:firstLineChars="0"/>
        <w:outlineLvl w:val="1"/>
        <w:rPr>
          <w:rFonts w:ascii="宋体" w:hAnsi="宋体" w:eastAsia="宋体"/>
          <w:b/>
          <w:bCs/>
          <w:color w:val="auto"/>
          <w:sz w:val="21"/>
          <w:szCs w:val="21"/>
          <w:highlight w:val="none"/>
          <w:lang w:eastAsia="zh-CN"/>
        </w:rPr>
      </w:pPr>
      <w:bookmarkStart w:id="564" w:name="_Toc15161"/>
      <w:bookmarkStart w:id="565" w:name="_Toc152045564"/>
      <w:bookmarkStart w:id="566" w:name="_Toc27035"/>
      <w:bookmarkStart w:id="567" w:name="_Toc22143"/>
      <w:bookmarkStart w:id="568" w:name="_Toc144974532"/>
      <w:bookmarkStart w:id="569" w:name="_Toc25721"/>
      <w:bookmarkStart w:id="570" w:name="_Toc4435"/>
      <w:bookmarkStart w:id="571" w:name="_Toc28625"/>
      <w:bookmarkStart w:id="572" w:name="_Toc490667860"/>
      <w:bookmarkStart w:id="573" w:name="_Toc152042340"/>
      <w:bookmarkStart w:id="574" w:name="_Toc13368"/>
      <w:bookmarkStart w:id="575" w:name="_Toc318450707"/>
      <w:bookmarkStart w:id="576" w:name="_Toc8240"/>
      <w:bookmarkStart w:id="577" w:name="_Toc21102"/>
      <w:bookmarkStart w:id="578" w:name="_Toc9532"/>
      <w:bookmarkStart w:id="579" w:name="_Toc7286"/>
      <w:bookmarkStart w:id="580" w:name="_Toc455867800"/>
      <w:bookmarkStart w:id="581" w:name="_Toc466298123"/>
      <w:bookmarkStart w:id="582" w:name="_Toc8248"/>
      <w:bookmarkStart w:id="583" w:name="_Toc455080140"/>
      <w:r>
        <w:rPr>
          <w:rFonts w:hint="eastAsia" w:ascii="宋体" w:hAnsi="宋体" w:eastAsia="宋体"/>
          <w:b/>
          <w:bCs/>
          <w:color w:val="auto"/>
          <w:sz w:val="21"/>
          <w:szCs w:val="21"/>
          <w:highlight w:val="none"/>
          <w:lang w:eastAsia="zh-CN"/>
        </w:rPr>
        <w:t>6.2 磋商原则</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p>
    <w:p w14:paraId="7419DA0D">
      <w:pPr>
        <w:spacing w:line="360" w:lineRule="auto"/>
        <w:ind w:firstLine="420"/>
        <w:rPr>
          <w:rFonts w:ascii="宋体" w:hAnsi="宋体" w:cs="宋体"/>
          <w:color w:val="auto"/>
          <w:highlight w:val="none"/>
          <w:lang w:eastAsia="zh-CN"/>
        </w:rPr>
      </w:pPr>
      <w:r>
        <w:rPr>
          <w:rFonts w:hint="eastAsia" w:ascii="宋体" w:hAnsi="宋体" w:cs="宋体"/>
          <w:color w:val="auto"/>
          <w:highlight w:val="none"/>
          <w:lang w:eastAsia="zh-CN"/>
        </w:rPr>
        <w:t>磋商活动遵循公平、公正、科学和择优的原则。</w:t>
      </w:r>
    </w:p>
    <w:p w14:paraId="3C6D7A64">
      <w:pPr>
        <w:pStyle w:val="37"/>
        <w:spacing w:line="360" w:lineRule="auto"/>
        <w:ind w:firstLine="422" w:firstLineChars="0"/>
        <w:outlineLvl w:val="1"/>
        <w:rPr>
          <w:rFonts w:ascii="宋体" w:hAnsi="宋体" w:eastAsia="宋体"/>
          <w:color w:val="auto"/>
          <w:sz w:val="21"/>
          <w:szCs w:val="21"/>
          <w:highlight w:val="none"/>
          <w:lang w:eastAsia="zh-CN"/>
        </w:rPr>
      </w:pPr>
      <w:bookmarkStart w:id="584" w:name="_Toc15595"/>
      <w:bookmarkStart w:id="585" w:name="_Toc318450708"/>
      <w:bookmarkStart w:id="586" w:name="_Toc144974533"/>
      <w:bookmarkStart w:id="587" w:name="_Toc152045565"/>
      <w:bookmarkStart w:id="588" w:name="_Toc8705"/>
      <w:bookmarkStart w:id="589" w:name="_Toc152042341"/>
      <w:bookmarkStart w:id="590" w:name="_Toc16725"/>
      <w:bookmarkStart w:id="591" w:name="_Toc4373"/>
      <w:bookmarkStart w:id="592" w:name="_Toc12481"/>
      <w:bookmarkStart w:id="593" w:name="_Toc24358"/>
      <w:bookmarkStart w:id="594" w:name="_Toc466298124"/>
      <w:bookmarkStart w:id="595" w:name="_Toc20062"/>
      <w:bookmarkStart w:id="596" w:name="_Toc490667861"/>
      <w:bookmarkStart w:id="597" w:name="_Toc18756"/>
      <w:bookmarkStart w:id="598" w:name="_Toc27036"/>
      <w:bookmarkStart w:id="599" w:name="_Toc3606"/>
      <w:bookmarkStart w:id="600" w:name="_Toc28734"/>
      <w:bookmarkStart w:id="601" w:name="_Toc455080141"/>
      <w:bookmarkStart w:id="602" w:name="_Toc7890"/>
      <w:bookmarkStart w:id="603" w:name="_Toc455867801"/>
      <w:r>
        <w:rPr>
          <w:rFonts w:hint="eastAsia" w:ascii="宋体" w:hAnsi="宋体" w:eastAsia="宋体"/>
          <w:b/>
          <w:bCs/>
          <w:color w:val="auto"/>
          <w:sz w:val="21"/>
          <w:szCs w:val="21"/>
          <w:highlight w:val="none"/>
          <w:lang w:eastAsia="zh-CN"/>
        </w:rPr>
        <w:t xml:space="preserve">6.3 </w:t>
      </w:r>
      <w:bookmarkEnd w:id="584"/>
      <w:bookmarkEnd w:id="585"/>
      <w:bookmarkEnd w:id="586"/>
      <w:bookmarkEnd w:id="587"/>
      <w:bookmarkEnd w:id="588"/>
      <w:bookmarkEnd w:id="589"/>
      <w:bookmarkEnd w:id="590"/>
      <w:r>
        <w:rPr>
          <w:rFonts w:hint="eastAsia" w:ascii="宋体" w:hAnsi="宋体" w:eastAsia="宋体"/>
          <w:b/>
          <w:bCs/>
          <w:color w:val="auto"/>
          <w:sz w:val="21"/>
          <w:szCs w:val="21"/>
          <w:highlight w:val="none"/>
          <w:lang w:eastAsia="zh-CN"/>
        </w:rPr>
        <w:t>磋商</w:t>
      </w:r>
      <w:bookmarkEnd w:id="591"/>
      <w:bookmarkEnd w:id="592"/>
      <w:bookmarkEnd w:id="593"/>
      <w:bookmarkEnd w:id="594"/>
      <w:bookmarkEnd w:id="595"/>
      <w:bookmarkEnd w:id="596"/>
      <w:bookmarkEnd w:id="597"/>
      <w:bookmarkEnd w:id="598"/>
      <w:bookmarkEnd w:id="599"/>
      <w:bookmarkEnd w:id="600"/>
      <w:bookmarkEnd w:id="601"/>
      <w:bookmarkEnd w:id="602"/>
      <w:bookmarkEnd w:id="603"/>
    </w:p>
    <w:p w14:paraId="1127C563">
      <w:pPr>
        <w:spacing w:line="360" w:lineRule="auto"/>
        <w:ind w:firstLine="420"/>
        <w:rPr>
          <w:rFonts w:ascii="宋体" w:hAnsi="宋体" w:cs="宋体"/>
          <w:color w:val="auto"/>
          <w:highlight w:val="none"/>
          <w:lang w:eastAsia="zh-CN"/>
        </w:rPr>
      </w:pPr>
      <w:r>
        <w:rPr>
          <w:rFonts w:hint="eastAsia" w:ascii="宋体" w:hAnsi="宋体" w:cs="宋体"/>
          <w:color w:val="auto"/>
          <w:highlight w:val="none"/>
          <w:lang w:eastAsia="zh-CN"/>
        </w:rPr>
        <w:t>磋商小组按照第三章“评审办法”规定的方法、评审因素、标准和程序对响应文件进行评审。第三章“评审办法”没有规定的方法、评审因素和标准，不作为评标依据。</w:t>
      </w:r>
    </w:p>
    <w:p w14:paraId="277A9ED1">
      <w:pPr>
        <w:pStyle w:val="10"/>
        <w:outlineLvl w:val="1"/>
        <w:rPr>
          <w:color w:val="auto"/>
          <w:sz w:val="24"/>
          <w:szCs w:val="24"/>
          <w:highlight w:val="none"/>
          <w:lang w:eastAsia="zh-CN"/>
        </w:rPr>
      </w:pPr>
      <w:bookmarkStart w:id="604" w:name="_Toc455080142"/>
      <w:bookmarkStart w:id="605" w:name="_Toc9522"/>
      <w:bookmarkStart w:id="606" w:name="_Toc152045566"/>
      <w:bookmarkStart w:id="607" w:name="_Toc152042342"/>
      <w:bookmarkStart w:id="608" w:name="_Toc144974534"/>
      <w:bookmarkStart w:id="609" w:name="_Toc20347"/>
      <w:bookmarkStart w:id="610" w:name="_Toc3434"/>
      <w:r>
        <w:rPr>
          <w:rFonts w:hint="eastAsia"/>
          <w:color w:val="auto"/>
          <w:sz w:val="24"/>
          <w:szCs w:val="24"/>
          <w:highlight w:val="none"/>
          <w:lang w:eastAsia="zh-CN"/>
        </w:rPr>
        <w:t>7. 合同授予</w:t>
      </w:r>
      <w:bookmarkEnd w:id="604"/>
      <w:bookmarkEnd w:id="605"/>
      <w:bookmarkEnd w:id="606"/>
      <w:bookmarkEnd w:id="607"/>
      <w:bookmarkEnd w:id="608"/>
      <w:bookmarkEnd w:id="609"/>
      <w:bookmarkEnd w:id="610"/>
    </w:p>
    <w:p w14:paraId="63A40A18">
      <w:pPr>
        <w:pStyle w:val="37"/>
        <w:spacing w:line="360" w:lineRule="auto"/>
        <w:ind w:firstLine="422" w:firstLineChars="0"/>
        <w:outlineLvl w:val="1"/>
        <w:rPr>
          <w:rFonts w:ascii="宋体" w:hAnsi="宋体" w:eastAsia="宋体"/>
          <w:b/>
          <w:bCs/>
          <w:color w:val="auto"/>
          <w:sz w:val="21"/>
          <w:szCs w:val="21"/>
          <w:highlight w:val="none"/>
          <w:lang w:eastAsia="zh-CN"/>
        </w:rPr>
      </w:pPr>
      <w:bookmarkStart w:id="611" w:name="_Toc318450710"/>
      <w:bookmarkStart w:id="612" w:name="_Toc29686"/>
      <w:bookmarkStart w:id="613" w:name="_Toc20777"/>
      <w:bookmarkStart w:id="614" w:name="_Toc29664"/>
      <w:bookmarkStart w:id="615" w:name="_Toc455867803"/>
      <w:bookmarkStart w:id="616" w:name="_Toc22461"/>
      <w:bookmarkStart w:id="617" w:name="_Toc7358"/>
      <w:bookmarkStart w:id="618" w:name="_Toc144974535"/>
      <w:bookmarkStart w:id="619" w:name="_Toc25316"/>
      <w:bookmarkStart w:id="620" w:name="_Toc17660"/>
      <w:bookmarkStart w:id="621" w:name="_Toc11409"/>
      <w:bookmarkStart w:id="622" w:name="_Toc466298126"/>
      <w:bookmarkStart w:id="623" w:name="_Toc20166"/>
      <w:bookmarkStart w:id="624" w:name="_Toc490667863"/>
      <w:bookmarkStart w:id="625" w:name="_Toc152042343"/>
      <w:bookmarkStart w:id="626" w:name="_Toc152045567"/>
      <w:bookmarkStart w:id="627" w:name="_Toc455080143"/>
      <w:bookmarkStart w:id="628" w:name="_Toc14528"/>
      <w:bookmarkStart w:id="629" w:name="_Toc28919"/>
      <w:bookmarkStart w:id="630" w:name="_Toc32312"/>
      <w:r>
        <w:rPr>
          <w:rFonts w:hint="eastAsia" w:ascii="宋体" w:hAnsi="宋体" w:eastAsia="宋体"/>
          <w:b/>
          <w:bCs/>
          <w:color w:val="auto"/>
          <w:sz w:val="21"/>
          <w:szCs w:val="21"/>
          <w:highlight w:val="none"/>
          <w:lang w:eastAsia="zh-CN"/>
        </w:rPr>
        <w:t>7.1 定标方式</w:t>
      </w:r>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p>
    <w:p w14:paraId="589C902A">
      <w:pPr>
        <w:spacing w:line="360" w:lineRule="auto"/>
        <w:ind w:firstLine="420"/>
        <w:rPr>
          <w:rFonts w:hint="eastAsia" w:ascii="宋体" w:hAnsi="宋体" w:cs="宋体"/>
          <w:color w:val="auto"/>
          <w:highlight w:val="none"/>
          <w:lang w:eastAsia="zh-CN"/>
        </w:rPr>
      </w:pPr>
      <w:bookmarkStart w:id="631" w:name="_Toc7066"/>
      <w:bookmarkStart w:id="632" w:name="_Toc152045568"/>
      <w:bookmarkStart w:id="633" w:name="_Toc144974536"/>
      <w:bookmarkStart w:id="634" w:name="_Toc10868"/>
      <w:bookmarkStart w:id="635" w:name="_Toc152042344"/>
      <w:bookmarkStart w:id="636" w:name="_Toc28254"/>
      <w:bookmarkStart w:id="637" w:name="_Toc318450711"/>
      <w:r>
        <w:rPr>
          <w:rFonts w:hint="eastAsia" w:ascii="宋体" w:hAnsi="宋体" w:cs="宋体"/>
          <w:color w:val="auto"/>
          <w:highlight w:val="none"/>
          <w:lang w:eastAsia="zh-CN"/>
        </w:rPr>
        <w:t>除供应商须知前附表规定磋商小组直接确定成交人外，采购人依据磋商小组推荐的成交候选人确定成交人，磋商小组推荐成交候选人的人数见供应商须知前附表。采购人将依序确定排名第一的供应商为成交人，若第一成交候选人放弃成交、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人，也可以重新磋商。</w:t>
      </w:r>
    </w:p>
    <w:p w14:paraId="6D09A362">
      <w:pPr>
        <w:spacing w:line="360" w:lineRule="auto"/>
        <w:ind w:firstLine="420"/>
        <w:rPr>
          <w:rFonts w:hint="eastAsia" w:ascii="宋体" w:hAnsi="宋体" w:cs="宋体"/>
          <w:color w:val="auto"/>
          <w:highlight w:val="none"/>
          <w:lang w:eastAsia="zh-CN"/>
        </w:rPr>
      </w:pPr>
      <w:r>
        <w:rPr>
          <w:rFonts w:hint="eastAsia" w:ascii="宋体" w:hAnsi="宋体" w:cs="宋体"/>
          <w:color w:val="auto"/>
          <w:highlight w:val="none"/>
          <w:lang w:val="en-US" w:eastAsia="zh-CN"/>
        </w:rPr>
        <w:t>根据《政府采购竞争性磋商采购方式管理暂行办法》(财库〔2014〕214 号)和《财政部关于政府采购竞争性磋商采购方式管理暂行办法有关问题的补充通知》（财库〔2015〕124 号）规定，符合“政府购买服务项目（含政府和社会资本合作项目）、市场竞争不充分的科研项目以及需要扶持的科技成果转化项目”情形的，可以推荐2家成交候选人</w:t>
      </w:r>
      <w:r>
        <w:rPr>
          <w:rFonts w:hint="eastAsia" w:ascii="宋体" w:hAnsi="宋体" w:cs="宋体"/>
          <w:color w:val="auto"/>
          <w:highlight w:val="none"/>
          <w:lang w:eastAsia="zh-CN"/>
        </w:rPr>
        <w:t>。</w:t>
      </w:r>
    </w:p>
    <w:p w14:paraId="4D9C54F5">
      <w:pPr>
        <w:pStyle w:val="37"/>
        <w:spacing w:line="360" w:lineRule="auto"/>
        <w:ind w:firstLine="422" w:firstLineChars="0"/>
        <w:outlineLvl w:val="1"/>
        <w:rPr>
          <w:rFonts w:ascii="宋体" w:hAnsi="宋体" w:eastAsia="宋体"/>
          <w:b/>
          <w:bCs/>
          <w:color w:val="auto"/>
          <w:sz w:val="21"/>
          <w:szCs w:val="21"/>
          <w:highlight w:val="none"/>
          <w:lang w:eastAsia="zh-CN"/>
        </w:rPr>
      </w:pPr>
      <w:bookmarkStart w:id="638" w:name="_Toc10209"/>
      <w:bookmarkStart w:id="639" w:name="_Toc15825"/>
      <w:bookmarkStart w:id="640" w:name="_Toc455867804"/>
      <w:bookmarkStart w:id="641" w:name="_Toc9897"/>
      <w:bookmarkStart w:id="642" w:name="_Toc5668"/>
      <w:bookmarkStart w:id="643" w:name="_Toc29215"/>
      <w:bookmarkStart w:id="644" w:name="_Toc466298127"/>
      <w:bookmarkStart w:id="645" w:name="_Toc5428"/>
      <w:bookmarkStart w:id="646" w:name="_Toc16163"/>
      <w:bookmarkStart w:id="647" w:name="_Toc28177"/>
      <w:bookmarkStart w:id="648" w:name="_Toc455080144"/>
      <w:bookmarkStart w:id="649" w:name="_Toc490667864"/>
      <w:bookmarkStart w:id="650" w:name="_Toc9775"/>
      <w:r>
        <w:rPr>
          <w:rFonts w:hint="eastAsia" w:ascii="宋体" w:hAnsi="宋体" w:eastAsia="宋体"/>
          <w:b/>
          <w:bCs/>
          <w:color w:val="auto"/>
          <w:sz w:val="21"/>
          <w:szCs w:val="21"/>
          <w:highlight w:val="none"/>
          <w:lang w:eastAsia="zh-CN"/>
        </w:rPr>
        <w:t>7.2 成交通知</w:t>
      </w:r>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p>
    <w:p w14:paraId="250F0443">
      <w:pPr>
        <w:spacing w:line="360" w:lineRule="auto"/>
        <w:ind w:firstLine="420"/>
        <w:rPr>
          <w:rFonts w:ascii="宋体" w:hAnsi="宋体" w:cs="宋体"/>
          <w:color w:val="auto"/>
          <w:highlight w:val="none"/>
          <w:lang w:eastAsia="zh-CN"/>
        </w:rPr>
      </w:pPr>
      <w:r>
        <w:rPr>
          <w:rFonts w:hint="eastAsia" w:ascii="宋体" w:hAnsi="宋体" w:cs="宋体"/>
          <w:color w:val="auto"/>
          <w:highlight w:val="none"/>
          <w:lang w:eastAsia="zh-CN"/>
        </w:rPr>
        <w:t>在本章第3.3.1款规定的磋商有效期内，采购人以书面形式向成交人发出成交通知书，同时将成交结果通知未成交的供应商。</w:t>
      </w:r>
    </w:p>
    <w:p w14:paraId="5411EE1C">
      <w:pPr>
        <w:spacing w:line="400" w:lineRule="exact"/>
        <w:ind w:firstLine="422" w:firstLineChars="0"/>
        <w:outlineLvl w:val="1"/>
        <w:rPr>
          <w:rFonts w:ascii="宋体" w:hAnsi="宋体" w:cs="宋体"/>
          <w:b/>
          <w:bCs/>
          <w:color w:val="auto"/>
          <w:highlight w:val="none"/>
          <w:lang w:eastAsia="zh-CN"/>
        </w:rPr>
      </w:pPr>
      <w:r>
        <w:rPr>
          <w:rFonts w:hint="eastAsia" w:ascii="宋体" w:hAnsi="宋体" w:cs="宋体"/>
          <w:b/>
          <w:bCs/>
          <w:color w:val="auto"/>
          <w:highlight w:val="none"/>
          <w:lang w:eastAsia="zh-CN"/>
        </w:rPr>
        <w:t>7.3 履约保证金</w:t>
      </w:r>
    </w:p>
    <w:p w14:paraId="50E08A78">
      <w:pPr>
        <w:pStyle w:val="37"/>
        <w:spacing w:line="360" w:lineRule="auto"/>
        <w:ind w:firstLine="422" w:firstLineChars="0"/>
        <w:outlineLvl w:val="9"/>
        <w:rPr>
          <w:rFonts w:ascii="宋体" w:hAnsi="宋体" w:eastAsia="宋体"/>
          <w:b/>
          <w:bCs/>
          <w:color w:val="auto"/>
          <w:sz w:val="21"/>
          <w:szCs w:val="21"/>
          <w:highlight w:val="none"/>
          <w:lang w:eastAsia="zh-CN"/>
        </w:rPr>
      </w:pPr>
      <w:bookmarkStart w:id="651" w:name="_Toc29268"/>
      <w:bookmarkStart w:id="652" w:name="_Toc17754"/>
      <w:bookmarkStart w:id="653" w:name="_Toc26760"/>
      <w:bookmarkStart w:id="654" w:name="_Toc10082"/>
      <w:bookmarkStart w:id="655" w:name="_Toc13147"/>
      <w:bookmarkStart w:id="656" w:name="_Toc26915"/>
      <w:bookmarkStart w:id="657" w:name="_Toc15458"/>
      <w:bookmarkStart w:id="658" w:name="_Toc152045570"/>
      <w:bookmarkStart w:id="659" w:name="_Toc455080145"/>
      <w:bookmarkStart w:id="660" w:name="_Toc490667865"/>
      <w:bookmarkStart w:id="661" w:name="_Toc26655"/>
      <w:bookmarkStart w:id="662" w:name="_Toc455867805"/>
      <w:bookmarkStart w:id="663" w:name="_Toc12663"/>
      <w:bookmarkStart w:id="664" w:name="_Toc21271"/>
      <w:bookmarkStart w:id="665" w:name="_Toc24026"/>
      <w:bookmarkStart w:id="666" w:name="_Toc152042346"/>
      <w:bookmarkStart w:id="667" w:name="_Toc466298128"/>
      <w:bookmarkStart w:id="668" w:name="_Toc8886"/>
      <w:bookmarkStart w:id="669" w:name="_Toc318450712"/>
      <w:bookmarkStart w:id="670" w:name="_Toc144974538"/>
      <w:r>
        <w:rPr>
          <w:rFonts w:hint="eastAsia" w:ascii="宋体" w:hAnsi="宋体" w:eastAsia="宋体"/>
          <w:b/>
          <w:bCs/>
          <w:color w:val="auto"/>
          <w:sz w:val="21"/>
          <w:szCs w:val="21"/>
          <w:highlight w:val="none"/>
          <w:lang w:eastAsia="zh-CN"/>
        </w:rPr>
        <w:t>免收履约保证金</w:t>
      </w:r>
      <w:bookmarkEnd w:id="651"/>
      <w:bookmarkEnd w:id="652"/>
    </w:p>
    <w:p w14:paraId="694B3540">
      <w:pPr>
        <w:pStyle w:val="37"/>
        <w:spacing w:line="360" w:lineRule="auto"/>
        <w:ind w:firstLine="422" w:firstLineChars="0"/>
        <w:outlineLvl w:val="1"/>
        <w:rPr>
          <w:rFonts w:ascii="宋体" w:hAnsi="宋体" w:eastAsia="宋体"/>
          <w:b/>
          <w:bCs/>
          <w:color w:val="auto"/>
          <w:sz w:val="21"/>
          <w:szCs w:val="21"/>
          <w:highlight w:val="none"/>
          <w:lang w:eastAsia="zh-CN"/>
        </w:rPr>
      </w:pPr>
      <w:bookmarkStart w:id="671" w:name="_Toc12675"/>
      <w:bookmarkStart w:id="672" w:name="_Toc2343"/>
      <w:r>
        <w:rPr>
          <w:rFonts w:hint="eastAsia" w:ascii="宋体" w:hAnsi="宋体" w:eastAsia="宋体"/>
          <w:b/>
          <w:bCs/>
          <w:color w:val="auto"/>
          <w:sz w:val="21"/>
          <w:szCs w:val="21"/>
          <w:highlight w:val="none"/>
          <w:lang w:eastAsia="zh-CN"/>
        </w:rPr>
        <w:t>7.4 签订合同</w:t>
      </w:r>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14:paraId="51FA7BE8">
      <w:pPr>
        <w:spacing w:line="360" w:lineRule="auto"/>
        <w:ind w:firstLine="420"/>
        <w:rPr>
          <w:rFonts w:ascii="宋体" w:hAnsi="宋体" w:eastAsia="宋体" w:cs="宋体"/>
          <w:color w:val="auto"/>
          <w:highlight w:val="none"/>
          <w:lang w:eastAsia="zh-CN"/>
        </w:rPr>
      </w:pPr>
      <w:r>
        <w:rPr>
          <w:rFonts w:hint="eastAsia" w:ascii="宋体" w:hAnsi="宋体" w:cs="宋体"/>
          <w:color w:val="auto"/>
          <w:highlight w:val="none"/>
          <w:lang w:eastAsia="zh-CN"/>
        </w:rPr>
        <w:t>7.4.1采购人和成交人应当自成交通知书发出之日起</w:t>
      </w:r>
      <w:r>
        <w:rPr>
          <w:rFonts w:hint="eastAsia" w:ascii="宋体" w:hAnsi="宋体" w:cs="宋体"/>
          <w:color w:val="auto"/>
          <w:highlight w:val="none"/>
          <w:lang w:val="en-US" w:eastAsia="zh-CN"/>
        </w:rPr>
        <w:t>30</w:t>
      </w:r>
      <w:r>
        <w:rPr>
          <w:rFonts w:hint="eastAsia" w:ascii="宋体" w:hAnsi="宋体" w:cs="宋体"/>
          <w:color w:val="auto"/>
          <w:highlight w:val="none"/>
          <w:lang w:eastAsia="zh-CN"/>
        </w:rPr>
        <w:t>天内，根据竞争性磋商文件和成交人的响应文件订立书面合同。成交人无正当理由拒签合同的，</w:t>
      </w:r>
      <w:r>
        <w:rPr>
          <w:rFonts w:hint="eastAsia" w:ascii="宋体" w:hAnsi="宋体" w:eastAsia="宋体" w:cs="宋体"/>
          <w:color w:val="auto"/>
          <w:highlight w:val="none"/>
          <w:lang w:eastAsia="zh-CN"/>
        </w:rPr>
        <w:t xml:space="preserve">采购人取消其成交资格；给采购人造成的损失的，成交人还应当对其损失予以赔偿。 </w:t>
      </w:r>
    </w:p>
    <w:p w14:paraId="03444FFA">
      <w:pPr>
        <w:spacing w:line="360" w:lineRule="auto"/>
        <w:ind w:firstLine="420"/>
        <w:rPr>
          <w:rFonts w:ascii="宋体" w:hAnsi="宋体" w:eastAsia="宋体" w:cs="宋体"/>
          <w:color w:val="auto"/>
          <w:highlight w:val="none"/>
          <w:lang w:eastAsia="zh-CN"/>
        </w:rPr>
      </w:pPr>
      <w:r>
        <w:rPr>
          <w:rFonts w:hint="eastAsia" w:ascii="宋体" w:hAnsi="宋体" w:cs="宋体"/>
          <w:color w:val="auto"/>
          <w:highlight w:val="none"/>
          <w:lang w:eastAsia="zh-CN"/>
        </w:rPr>
        <w:t>7.4.2 发出成交通知书后，采购人无正当理由拒签合同的，</w:t>
      </w:r>
      <w:r>
        <w:rPr>
          <w:rFonts w:hint="eastAsia" w:ascii="宋体" w:hAnsi="宋体" w:eastAsia="宋体" w:cs="宋体"/>
          <w:color w:val="auto"/>
          <w:highlight w:val="none"/>
          <w:lang w:eastAsia="zh-CN"/>
        </w:rPr>
        <w:t xml:space="preserve">给成交人造成损失的，还应当赔偿损失。 </w:t>
      </w:r>
      <w:bookmarkStart w:id="673" w:name="_Toc152042350"/>
      <w:bookmarkStart w:id="674" w:name="_Toc144974542"/>
      <w:bookmarkStart w:id="675" w:name="_Toc152045574"/>
    </w:p>
    <w:p w14:paraId="1F6D000D">
      <w:pPr>
        <w:pStyle w:val="10"/>
        <w:outlineLvl w:val="1"/>
        <w:rPr>
          <w:color w:val="auto"/>
          <w:sz w:val="24"/>
          <w:szCs w:val="24"/>
          <w:highlight w:val="none"/>
          <w:lang w:eastAsia="zh-CN"/>
        </w:rPr>
      </w:pPr>
      <w:bookmarkStart w:id="676" w:name="_Toc9085"/>
      <w:bookmarkStart w:id="677" w:name="_Toc16866"/>
      <w:bookmarkStart w:id="678" w:name="_Toc455080146"/>
      <w:bookmarkStart w:id="679" w:name="_Toc15308"/>
      <w:r>
        <w:rPr>
          <w:rFonts w:hint="eastAsia"/>
          <w:color w:val="auto"/>
          <w:sz w:val="24"/>
          <w:szCs w:val="24"/>
          <w:highlight w:val="none"/>
          <w:lang w:eastAsia="zh-CN"/>
        </w:rPr>
        <w:t>8.重新招标</w:t>
      </w:r>
      <w:bookmarkEnd w:id="676"/>
      <w:bookmarkEnd w:id="677"/>
      <w:bookmarkEnd w:id="678"/>
      <w:bookmarkEnd w:id="679"/>
    </w:p>
    <w:p w14:paraId="0CBE3E6E">
      <w:pPr>
        <w:spacing w:line="360" w:lineRule="auto"/>
        <w:ind w:firstLine="422" w:firstLineChars="0"/>
        <w:outlineLvl w:val="1"/>
        <w:rPr>
          <w:rFonts w:ascii="宋体" w:hAnsi="宋体"/>
          <w:color w:val="auto"/>
          <w:highlight w:val="none"/>
          <w:lang w:eastAsia="zh-CN"/>
        </w:rPr>
      </w:pPr>
      <w:bookmarkStart w:id="680" w:name="_Toc16556"/>
      <w:r>
        <w:rPr>
          <w:rFonts w:hint="eastAsia" w:ascii="宋体" w:hAnsi="宋体"/>
          <w:b/>
          <w:bCs/>
          <w:color w:val="auto"/>
          <w:highlight w:val="none"/>
          <w:lang w:eastAsia="zh-CN"/>
        </w:rPr>
        <w:t>8.1 重新招标</w:t>
      </w:r>
      <w:bookmarkEnd w:id="680"/>
    </w:p>
    <w:p w14:paraId="44BEEC88">
      <w:pPr>
        <w:spacing w:line="360" w:lineRule="auto"/>
        <w:ind w:firstLine="420"/>
        <w:rPr>
          <w:rFonts w:ascii="宋体" w:hAnsi="宋体"/>
          <w:color w:val="auto"/>
          <w:highlight w:val="none"/>
          <w:lang w:eastAsia="zh-CN"/>
        </w:rPr>
      </w:pPr>
      <w:bookmarkStart w:id="681" w:name="_Toc9985"/>
      <w:r>
        <w:rPr>
          <w:rFonts w:hint="eastAsia" w:ascii="宋体" w:hAnsi="宋体"/>
          <w:color w:val="auto"/>
          <w:highlight w:val="none"/>
          <w:lang w:eastAsia="zh-CN"/>
        </w:rPr>
        <w:t>有下列情形之一的，采购人将重新招标：</w:t>
      </w:r>
      <w:bookmarkEnd w:id="681"/>
    </w:p>
    <w:p w14:paraId="6F1957B7">
      <w:pPr>
        <w:spacing w:line="360" w:lineRule="auto"/>
        <w:ind w:firstLine="420"/>
        <w:rPr>
          <w:rFonts w:ascii="宋体" w:hAnsi="宋体"/>
          <w:color w:val="auto"/>
          <w:highlight w:val="none"/>
          <w:lang w:eastAsia="zh-CN"/>
        </w:rPr>
      </w:pPr>
      <w:bookmarkStart w:id="682" w:name="_Toc25063"/>
      <w:r>
        <w:rPr>
          <w:rFonts w:hint="eastAsia" w:ascii="宋体" w:hAnsi="宋体"/>
          <w:color w:val="auto"/>
          <w:highlight w:val="none"/>
          <w:lang w:eastAsia="zh-CN"/>
        </w:rPr>
        <w:t xml:space="preserve">   （1）提交响应文件截止时间止，供应商少于3个的；</w:t>
      </w:r>
      <w:bookmarkEnd w:id="682"/>
      <w:r>
        <w:rPr>
          <w:rFonts w:hint="eastAsia" w:ascii="宋体" w:hAnsi="宋体"/>
          <w:color w:val="auto"/>
          <w:highlight w:val="none"/>
          <w:lang w:eastAsia="zh-CN"/>
        </w:rPr>
        <w:t xml:space="preserve"> </w:t>
      </w:r>
    </w:p>
    <w:p w14:paraId="5094F3E3">
      <w:pPr>
        <w:spacing w:line="360" w:lineRule="auto"/>
        <w:ind w:firstLine="420"/>
        <w:rPr>
          <w:rFonts w:ascii="宋体" w:hAnsi="宋体"/>
          <w:color w:val="auto"/>
          <w:highlight w:val="none"/>
          <w:lang w:eastAsia="zh-CN"/>
        </w:rPr>
      </w:pPr>
      <w:r>
        <w:rPr>
          <w:rFonts w:hint="eastAsia" w:ascii="宋体" w:hAnsi="宋体"/>
          <w:color w:val="auto"/>
          <w:highlight w:val="none"/>
          <w:lang w:eastAsia="zh-CN"/>
        </w:rPr>
        <w:t xml:space="preserve">   </w:t>
      </w:r>
      <w:bookmarkStart w:id="683" w:name="_Toc17911"/>
      <w:r>
        <w:rPr>
          <w:rFonts w:hint="eastAsia" w:ascii="宋体" w:hAnsi="宋体"/>
          <w:color w:val="auto"/>
          <w:highlight w:val="none"/>
          <w:lang w:eastAsia="zh-CN"/>
        </w:rPr>
        <w:t>（2）经磋商小组评审后否决所有响应文件的。</w:t>
      </w:r>
      <w:bookmarkEnd w:id="683"/>
    </w:p>
    <w:p w14:paraId="115C251E">
      <w:pPr>
        <w:pStyle w:val="10"/>
        <w:outlineLvl w:val="1"/>
        <w:rPr>
          <w:color w:val="auto"/>
          <w:sz w:val="24"/>
          <w:szCs w:val="24"/>
          <w:highlight w:val="none"/>
          <w:lang w:eastAsia="zh-CN"/>
        </w:rPr>
      </w:pPr>
      <w:bookmarkStart w:id="684" w:name="_Toc23966"/>
      <w:bookmarkStart w:id="685" w:name="_Toc9996"/>
      <w:bookmarkStart w:id="686" w:name="_Toc17970"/>
      <w:bookmarkStart w:id="687" w:name="_Toc455080147"/>
      <w:r>
        <w:rPr>
          <w:rFonts w:hint="eastAsia"/>
          <w:color w:val="auto"/>
          <w:sz w:val="24"/>
          <w:szCs w:val="24"/>
          <w:highlight w:val="none"/>
          <w:lang w:eastAsia="zh-CN"/>
        </w:rPr>
        <w:t>9.纪律和监督</w:t>
      </w:r>
      <w:bookmarkEnd w:id="673"/>
      <w:bookmarkEnd w:id="674"/>
      <w:bookmarkEnd w:id="675"/>
      <w:bookmarkEnd w:id="684"/>
      <w:bookmarkEnd w:id="685"/>
      <w:bookmarkEnd w:id="686"/>
      <w:bookmarkEnd w:id="687"/>
    </w:p>
    <w:p w14:paraId="0D09E5AB">
      <w:pPr>
        <w:pStyle w:val="37"/>
        <w:spacing w:line="360" w:lineRule="auto"/>
        <w:ind w:firstLine="422" w:firstLineChars="0"/>
        <w:outlineLvl w:val="1"/>
        <w:rPr>
          <w:rFonts w:ascii="宋体" w:hAnsi="宋体" w:eastAsia="宋体"/>
          <w:b/>
          <w:bCs/>
          <w:color w:val="auto"/>
          <w:sz w:val="21"/>
          <w:szCs w:val="21"/>
          <w:highlight w:val="none"/>
          <w:lang w:eastAsia="zh-CN"/>
        </w:rPr>
      </w:pPr>
      <w:bookmarkStart w:id="688" w:name="_Toc15769"/>
      <w:bookmarkStart w:id="689" w:name="_Toc466298131"/>
      <w:bookmarkStart w:id="690" w:name="_Toc9409"/>
      <w:bookmarkStart w:id="691" w:name="_Toc152042351"/>
      <w:bookmarkStart w:id="692" w:name="_Toc1282"/>
      <w:bookmarkStart w:id="693" w:name="_Toc144974543"/>
      <w:bookmarkStart w:id="694" w:name="_Toc455867808"/>
      <w:bookmarkStart w:id="695" w:name="_Toc269"/>
      <w:bookmarkStart w:id="696" w:name="_Toc697"/>
      <w:bookmarkStart w:id="697" w:name="_Toc27836"/>
      <w:bookmarkStart w:id="698" w:name="_Toc12992"/>
      <w:bookmarkStart w:id="699" w:name="_Toc20009"/>
      <w:bookmarkStart w:id="700" w:name="_Toc15592"/>
      <w:bookmarkStart w:id="701" w:name="_Toc26864"/>
      <w:bookmarkStart w:id="702" w:name="_Toc13970"/>
      <w:bookmarkStart w:id="703" w:name="_Toc19159"/>
      <w:bookmarkStart w:id="704" w:name="_Toc455080148"/>
      <w:bookmarkStart w:id="705" w:name="_Toc152045575"/>
      <w:bookmarkStart w:id="706" w:name="_Toc318450714"/>
      <w:bookmarkStart w:id="707" w:name="_Toc490667868"/>
      <w:r>
        <w:rPr>
          <w:rFonts w:hint="eastAsia" w:ascii="宋体" w:hAnsi="宋体" w:eastAsia="宋体"/>
          <w:b/>
          <w:bCs/>
          <w:color w:val="auto"/>
          <w:sz w:val="21"/>
          <w:szCs w:val="21"/>
          <w:highlight w:val="none"/>
          <w:lang w:eastAsia="zh-CN"/>
        </w:rPr>
        <w:t>9.1 对采购人的纪律要求</w:t>
      </w:r>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p>
    <w:p w14:paraId="636C8276">
      <w:pPr>
        <w:spacing w:line="360" w:lineRule="auto"/>
        <w:ind w:firstLine="420"/>
        <w:rPr>
          <w:rFonts w:ascii="宋体" w:hAnsi="宋体" w:cs="宋体"/>
          <w:color w:val="auto"/>
          <w:highlight w:val="none"/>
          <w:lang w:eastAsia="zh-CN"/>
        </w:rPr>
      </w:pPr>
      <w:r>
        <w:rPr>
          <w:rFonts w:hint="eastAsia" w:ascii="宋体" w:hAnsi="宋体" w:cs="宋体"/>
          <w:color w:val="auto"/>
          <w:highlight w:val="none"/>
          <w:lang w:eastAsia="zh-CN"/>
        </w:rPr>
        <w:t>采购人不得泄漏磋商活动中应当保密的情况和资料，不得与供应商串通损害国家利益、社会公共利益或者他人合法权益。</w:t>
      </w:r>
    </w:p>
    <w:p w14:paraId="2444839D">
      <w:pPr>
        <w:pStyle w:val="37"/>
        <w:spacing w:line="360" w:lineRule="auto"/>
        <w:ind w:firstLine="422" w:firstLineChars="0"/>
        <w:outlineLvl w:val="1"/>
        <w:rPr>
          <w:rFonts w:ascii="宋体" w:hAnsi="宋体" w:eastAsia="宋体"/>
          <w:color w:val="auto"/>
          <w:sz w:val="21"/>
          <w:szCs w:val="21"/>
          <w:highlight w:val="none"/>
          <w:lang w:eastAsia="zh-CN"/>
        </w:rPr>
      </w:pPr>
      <w:bookmarkStart w:id="708" w:name="_Toc466298132"/>
      <w:bookmarkStart w:id="709" w:name="_Toc455867809"/>
      <w:bookmarkStart w:id="710" w:name="_Toc152042352"/>
      <w:bookmarkStart w:id="711" w:name="_Toc3089"/>
      <w:bookmarkStart w:id="712" w:name="_Toc21646"/>
      <w:bookmarkStart w:id="713" w:name="_Toc18604"/>
      <w:bookmarkStart w:id="714" w:name="_Toc15795"/>
      <w:bookmarkStart w:id="715" w:name="_Toc152045576"/>
      <w:bookmarkStart w:id="716" w:name="_Toc318450715"/>
      <w:bookmarkStart w:id="717" w:name="_Toc490667869"/>
      <w:bookmarkStart w:id="718" w:name="_Toc23"/>
      <w:bookmarkStart w:id="719" w:name="_Toc20261"/>
      <w:bookmarkStart w:id="720" w:name="_Toc27698"/>
      <w:bookmarkStart w:id="721" w:name="_Toc19167"/>
      <w:bookmarkStart w:id="722" w:name="_Toc17040"/>
      <w:bookmarkStart w:id="723" w:name="_Toc455080149"/>
      <w:bookmarkStart w:id="724" w:name="_Toc144974544"/>
      <w:bookmarkStart w:id="725" w:name="_Toc18204"/>
      <w:bookmarkStart w:id="726" w:name="_Toc1743"/>
      <w:bookmarkStart w:id="727" w:name="_Toc7572"/>
      <w:r>
        <w:rPr>
          <w:rFonts w:hint="eastAsia" w:ascii="宋体" w:hAnsi="宋体" w:eastAsia="宋体"/>
          <w:b/>
          <w:bCs/>
          <w:color w:val="auto"/>
          <w:sz w:val="21"/>
          <w:szCs w:val="21"/>
          <w:highlight w:val="none"/>
          <w:lang w:eastAsia="zh-CN"/>
        </w:rPr>
        <w:t>9.2 对供应商的纪律要求</w:t>
      </w:r>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p>
    <w:p w14:paraId="67280214">
      <w:pPr>
        <w:spacing w:line="360" w:lineRule="auto"/>
        <w:ind w:firstLine="420"/>
        <w:rPr>
          <w:rFonts w:ascii="宋体" w:hAnsi="宋体" w:cs="宋体"/>
          <w:color w:val="auto"/>
          <w:highlight w:val="none"/>
          <w:lang w:eastAsia="zh-CN"/>
        </w:rPr>
      </w:pPr>
      <w:r>
        <w:rPr>
          <w:rFonts w:hint="eastAsia" w:ascii="宋体" w:hAnsi="宋体" w:cs="宋体"/>
          <w:color w:val="auto"/>
          <w:highlight w:val="none"/>
          <w:lang w:eastAsia="zh-CN"/>
        </w:rPr>
        <w:t>供应商不得相互串通或者与采购人串通，不得向采购人或者谈判小组行贿谋取成交，不得以他人名义或者以其他方式弄虚作假骗取成交；供应商不得以任何方式干扰、影响评审工作。</w:t>
      </w:r>
    </w:p>
    <w:p w14:paraId="10DE81A7">
      <w:pPr>
        <w:pStyle w:val="37"/>
        <w:spacing w:line="360" w:lineRule="auto"/>
        <w:ind w:firstLine="422" w:firstLineChars="0"/>
        <w:outlineLvl w:val="1"/>
        <w:rPr>
          <w:rFonts w:ascii="宋体" w:hAnsi="宋体" w:eastAsia="宋体"/>
          <w:b/>
          <w:bCs/>
          <w:color w:val="auto"/>
          <w:sz w:val="21"/>
          <w:szCs w:val="21"/>
          <w:highlight w:val="none"/>
          <w:lang w:eastAsia="zh-CN"/>
        </w:rPr>
      </w:pPr>
      <w:bookmarkStart w:id="728" w:name="_Toc152042353"/>
      <w:bookmarkStart w:id="729" w:name="_Toc7439"/>
      <w:bookmarkStart w:id="730" w:name="_Toc144974545"/>
      <w:bookmarkStart w:id="731" w:name="_Toc25211"/>
      <w:bookmarkStart w:id="732" w:name="_Toc32320"/>
      <w:bookmarkStart w:id="733" w:name="_Toc19965"/>
      <w:bookmarkStart w:id="734" w:name="_Toc7107"/>
      <w:bookmarkStart w:id="735" w:name="_Toc31483"/>
      <w:bookmarkStart w:id="736" w:name="_Toc25241"/>
      <w:bookmarkStart w:id="737" w:name="_Toc490667870"/>
      <w:bookmarkStart w:id="738" w:name="_Toc31001"/>
      <w:bookmarkStart w:id="739" w:name="_Toc12177"/>
      <w:bookmarkStart w:id="740" w:name="_Toc11503"/>
      <w:bookmarkStart w:id="741" w:name="_Toc455867810"/>
      <w:bookmarkStart w:id="742" w:name="_Toc318450716"/>
      <w:bookmarkStart w:id="743" w:name="_Toc455080150"/>
      <w:bookmarkStart w:id="744" w:name="_Toc28813"/>
      <w:bookmarkStart w:id="745" w:name="_Toc466298133"/>
      <w:bookmarkStart w:id="746" w:name="_Toc152045577"/>
      <w:bookmarkStart w:id="747" w:name="_Toc30153"/>
      <w:r>
        <w:rPr>
          <w:rFonts w:hint="eastAsia" w:ascii="宋体" w:hAnsi="宋体" w:eastAsia="宋体"/>
          <w:b/>
          <w:bCs/>
          <w:color w:val="auto"/>
          <w:sz w:val="21"/>
          <w:szCs w:val="21"/>
          <w:highlight w:val="none"/>
          <w:lang w:eastAsia="zh-CN"/>
        </w:rPr>
        <w:t>9.3 对磋商小组成员的纪律要求</w:t>
      </w:r>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p>
    <w:p w14:paraId="1CB576DF">
      <w:pPr>
        <w:spacing w:line="360" w:lineRule="auto"/>
        <w:ind w:firstLine="420"/>
        <w:rPr>
          <w:rFonts w:ascii="宋体" w:hAnsi="宋体" w:cs="宋体"/>
          <w:color w:val="auto"/>
          <w:highlight w:val="none"/>
          <w:lang w:eastAsia="zh-CN"/>
        </w:rPr>
      </w:pPr>
      <w:r>
        <w:rPr>
          <w:rFonts w:hint="eastAsia" w:ascii="宋体" w:hAnsi="宋体" w:cs="宋体"/>
          <w:color w:val="auto"/>
          <w:highlight w:val="none"/>
          <w:lang w:eastAsia="zh-CN"/>
        </w:rPr>
        <w:t>磋商小组成员不得收受他人的财物或者其他好处，不得向他人透漏对响应文件的评审和比较、成交候选人的推荐情况以及评标有关的其他情况。在磋商活动中，磋商小组成员不得擅离职守，影响评标程序正常进行，不得使用第三章“评审办法”没有规定的评审因素和标准进行评标。</w:t>
      </w:r>
    </w:p>
    <w:p w14:paraId="60B87DC0">
      <w:pPr>
        <w:pStyle w:val="37"/>
        <w:spacing w:line="360" w:lineRule="auto"/>
        <w:ind w:firstLine="422" w:firstLineChars="0"/>
        <w:outlineLvl w:val="1"/>
        <w:rPr>
          <w:rFonts w:ascii="宋体" w:hAnsi="宋体" w:eastAsia="宋体"/>
          <w:color w:val="auto"/>
          <w:sz w:val="21"/>
          <w:szCs w:val="21"/>
          <w:highlight w:val="none"/>
          <w:lang w:eastAsia="zh-CN"/>
        </w:rPr>
      </w:pPr>
      <w:bookmarkStart w:id="748" w:name="_Toc23717"/>
      <w:bookmarkStart w:id="749" w:name="_Toc20546"/>
      <w:bookmarkStart w:id="750" w:name="_Toc455080151"/>
      <w:bookmarkStart w:id="751" w:name="_Toc152042354"/>
      <w:bookmarkStart w:id="752" w:name="_Toc15921"/>
      <w:bookmarkStart w:id="753" w:name="_Toc7368"/>
      <w:bookmarkStart w:id="754" w:name="_Toc9063"/>
      <w:bookmarkStart w:id="755" w:name="_Toc19485"/>
      <w:bookmarkStart w:id="756" w:name="_Toc28983"/>
      <w:bookmarkStart w:id="757" w:name="_Toc24"/>
      <w:bookmarkStart w:id="758" w:name="_Toc318450717"/>
      <w:bookmarkStart w:id="759" w:name="_Toc152045578"/>
      <w:bookmarkStart w:id="760" w:name="_Toc235"/>
      <w:bookmarkStart w:id="761" w:name="_Toc490667871"/>
      <w:bookmarkStart w:id="762" w:name="_Toc26462"/>
      <w:bookmarkStart w:id="763" w:name="_Toc466298134"/>
      <w:bookmarkStart w:id="764" w:name="_Toc1295"/>
      <w:bookmarkStart w:id="765" w:name="_Toc455867811"/>
      <w:bookmarkStart w:id="766" w:name="_Toc27559"/>
      <w:bookmarkStart w:id="767" w:name="_Toc144974546"/>
      <w:r>
        <w:rPr>
          <w:rFonts w:hint="eastAsia" w:ascii="宋体" w:hAnsi="宋体" w:eastAsia="宋体"/>
          <w:b/>
          <w:bCs/>
          <w:color w:val="auto"/>
          <w:sz w:val="21"/>
          <w:szCs w:val="21"/>
          <w:highlight w:val="none"/>
          <w:lang w:eastAsia="zh-CN"/>
        </w:rPr>
        <w:t>9.4 对与评标活动有关的工作人员的纪律要求</w:t>
      </w:r>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p>
    <w:p w14:paraId="2816FA83">
      <w:pPr>
        <w:spacing w:line="360" w:lineRule="auto"/>
        <w:ind w:firstLine="420"/>
        <w:rPr>
          <w:rFonts w:ascii="宋体" w:hAnsi="宋体" w:cs="宋体"/>
          <w:color w:val="auto"/>
          <w:highlight w:val="none"/>
          <w:lang w:eastAsia="zh-CN"/>
        </w:rPr>
      </w:pPr>
      <w:bookmarkStart w:id="768" w:name="_Toc152042355"/>
      <w:r>
        <w:rPr>
          <w:rFonts w:hint="eastAsia" w:ascii="宋体" w:hAnsi="宋体" w:cs="宋体"/>
          <w:color w:val="auto"/>
          <w:highlight w:val="none"/>
          <w:lang w:eastAsia="zh-CN"/>
        </w:rPr>
        <w:t>与评标活动有关的工作人员不得收受他人的财物或者其他好处，不得向他人透漏对响应文件的评审和比较、成交候选人的推荐情况以及评标有关的其他情况。在评标活动中，与评标活动有关的工作人员不得擅离职守，影响评标程序正常进行。</w:t>
      </w:r>
      <w:bookmarkEnd w:id="768"/>
    </w:p>
    <w:p w14:paraId="195CD450">
      <w:pPr>
        <w:pStyle w:val="37"/>
        <w:spacing w:line="360" w:lineRule="auto"/>
        <w:ind w:firstLine="422" w:firstLineChars="0"/>
        <w:outlineLvl w:val="1"/>
        <w:rPr>
          <w:rFonts w:ascii="宋体" w:hAnsi="宋体" w:eastAsia="宋体"/>
          <w:b/>
          <w:bCs/>
          <w:color w:val="auto"/>
          <w:sz w:val="21"/>
          <w:szCs w:val="21"/>
          <w:highlight w:val="none"/>
          <w:lang w:eastAsia="zh-CN"/>
        </w:rPr>
      </w:pPr>
      <w:bookmarkStart w:id="769" w:name="_Toc32675"/>
      <w:bookmarkStart w:id="770" w:name="_Toc17735"/>
      <w:bookmarkStart w:id="771" w:name="_Toc3303"/>
      <w:bookmarkStart w:id="772" w:name="_Toc14070"/>
      <w:bookmarkStart w:id="773" w:name="_Toc466298135"/>
      <w:bookmarkStart w:id="774" w:name="_Toc1820"/>
      <w:bookmarkStart w:id="775" w:name="_Toc5504"/>
      <w:bookmarkStart w:id="776" w:name="_Toc455080152"/>
      <w:bookmarkStart w:id="777" w:name="_Toc455867812"/>
      <w:bookmarkStart w:id="778" w:name="_Toc8074"/>
      <w:bookmarkStart w:id="779" w:name="_Toc490667872"/>
      <w:bookmarkStart w:id="780" w:name="_Toc28920"/>
      <w:bookmarkStart w:id="781" w:name="_Toc3617"/>
      <w:bookmarkStart w:id="782" w:name="_Toc318450718"/>
      <w:bookmarkStart w:id="783" w:name="_Toc31010"/>
      <w:bookmarkStart w:id="784" w:name="_Toc152042356"/>
      <w:bookmarkStart w:id="785" w:name="_Toc25751"/>
      <w:bookmarkStart w:id="786" w:name="_Toc6199"/>
      <w:bookmarkStart w:id="787" w:name="_Toc152045579"/>
      <w:r>
        <w:rPr>
          <w:rFonts w:hint="eastAsia" w:ascii="宋体" w:hAnsi="宋体" w:eastAsia="宋体"/>
          <w:b/>
          <w:bCs/>
          <w:color w:val="auto"/>
          <w:sz w:val="21"/>
          <w:szCs w:val="21"/>
          <w:highlight w:val="none"/>
          <w:lang w:eastAsia="zh-CN"/>
        </w:rPr>
        <w:t>9.5 投诉</w:t>
      </w:r>
      <w:bookmarkEnd w:id="767"/>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p w14:paraId="6EC712CD">
      <w:pPr>
        <w:spacing w:line="360" w:lineRule="auto"/>
        <w:ind w:firstLine="420"/>
        <w:rPr>
          <w:rFonts w:ascii="宋体" w:hAnsi="宋体" w:cs="宋体"/>
          <w:color w:val="auto"/>
          <w:highlight w:val="none"/>
          <w:lang w:eastAsia="zh-CN"/>
        </w:rPr>
      </w:pPr>
      <w:r>
        <w:rPr>
          <w:rFonts w:hint="eastAsia" w:ascii="宋体" w:hAnsi="宋体" w:cs="宋体"/>
          <w:color w:val="auto"/>
          <w:highlight w:val="none"/>
          <w:lang w:eastAsia="zh-CN"/>
        </w:rPr>
        <w:t>供应商和其他利害关系人认为本次磋商活动违反法律、法规和规章规定的，有权向有关行政监督部门投诉。</w:t>
      </w:r>
    </w:p>
    <w:p w14:paraId="7470E745">
      <w:pPr>
        <w:pStyle w:val="10"/>
        <w:outlineLvl w:val="1"/>
        <w:rPr>
          <w:color w:val="auto"/>
          <w:sz w:val="24"/>
          <w:szCs w:val="24"/>
          <w:highlight w:val="none"/>
          <w:lang w:eastAsia="zh-CN"/>
        </w:rPr>
      </w:pPr>
      <w:bookmarkStart w:id="788" w:name="_Toc14221"/>
      <w:bookmarkStart w:id="789" w:name="_Toc11062"/>
      <w:bookmarkStart w:id="790" w:name="_Toc455080153"/>
      <w:bookmarkStart w:id="791" w:name="_Toc152042357"/>
      <w:bookmarkStart w:id="792" w:name="_Toc144974547"/>
      <w:bookmarkStart w:id="793" w:name="_Toc152045580"/>
      <w:bookmarkStart w:id="794" w:name="_Toc17476"/>
      <w:r>
        <w:rPr>
          <w:rFonts w:hint="eastAsia"/>
          <w:color w:val="auto"/>
          <w:sz w:val="24"/>
          <w:szCs w:val="24"/>
          <w:highlight w:val="none"/>
          <w:lang w:eastAsia="zh-CN"/>
        </w:rPr>
        <w:t>10. 需要补充的其他内容</w:t>
      </w:r>
      <w:bookmarkEnd w:id="788"/>
      <w:bookmarkEnd w:id="789"/>
      <w:bookmarkEnd w:id="790"/>
      <w:bookmarkEnd w:id="791"/>
      <w:bookmarkEnd w:id="792"/>
      <w:bookmarkEnd w:id="793"/>
      <w:bookmarkEnd w:id="794"/>
    </w:p>
    <w:p w14:paraId="27F36006">
      <w:pPr>
        <w:ind w:firstLine="420" w:firstLineChars="0"/>
        <w:outlineLvl w:val="9"/>
        <w:rPr>
          <w:rFonts w:ascii="宋体" w:hAnsi="宋体" w:cs="宋体"/>
          <w:color w:val="auto"/>
          <w:highlight w:val="none"/>
          <w:lang w:eastAsia="zh-CN"/>
        </w:rPr>
      </w:pPr>
      <w:bookmarkStart w:id="795" w:name="_Toc9443"/>
      <w:bookmarkStart w:id="796" w:name="_Toc17980"/>
      <w:bookmarkStart w:id="797" w:name="_Toc455867814"/>
      <w:bookmarkStart w:id="798" w:name="_Toc455080154"/>
      <w:bookmarkStart w:id="799" w:name="_Toc466298137"/>
      <w:bookmarkStart w:id="800" w:name="_Toc152045598"/>
      <w:bookmarkStart w:id="801" w:name="_Toc144974565"/>
      <w:bookmarkStart w:id="802" w:name="_Toc152042375"/>
      <w:r>
        <w:rPr>
          <w:rFonts w:ascii="宋体" w:hAnsi="宋体" w:cs="宋体"/>
          <w:color w:val="auto"/>
          <w:highlight w:val="none"/>
          <w:lang w:eastAsia="zh-CN"/>
        </w:rPr>
        <w:t>详见投标须知前附表。</w:t>
      </w:r>
      <w:bookmarkEnd w:id="795"/>
      <w:bookmarkEnd w:id="796"/>
    </w:p>
    <w:p w14:paraId="0E3B24F7">
      <w:pPr>
        <w:ind w:firstLine="630" w:firstLineChars="300"/>
        <w:rPr>
          <w:highlight w:val="none"/>
          <w:lang w:eastAsia="zh-CN"/>
        </w:rPr>
        <w:sectPr>
          <w:footerReference r:id="rId6" w:type="default"/>
          <w:pgSz w:w="11907" w:h="16840"/>
          <w:pgMar w:top="1431" w:right="1015" w:bottom="981" w:left="1180" w:header="0" w:footer="746" w:gutter="0"/>
          <w:cols w:space="720" w:num="1"/>
        </w:sectPr>
      </w:pPr>
      <w:bookmarkStart w:id="803" w:name="_Toc6192"/>
      <w:r>
        <w:rPr>
          <w:rFonts w:hint="eastAsia"/>
          <w:highlight w:val="none"/>
          <w:lang w:eastAsia="zh-CN"/>
        </w:rPr>
        <w:t>。</w:t>
      </w:r>
    </w:p>
    <w:p w14:paraId="6F2E96D7">
      <w:pPr>
        <w:jc w:val="center"/>
        <w:outlineLvl w:val="0"/>
        <w:rPr>
          <w:rFonts w:ascii="宋体" w:hAnsi="宋体" w:cs="宋体"/>
          <w:bCs/>
          <w:color w:val="auto"/>
          <w:sz w:val="32"/>
          <w:szCs w:val="32"/>
          <w:highlight w:val="none"/>
          <w:lang w:eastAsia="zh-CN"/>
        </w:rPr>
      </w:pPr>
      <w:bookmarkStart w:id="804" w:name="_Toc15596"/>
      <w:bookmarkStart w:id="805" w:name="_Toc5002"/>
      <w:r>
        <w:rPr>
          <w:rFonts w:hint="eastAsia" w:ascii="宋体" w:hAnsi="宋体" w:cs="宋体"/>
          <w:b/>
          <w:color w:val="auto"/>
          <w:kern w:val="44"/>
          <w:sz w:val="32"/>
          <w:szCs w:val="32"/>
          <w:highlight w:val="none"/>
          <w:lang w:eastAsia="zh-CN"/>
        </w:rPr>
        <w:t>第三章  评审办法（综合评分法）</w:t>
      </w:r>
      <w:bookmarkEnd w:id="797"/>
      <w:bookmarkEnd w:id="798"/>
      <w:bookmarkEnd w:id="799"/>
      <w:bookmarkEnd w:id="803"/>
      <w:bookmarkEnd w:id="804"/>
      <w:bookmarkEnd w:id="805"/>
    </w:p>
    <w:bookmarkEnd w:id="800"/>
    <w:bookmarkEnd w:id="801"/>
    <w:bookmarkEnd w:id="802"/>
    <w:p w14:paraId="4A6B1602">
      <w:pPr>
        <w:ind w:firstLine="480" w:firstLineChars="0"/>
        <w:jc w:val="center"/>
        <w:outlineLvl w:val="9"/>
        <w:rPr>
          <w:rFonts w:ascii="宋体" w:hAnsi="宋体"/>
          <w:color w:val="auto"/>
          <w:sz w:val="24"/>
          <w:highlight w:val="none"/>
          <w:lang w:eastAsia="zh-CN"/>
        </w:rPr>
      </w:pPr>
      <w:bookmarkStart w:id="806" w:name="_Toc455080156"/>
      <w:bookmarkStart w:id="807" w:name="_Toc455867816"/>
      <w:bookmarkStart w:id="808" w:name="_Toc281405527"/>
      <w:bookmarkStart w:id="809" w:name="_Toc466298139"/>
      <w:bookmarkStart w:id="810" w:name="_Toc27806"/>
      <w:bookmarkStart w:id="811" w:name="_Toc10964"/>
      <w:bookmarkStart w:id="812" w:name="_Toc144974566"/>
      <w:bookmarkStart w:id="813" w:name="_Toc28069"/>
      <w:bookmarkStart w:id="814" w:name="_Toc152045599"/>
      <w:bookmarkStart w:id="815" w:name="_Toc318450721"/>
      <w:bookmarkStart w:id="816" w:name="_Toc32627"/>
      <w:bookmarkStart w:id="817" w:name="_Toc152042376"/>
      <w:r>
        <w:rPr>
          <w:rFonts w:hint="eastAsia" w:ascii="宋体" w:hAnsi="宋体"/>
          <w:color w:val="auto"/>
          <w:sz w:val="24"/>
          <w:highlight w:val="none"/>
          <w:lang w:eastAsia="zh-CN"/>
        </w:rPr>
        <w:t>评审办法前附表</w:t>
      </w:r>
      <w:bookmarkEnd w:id="806"/>
      <w:bookmarkEnd w:id="807"/>
      <w:bookmarkEnd w:id="808"/>
      <w:bookmarkEnd w:id="809"/>
      <w:bookmarkEnd w:id="810"/>
      <w:bookmarkEnd w:id="811"/>
      <w:bookmarkEnd w:id="812"/>
      <w:bookmarkEnd w:id="813"/>
      <w:bookmarkEnd w:id="814"/>
      <w:bookmarkEnd w:id="815"/>
      <w:bookmarkEnd w:id="816"/>
      <w:bookmarkEnd w:id="817"/>
    </w:p>
    <w:tbl>
      <w:tblPr>
        <w:tblStyle w:val="25"/>
        <w:tblW w:w="10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76"/>
        <w:gridCol w:w="543"/>
        <w:gridCol w:w="688"/>
        <w:gridCol w:w="1254"/>
        <w:gridCol w:w="944"/>
        <w:gridCol w:w="5381"/>
        <w:gridCol w:w="432"/>
      </w:tblGrid>
      <w:tr w14:paraId="3AE5F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2" w:type="dxa"/>
          <w:trHeight w:val="643" w:hRule="atLeast"/>
          <w:jc w:val="center"/>
        </w:trPr>
        <w:tc>
          <w:tcPr>
            <w:tcW w:w="1597" w:type="dxa"/>
            <w:gridSpan w:val="3"/>
            <w:vAlign w:val="center"/>
          </w:tcPr>
          <w:p w14:paraId="1FA58EA4">
            <w:pPr>
              <w:kinsoku/>
              <w:spacing w:line="400" w:lineRule="exact"/>
              <w:jc w:val="center"/>
              <w:textAlignment w:val="auto"/>
              <w:rPr>
                <w:rFonts w:ascii="宋体" w:hAnsi="宋体" w:eastAsia="宋体" w:cs="宋体"/>
                <w:color w:val="auto"/>
                <w:highlight w:val="none"/>
              </w:rPr>
            </w:pPr>
            <w:r>
              <w:rPr>
                <w:rFonts w:hint="eastAsia" w:ascii="宋体" w:hAnsi="宋体" w:eastAsia="宋体" w:cs="宋体"/>
                <w:color w:val="auto"/>
                <w:highlight w:val="none"/>
              </w:rPr>
              <w:t>条款号</w:t>
            </w:r>
          </w:p>
        </w:tc>
        <w:tc>
          <w:tcPr>
            <w:tcW w:w="2886" w:type="dxa"/>
            <w:gridSpan w:val="3"/>
            <w:vAlign w:val="center"/>
          </w:tcPr>
          <w:p w14:paraId="214EAABB">
            <w:pPr>
              <w:kinsoku/>
              <w:spacing w:line="400" w:lineRule="exact"/>
              <w:jc w:val="center"/>
              <w:textAlignment w:val="auto"/>
              <w:rPr>
                <w:rFonts w:ascii="宋体" w:hAnsi="宋体" w:eastAsia="宋体" w:cs="宋体"/>
                <w:color w:val="auto"/>
                <w:highlight w:val="none"/>
              </w:rPr>
            </w:pPr>
            <w:r>
              <w:rPr>
                <w:rFonts w:hint="eastAsia" w:ascii="宋体" w:hAnsi="宋体" w:eastAsia="宋体" w:cs="宋体"/>
                <w:color w:val="auto"/>
                <w:highlight w:val="none"/>
              </w:rPr>
              <w:t>评审因素</w:t>
            </w:r>
          </w:p>
        </w:tc>
        <w:tc>
          <w:tcPr>
            <w:tcW w:w="5381" w:type="dxa"/>
            <w:vAlign w:val="center"/>
          </w:tcPr>
          <w:p w14:paraId="78B24233">
            <w:pPr>
              <w:kinsoku/>
              <w:spacing w:line="400" w:lineRule="exact"/>
              <w:jc w:val="center"/>
              <w:textAlignment w:val="auto"/>
              <w:rPr>
                <w:rFonts w:ascii="宋体" w:hAnsi="宋体" w:eastAsia="宋体" w:cs="宋体"/>
                <w:color w:val="auto"/>
                <w:highlight w:val="none"/>
              </w:rPr>
            </w:pPr>
            <w:r>
              <w:rPr>
                <w:rFonts w:hint="eastAsia" w:ascii="宋体" w:hAnsi="宋体" w:eastAsia="宋体" w:cs="宋体"/>
                <w:color w:val="auto"/>
                <w:highlight w:val="none"/>
              </w:rPr>
              <w:t>评审标准</w:t>
            </w:r>
          </w:p>
        </w:tc>
      </w:tr>
      <w:tr w14:paraId="21354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2" w:type="dxa"/>
          <w:trHeight w:val="666" w:hRule="atLeast"/>
          <w:jc w:val="center"/>
        </w:trPr>
        <w:tc>
          <w:tcPr>
            <w:tcW w:w="778" w:type="dxa"/>
            <w:vMerge w:val="restart"/>
            <w:vAlign w:val="center"/>
          </w:tcPr>
          <w:p w14:paraId="7B59D947">
            <w:pPr>
              <w:kinsoku/>
              <w:spacing w:line="400" w:lineRule="exact"/>
              <w:jc w:val="center"/>
              <w:textAlignment w:val="auto"/>
              <w:rPr>
                <w:rFonts w:ascii="宋体" w:hAnsi="宋体" w:eastAsia="宋体" w:cs="宋体"/>
                <w:color w:val="auto"/>
                <w:highlight w:val="none"/>
              </w:rPr>
            </w:pPr>
            <w:r>
              <w:rPr>
                <w:rFonts w:hint="eastAsia" w:ascii="宋体" w:hAnsi="宋体" w:eastAsia="宋体" w:cs="宋体"/>
                <w:color w:val="auto"/>
                <w:highlight w:val="none"/>
              </w:rPr>
              <w:t>2.1.1</w:t>
            </w:r>
          </w:p>
        </w:tc>
        <w:tc>
          <w:tcPr>
            <w:tcW w:w="819" w:type="dxa"/>
            <w:gridSpan w:val="2"/>
            <w:vMerge w:val="restart"/>
            <w:vAlign w:val="center"/>
          </w:tcPr>
          <w:p w14:paraId="0DD71222">
            <w:pPr>
              <w:kinsoku/>
              <w:spacing w:line="400" w:lineRule="exact"/>
              <w:jc w:val="center"/>
              <w:textAlignment w:val="auto"/>
              <w:rPr>
                <w:rFonts w:ascii="宋体" w:hAnsi="宋体" w:eastAsia="宋体" w:cs="宋体"/>
                <w:color w:val="auto"/>
                <w:highlight w:val="none"/>
              </w:rPr>
            </w:pPr>
            <w:r>
              <w:rPr>
                <w:rFonts w:hint="eastAsia" w:ascii="宋体" w:hAnsi="宋体" w:eastAsia="宋体" w:cs="宋体"/>
                <w:color w:val="auto"/>
                <w:highlight w:val="none"/>
              </w:rPr>
              <w:t>资格评审</w:t>
            </w:r>
          </w:p>
          <w:p w14:paraId="6AD97117">
            <w:pPr>
              <w:kinsoku/>
              <w:spacing w:line="400" w:lineRule="exact"/>
              <w:jc w:val="center"/>
              <w:textAlignment w:val="auto"/>
              <w:rPr>
                <w:rFonts w:ascii="宋体" w:hAnsi="宋体" w:eastAsia="宋体" w:cs="宋体"/>
                <w:color w:val="auto"/>
                <w:highlight w:val="none"/>
              </w:rPr>
            </w:pPr>
            <w:r>
              <w:rPr>
                <w:rFonts w:hint="eastAsia" w:ascii="宋体" w:hAnsi="宋体" w:eastAsia="宋体" w:cs="宋体"/>
                <w:color w:val="auto"/>
                <w:highlight w:val="none"/>
              </w:rPr>
              <w:t>标准</w:t>
            </w:r>
          </w:p>
        </w:tc>
        <w:tc>
          <w:tcPr>
            <w:tcW w:w="2886" w:type="dxa"/>
            <w:gridSpan w:val="3"/>
            <w:vAlign w:val="center"/>
          </w:tcPr>
          <w:p w14:paraId="20C5B972">
            <w:pPr>
              <w:kinsoku/>
              <w:spacing w:line="400" w:lineRule="exact"/>
              <w:jc w:val="center"/>
              <w:textAlignment w:val="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符合《中华人民共和国政府采购法》第22条规定</w:t>
            </w:r>
          </w:p>
        </w:tc>
        <w:tc>
          <w:tcPr>
            <w:tcW w:w="5381" w:type="dxa"/>
            <w:vAlign w:val="center"/>
          </w:tcPr>
          <w:p w14:paraId="2E7CE601">
            <w:pPr>
              <w:kinsoku/>
              <w:spacing w:line="400" w:lineRule="exact"/>
              <w:textAlignment w:val="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符合第二章“供应商须知”规定</w:t>
            </w:r>
          </w:p>
        </w:tc>
      </w:tr>
      <w:tr w14:paraId="3AAC4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2" w:type="dxa"/>
          <w:trHeight w:val="666" w:hRule="atLeast"/>
          <w:jc w:val="center"/>
        </w:trPr>
        <w:tc>
          <w:tcPr>
            <w:tcW w:w="778" w:type="dxa"/>
            <w:vMerge w:val="continue"/>
            <w:vAlign w:val="center"/>
          </w:tcPr>
          <w:p w14:paraId="4CBD9126">
            <w:pPr>
              <w:kinsoku/>
              <w:spacing w:line="400" w:lineRule="exact"/>
              <w:ind w:firstLine="420"/>
              <w:jc w:val="center"/>
              <w:textAlignment w:val="auto"/>
              <w:rPr>
                <w:rFonts w:ascii="宋体" w:hAnsi="宋体" w:eastAsia="宋体" w:cs="宋体"/>
                <w:color w:val="auto"/>
                <w:highlight w:val="none"/>
                <w:lang w:eastAsia="zh-CN"/>
              </w:rPr>
            </w:pPr>
          </w:p>
        </w:tc>
        <w:tc>
          <w:tcPr>
            <w:tcW w:w="819" w:type="dxa"/>
            <w:gridSpan w:val="2"/>
            <w:vMerge w:val="continue"/>
            <w:vAlign w:val="center"/>
          </w:tcPr>
          <w:p w14:paraId="62C22B89">
            <w:pPr>
              <w:kinsoku/>
              <w:spacing w:line="400" w:lineRule="exact"/>
              <w:ind w:firstLine="420"/>
              <w:jc w:val="center"/>
              <w:textAlignment w:val="auto"/>
              <w:rPr>
                <w:rFonts w:ascii="宋体" w:hAnsi="宋体" w:eastAsia="宋体" w:cs="宋体"/>
                <w:color w:val="auto"/>
                <w:highlight w:val="none"/>
                <w:lang w:eastAsia="zh-CN"/>
              </w:rPr>
            </w:pPr>
          </w:p>
        </w:tc>
        <w:tc>
          <w:tcPr>
            <w:tcW w:w="2886" w:type="dxa"/>
            <w:gridSpan w:val="3"/>
            <w:vAlign w:val="center"/>
          </w:tcPr>
          <w:p w14:paraId="772E2E24">
            <w:pPr>
              <w:kinsoku/>
              <w:spacing w:line="400" w:lineRule="exact"/>
              <w:ind w:right="105" w:rightChars="50"/>
              <w:jc w:val="center"/>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响应人企业类型</w:t>
            </w:r>
          </w:p>
        </w:tc>
        <w:tc>
          <w:tcPr>
            <w:tcW w:w="5381" w:type="dxa"/>
            <w:vAlign w:val="center"/>
          </w:tcPr>
          <w:p w14:paraId="59B8A9DC">
            <w:pPr>
              <w:kinsoku/>
              <w:spacing w:line="400" w:lineRule="exact"/>
              <w:ind w:right="105" w:rightChars="50"/>
              <w:textAlignment w:val="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符合第二章“供应商须知”规定</w:t>
            </w:r>
          </w:p>
        </w:tc>
      </w:tr>
      <w:tr w14:paraId="2F2D7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2" w:type="dxa"/>
          <w:trHeight w:val="627" w:hRule="atLeast"/>
          <w:jc w:val="center"/>
        </w:trPr>
        <w:tc>
          <w:tcPr>
            <w:tcW w:w="778" w:type="dxa"/>
            <w:vMerge w:val="continue"/>
            <w:vAlign w:val="center"/>
          </w:tcPr>
          <w:p w14:paraId="15290715">
            <w:pPr>
              <w:kinsoku/>
              <w:spacing w:line="400" w:lineRule="exact"/>
              <w:ind w:firstLine="420"/>
              <w:jc w:val="center"/>
              <w:textAlignment w:val="auto"/>
              <w:rPr>
                <w:rFonts w:ascii="宋体" w:hAnsi="宋体" w:eastAsia="宋体" w:cs="宋体"/>
                <w:color w:val="auto"/>
                <w:highlight w:val="none"/>
                <w:lang w:eastAsia="zh-CN"/>
              </w:rPr>
            </w:pPr>
          </w:p>
        </w:tc>
        <w:tc>
          <w:tcPr>
            <w:tcW w:w="819" w:type="dxa"/>
            <w:gridSpan w:val="2"/>
            <w:vMerge w:val="continue"/>
            <w:vAlign w:val="center"/>
          </w:tcPr>
          <w:p w14:paraId="1F182C0C">
            <w:pPr>
              <w:kinsoku/>
              <w:spacing w:line="400" w:lineRule="exact"/>
              <w:ind w:firstLine="420"/>
              <w:jc w:val="center"/>
              <w:textAlignment w:val="auto"/>
              <w:rPr>
                <w:rFonts w:ascii="宋体" w:hAnsi="宋体" w:eastAsia="宋体" w:cs="宋体"/>
                <w:color w:val="auto"/>
                <w:highlight w:val="none"/>
                <w:lang w:eastAsia="zh-CN"/>
              </w:rPr>
            </w:pPr>
          </w:p>
        </w:tc>
        <w:tc>
          <w:tcPr>
            <w:tcW w:w="2886" w:type="dxa"/>
            <w:gridSpan w:val="3"/>
            <w:vAlign w:val="center"/>
          </w:tcPr>
          <w:p w14:paraId="0F4E2A12">
            <w:pPr>
              <w:kinsoku/>
              <w:spacing w:line="400" w:lineRule="exact"/>
              <w:jc w:val="center"/>
              <w:textAlignment w:val="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具有独立承担民事责任的能力</w:t>
            </w:r>
          </w:p>
        </w:tc>
        <w:tc>
          <w:tcPr>
            <w:tcW w:w="5381" w:type="dxa"/>
            <w:vAlign w:val="center"/>
          </w:tcPr>
          <w:p w14:paraId="7A8BBA39">
            <w:pPr>
              <w:kinsoku/>
              <w:spacing w:line="400" w:lineRule="exact"/>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eastAsia="zh-CN"/>
              </w:rPr>
              <w:t>符合第二章“供应商须知”规定</w:t>
            </w:r>
          </w:p>
        </w:tc>
      </w:tr>
      <w:tr w14:paraId="373F0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2" w:type="dxa"/>
          <w:trHeight w:val="627" w:hRule="atLeast"/>
          <w:jc w:val="center"/>
        </w:trPr>
        <w:tc>
          <w:tcPr>
            <w:tcW w:w="778" w:type="dxa"/>
            <w:vMerge w:val="continue"/>
            <w:vAlign w:val="center"/>
          </w:tcPr>
          <w:p w14:paraId="393C7D44">
            <w:pPr>
              <w:kinsoku/>
              <w:spacing w:line="400" w:lineRule="exact"/>
              <w:ind w:firstLine="420"/>
              <w:jc w:val="center"/>
              <w:textAlignment w:val="auto"/>
              <w:rPr>
                <w:rFonts w:ascii="宋体" w:hAnsi="宋体" w:eastAsia="宋体" w:cs="宋体"/>
                <w:color w:val="auto"/>
                <w:highlight w:val="none"/>
                <w:lang w:eastAsia="zh-CN"/>
              </w:rPr>
            </w:pPr>
          </w:p>
        </w:tc>
        <w:tc>
          <w:tcPr>
            <w:tcW w:w="819" w:type="dxa"/>
            <w:gridSpan w:val="2"/>
            <w:vMerge w:val="continue"/>
            <w:vAlign w:val="center"/>
          </w:tcPr>
          <w:p w14:paraId="67F4602E">
            <w:pPr>
              <w:kinsoku/>
              <w:spacing w:line="400" w:lineRule="exact"/>
              <w:ind w:firstLine="420"/>
              <w:jc w:val="center"/>
              <w:textAlignment w:val="auto"/>
              <w:rPr>
                <w:rFonts w:ascii="宋体" w:hAnsi="宋体" w:eastAsia="宋体" w:cs="宋体"/>
                <w:color w:val="auto"/>
                <w:highlight w:val="none"/>
                <w:lang w:eastAsia="zh-CN"/>
              </w:rPr>
            </w:pPr>
          </w:p>
        </w:tc>
        <w:tc>
          <w:tcPr>
            <w:tcW w:w="2886" w:type="dxa"/>
            <w:gridSpan w:val="3"/>
            <w:vAlign w:val="center"/>
          </w:tcPr>
          <w:p w14:paraId="15558AB3">
            <w:pPr>
              <w:kinsoku/>
              <w:spacing w:line="400" w:lineRule="exact"/>
              <w:jc w:val="center"/>
              <w:textAlignment w:val="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供应商应具有良好的商业信誉和健全的财务会计制度</w:t>
            </w:r>
          </w:p>
        </w:tc>
        <w:tc>
          <w:tcPr>
            <w:tcW w:w="5381" w:type="dxa"/>
            <w:vAlign w:val="center"/>
          </w:tcPr>
          <w:p w14:paraId="4C33F755">
            <w:pPr>
              <w:kinsoku/>
              <w:spacing w:line="400" w:lineRule="exact"/>
              <w:textAlignment w:val="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符合第二章“供应商须知”规定</w:t>
            </w:r>
          </w:p>
        </w:tc>
      </w:tr>
      <w:tr w14:paraId="52D05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2" w:type="dxa"/>
          <w:trHeight w:val="627" w:hRule="atLeast"/>
          <w:jc w:val="center"/>
        </w:trPr>
        <w:tc>
          <w:tcPr>
            <w:tcW w:w="778" w:type="dxa"/>
            <w:vMerge w:val="continue"/>
            <w:vAlign w:val="center"/>
          </w:tcPr>
          <w:p w14:paraId="5777A7F5">
            <w:pPr>
              <w:kinsoku/>
              <w:spacing w:line="400" w:lineRule="exact"/>
              <w:ind w:firstLine="420"/>
              <w:jc w:val="center"/>
              <w:textAlignment w:val="auto"/>
              <w:rPr>
                <w:rFonts w:ascii="宋体" w:hAnsi="宋体" w:eastAsia="宋体" w:cs="宋体"/>
                <w:color w:val="auto"/>
                <w:highlight w:val="none"/>
                <w:lang w:eastAsia="zh-CN"/>
              </w:rPr>
            </w:pPr>
          </w:p>
        </w:tc>
        <w:tc>
          <w:tcPr>
            <w:tcW w:w="819" w:type="dxa"/>
            <w:gridSpan w:val="2"/>
            <w:vMerge w:val="continue"/>
            <w:vAlign w:val="center"/>
          </w:tcPr>
          <w:p w14:paraId="23EBF2B7">
            <w:pPr>
              <w:kinsoku/>
              <w:spacing w:line="400" w:lineRule="exact"/>
              <w:ind w:firstLine="420"/>
              <w:jc w:val="center"/>
              <w:textAlignment w:val="auto"/>
              <w:rPr>
                <w:rFonts w:ascii="宋体" w:hAnsi="宋体" w:eastAsia="宋体" w:cs="宋体"/>
                <w:color w:val="auto"/>
                <w:highlight w:val="none"/>
                <w:lang w:eastAsia="zh-CN"/>
              </w:rPr>
            </w:pPr>
          </w:p>
        </w:tc>
        <w:tc>
          <w:tcPr>
            <w:tcW w:w="2886" w:type="dxa"/>
            <w:gridSpan w:val="3"/>
            <w:vAlign w:val="center"/>
          </w:tcPr>
          <w:p w14:paraId="33CB6549">
            <w:pPr>
              <w:kinsoku/>
              <w:spacing w:line="400" w:lineRule="exact"/>
              <w:jc w:val="center"/>
              <w:textAlignment w:val="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供应商依法缴纳税收和社会保障资金的良好记录</w:t>
            </w:r>
          </w:p>
        </w:tc>
        <w:tc>
          <w:tcPr>
            <w:tcW w:w="5381" w:type="dxa"/>
            <w:vAlign w:val="center"/>
          </w:tcPr>
          <w:p w14:paraId="6A9CFFD0">
            <w:pPr>
              <w:kinsoku/>
              <w:spacing w:line="400" w:lineRule="exact"/>
              <w:textAlignment w:val="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符合第二章“供应商须知”规定</w:t>
            </w:r>
          </w:p>
        </w:tc>
      </w:tr>
      <w:tr w14:paraId="59FB7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2" w:type="dxa"/>
          <w:trHeight w:val="627" w:hRule="atLeast"/>
          <w:jc w:val="center"/>
        </w:trPr>
        <w:tc>
          <w:tcPr>
            <w:tcW w:w="778" w:type="dxa"/>
            <w:vMerge w:val="continue"/>
            <w:vAlign w:val="center"/>
          </w:tcPr>
          <w:p w14:paraId="1B1E7024">
            <w:pPr>
              <w:kinsoku/>
              <w:spacing w:line="400" w:lineRule="exact"/>
              <w:ind w:firstLine="420"/>
              <w:jc w:val="center"/>
              <w:textAlignment w:val="auto"/>
              <w:rPr>
                <w:rFonts w:ascii="宋体" w:hAnsi="宋体" w:eastAsia="宋体" w:cs="宋体"/>
                <w:color w:val="auto"/>
                <w:highlight w:val="none"/>
                <w:lang w:eastAsia="zh-CN"/>
              </w:rPr>
            </w:pPr>
          </w:p>
        </w:tc>
        <w:tc>
          <w:tcPr>
            <w:tcW w:w="819" w:type="dxa"/>
            <w:gridSpan w:val="2"/>
            <w:vMerge w:val="continue"/>
            <w:vAlign w:val="center"/>
          </w:tcPr>
          <w:p w14:paraId="11E5C8D6">
            <w:pPr>
              <w:kinsoku/>
              <w:spacing w:line="400" w:lineRule="exact"/>
              <w:ind w:firstLine="420"/>
              <w:jc w:val="center"/>
              <w:textAlignment w:val="auto"/>
              <w:rPr>
                <w:rFonts w:ascii="宋体" w:hAnsi="宋体" w:eastAsia="宋体" w:cs="宋体"/>
                <w:color w:val="auto"/>
                <w:highlight w:val="none"/>
                <w:lang w:eastAsia="zh-CN"/>
              </w:rPr>
            </w:pPr>
          </w:p>
        </w:tc>
        <w:tc>
          <w:tcPr>
            <w:tcW w:w="2886" w:type="dxa"/>
            <w:gridSpan w:val="3"/>
            <w:vAlign w:val="center"/>
          </w:tcPr>
          <w:p w14:paraId="107389D4">
            <w:pPr>
              <w:kinsoku/>
              <w:spacing w:line="400" w:lineRule="exact"/>
              <w:jc w:val="center"/>
              <w:textAlignment w:val="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供应商应具有履行合同必备的设备和技术能力</w:t>
            </w:r>
          </w:p>
        </w:tc>
        <w:tc>
          <w:tcPr>
            <w:tcW w:w="5381" w:type="dxa"/>
            <w:vAlign w:val="center"/>
          </w:tcPr>
          <w:p w14:paraId="64F4BCC7">
            <w:pPr>
              <w:kinsoku/>
              <w:spacing w:line="400" w:lineRule="exact"/>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eastAsia="zh-CN"/>
              </w:rPr>
              <w:t>符合第二章“供应商须知”规定</w:t>
            </w:r>
          </w:p>
        </w:tc>
      </w:tr>
      <w:tr w14:paraId="103CE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2" w:type="dxa"/>
          <w:trHeight w:val="627" w:hRule="atLeast"/>
          <w:jc w:val="center"/>
        </w:trPr>
        <w:tc>
          <w:tcPr>
            <w:tcW w:w="778" w:type="dxa"/>
            <w:vMerge w:val="continue"/>
            <w:vAlign w:val="center"/>
          </w:tcPr>
          <w:p w14:paraId="260BC7D2">
            <w:pPr>
              <w:kinsoku/>
              <w:spacing w:line="400" w:lineRule="exact"/>
              <w:ind w:firstLine="420"/>
              <w:jc w:val="center"/>
              <w:textAlignment w:val="auto"/>
              <w:rPr>
                <w:rFonts w:ascii="宋体" w:hAnsi="宋体" w:eastAsia="宋体" w:cs="宋体"/>
                <w:color w:val="auto"/>
                <w:highlight w:val="none"/>
                <w:lang w:eastAsia="zh-CN"/>
              </w:rPr>
            </w:pPr>
          </w:p>
        </w:tc>
        <w:tc>
          <w:tcPr>
            <w:tcW w:w="819" w:type="dxa"/>
            <w:gridSpan w:val="2"/>
            <w:vMerge w:val="continue"/>
            <w:vAlign w:val="center"/>
          </w:tcPr>
          <w:p w14:paraId="77B72D1F">
            <w:pPr>
              <w:kinsoku/>
              <w:spacing w:line="400" w:lineRule="exact"/>
              <w:ind w:firstLine="420"/>
              <w:jc w:val="center"/>
              <w:textAlignment w:val="auto"/>
              <w:rPr>
                <w:rFonts w:ascii="宋体" w:hAnsi="宋体" w:eastAsia="宋体" w:cs="宋体"/>
                <w:color w:val="auto"/>
                <w:highlight w:val="none"/>
                <w:lang w:eastAsia="zh-CN"/>
              </w:rPr>
            </w:pPr>
          </w:p>
        </w:tc>
        <w:tc>
          <w:tcPr>
            <w:tcW w:w="2886" w:type="dxa"/>
            <w:gridSpan w:val="3"/>
            <w:vAlign w:val="center"/>
          </w:tcPr>
          <w:p w14:paraId="0465AC90">
            <w:pPr>
              <w:kinsoku/>
              <w:spacing w:line="400" w:lineRule="exact"/>
              <w:jc w:val="center"/>
              <w:textAlignment w:val="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供应商参加政府采购活动前三年内，在经营活动中没有重大违法记录</w:t>
            </w:r>
          </w:p>
        </w:tc>
        <w:tc>
          <w:tcPr>
            <w:tcW w:w="5381" w:type="dxa"/>
            <w:vAlign w:val="center"/>
          </w:tcPr>
          <w:p w14:paraId="457CEDF1">
            <w:pPr>
              <w:kinsoku/>
              <w:spacing w:line="400" w:lineRule="exact"/>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eastAsia="zh-CN"/>
              </w:rPr>
              <w:t>符合第二章“供应商须知”规定</w:t>
            </w:r>
          </w:p>
        </w:tc>
      </w:tr>
      <w:tr w14:paraId="2B4EB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2" w:type="dxa"/>
          <w:trHeight w:val="627" w:hRule="atLeast"/>
          <w:jc w:val="center"/>
        </w:trPr>
        <w:tc>
          <w:tcPr>
            <w:tcW w:w="778" w:type="dxa"/>
            <w:vMerge w:val="continue"/>
            <w:vAlign w:val="center"/>
          </w:tcPr>
          <w:p w14:paraId="2B319EE9">
            <w:pPr>
              <w:kinsoku/>
              <w:spacing w:line="400" w:lineRule="exact"/>
              <w:ind w:firstLine="420"/>
              <w:jc w:val="center"/>
              <w:textAlignment w:val="auto"/>
              <w:rPr>
                <w:rFonts w:ascii="宋体" w:hAnsi="宋体" w:eastAsia="宋体" w:cs="宋体"/>
                <w:color w:val="auto"/>
                <w:highlight w:val="none"/>
                <w:lang w:eastAsia="zh-CN"/>
              </w:rPr>
            </w:pPr>
          </w:p>
        </w:tc>
        <w:tc>
          <w:tcPr>
            <w:tcW w:w="819" w:type="dxa"/>
            <w:gridSpan w:val="2"/>
            <w:vMerge w:val="continue"/>
            <w:vAlign w:val="center"/>
          </w:tcPr>
          <w:p w14:paraId="7860FA02">
            <w:pPr>
              <w:kinsoku/>
              <w:spacing w:line="400" w:lineRule="exact"/>
              <w:ind w:firstLine="420"/>
              <w:jc w:val="center"/>
              <w:textAlignment w:val="auto"/>
              <w:rPr>
                <w:rFonts w:ascii="宋体" w:hAnsi="宋体" w:eastAsia="宋体" w:cs="宋体"/>
                <w:color w:val="auto"/>
                <w:highlight w:val="none"/>
                <w:lang w:eastAsia="zh-CN"/>
              </w:rPr>
            </w:pPr>
          </w:p>
        </w:tc>
        <w:tc>
          <w:tcPr>
            <w:tcW w:w="2886" w:type="dxa"/>
            <w:gridSpan w:val="3"/>
            <w:vAlign w:val="center"/>
          </w:tcPr>
          <w:p w14:paraId="27794C76">
            <w:pPr>
              <w:kinsoku/>
              <w:spacing w:line="400" w:lineRule="exact"/>
              <w:jc w:val="center"/>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其他要求</w:t>
            </w:r>
          </w:p>
        </w:tc>
        <w:tc>
          <w:tcPr>
            <w:tcW w:w="5381" w:type="dxa"/>
            <w:vAlign w:val="center"/>
          </w:tcPr>
          <w:p w14:paraId="0C29882E">
            <w:pPr>
              <w:kinsoku/>
              <w:spacing w:line="400" w:lineRule="exact"/>
              <w:textAlignment w:val="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符合第二章“供应商须知”规定</w:t>
            </w:r>
          </w:p>
        </w:tc>
      </w:tr>
      <w:tr w14:paraId="407AC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2" w:type="dxa"/>
          <w:trHeight w:val="675" w:hRule="atLeast"/>
          <w:jc w:val="center"/>
        </w:trPr>
        <w:tc>
          <w:tcPr>
            <w:tcW w:w="778" w:type="dxa"/>
            <w:vMerge w:val="restart"/>
            <w:vAlign w:val="center"/>
          </w:tcPr>
          <w:p w14:paraId="58F6378B">
            <w:pPr>
              <w:kinsoku/>
              <w:spacing w:line="400" w:lineRule="exact"/>
              <w:jc w:val="both"/>
              <w:textAlignment w:val="auto"/>
              <w:rPr>
                <w:rFonts w:ascii="宋体" w:hAnsi="宋体" w:eastAsia="宋体" w:cs="宋体"/>
                <w:color w:val="auto"/>
                <w:highlight w:val="none"/>
              </w:rPr>
            </w:pPr>
            <w:r>
              <w:rPr>
                <w:rFonts w:hint="eastAsia" w:ascii="宋体" w:hAnsi="宋体" w:eastAsia="宋体" w:cs="宋体"/>
                <w:color w:val="auto"/>
                <w:highlight w:val="none"/>
              </w:rPr>
              <w:t>2.1.2</w:t>
            </w:r>
          </w:p>
        </w:tc>
        <w:tc>
          <w:tcPr>
            <w:tcW w:w="819" w:type="dxa"/>
            <w:gridSpan w:val="2"/>
            <w:vMerge w:val="restart"/>
            <w:vAlign w:val="center"/>
          </w:tcPr>
          <w:p w14:paraId="5B944DE7">
            <w:pPr>
              <w:kinsoku/>
              <w:spacing w:line="400" w:lineRule="exact"/>
              <w:jc w:val="center"/>
              <w:textAlignment w:val="auto"/>
              <w:rPr>
                <w:rFonts w:ascii="宋体" w:hAnsi="宋体" w:eastAsia="宋体" w:cs="宋体"/>
                <w:color w:val="auto"/>
                <w:highlight w:val="none"/>
              </w:rPr>
            </w:pPr>
            <w:r>
              <w:rPr>
                <w:rFonts w:hint="eastAsia" w:ascii="宋体" w:hAnsi="宋体" w:eastAsia="宋体" w:cs="宋体"/>
                <w:color w:val="auto"/>
                <w:highlight w:val="none"/>
              </w:rPr>
              <w:t>符合性评审标准</w:t>
            </w:r>
          </w:p>
        </w:tc>
        <w:tc>
          <w:tcPr>
            <w:tcW w:w="2886" w:type="dxa"/>
            <w:gridSpan w:val="3"/>
            <w:vAlign w:val="center"/>
          </w:tcPr>
          <w:p w14:paraId="3A9AE186">
            <w:pPr>
              <w:kinsoku/>
              <w:spacing w:line="400" w:lineRule="exact"/>
              <w:jc w:val="center"/>
              <w:textAlignment w:val="auto"/>
              <w:rPr>
                <w:rFonts w:ascii="宋体" w:hAnsi="宋体" w:eastAsia="宋体" w:cs="宋体"/>
                <w:color w:val="auto"/>
                <w:kern w:val="2"/>
                <w:highlight w:val="none"/>
                <w:lang w:eastAsia="zh-CN"/>
              </w:rPr>
            </w:pPr>
            <w:r>
              <w:rPr>
                <w:rFonts w:hint="eastAsia" w:ascii="宋体" w:hAnsi="宋体" w:eastAsia="宋体" w:cs="宋体"/>
                <w:color w:val="auto"/>
                <w:highlight w:val="none"/>
              </w:rPr>
              <w:t>供应商名称</w:t>
            </w:r>
          </w:p>
        </w:tc>
        <w:tc>
          <w:tcPr>
            <w:tcW w:w="5381" w:type="dxa"/>
            <w:vAlign w:val="center"/>
          </w:tcPr>
          <w:p w14:paraId="0DE03EEF">
            <w:pPr>
              <w:kinsoku/>
              <w:spacing w:line="400" w:lineRule="exact"/>
              <w:textAlignment w:val="auto"/>
              <w:rPr>
                <w:rFonts w:ascii="宋体" w:hAnsi="宋体" w:eastAsia="宋体" w:cs="宋体"/>
                <w:color w:val="auto"/>
                <w:kern w:val="2"/>
                <w:highlight w:val="none"/>
                <w:lang w:eastAsia="zh-CN"/>
              </w:rPr>
            </w:pPr>
            <w:r>
              <w:rPr>
                <w:rFonts w:hint="eastAsia" w:ascii="宋体" w:hAnsi="宋体" w:eastAsia="宋体" w:cs="宋体"/>
                <w:color w:val="auto"/>
                <w:highlight w:val="none"/>
              </w:rPr>
              <w:t>与营业执照一致</w:t>
            </w:r>
          </w:p>
        </w:tc>
      </w:tr>
      <w:tr w14:paraId="17E4B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2" w:type="dxa"/>
          <w:trHeight w:val="675" w:hRule="atLeast"/>
          <w:jc w:val="center"/>
        </w:trPr>
        <w:tc>
          <w:tcPr>
            <w:tcW w:w="778" w:type="dxa"/>
            <w:vMerge w:val="continue"/>
            <w:vAlign w:val="center"/>
          </w:tcPr>
          <w:p w14:paraId="64BE51E2">
            <w:pPr>
              <w:kinsoku/>
              <w:spacing w:line="400" w:lineRule="exact"/>
              <w:ind w:firstLine="420"/>
              <w:jc w:val="center"/>
              <w:textAlignment w:val="auto"/>
              <w:rPr>
                <w:rFonts w:ascii="宋体" w:hAnsi="宋体" w:eastAsia="宋体" w:cs="宋体"/>
                <w:color w:val="auto"/>
                <w:highlight w:val="none"/>
              </w:rPr>
            </w:pPr>
          </w:p>
        </w:tc>
        <w:tc>
          <w:tcPr>
            <w:tcW w:w="819" w:type="dxa"/>
            <w:gridSpan w:val="2"/>
            <w:vMerge w:val="continue"/>
            <w:vAlign w:val="center"/>
          </w:tcPr>
          <w:p w14:paraId="7B6229E6">
            <w:pPr>
              <w:kinsoku/>
              <w:spacing w:line="400" w:lineRule="exact"/>
              <w:ind w:firstLine="420"/>
              <w:jc w:val="center"/>
              <w:textAlignment w:val="auto"/>
              <w:rPr>
                <w:rFonts w:ascii="宋体" w:hAnsi="宋体" w:eastAsia="宋体" w:cs="宋体"/>
                <w:color w:val="auto"/>
                <w:highlight w:val="none"/>
              </w:rPr>
            </w:pPr>
          </w:p>
        </w:tc>
        <w:tc>
          <w:tcPr>
            <w:tcW w:w="2886" w:type="dxa"/>
            <w:gridSpan w:val="3"/>
            <w:vAlign w:val="center"/>
          </w:tcPr>
          <w:p w14:paraId="41F5A2A6">
            <w:pPr>
              <w:kinsoku/>
              <w:spacing w:line="400" w:lineRule="exact"/>
              <w:jc w:val="center"/>
              <w:textAlignment w:val="auto"/>
              <w:rPr>
                <w:rFonts w:ascii="宋体" w:hAnsi="宋体" w:eastAsia="宋体" w:cs="宋体"/>
                <w:color w:val="auto"/>
                <w:highlight w:val="none"/>
              </w:rPr>
            </w:pPr>
            <w:r>
              <w:rPr>
                <w:rFonts w:hint="eastAsia" w:ascii="宋体" w:hAnsi="宋体" w:eastAsia="宋体" w:cs="宋体"/>
                <w:color w:val="auto"/>
                <w:highlight w:val="none"/>
              </w:rPr>
              <w:t>响应函签字盖章</w:t>
            </w:r>
          </w:p>
        </w:tc>
        <w:tc>
          <w:tcPr>
            <w:tcW w:w="5381" w:type="dxa"/>
            <w:vAlign w:val="center"/>
          </w:tcPr>
          <w:p w14:paraId="27B8ACB5">
            <w:pPr>
              <w:kinsoku/>
              <w:spacing w:line="400" w:lineRule="exact"/>
              <w:textAlignment w:val="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符合第六章“竞争性磋商响应文件格式”响应函签字盖章的要求</w:t>
            </w:r>
          </w:p>
        </w:tc>
      </w:tr>
      <w:tr w14:paraId="79E9F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2" w:type="dxa"/>
          <w:trHeight w:val="675" w:hRule="atLeast"/>
          <w:jc w:val="center"/>
        </w:trPr>
        <w:tc>
          <w:tcPr>
            <w:tcW w:w="778" w:type="dxa"/>
            <w:vMerge w:val="continue"/>
            <w:vAlign w:val="center"/>
          </w:tcPr>
          <w:p w14:paraId="4DC2E549">
            <w:pPr>
              <w:kinsoku/>
              <w:spacing w:line="400" w:lineRule="exact"/>
              <w:ind w:firstLine="420"/>
              <w:jc w:val="center"/>
              <w:textAlignment w:val="auto"/>
              <w:rPr>
                <w:rFonts w:ascii="宋体" w:hAnsi="宋体" w:eastAsia="宋体" w:cs="宋体"/>
                <w:color w:val="auto"/>
                <w:highlight w:val="none"/>
                <w:lang w:eastAsia="zh-CN"/>
              </w:rPr>
            </w:pPr>
          </w:p>
        </w:tc>
        <w:tc>
          <w:tcPr>
            <w:tcW w:w="819" w:type="dxa"/>
            <w:gridSpan w:val="2"/>
            <w:vMerge w:val="continue"/>
            <w:vAlign w:val="center"/>
          </w:tcPr>
          <w:p w14:paraId="5A11CADB">
            <w:pPr>
              <w:kinsoku/>
              <w:spacing w:line="400" w:lineRule="exact"/>
              <w:ind w:firstLine="420"/>
              <w:jc w:val="center"/>
              <w:textAlignment w:val="auto"/>
              <w:rPr>
                <w:rFonts w:ascii="宋体" w:hAnsi="宋体" w:eastAsia="宋体" w:cs="宋体"/>
                <w:color w:val="auto"/>
                <w:highlight w:val="none"/>
                <w:lang w:eastAsia="zh-CN"/>
              </w:rPr>
            </w:pPr>
          </w:p>
        </w:tc>
        <w:tc>
          <w:tcPr>
            <w:tcW w:w="2886" w:type="dxa"/>
            <w:gridSpan w:val="3"/>
            <w:vAlign w:val="center"/>
          </w:tcPr>
          <w:p w14:paraId="0F670FA3">
            <w:pPr>
              <w:kinsoku/>
              <w:spacing w:line="400" w:lineRule="exact"/>
              <w:jc w:val="center"/>
              <w:textAlignment w:val="auto"/>
              <w:rPr>
                <w:rFonts w:ascii="宋体" w:hAnsi="宋体" w:eastAsia="宋体" w:cs="宋体"/>
                <w:color w:val="auto"/>
                <w:highlight w:val="none"/>
              </w:rPr>
            </w:pPr>
            <w:r>
              <w:rPr>
                <w:rFonts w:hint="eastAsia" w:ascii="宋体" w:hAnsi="宋体" w:eastAsia="宋体" w:cs="宋体"/>
                <w:color w:val="auto"/>
                <w:highlight w:val="none"/>
              </w:rPr>
              <w:t>响应文件格式</w:t>
            </w:r>
          </w:p>
        </w:tc>
        <w:tc>
          <w:tcPr>
            <w:tcW w:w="5381" w:type="dxa"/>
            <w:vAlign w:val="center"/>
          </w:tcPr>
          <w:p w14:paraId="6AC46018">
            <w:pPr>
              <w:kinsoku/>
              <w:spacing w:line="400" w:lineRule="exact"/>
              <w:textAlignment w:val="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符合第六章“竞争性磋商响应文件格式”的要求</w:t>
            </w:r>
          </w:p>
        </w:tc>
      </w:tr>
      <w:tr w14:paraId="608B7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2" w:type="dxa"/>
          <w:trHeight w:val="712" w:hRule="atLeast"/>
          <w:jc w:val="center"/>
        </w:trPr>
        <w:tc>
          <w:tcPr>
            <w:tcW w:w="778" w:type="dxa"/>
            <w:vMerge w:val="continue"/>
            <w:vAlign w:val="center"/>
          </w:tcPr>
          <w:p w14:paraId="56AEA828">
            <w:pPr>
              <w:kinsoku/>
              <w:spacing w:line="400" w:lineRule="exact"/>
              <w:ind w:firstLine="420"/>
              <w:jc w:val="center"/>
              <w:textAlignment w:val="auto"/>
              <w:rPr>
                <w:rFonts w:ascii="宋体" w:hAnsi="宋体" w:eastAsia="宋体" w:cs="宋体"/>
                <w:color w:val="auto"/>
                <w:highlight w:val="none"/>
                <w:lang w:eastAsia="zh-CN"/>
              </w:rPr>
            </w:pPr>
          </w:p>
        </w:tc>
        <w:tc>
          <w:tcPr>
            <w:tcW w:w="819" w:type="dxa"/>
            <w:gridSpan w:val="2"/>
            <w:vMerge w:val="continue"/>
            <w:vAlign w:val="center"/>
          </w:tcPr>
          <w:p w14:paraId="115B1F4D">
            <w:pPr>
              <w:kinsoku/>
              <w:spacing w:line="400" w:lineRule="exact"/>
              <w:ind w:firstLine="420"/>
              <w:jc w:val="center"/>
              <w:textAlignment w:val="auto"/>
              <w:rPr>
                <w:rFonts w:ascii="宋体" w:hAnsi="宋体" w:eastAsia="宋体" w:cs="宋体"/>
                <w:color w:val="auto"/>
                <w:highlight w:val="none"/>
                <w:lang w:eastAsia="zh-CN"/>
              </w:rPr>
            </w:pPr>
          </w:p>
        </w:tc>
        <w:tc>
          <w:tcPr>
            <w:tcW w:w="2886" w:type="dxa"/>
            <w:gridSpan w:val="3"/>
            <w:vAlign w:val="center"/>
          </w:tcPr>
          <w:p w14:paraId="6CC8CE58">
            <w:pPr>
              <w:kinsoku/>
              <w:spacing w:line="400" w:lineRule="exact"/>
              <w:jc w:val="center"/>
              <w:textAlignment w:val="auto"/>
              <w:rPr>
                <w:rFonts w:ascii="宋体" w:hAnsi="宋体" w:eastAsia="宋体" w:cs="宋体"/>
                <w:color w:val="auto"/>
                <w:highlight w:val="none"/>
              </w:rPr>
            </w:pPr>
            <w:r>
              <w:rPr>
                <w:rFonts w:hint="eastAsia" w:ascii="宋体" w:hAnsi="宋体" w:eastAsia="宋体" w:cs="宋体"/>
                <w:color w:val="auto"/>
                <w:highlight w:val="none"/>
              </w:rPr>
              <w:t>响应内容</w:t>
            </w:r>
          </w:p>
        </w:tc>
        <w:tc>
          <w:tcPr>
            <w:tcW w:w="5381" w:type="dxa"/>
            <w:vAlign w:val="center"/>
          </w:tcPr>
          <w:p w14:paraId="5CF552EA">
            <w:pPr>
              <w:kinsoku/>
              <w:spacing w:line="400" w:lineRule="exact"/>
              <w:textAlignment w:val="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符合第二章“供应商须知”规定</w:t>
            </w:r>
          </w:p>
        </w:tc>
      </w:tr>
      <w:tr w14:paraId="6346B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2" w:type="dxa"/>
          <w:trHeight w:val="632" w:hRule="atLeast"/>
          <w:jc w:val="center"/>
        </w:trPr>
        <w:tc>
          <w:tcPr>
            <w:tcW w:w="778" w:type="dxa"/>
            <w:vMerge w:val="continue"/>
            <w:vAlign w:val="center"/>
          </w:tcPr>
          <w:p w14:paraId="1292A6CE">
            <w:pPr>
              <w:kinsoku/>
              <w:spacing w:line="400" w:lineRule="exact"/>
              <w:ind w:firstLine="420"/>
              <w:jc w:val="center"/>
              <w:textAlignment w:val="auto"/>
              <w:rPr>
                <w:rFonts w:ascii="宋体" w:hAnsi="宋体" w:eastAsia="宋体" w:cs="宋体"/>
                <w:color w:val="auto"/>
                <w:highlight w:val="none"/>
                <w:lang w:eastAsia="zh-CN"/>
              </w:rPr>
            </w:pPr>
          </w:p>
        </w:tc>
        <w:tc>
          <w:tcPr>
            <w:tcW w:w="819" w:type="dxa"/>
            <w:gridSpan w:val="2"/>
            <w:vMerge w:val="continue"/>
            <w:vAlign w:val="center"/>
          </w:tcPr>
          <w:p w14:paraId="707604CF">
            <w:pPr>
              <w:kinsoku/>
              <w:spacing w:line="400" w:lineRule="exact"/>
              <w:ind w:firstLine="420"/>
              <w:jc w:val="center"/>
              <w:textAlignment w:val="auto"/>
              <w:rPr>
                <w:rFonts w:ascii="宋体" w:hAnsi="宋体" w:eastAsia="宋体" w:cs="宋体"/>
                <w:color w:val="auto"/>
                <w:highlight w:val="none"/>
                <w:lang w:eastAsia="zh-CN"/>
              </w:rPr>
            </w:pPr>
          </w:p>
        </w:tc>
        <w:tc>
          <w:tcPr>
            <w:tcW w:w="2886" w:type="dxa"/>
            <w:gridSpan w:val="3"/>
            <w:vAlign w:val="center"/>
          </w:tcPr>
          <w:p w14:paraId="05B26F0D">
            <w:pPr>
              <w:kinsoku/>
              <w:spacing w:line="400" w:lineRule="exact"/>
              <w:jc w:val="center"/>
              <w:textAlignment w:val="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服务期限</w:t>
            </w:r>
          </w:p>
        </w:tc>
        <w:tc>
          <w:tcPr>
            <w:tcW w:w="5381" w:type="dxa"/>
            <w:vAlign w:val="center"/>
          </w:tcPr>
          <w:p w14:paraId="420AE9AF">
            <w:pPr>
              <w:kinsoku/>
              <w:spacing w:line="400" w:lineRule="exact"/>
              <w:textAlignment w:val="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符合第二章“供应商须知”规定</w:t>
            </w:r>
          </w:p>
        </w:tc>
      </w:tr>
      <w:tr w14:paraId="6238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2" w:type="dxa"/>
          <w:trHeight w:val="746" w:hRule="atLeast"/>
          <w:jc w:val="center"/>
        </w:trPr>
        <w:tc>
          <w:tcPr>
            <w:tcW w:w="778" w:type="dxa"/>
            <w:vMerge w:val="continue"/>
            <w:vAlign w:val="center"/>
          </w:tcPr>
          <w:p w14:paraId="2D4DBFA8">
            <w:pPr>
              <w:kinsoku/>
              <w:spacing w:line="400" w:lineRule="exact"/>
              <w:ind w:firstLine="420"/>
              <w:jc w:val="center"/>
              <w:textAlignment w:val="auto"/>
              <w:rPr>
                <w:rFonts w:ascii="宋体" w:hAnsi="宋体" w:eastAsia="宋体" w:cs="宋体"/>
                <w:color w:val="auto"/>
                <w:highlight w:val="none"/>
                <w:lang w:eastAsia="zh-CN"/>
              </w:rPr>
            </w:pPr>
          </w:p>
        </w:tc>
        <w:tc>
          <w:tcPr>
            <w:tcW w:w="819" w:type="dxa"/>
            <w:gridSpan w:val="2"/>
            <w:vMerge w:val="continue"/>
            <w:vAlign w:val="center"/>
          </w:tcPr>
          <w:p w14:paraId="7FF33161">
            <w:pPr>
              <w:kinsoku/>
              <w:spacing w:line="400" w:lineRule="exact"/>
              <w:ind w:firstLine="420"/>
              <w:jc w:val="center"/>
              <w:textAlignment w:val="auto"/>
              <w:rPr>
                <w:rFonts w:ascii="宋体" w:hAnsi="宋体" w:eastAsia="宋体" w:cs="宋体"/>
                <w:color w:val="auto"/>
                <w:highlight w:val="none"/>
                <w:lang w:eastAsia="zh-CN"/>
              </w:rPr>
            </w:pPr>
          </w:p>
        </w:tc>
        <w:tc>
          <w:tcPr>
            <w:tcW w:w="2886" w:type="dxa"/>
            <w:gridSpan w:val="3"/>
            <w:vAlign w:val="center"/>
          </w:tcPr>
          <w:p w14:paraId="100DB289">
            <w:pPr>
              <w:kinsoku/>
              <w:spacing w:line="400" w:lineRule="exact"/>
              <w:jc w:val="center"/>
              <w:textAlignment w:val="auto"/>
              <w:rPr>
                <w:rFonts w:ascii="宋体" w:hAnsi="宋体" w:eastAsia="宋体" w:cs="宋体"/>
                <w:color w:val="auto"/>
                <w:highlight w:val="none"/>
              </w:rPr>
            </w:pPr>
            <w:r>
              <w:rPr>
                <w:rFonts w:hint="eastAsia" w:ascii="宋体" w:hAnsi="宋体" w:eastAsia="宋体" w:cs="宋体"/>
                <w:color w:val="auto"/>
                <w:highlight w:val="none"/>
              </w:rPr>
              <w:t>质量要求</w:t>
            </w:r>
          </w:p>
        </w:tc>
        <w:tc>
          <w:tcPr>
            <w:tcW w:w="5381" w:type="dxa"/>
            <w:vAlign w:val="center"/>
          </w:tcPr>
          <w:p w14:paraId="16499D58">
            <w:pPr>
              <w:kinsoku/>
              <w:spacing w:line="400" w:lineRule="exact"/>
              <w:textAlignment w:val="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符合第二章“供应商须知”规定</w:t>
            </w:r>
          </w:p>
        </w:tc>
      </w:tr>
      <w:tr w14:paraId="53FDA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2" w:type="dxa"/>
          <w:trHeight w:val="739" w:hRule="atLeast"/>
          <w:jc w:val="center"/>
        </w:trPr>
        <w:tc>
          <w:tcPr>
            <w:tcW w:w="778" w:type="dxa"/>
            <w:vMerge w:val="continue"/>
            <w:vAlign w:val="center"/>
          </w:tcPr>
          <w:p w14:paraId="2F5F3300">
            <w:pPr>
              <w:kinsoku/>
              <w:spacing w:line="400" w:lineRule="exact"/>
              <w:ind w:firstLine="420"/>
              <w:jc w:val="center"/>
              <w:textAlignment w:val="auto"/>
              <w:rPr>
                <w:rFonts w:ascii="宋体" w:hAnsi="宋体" w:eastAsia="宋体" w:cs="宋体"/>
                <w:color w:val="auto"/>
                <w:highlight w:val="none"/>
                <w:lang w:eastAsia="zh-CN"/>
              </w:rPr>
            </w:pPr>
          </w:p>
        </w:tc>
        <w:tc>
          <w:tcPr>
            <w:tcW w:w="819" w:type="dxa"/>
            <w:gridSpan w:val="2"/>
            <w:vMerge w:val="continue"/>
            <w:vAlign w:val="center"/>
          </w:tcPr>
          <w:p w14:paraId="5AD184C4">
            <w:pPr>
              <w:kinsoku/>
              <w:spacing w:line="400" w:lineRule="exact"/>
              <w:ind w:firstLine="420"/>
              <w:jc w:val="center"/>
              <w:textAlignment w:val="auto"/>
              <w:rPr>
                <w:rFonts w:ascii="宋体" w:hAnsi="宋体" w:eastAsia="宋体" w:cs="宋体"/>
                <w:color w:val="auto"/>
                <w:highlight w:val="none"/>
                <w:lang w:eastAsia="zh-CN"/>
              </w:rPr>
            </w:pPr>
          </w:p>
        </w:tc>
        <w:tc>
          <w:tcPr>
            <w:tcW w:w="2886" w:type="dxa"/>
            <w:gridSpan w:val="3"/>
            <w:vAlign w:val="center"/>
          </w:tcPr>
          <w:p w14:paraId="2BC69E79">
            <w:pPr>
              <w:kinsoku/>
              <w:spacing w:line="400" w:lineRule="exact"/>
              <w:jc w:val="center"/>
              <w:textAlignment w:val="auto"/>
              <w:rPr>
                <w:rFonts w:ascii="宋体" w:hAnsi="宋体" w:eastAsia="宋体" w:cs="宋体"/>
                <w:color w:val="auto"/>
                <w:highlight w:val="none"/>
              </w:rPr>
            </w:pP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磋商有效期</w:t>
            </w:r>
          </w:p>
        </w:tc>
        <w:tc>
          <w:tcPr>
            <w:tcW w:w="5381" w:type="dxa"/>
            <w:vAlign w:val="center"/>
          </w:tcPr>
          <w:p w14:paraId="51367743">
            <w:pPr>
              <w:kinsoku/>
              <w:spacing w:line="400" w:lineRule="exact"/>
              <w:textAlignment w:val="auto"/>
              <w:rPr>
                <w:rFonts w:ascii="宋体" w:hAnsi="宋体" w:eastAsia="宋体" w:cs="宋体"/>
                <w:color w:val="auto"/>
                <w:highlight w:val="none"/>
                <w:lang w:eastAsia="zh-CN"/>
              </w:rPr>
            </w:pPr>
            <w:r>
              <w:rPr>
                <w:rFonts w:hint="eastAsia" w:ascii="宋体" w:hAnsi="宋体" w:eastAsia="宋体" w:cs="宋体"/>
                <w:color w:val="auto"/>
                <w:highlight w:val="none"/>
                <w:lang w:val="en-US" w:eastAsia="zh-CN"/>
              </w:rPr>
              <w:t>符合磋商文件要求</w:t>
            </w:r>
          </w:p>
        </w:tc>
      </w:tr>
      <w:tr w14:paraId="70FB4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2" w:type="dxa"/>
          <w:trHeight w:val="739" w:hRule="atLeast"/>
          <w:jc w:val="center"/>
        </w:trPr>
        <w:tc>
          <w:tcPr>
            <w:tcW w:w="778" w:type="dxa"/>
            <w:vMerge w:val="continue"/>
            <w:vAlign w:val="center"/>
          </w:tcPr>
          <w:p w14:paraId="25E8C0D1">
            <w:pPr>
              <w:kinsoku/>
              <w:spacing w:line="400" w:lineRule="exact"/>
              <w:ind w:firstLine="420"/>
              <w:jc w:val="center"/>
              <w:textAlignment w:val="auto"/>
              <w:rPr>
                <w:rFonts w:ascii="宋体" w:hAnsi="宋体" w:eastAsia="宋体" w:cs="宋体"/>
                <w:color w:val="auto"/>
                <w:highlight w:val="none"/>
                <w:lang w:eastAsia="zh-CN"/>
              </w:rPr>
            </w:pPr>
          </w:p>
        </w:tc>
        <w:tc>
          <w:tcPr>
            <w:tcW w:w="819" w:type="dxa"/>
            <w:gridSpan w:val="2"/>
            <w:vMerge w:val="continue"/>
            <w:vAlign w:val="center"/>
          </w:tcPr>
          <w:p w14:paraId="3C98CC85">
            <w:pPr>
              <w:kinsoku/>
              <w:spacing w:line="400" w:lineRule="exact"/>
              <w:ind w:firstLine="420"/>
              <w:jc w:val="center"/>
              <w:textAlignment w:val="auto"/>
              <w:rPr>
                <w:rFonts w:ascii="宋体" w:hAnsi="宋体" w:eastAsia="宋体" w:cs="宋体"/>
                <w:color w:val="auto"/>
                <w:highlight w:val="none"/>
                <w:lang w:eastAsia="zh-CN"/>
              </w:rPr>
            </w:pPr>
          </w:p>
        </w:tc>
        <w:tc>
          <w:tcPr>
            <w:tcW w:w="2886" w:type="dxa"/>
            <w:gridSpan w:val="3"/>
            <w:vAlign w:val="center"/>
          </w:tcPr>
          <w:p w14:paraId="269A14F5">
            <w:pPr>
              <w:kinsoku/>
              <w:spacing w:line="400" w:lineRule="exact"/>
              <w:jc w:val="center"/>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磋商报价</w:t>
            </w:r>
          </w:p>
        </w:tc>
        <w:tc>
          <w:tcPr>
            <w:tcW w:w="5381" w:type="dxa"/>
            <w:vAlign w:val="center"/>
          </w:tcPr>
          <w:p w14:paraId="1ACDAC08">
            <w:pPr>
              <w:kinsoku/>
              <w:spacing w:line="40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报价不超过预算价（最高限价）</w:t>
            </w:r>
          </w:p>
        </w:tc>
      </w:tr>
      <w:tr w14:paraId="49868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2" w:type="dxa"/>
          <w:trHeight w:val="688" w:hRule="atLeast"/>
          <w:jc w:val="center"/>
        </w:trPr>
        <w:tc>
          <w:tcPr>
            <w:tcW w:w="778" w:type="dxa"/>
            <w:vMerge w:val="continue"/>
            <w:vAlign w:val="center"/>
          </w:tcPr>
          <w:p w14:paraId="741E23E1">
            <w:pPr>
              <w:kinsoku/>
              <w:spacing w:line="400" w:lineRule="exact"/>
              <w:ind w:firstLine="420"/>
              <w:jc w:val="center"/>
              <w:textAlignment w:val="auto"/>
              <w:rPr>
                <w:rFonts w:ascii="宋体" w:hAnsi="宋体" w:eastAsia="宋体" w:cs="宋体"/>
                <w:color w:val="auto"/>
                <w:highlight w:val="none"/>
                <w:lang w:eastAsia="zh-CN"/>
              </w:rPr>
            </w:pPr>
          </w:p>
        </w:tc>
        <w:tc>
          <w:tcPr>
            <w:tcW w:w="819" w:type="dxa"/>
            <w:gridSpan w:val="2"/>
            <w:vMerge w:val="continue"/>
            <w:vAlign w:val="center"/>
          </w:tcPr>
          <w:p w14:paraId="62B7D46B">
            <w:pPr>
              <w:kinsoku/>
              <w:spacing w:line="400" w:lineRule="exact"/>
              <w:ind w:firstLine="420"/>
              <w:jc w:val="center"/>
              <w:textAlignment w:val="auto"/>
              <w:rPr>
                <w:rFonts w:ascii="宋体" w:hAnsi="宋体" w:eastAsia="宋体" w:cs="宋体"/>
                <w:color w:val="auto"/>
                <w:highlight w:val="none"/>
                <w:lang w:eastAsia="zh-CN"/>
              </w:rPr>
            </w:pPr>
          </w:p>
        </w:tc>
        <w:tc>
          <w:tcPr>
            <w:tcW w:w="2886" w:type="dxa"/>
            <w:gridSpan w:val="3"/>
            <w:vAlign w:val="center"/>
          </w:tcPr>
          <w:p w14:paraId="5A8D3993">
            <w:pPr>
              <w:kinsoku/>
              <w:spacing w:line="400" w:lineRule="exact"/>
              <w:jc w:val="center"/>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其他实质性要求</w:t>
            </w:r>
          </w:p>
        </w:tc>
        <w:tc>
          <w:tcPr>
            <w:tcW w:w="5381" w:type="dxa"/>
            <w:vAlign w:val="center"/>
          </w:tcPr>
          <w:p w14:paraId="49EC0504">
            <w:pPr>
              <w:kinsoku/>
              <w:spacing w:line="400" w:lineRule="exact"/>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符合磋商文件要求</w:t>
            </w:r>
          </w:p>
        </w:tc>
      </w:tr>
      <w:tr w14:paraId="73826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10296" w:type="dxa"/>
            <w:gridSpan w:val="8"/>
            <w:tcBorders>
              <w:top w:val="single" w:color="000000" w:sz="4" w:space="0"/>
              <w:left w:val="single" w:color="000000" w:sz="4" w:space="0"/>
              <w:bottom w:val="single" w:color="000000" w:sz="4" w:space="0"/>
              <w:right w:val="single" w:color="000000" w:sz="4" w:space="0"/>
            </w:tcBorders>
            <w:noWrap w:val="0"/>
            <w:vAlign w:val="center"/>
          </w:tcPr>
          <w:p w14:paraId="057BADD1">
            <w:pPr>
              <w:keepNext w:val="0"/>
              <w:keepLines w:val="0"/>
              <w:widowControl/>
              <w:suppressLineNumbers w:val="0"/>
              <w:jc w:val="center"/>
              <w:textAlignment w:val="center"/>
              <w:rPr>
                <w:rFonts w:ascii="仿宋" w:hAnsi="仿宋" w:eastAsia="仿宋" w:cs="仿宋"/>
                <w:b/>
                <w:bCs/>
                <w:i w:val="0"/>
                <w:iCs w:val="0"/>
                <w:color w:val="auto"/>
                <w:sz w:val="22"/>
                <w:szCs w:val="22"/>
                <w:highlight w:val="none"/>
                <w:u w:val="none"/>
              </w:rPr>
            </w:pPr>
            <w:bookmarkStart w:id="818" w:name="_Toc318450722"/>
            <w:bookmarkStart w:id="819" w:name="_Toc144974567"/>
            <w:bookmarkStart w:id="820" w:name="_Toc21514"/>
            <w:bookmarkStart w:id="821" w:name="_Toc31578"/>
            <w:bookmarkStart w:id="822" w:name="_Toc29550"/>
            <w:bookmarkStart w:id="823" w:name="_Toc152045600"/>
            <w:bookmarkStart w:id="824" w:name="_Toc281405528"/>
            <w:bookmarkStart w:id="825" w:name="_Toc152042377"/>
            <w:r>
              <w:rPr>
                <w:rFonts w:hint="eastAsia" w:ascii="仿宋" w:hAnsi="仿宋" w:eastAsia="仿宋" w:cs="仿宋"/>
                <w:b/>
                <w:bCs/>
                <w:i w:val="0"/>
                <w:iCs w:val="0"/>
                <w:color w:val="auto"/>
                <w:kern w:val="0"/>
                <w:sz w:val="22"/>
                <w:szCs w:val="22"/>
                <w:highlight w:val="none"/>
                <w:u w:val="none"/>
                <w:lang w:val="en-US" w:eastAsia="zh-CN" w:bidi="ar"/>
              </w:rPr>
              <w:t>评分办法</w:t>
            </w:r>
          </w:p>
        </w:tc>
      </w:tr>
      <w:tr w14:paraId="537B3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539"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14:paraId="03E636E1">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分值构成</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(总分100分)</w:t>
            </w:r>
          </w:p>
        </w:tc>
        <w:tc>
          <w:tcPr>
            <w:tcW w:w="6757" w:type="dxa"/>
            <w:gridSpan w:val="3"/>
            <w:tcBorders>
              <w:top w:val="single" w:color="000000" w:sz="4" w:space="0"/>
              <w:left w:val="single" w:color="000000" w:sz="4" w:space="0"/>
              <w:bottom w:val="single" w:color="000000" w:sz="4" w:space="0"/>
              <w:right w:val="single" w:color="000000" w:sz="4" w:space="0"/>
            </w:tcBorders>
            <w:noWrap w:val="0"/>
            <w:vAlign w:val="center"/>
          </w:tcPr>
          <w:p w14:paraId="3E0A910F">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报价得分：30分</w:t>
            </w:r>
          </w:p>
        </w:tc>
      </w:tr>
      <w:tr w14:paraId="60657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539"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66C96947">
            <w:pPr>
              <w:jc w:val="center"/>
              <w:rPr>
                <w:rFonts w:hint="eastAsia" w:ascii="仿宋" w:hAnsi="仿宋" w:eastAsia="仿宋" w:cs="仿宋"/>
                <w:i w:val="0"/>
                <w:iCs w:val="0"/>
                <w:color w:val="auto"/>
                <w:sz w:val="22"/>
                <w:szCs w:val="22"/>
                <w:highlight w:val="none"/>
                <w:u w:val="none"/>
              </w:rPr>
            </w:pPr>
          </w:p>
        </w:tc>
        <w:tc>
          <w:tcPr>
            <w:tcW w:w="6757" w:type="dxa"/>
            <w:gridSpan w:val="3"/>
            <w:tcBorders>
              <w:top w:val="single" w:color="000000" w:sz="4" w:space="0"/>
              <w:left w:val="single" w:color="000000" w:sz="4" w:space="0"/>
              <w:bottom w:val="single" w:color="000000" w:sz="4" w:space="0"/>
              <w:right w:val="single" w:color="000000" w:sz="4" w:space="0"/>
            </w:tcBorders>
            <w:noWrap w:val="0"/>
            <w:vAlign w:val="center"/>
          </w:tcPr>
          <w:p w14:paraId="50A71EC7">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商务部分：30分</w:t>
            </w:r>
          </w:p>
        </w:tc>
      </w:tr>
      <w:tr w14:paraId="0D3C2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539"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35E52F1F">
            <w:pPr>
              <w:jc w:val="center"/>
              <w:rPr>
                <w:rFonts w:hint="eastAsia" w:ascii="仿宋" w:hAnsi="仿宋" w:eastAsia="仿宋" w:cs="仿宋"/>
                <w:i w:val="0"/>
                <w:iCs w:val="0"/>
                <w:color w:val="auto"/>
                <w:sz w:val="22"/>
                <w:szCs w:val="22"/>
                <w:highlight w:val="none"/>
                <w:u w:val="none"/>
              </w:rPr>
            </w:pPr>
          </w:p>
        </w:tc>
        <w:tc>
          <w:tcPr>
            <w:tcW w:w="6757" w:type="dxa"/>
            <w:gridSpan w:val="3"/>
            <w:tcBorders>
              <w:top w:val="single" w:color="000000" w:sz="4" w:space="0"/>
              <w:left w:val="single" w:color="000000" w:sz="4" w:space="0"/>
              <w:bottom w:val="single" w:color="000000" w:sz="4" w:space="0"/>
              <w:right w:val="single" w:color="000000" w:sz="4" w:space="0"/>
            </w:tcBorders>
            <w:noWrap w:val="0"/>
            <w:vAlign w:val="center"/>
          </w:tcPr>
          <w:p w14:paraId="2AADFF86">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技术部分：40分</w:t>
            </w:r>
          </w:p>
        </w:tc>
      </w:tr>
      <w:tr w14:paraId="4A149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054" w:type="dxa"/>
            <w:gridSpan w:val="2"/>
            <w:tcBorders>
              <w:top w:val="single" w:color="000000" w:sz="4" w:space="0"/>
              <w:left w:val="single" w:color="000000" w:sz="4" w:space="0"/>
              <w:bottom w:val="single" w:color="000000" w:sz="4" w:space="0"/>
              <w:right w:val="single" w:color="000000" w:sz="4" w:space="0"/>
            </w:tcBorders>
            <w:noWrap w:val="0"/>
            <w:vAlign w:val="center"/>
          </w:tcPr>
          <w:p w14:paraId="5D1212E2">
            <w:pPr>
              <w:keepNext w:val="0"/>
              <w:keepLines w:val="0"/>
              <w:widowControl/>
              <w:suppressLineNumbers w:val="0"/>
              <w:jc w:val="center"/>
              <w:textAlignment w:val="center"/>
              <w:rPr>
                <w:rFonts w:hint="default" w:ascii="仿宋" w:hAnsi="仿宋" w:eastAsia="仿宋" w:cs="仿宋"/>
                <w:b/>
                <w:bCs/>
                <w:i w:val="0"/>
                <w:iCs w:val="0"/>
                <w:color w:val="auto"/>
                <w:sz w:val="22"/>
                <w:szCs w:val="22"/>
                <w:highlight w:val="none"/>
                <w:u w:val="none"/>
                <w:lang w:val="en-US" w:eastAsia="zh-CN"/>
              </w:rPr>
            </w:pPr>
            <w:r>
              <w:rPr>
                <w:rFonts w:hint="eastAsia" w:ascii="仿宋" w:hAnsi="仿宋" w:eastAsia="仿宋" w:cs="仿宋"/>
                <w:b/>
                <w:bCs/>
                <w:i w:val="0"/>
                <w:iCs w:val="0"/>
                <w:color w:val="auto"/>
                <w:sz w:val="22"/>
                <w:szCs w:val="22"/>
                <w:highlight w:val="none"/>
                <w:u w:val="none"/>
                <w:lang w:val="en-US" w:eastAsia="zh-CN"/>
              </w:rPr>
              <w:t>评分分类</w:t>
            </w:r>
          </w:p>
        </w:tc>
        <w:tc>
          <w:tcPr>
            <w:tcW w:w="1231" w:type="dxa"/>
            <w:gridSpan w:val="2"/>
            <w:tcBorders>
              <w:top w:val="single" w:color="000000" w:sz="4" w:space="0"/>
              <w:left w:val="single" w:color="000000" w:sz="4" w:space="0"/>
              <w:bottom w:val="single" w:color="000000" w:sz="4" w:space="0"/>
              <w:right w:val="single" w:color="000000" w:sz="4" w:space="0"/>
            </w:tcBorders>
            <w:noWrap w:val="0"/>
            <w:vAlign w:val="center"/>
          </w:tcPr>
          <w:p w14:paraId="7FC12122">
            <w:pPr>
              <w:keepNext w:val="0"/>
              <w:keepLines w:val="0"/>
              <w:widowControl/>
              <w:suppressLineNumbers w:val="0"/>
              <w:jc w:val="center"/>
              <w:textAlignment w:val="center"/>
              <w:rPr>
                <w:rFonts w:hint="eastAsia" w:ascii="仿宋" w:hAnsi="仿宋" w:eastAsia="仿宋" w:cs="仿宋"/>
                <w:b/>
                <w:bCs/>
                <w:i w:val="0"/>
                <w:iCs w:val="0"/>
                <w:color w:val="auto"/>
                <w:sz w:val="22"/>
                <w:szCs w:val="22"/>
                <w:highlight w:val="none"/>
                <w:u w:val="none"/>
              </w:rPr>
            </w:pPr>
            <w:r>
              <w:rPr>
                <w:rFonts w:hint="eastAsia" w:ascii="仿宋" w:hAnsi="仿宋" w:eastAsia="仿宋" w:cs="仿宋"/>
                <w:b/>
                <w:bCs/>
                <w:i w:val="0"/>
                <w:iCs w:val="0"/>
                <w:color w:val="auto"/>
                <w:kern w:val="0"/>
                <w:sz w:val="22"/>
                <w:szCs w:val="22"/>
                <w:highlight w:val="none"/>
                <w:u w:val="none"/>
                <w:lang w:val="en-US" w:eastAsia="zh-CN" w:bidi="ar"/>
              </w:rPr>
              <w:t>评分因素</w:t>
            </w:r>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78C8CA9F">
            <w:pPr>
              <w:keepNext w:val="0"/>
              <w:keepLines w:val="0"/>
              <w:widowControl/>
              <w:suppressLineNumbers w:val="0"/>
              <w:jc w:val="center"/>
              <w:textAlignment w:val="center"/>
              <w:rPr>
                <w:rFonts w:hint="eastAsia" w:ascii="仿宋" w:hAnsi="仿宋" w:eastAsia="仿宋" w:cs="仿宋"/>
                <w:b/>
                <w:bCs/>
                <w:i w:val="0"/>
                <w:iCs w:val="0"/>
                <w:color w:val="auto"/>
                <w:sz w:val="22"/>
                <w:szCs w:val="22"/>
                <w:highlight w:val="none"/>
                <w:u w:val="none"/>
              </w:rPr>
            </w:pPr>
            <w:r>
              <w:rPr>
                <w:rFonts w:hint="eastAsia" w:ascii="仿宋" w:hAnsi="仿宋" w:eastAsia="仿宋" w:cs="仿宋"/>
                <w:b/>
                <w:bCs/>
                <w:i w:val="0"/>
                <w:iCs w:val="0"/>
                <w:color w:val="auto"/>
                <w:kern w:val="0"/>
                <w:sz w:val="22"/>
                <w:szCs w:val="22"/>
                <w:highlight w:val="none"/>
                <w:u w:val="none"/>
                <w:lang w:val="en-US" w:eastAsia="zh-CN" w:bidi="ar"/>
              </w:rPr>
              <w:t>分值</w:t>
            </w:r>
          </w:p>
        </w:tc>
        <w:tc>
          <w:tcPr>
            <w:tcW w:w="6757" w:type="dxa"/>
            <w:gridSpan w:val="3"/>
            <w:tcBorders>
              <w:top w:val="single" w:color="000000" w:sz="4" w:space="0"/>
              <w:left w:val="single" w:color="000000" w:sz="4" w:space="0"/>
              <w:bottom w:val="single" w:color="000000" w:sz="4" w:space="0"/>
              <w:right w:val="single" w:color="000000" w:sz="4" w:space="0"/>
            </w:tcBorders>
            <w:noWrap w:val="0"/>
            <w:vAlign w:val="center"/>
          </w:tcPr>
          <w:p w14:paraId="699A3F03">
            <w:pPr>
              <w:keepNext w:val="0"/>
              <w:keepLines w:val="0"/>
              <w:widowControl/>
              <w:suppressLineNumbers w:val="0"/>
              <w:jc w:val="center"/>
              <w:textAlignment w:val="center"/>
              <w:rPr>
                <w:rFonts w:hint="eastAsia" w:ascii="仿宋" w:hAnsi="仿宋" w:eastAsia="仿宋" w:cs="仿宋"/>
                <w:b/>
                <w:bCs/>
                <w:i w:val="0"/>
                <w:iCs w:val="0"/>
                <w:color w:val="auto"/>
                <w:sz w:val="22"/>
                <w:szCs w:val="22"/>
                <w:highlight w:val="none"/>
                <w:u w:val="none"/>
              </w:rPr>
            </w:pPr>
            <w:r>
              <w:rPr>
                <w:rFonts w:hint="eastAsia" w:ascii="仿宋" w:hAnsi="仿宋" w:eastAsia="仿宋" w:cs="仿宋"/>
                <w:b/>
                <w:bCs/>
                <w:i w:val="0"/>
                <w:iCs w:val="0"/>
                <w:color w:val="auto"/>
                <w:kern w:val="0"/>
                <w:sz w:val="22"/>
                <w:szCs w:val="22"/>
                <w:highlight w:val="none"/>
                <w:u w:val="none"/>
                <w:lang w:val="en-US" w:eastAsia="zh-CN" w:bidi="ar"/>
              </w:rPr>
              <w:t>评分标准</w:t>
            </w:r>
          </w:p>
        </w:tc>
      </w:tr>
      <w:tr w14:paraId="0D71E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4" w:hRule="atLeast"/>
          <w:jc w:val="center"/>
        </w:trPr>
        <w:tc>
          <w:tcPr>
            <w:tcW w:w="1054" w:type="dxa"/>
            <w:gridSpan w:val="2"/>
            <w:tcBorders>
              <w:top w:val="single" w:color="000000" w:sz="4" w:space="0"/>
              <w:left w:val="single" w:color="000000" w:sz="4" w:space="0"/>
              <w:bottom w:val="single" w:color="000000" w:sz="4" w:space="0"/>
              <w:right w:val="single" w:color="000000" w:sz="4" w:space="0"/>
            </w:tcBorders>
            <w:noWrap w:val="0"/>
            <w:vAlign w:val="center"/>
          </w:tcPr>
          <w:p w14:paraId="77FC0B1B">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价格评分（30分）</w:t>
            </w:r>
          </w:p>
        </w:tc>
        <w:tc>
          <w:tcPr>
            <w:tcW w:w="1231" w:type="dxa"/>
            <w:gridSpan w:val="2"/>
            <w:tcBorders>
              <w:top w:val="single" w:color="000000" w:sz="4" w:space="0"/>
              <w:left w:val="single" w:color="000000" w:sz="4" w:space="0"/>
              <w:bottom w:val="single" w:color="000000" w:sz="4" w:space="0"/>
              <w:right w:val="single" w:color="000000" w:sz="4" w:space="0"/>
            </w:tcBorders>
            <w:noWrap w:val="0"/>
            <w:vAlign w:val="center"/>
          </w:tcPr>
          <w:p w14:paraId="11C67219">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价格评分（30分）</w:t>
            </w:r>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39C6E830">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30</w:t>
            </w:r>
          </w:p>
        </w:tc>
        <w:tc>
          <w:tcPr>
            <w:tcW w:w="6757" w:type="dxa"/>
            <w:gridSpan w:val="3"/>
            <w:tcBorders>
              <w:top w:val="single" w:color="000000" w:sz="4" w:space="0"/>
              <w:left w:val="single" w:color="000000" w:sz="4" w:space="0"/>
              <w:bottom w:val="single" w:color="000000" w:sz="4" w:space="0"/>
              <w:right w:val="single" w:color="000000" w:sz="4" w:space="0"/>
            </w:tcBorders>
            <w:noWrap w:val="0"/>
            <w:vAlign w:val="center"/>
          </w:tcPr>
          <w:p w14:paraId="5C02A062">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采取综合评分中的价格分采用低价优先法计算，即满足磋商文件要求且投标价格最低的投标报价为评标基准价，其价格分为满分。其他投标人的价格分统一按照下列公式计算：</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投标报价得分=(评标基准价/投标报价)×30%×100，数值精度为小数点后二位（四舍五入）</w:t>
            </w:r>
          </w:p>
        </w:tc>
      </w:tr>
      <w:tr w14:paraId="61EC1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1054"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306946C">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商务部分（30分）</w:t>
            </w:r>
          </w:p>
        </w:tc>
        <w:tc>
          <w:tcPr>
            <w:tcW w:w="123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81AE221">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企业实力（30分）</w:t>
            </w:r>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68B06F4A">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15分</w:t>
            </w:r>
          </w:p>
        </w:tc>
        <w:tc>
          <w:tcPr>
            <w:tcW w:w="6757" w:type="dxa"/>
            <w:gridSpan w:val="3"/>
            <w:tcBorders>
              <w:top w:val="single" w:color="000000" w:sz="4" w:space="0"/>
              <w:left w:val="single" w:color="000000" w:sz="4" w:space="0"/>
              <w:bottom w:val="single" w:color="000000" w:sz="4" w:space="0"/>
              <w:right w:val="single" w:color="000000" w:sz="4" w:space="0"/>
            </w:tcBorders>
            <w:noWrap w:val="0"/>
            <w:vAlign w:val="center"/>
          </w:tcPr>
          <w:p w14:paraId="21EE60DE">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供应商具有以下专业机构认证的相关证书的，每具有一项得1分，最高得5分：质量管理体系认证证书、信息安全管理体系认证证书、信息技术服务管理体系认证证书、环境管理体系认证证书、售后服务认证证书。</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2、供应商具备DCMM数据管理能力成熟度三级有效认证的，得2分；四级及以上有效认证的，得4分；</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3、供应商具有以下专业机构认证的相关证书的，每具有一项得1分，最高得6分：CCRC信息安全服务资质认证（信息系统安全集成）证书、CCRC信息安全服务资质认证（信息安全风险评估）证书、CCRC信息安全服务资质认证（信息系统安全运维）证书、CCRC信息安全服务资质认证（信息安全应急处理）证书、CCRC信息安全服务资质认证（信息系统灾难备份与恢复）、CCRC信息安全服务资质认证（软件安全开发）。</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注：分支机构参与投标，可使用总公司相关证书。</w:t>
            </w:r>
          </w:p>
        </w:tc>
      </w:tr>
      <w:tr w14:paraId="2798E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3" w:hRule="atLeast"/>
          <w:jc w:val="center"/>
        </w:trPr>
        <w:tc>
          <w:tcPr>
            <w:tcW w:w="105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418AB48">
            <w:pPr>
              <w:jc w:val="center"/>
              <w:rPr>
                <w:rFonts w:hint="eastAsia" w:ascii="仿宋" w:hAnsi="仿宋" w:eastAsia="仿宋" w:cs="仿宋"/>
                <w:i w:val="0"/>
                <w:iCs w:val="0"/>
                <w:color w:val="auto"/>
                <w:sz w:val="22"/>
                <w:szCs w:val="22"/>
                <w:highlight w:val="none"/>
                <w:u w:val="none"/>
              </w:rPr>
            </w:pPr>
          </w:p>
        </w:tc>
        <w:tc>
          <w:tcPr>
            <w:tcW w:w="123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22C8BD2">
            <w:pPr>
              <w:jc w:val="center"/>
              <w:rPr>
                <w:rFonts w:hint="eastAsia" w:ascii="仿宋" w:hAnsi="仿宋" w:eastAsia="仿宋" w:cs="仿宋"/>
                <w:i w:val="0"/>
                <w:iCs w:val="0"/>
                <w:color w:val="auto"/>
                <w:sz w:val="22"/>
                <w:szCs w:val="22"/>
                <w:highlight w:val="none"/>
                <w:u w:val="none"/>
              </w:rPr>
            </w:pPr>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026E2C01">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13分</w:t>
            </w:r>
          </w:p>
        </w:tc>
        <w:tc>
          <w:tcPr>
            <w:tcW w:w="6757" w:type="dxa"/>
            <w:gridSpan w:val="3"/>
            <w:tcBorders>
              <w:top w:val="single" w:color="000000" w:sz="4" w:space="0"/>
              <w:left w:val="single" w:color="000000" w:sz="4" w:space="0"/>
              <w:bottom w:val="single" w:color="000000" w:sz="4" w:space="0"/>
              <w:right w:val="single" w:color="000000" w:sz="4" w:space="0"/>
            </w:tcBorders>
            <w:noWrap w:val="0"/>
            <w:vAlign w:val="center"/>
          </w:tcPr>
          <w:p w14:paraId="4E84ED2F">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供应商拟派项目团队成员：</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1、项目经理具有高级工程师任职资格得2.5分，否则不得分。</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2、项目技术人员具有系统集成项目管理工程师证书得2.5分，否则不得分。</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3、项目网络工程师具有国家及通信网络安全相关荣誉证书，每有1个得2.5分，最多得5分，否则不得分。</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4、项目运维人员具有Offensive安全认证专家OSCP证书，得3分，否则不得分。</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注：拟派人员需提供投标人自2024年1月以来任意1个月的缴纳社保的证明材料，无社保证明不得分。</w:t>
            </w:r>
          </w:p>
        </w:tc>
      </w:tr>
      <w:tr w14:paraId="39B67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jc w:val="center"/>
        </w:trPr>
        <w:tc>
          <w:tcPr>
            <w:tcW w:w="105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71C72D1">
            <w:pPr>
              <w:jc w:val="center"/>
              <w:rPr>
                <w:rFonts w:hint="eastAsia" w:ascii="仿宋" w:hAnsi="仿宋" w:eastAsia="仿宋" w:cs="仿宋"/>
                <w:i w:val="0"/>
                <w:iCs w:val="0"/>
                <w:color w:val="auto"/>
                <w:sz w:val="22"/>
                <w:szCs w:val="22"/>
                <w:highlight w:val="none"/>
                <w:u w:val="none"/>
              </w:rPr>
            </w:pPr>
          </w:p>
        </w:tc>
        <w:tc>
          <w:tcPr>
            <w:tcW w:w="123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FCC8DC1">
            <w:pPr>
              <w:jc w:val="center"/>
              <w:rPr>
                <w:rFonts w:hint="eastAsia" w:ascii="仿宋" w:hAnsi="仿宋" w:eastAsia="仿宋" w:cs="仿宋"/>
                <w:i w:val="0"/>
                <w:iCs w:val="0"/>
                <w:color w:val="auto"/>
                <w:sz w:val="22"/>
                <w:szCs w:val="22"/>
                <w:highlight w:val="none"/>
                <w:u w:val="none"/>
              </w:rPr>
            </w:pPr>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20D45D99">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2分</w:t>
            </w:r>
          </w:p>
        </w:tc>
        <w:tc>
          <w:tcPr>
            <w:tcW w:w="6757" w:type="dxa"/>
            <w:gridSpan w:val="3"/>
            <w:tcBorders>
              <w:top w:val="single" w:color="000000" w:sz="4" w:space="0"/>
              <w:left w:val="single" w:color="000000" w:sz="4" w:space="0"/>
              <w:bottom w:val="single" w:color="000000" w:sz="4" w:space="0"/>
              <w:right w:val="single" w:color="000000" w:sz="4" w:space="0"/>
            </w:tcBorders>
            <w:noWrap w:val="0"/>
            <w:vAlign w:val="center"/>
          </w:tcPr>
          <w:p w14:paraId="0C301B62">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供应商需提供2022年1月以来相关信息化案例，每提供一个得1分，最高得2分。（注：合同均以签订日期为准，响应文件中附一致的合同复印件或扫描件加盖公章，未按要求提供不得分。）</w:t>
            </w:r>
          </w:p>
        </w:tc>
      </w:tr>
      <w:tr w14:paraId="0BA15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jc w:val="center"/>
        </w:trPr>
        <w:tc>
          <w:tcPr>
            <w:tcW w:w="1054"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0FFFFF6">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技术部分（40分）</w:t>
            </w:r>
          </w:p>
        </w:tc>
        <w:tc>
          <w:tcPr>
            <w:tcW w:w="1231" w:type="dxa"/>
            <w:gridSpan w:val="2"/>
            <w:tcBorders>
              <w:top w:val="single" w:color="000000" w:sz="4" w:space="0"/>
              <w:left w:val="single" w:color="000000" w:sz="4" w:space="0"/>
              <w:bottom w:val="single" w:color="000000" w:sz="4" w:space="0"/>
              <w:right w:val="single" w:color="000000" w:sz="4" w:space="0"/>
            </w:tcBorders>
            <w:noWrap w:val="0"/>
            <w:vAlign w:val="center"/>
          </w:tcPr>
          <w:p w14:paraId="581B4300">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技术参数（</w:t>
            </w:r>
            <w:r>
              <w:rPr>
                <w:rFonts w:hint="eastAsia" w:ascii="仿宋" w:hAnsi="仿宋" w:eastAsia="仿宋" w:cs="仿宋"/>
                <w:i w:val="0"/>
                <w:iCs w:val="0"/>
                <w:color w:val="auto"/>
                <w:kern w:val="0"/>
                <w:sz w:val="22"/>
                <w:szCs w:val="22"/>
                <w:highlight w:val="none"/>
                <w:u w:val="none"/>
                <w:lang w:val="en-US" w:eastAsia="zh-CN" w:bidi="ar"/>
              </w:rPr>
              <w:t>25分</w:t>
            </w:r>
            <w:r>
              <w:rPr>
                <w:rFonts w:hint="eastAsia" w:ascii="仿宋" w:hAnsi="仿宋" w:eastAsia="仿宋" w:cs="仿宋"/>
                <w:i w:val="0"/>
                <w:iCs w:val="0"/>
                <w:color w:val="auto"/>
                <w:kern w:val="0"/>
                <w:sz w:val="22"/>
                <w:szCs w:val="22"/>
                <w:highlight w:val="none"/>
                <w:u w:val="none"/>
                <w:lang w:val="en-US" w:eastAsia="zh-CN" w:bidi="ar"/>
              </w:rPr>
              <w:t>）</w:t>
            </w:r>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39EA81AB">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25分</w:t>
            </w:r>
          </w:p>
        </w:tc>
        <w:tc>
          <w:tcPr>
            <w:tcW w:w="6757" w:type="dxa"/>
            <w:gridSpan w:val="3"/>
            <w:tcBorders>
              <w:top w:val="single" w:color="000000" w:sz="4" w:space="0"/>
              <w:left w:val="single" w:color="000000" w:sz="4" w:space="0"/>
              <w:bottom w:val="single" w:color="000000" w:sz="4" w:space="0"/>
              <w:right w:val="single" w:color="000000" w:sz="4" w:space="0"/>
            </w:tcBorders>
            <w:noWrap w:val="0"/>
            <w:vAlign w:val="center"/>
          </w:tcPr>
          <w:p w14:paraId="0B1F7762">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技术参数完全满足得</w:t>
            </w:r>
            <w:r>
              <w:rPr>
                <w:rFonts w:hint="eastAsia" w:ascii="仿宋" w:hAnsi="仿宋" w:eastAsia="仿宋" w:cs="仿宋"/>
                <w:i w:val="0"/>
                <w:iCs w:val="0"/>
                <w:color w:val="auto"/>
                <w:kern w:val="0"/>
                <w:sz w:val="22"/>
                <w:szCs w:val="22"/>
                <w:highlight w:val="none"/>
                <w:u w:val="none"/>
                <w:lang w:val="en-US" w:eastAsia="zh-CN" w:bidi="ar"/>
              </w:rPr>
              <w:t>25分</w:t>
            </w:r>
            <w:r>
              <w:rPr>
                <w:rFonts w:hint="eastAsia" w:ascii="仿宋" w:hAnsi="仿宋" w:eastAsia="仿宋" w:cs="仿宋"/>
                <w:i w:val="0"/>
                <w:iCs w:val="0"/>
                <w:color w:val="auto"/>
                <w:kern w:val="0"/>
                <w:sz w:val="22"/>
                <w:szCs w:val="22"/>
                <w:highlight w:val="none"/>
                <w:u w:val="none"/>
                <w:lang w:val="en-US" w:eastAsia="zh-CN" w:bidi="ar"/>
              </w:rPr>
              <w:t>，技术参数中加▲为重要技术指标，投标人每有1项不满足扣2分；其他项为非重要技术指标，投标人每有1项不满足扣1分，扣完为止。</w:t>
            </w:r>
          </w:p>
        </w:tc>
      </w:tr>
      <w:tr w14:paraId="136B4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7" w:hRule="atLeast"/>
          <w:jc w:val="center"/>
        </w:trPr>
        <w:tc>
          <w:tcPr>
            <w:tcW w:w="105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D434135">
            <w:pPr>
              <w:jc w:val="center"/>
              <w:rPr>
                <w:rFonts w:hint="eastAsia" w:ascii="仿宋" w:hAnsi="仿宋" w:eastAsia="仿宋" w:cs="仿宋"/>
                <w:i w:val="0"/>
                <w:iCs w:val="0"/>
                <w:color w:val="auto"/>
                <w:sz w:val="22"/>
                <w:szCs w:val="22"/>
                <w:highlight w:val="none"/>
                <w:u w:val="none"/>
              </w:rPr>
            </w:pPr>
          </w:p>
        </w:tc>
        <w:tc>
          <w:tcPr>
            <w:tcW w:w="1231" w:type="dxa"/>
            <w:gridSpan w:val="2"/>
            <w:tcBorders>
              <w:top w:val="single" w:color="000000" w:sz="4" w:space="0"/>
              <w:left w:val="single" w:color="000000" w:sz="4" w:space="0"/>
              <w:bottom w:val="single" w:color="000000" w:sz="4" w:space="0"/>
              <w:right w:val="single" w:color="000000" w:sz="4" w:space="0"/>
            </w:tcBorders>
            <w:noWrap w:val="0"/>
            <w:vAlign w:val="center"/>
          </w:tcPr>
          <w:p w14:paraId="020DF079">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项目实施方案（13分）</w:t>
            </w:r>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7A8C19FB">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13分</w:t>
            </w:r>
          </w:p>
        </w:tc>
        <w:tc>
          <w:tcPr>
            <w:tcW w:w="6757" w:type="dxa"/>
            <w:gridSpan w:val="3"/>
            <w:tcBorders>
              <w:top w:val="single" w:color="000000" w:sz="4" w:space="0"/>
              <w:left w:val="single" w:color="000000" w:sz="4" w:space="0"/>
              <w:bottom w:val="single" w:color="000000" w:sz="4" w:space="0"/>
              <w:right w:val="single" w:color="000000" w:sz="4" w:space="0"/>
            </w:tcBorders>
            <w:noWrap w:val="0"/>
            <w:vAlign w:val="center"/>
          </w:tcPr>
          <w:p w14:paraId="32145881">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1.针对投标人的项目服务方案进行评分，包括具体的项目服务内容、故障响应时间、响应方式、维保服务的相应配合等综合进行打分。</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投标人响应文件编制的详实、合理性、符合性及响应程度较高的，得7-10分；</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响应文件编制的详实、合理性、符合性及响应程度一般的，得4-6分；</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响应文件编制的详实、合理性、符合性及响应程度较差的，得0-3分。</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2. 投标人具有本地化支撑服务能力，得3分。（本项0-3分）</w:t>
            </w:r>
          </w:p>
        </w:tc>
      </w:tr>
      <w:tr w14:paraId="3FE30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105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F632A76">
            <w:pPr>
              <w:jc w:val="center"/>
              <w:rPr>
                <w:rFonts w:hint="eastAsia" w:ascii="仿宋" w:hAnsi="仿宋" w:eastAsia="仿宋" w:cs="仿宋"/>
                <w:i w:val="0"/>
                <w:iCs w:val="0"/>
                <w:color w:val="auto"/>
                <w:sz w:val="22"/>
                <w:szCs w:val="22"/>
                <w:highlight w:val="none"/>
                <w:u w:val="none"/>
              </w:rPr>
            </w:pPr>
          </w:p>
        </w:tc>
        <w:tc>
          <w:tcPr>
            <w:tcW w:w="1231" w:type="dxa"/>
            <w:gridSpan w:val="2"/>
            <w:tcBorders>
              <w:top w:val="single" w:color="000000" w:sz="4" w:space="0"/>
              <w:left w:val="single" w:color="000000" w:sz="4" w:space="0"/>
              <w:bottom w:val="single" w:color="000000" w:sz="4" w:space="0"/>
              <w:right w:val="single" w:color="000000" w:sz="4" w:space="0"/>
            </w:tcBorders>
            <w:noWrap w:val="0"/>
            <w:vAlign w:val="center"/>
          </w:tcPr>
          <w:p w14:paraId="2909BE2B">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标书制作（2分）</w:t>
            </w:r>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6EE47FED">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2分</w:t>
            </w:r>
          </w:p>
        </w:tc>
        <w:tc>
          <w:tcPr>
            <w:tcW w:w="6757" w:type="dxa"/>
            <w:gridSpan w:val="3"/>
            <w:tcBorders>
              <w:top w:val="single" w:color="000000" w:sz="4" w:space="0"/>
              <w:left w:val="single" w:color="000000" w:sz="4" w:space="0"/>
              <w:bottom w:val="single" w:color="000000" w:sz="4" w:space="0"/>
              <w:right w:val="single" w:color="000000" w:sz="4" w:space="0"/>
            </w:tcBorders>
            <w:noWrap w:val="0"/>
            <w:vAlign w:val="center"/>
          </w:tcPr>
          <w:p w14:paraId="280E49D0">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标书制作有一项错误扣0.5分，扣完为止（0-2分）</w:t>
            </w:r>
          </w:p>
        </w:tc>
      </w:tr>
    </w:tbl>
    <w:p w14:paraId="5167D9C8">
      <w:pPr>
        <w:spacing w:line="400" w:lineRule="exact"/>
        <w:outlineLvl w:val="1"/>
        <w:rPr>
          <w:rFonts w:hint="eastAsia" w:ascii="宋体" w:hAnsi="宋体" w:cs="宋体"/>
          <w:b/>
          <w:bCs/>
          <w:color w:val="auto"/>
          <w:highlight w:val="none"/>
          <w:lang w:eastAsia="zh-CN"/>
        </w:rPr>
      </w:pPr>
    </w:p>
    <w:p w14:paraId="39A750F9">
      <w:pPr>
        <w:spacing w:line="400" w:lineRule="exact"/>
        <w:outlineLvl w:val="1"/>
        <w:rPr>
          <w:rFonts w:ascii="宋体" w:hAnsi="宋体" w:cs="宋体"/>
          <w:b/>
          <w:bCs/>
          <w:color w:val="auto"/>
          <w:highlight w:val="none"/>
          <w:lang w:eastAsia="zh-CN"/>
        </w:rPr>
      </w:pPr>
      <w:r>
        <w:rPr>
          <w:rFonts w:hint="eastAsia" w:ascii="宋体" w:hAnsi="宋体" w:cs="宋体"/>
          <w:b/>
          <w:bCs/>
          <w:color w:val="auto"/>
          <w:highlight w:val="none"/>
          <w:lang w:eastAsia="zh-CN"/>
        </w:rPr>
        <w:t>1.评审方法</w:t>
      </w:r>
      <w:bookmarkEnd w:id="818"/>
      <w:bookmarkEnd w:id="819"/>
      <w:bookmarkEnd w:id="820"/>
      <w:bookmarkEnd w:id="821"/>
      <w:bookmarkEnd w:id="822"/>
      <w:bookmarkEnd w:id="823"/>
      <w:bookmarkEnd w:id="824"/>
      <w:bookmarkEnd w:id="825"/>
    </w:p>
    <w:p w14:paraId="3572A660">
      <w:pPr>
        <w:spacing w:line="400" w:lineRule="exact"/>
        <w:ind w:firstLine="420"/>
        <w:rPr>
          <w:rFonts w:ascii="宋体" w:hAnsi="宋体" w:cs="宋体"/>
          <w:color w:val="auto"/>
          <w:highlight w:val="none"/>
          <w:lang w:eastAsia="zh-CN"/>
        </w:rPr>
      </w:pPr>
      <w:r>
        <w:rPr>
          <w:rFonts w:hint="eastAsia" w:ascii="宋体" w:hAnsi="宋体" w:cs="宋体"/>
          <w:color w:val="auto"/>
          <w:highlight w:val="none"/>
          <w:lang w:eastAsia="zh-CN" w:bidi="en-US"/>
        </w:rPr>
        <w:t>1.1本次评审采用综合评分法。磋商小组对满足竞争性磋商文件实质性要求的响应文件</w:t>
      </w:r>
      <w:r>
        <w:rPr>
          <w:rFonts w:hint="eastAsia" w:ascii="宋体" w:hAnsi="宋体" w:cs="宋体"/>
          <w:color w:val="auto"/>
          <w:highlight w:val="none"/>
          <w:lang w:eastAsia="zh-CN"/>
        </w:rPr>
        <w:t>，按照本章规定的评分标准进行打分，并按得分由高到低顺序推荐成交候选人，综合评分相等时，以报价得分高的优先；报价得分也相等的，由采购人自行确定。</w:t>
      </w:r>
      <w:bookmarkStart w:id="826" w:name="_Toc152042378"/>
      <w:bookmarkStart w:id="827" w:name="_Toc455080157"/>
      <w:bookmarkStart w:id="828" w:name="_Toc24936"/>
      <w:bookmarkStart w:id="829" w:name="_Toc318450723"/>
      <w:bookmarkStart w:id="830" w:name="_Toc466298140"/>
      <w:bookmarkStart w:id="831" w:name="_Toc490667876"/>
      <w:bookmarkStart w:id="832" w:name="_Toc152045601"/>
      <w:bookmarkStart w:id="833" w:name="_Toc20837"/>
      <w:bookmarkStart w:id="834" w:name="_Toc26131"/>
      <w:bookmarkStart w:id="835" w:name="_Toc29362"/>
      <w:bookmarkStart w:id="836" w:name="_Toc281405529"/>
      <w:bookmarkStart w:id="837" w:name="_Toc455867817"/>
      <w:bookmarkStart w:id="838" w:name="_Toc144974568"/>
      <w:bookmarkStart w:id="839" w:name="_Toc6612"/>
    </w:p>
    <w:p w14:paraId="4DD1DA60">
      <w:pPr>
        <w:spacing w:line="400" w:lineRule="exact"/>
        <w:ind w:firstLine="420"/>
        <w:rPr>
          <w:rFonts w:ascii="宋体" w:hAnsi="宋体" w:cs="宋体"/>
          <w:color w:val="auto"/>
          <w:highlight w:val="none"/>
          <w:lang w:eastAsia="zh-CN"/>
        </w:rPr>
      </w:pPr>
      <w:r>
        <w:rPr>
          <w:rFonts w:hint="eastAsia" w:ascii="宋体" w:hAnsi="宋体" w:cs="宋体"/>
          <w:color w:val="auto"/>
          <w:highlight w:val="none"/>
          <w:lang w:eastAsia="zh-CN"/>
        </w:rPr>
        <w:t>1.2经评标委员会初步评审后有效投标不足3个的，评标委员会应予废标。</w:t>
      </w:r>
    </w:p>
    <w:p w14:paraId="719D1365">
      <w:pPr>
        <w:spacing w:line="400" w:lineRule="exact"/>
        <w:outlineLvl w:val="1"/>
        <w:rPr>
          <w:rFonts w:ascii="宋体" w:hAnsi="宋体" w:cs="宋体"/>
          <w:b/>
          <w:bCs/>
          <w:color w:val="auto"/>
          <w:highlight w:val="none"/>
          <w:lang w:eastAsia="zh-CN"/>
        </w:rPr>
      </w:pPr>
      <w:r>
        <w:rPr>
          <w:rFonts w:hint="eastAsia" w:ascii="宋体" w:hAnsi="宋体" w:cs="宋体"/>
          <w:b/>
          <w:bCs/>
          <w:color w:val="auto"/>
          <w:highlight w:val="none"/>
          <w:lang w:eastAsia="zh-CN"/>
        </w:rPr>
        <w:t>2.评审标准</w:t>
      </w:r>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Start w:id="840" w:name="_Toc2867"/>
      <w:bookmarkStart w:id="841" w:name="_Toc318450724"/>
      <w:bookmarkStart w:id="842" w:name="_Toc6711"/>
      <w:bookmarkStart w:id="843" w:name="_Toc21120"/>
      <w:bookmarkStart w:id="844" w:name="_Toc455867818"/>
      <w:bookmarkStart w:id="845" w:name="_Toc15813"/>
      <w:bookmarkStart w:id="846" w:name="_Toc152045602"/>
      <w:bookmarkStart w:id="847" w:name="_Toc466298141"/>
      <w:bookmarkStart w:id="848" w:name="_Toc281405530"/>
      <w:bookmarkStart w:id="849" w:name="_Toc25637"/>
      <w:bookmarkStart w:id="850" w:name="_Toc152042379"/>
      <w:bookmarkStart w:id="851" w:name="_Toc31037"/>
      <w:bookmarkStart w:id="852" w:name="_Toc455080158"/>
      <w:bookmarkStart w:id="853" w:name="_Toc19934"/>
      <w:bookmarkStart w:id="854" w:name="_Toc144974569"/>
      <w:bookmarkStart w:id="855" w:name="_Toc24558"/>
      <w:bookmarkStart w:id="856" w:name="_Toc11223"/>
      <w:bookmarkStart w:id="857" w:name="_Toc490667877"/>
    </w:p>
    <w:p w14:paraId="49BE89DD">
      <w:pPr>
        <w:spacing w:line="400" w:lineRule="exact"/>
        <w:outlineLvl w:val="2"/>
        <w:rPr>
          <w:rFonts w:ascii="宋体" w:hAnsi="宋体" w:cs="宋体"/>
          <w:b/>
          <w:bCs/>
          <w:color w:val="auto"/>
          <w:highlight w:val="none"/>
          <w:lang w:eastAsia="zh-CN"/>
        </w:rPr>
      </w:pPr>
      <w:r>
        <w:rPr>
          <w:rFonts w:hint="eastAsia" w:ascii="宋体" w:hAnsi="宋体" w:cs="宋体"/>
          <w:b/>
          <w:bCs/>
          <w:color w:val="auto"/>
          <w:highlight w:val="none"/>
          <w:lang w:eastAsia="zh-CN"/>
        </w:rPr>
        <w:t>2.1 初步评审标准</w:t>
      </w:r>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p>
    <w:p w14:paraId="24CB6674">
      <w:pPr>
        <w:spacing w:line="400" w:lineRule="exact"/>
        <w:ind w:firstLine="420"/>
        <w:rPr>
          <w:rFonts w:ascii="宋体" w:hAnsi="宋体" w:cs="宋体"/>
          <w:color w:val="auto"/>
          <w:highlight w:val="none"/>
          <w:lang w:eastAsia="zh-CN"/>
        </w:rPr>
      </w:pPr>
      <w:r>
        <w:rPr>
          <w:rFonts w:hint="eastAsia" w:ascii="宋体" w:hAnsi="宋体" w:cs="宋体"/>
          <w:color w:val="auto"/>
          <w:highlight w:val="none"/>
          <w:lang w:eastAsia="zh-CN"/>
        </w:rPr>
        <w:t>2.1.1 资格检查评审标准：见评审办法前附表。</w:t>
      </w:r>
    </w:p>
    <w:p w14:paraId="58EB7846">
      <w:pPr>
        <w:spacing w:line="400" w:lineRule="exact"/>
        <w:ind w:firstLine="420"/>
        <w:rPr>
          <w:rFonts w:ascii="宋体" w:hAnsi="宋体" w:cs="宋体"/>
          <w:color w:val="auto"/>
          <w:highlight w:val="none"/>
          <w:lang w:eastAsia="zh-CN"/>
        </w:rPr>
      </w:pPr>
      <w:r>
        <w:rPr>
          <w:rFonts w:hint="eastAsia" w:ascii="宋体" w:hAnsi="宋体" w:cs="宋体"/>
          <w:color w:val="auto"/>
          <w:highlight w:val="none"/>
          <w:lang w:eastAsia="zh-CN"/>
        </w:rPr>
        <w:t>2.1.2 符合性检查评审标准：见评审办法前附表。</w:t>
      </w:r>
    </w:p>
    <w:p w14:paraId="6FDDC400">
      <w:pPr>
        <w:pStyle w:val="37"/>
        <w:ind w:firstLine="422" w:firstLineChars="0"/>
        <w:outlineLvl w:val="2"/>
        <w:rPr>
          <w:rFonts w:ascii="宋体" w:hAnsi="宋体" w:eastAsia="宋体"/>
          <w:b/>
          <w:bCs/>
          <w:color w:val="auto"/>
          <w:sz w:val="21"/>
          <w:szCs w:val="21"/>
          <w:highlight w:val="none"/>
          <w:lang w:eastAsia="zh-CN"/>
        </w:rPr>
      </w:pPr>
      <w:bookmarkStart w:id="858" w:name="_Toc281405531"/>
      <w:bookmarkStart w:id="859" w:name="_Toc466298142"/>
      <w:bookmarkStart w:id="860" w:name="_Toc490667878"/>
      <w:bookmarkStart w:id="861" w:name="_Toc202"/>
      <w:bookmarkStart w:id="862" w:name="_Toc24825"/>
      <w:bookmarkStart w:id="863" w:name="_Toc25492"/>
      <w:bookmarkStart w:id="864" w:name="_Toc318450725"/>
      <w:bookmarkStart w:id="865" w:name="_Toc7284"/>
      <w:bookmarkStart w:id="866" w:name="_Toc30189"/>
      <w:bookmarkStart w:id="867" w:name="_Toc12013"/>
      <w:bookmarkStart w:id="868" w:name="_Toc152042380"/>
      <w:bookmarkStart w:id="869" w:name="_Toc26179"/>
      <w:bookmarkStart w:id="870" w:name="_Toc22439"/>
      <w:bookmarkStart w:id="871" w:name="_Toc152045603"/>
      <w:bookmarkStart w:id="872" w:name="_Toc455867819"/>
      <w:bookmarkStart w:id="873" w:name="_Toc11061"/>
      <w:bookmarkStart w:id="874" w:name="_Toc21970"/>
      <w:bookmarkStart w:id="875" w:name="_Toc455080159"/>
      <w:bookmarkStart w:id="876" w:name="_Toc5833"/>
      <w:bookmarkStart w:id="877" w:name="_Toc144974570"/>
      <w:r>
        <w:rPr>
          <w:rFonts w:hint="eastAsia" w:ascii="宋体" w:hAnsi="宋体" w:eastAsia="宋体"/>
          <w:b/>
          <w:bCs/>
          <w:color w:val="auto"/>
          <w:sz w:val="21"/>
          <w:szCs w:val="21"/>
          <w:highlight w:val="none"/>
          <w:lang w:eastAsia="zh-CN"/>
        </w:rPr>
        <w:t>2.2 分值构成与评分标准</w:t>
      </w:r>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p>
    <w:p w14:paraId="1018CAFE">
      <w:pPr>
        <w:spacing w:line="400" w:lineRule="exact"/>
        <w:ind w:firstLine="210" w:firstLineChars="100"/>
        <w:rPr>
          <w:rFonts w:ascii="宋体" w:hAnsi="宋体" w:cs="宋体"/>
          <w:color w:val="auto"/>
          <w:highlight w:val="none"/>
          <w:lang w:eastAsia="zh-CN"/>
        </w:rPr>
      </w:pPr>
      <w:r>
        <w:rPr>
          <w:rFonts w:hint="eastAsia" w:ascii="宋体" w:hAnsi="宋体" w:cs="宋体"/>
          <w:color w:val="auto"/>
          <w:highlight w:val="none"/>
          <w:lang w:eastAsia="zh-CN"/>
        </w:rPr>
        <w:t>（1）商务标：见评审办法前附表；</w:t>
      </w:r>
    </w:p>
    <w:p w14:paraId="6DCAE235">
      <w:pPr>
        <w:spacing w:line="400" w:lineRule="exact"/>
        <w:ind w:firstLine="210" w:firstLineChars="100"/>
        <w:rPr>
          <w:rFonts w:ascii="宋体" w:hAnsi="宋体" w:cs="宋体"/>
          <w:color w:val="auto"/>
          <w:highlight w:val="none"/>
          <w:lang w:eastAsia="zh-CN"/>
        </w:rPr>
      </w:pPr>
      <w:r>
        <w:rPr>
          <w:rFonts w:hint="eastAsia" w:ascii="宋体" w:hAnsi="宋体" w:cs="宋体"/>
          <w:color w:val="auto"/>
          <w:highlight w:val="none"/>
          <w:lang w:eastAsia="zh-CN"/>
        </w:rPr>
        <w:t>（2）技术标：见评审办法前附表；</w:t>
      </w:r>
    </w:p>
    <w:p w14:paraId="24F728BB">
      <w:pPr>
        <w:spacing w:line="400" w:lineRule="exact"/>
        <w:ind w:firstLine="210" w:firstLineChars="100"/>
        <w:rPr>
          <w:rFonts w:ascii="宋体" w:hAnsi="宋体" w:cs="宋体"/>
          <w:color w:val="auto"/>
          <w:highlight w:val="none"/>
          <w:lang w:eastAsia="zh-CN"/>
        </w:rPr>
      </w:pPr>
      <w:r>
        <w:rPr>
          <w:rFonts w:hint="eastAsia" w:ascii="宋体" w:hAnsi="宋体" w:cs="宋体"/>
          <w:color w:val="auto"/>
          <w:highlight w:val="none"/>
          <w:lang w:eastAsia="zh-CN"/>
        </w:rPr>
        <w:t>（3）磋商报价：见评审办法前附表。</w:t>
      </w:r>
    </w:p>
    <w:p w14:paraId="518081F0">
      <w:pPr>
        <w:pStyle w:val="33"/>
        <w:ind w:firstLine="422" w:firstLineChars="0"/>
        <w:outlineLvl w:val="1"/>
        <w:rPr>
          <w:rFonts w:ascii="宋体" w:hAnsi="宋体"/>
          <w:b/>
          <w:bCs/>
          <w:color w:val="auto"/>
          <w:sz w:val="21"/>
          <w:szCs w:val="21"/>
          <w:highlight w:val="none"/>
          <w:lang w:eastAsia="zh-CN"/>
        </w:rPr>
      </w:pPr>
      <w:bookmarkStart w:id="878" w:name="_Toc18127"/>
      <w:bookmarkStart w:id="879" w:name="_Toc490667879"/>
      <w:bookmarkStart w:id="880" w:name="_Toc455867820"/>
      <w:bookmarkStart w:id="881" w:name="_Toc15821"/>
      <w:bookmarkStart w:id="882" w:name="_Toc466298143"/>
      <w:bookmarkStart w:id="883" w:name="_Toc318450726"/>
      <w:bookmarkStart w:id="884" w:name="_Toc17308"/>
      <w:bookmarkStart w:id="885" w:name="_Toc31620"/>
      <w:bookmarkStart w:id="886" w:name="_Toc29297"/>
      <w:bookmarkStart w:id="887" w:name="_Toc32314"/>
      <w:bookmarkStart w:id="888" w:name="_Toc281405532"/>
      <w:bookmarkStart w:id="889" w:name="_Toc16479"/>
      <w:bookmarkStart w:id="890" w:name="_Toc455080160"/>
      <w:r>
        <w:rPr>
          <w:rFonts w:hint="eastAsia" w:ascii="宋体" w:hAnsi="宋体"/>
          <w:b/>
          <w:bCs/>
          <w:color w:val="auto"/>
          <w:sz w:val="21"/>
          <w:szCs w:val="21"/>
          <w:highlight w:val="none"/>
          <w:lang w:eastAsia="zh-CN"/>
        </w:rPr>
        <w:t>3. 评审程序</w:t>
      </w:r>
      <w:bookmarkEnd w:id="878"/>
      <w:bookmarkEnd w:id="879"/>
      <w:bookmarkEnd w:id="880"/>
      <w:bookmarkEnd w:id="881"/>
      <w:bookmarkEnd w:id="882"/>
      <w:bookmarkEnd w:id="883"/>
      <w:bookmarkEnd w:id="884"/>
      <w:bookmarkEnd w:id="885"/>
      <w:bookmarkEnd w:id="886"/>
      <w:bookmarkEnd w:id="887"/>
      <w:bookmarkEnd w:id="888"/>
      <w:bookmarkEnd w:id="889"/>
      <w:bookmarkEnd w:id="890"/>
    </w:p>
    <w:p w14:paraId="1895C8CE">
      <w:pPr>
        <w:pStyle w:val="37"/>
        <w:ind w:firstLine="422" w:firstLineChars="0"/>
        <w:outlineLvl w:val="2"/>
        <w:rPr>
          <w:rFonts w:ascii="宋体" w:hAnsi="宋体" w:eastAsia="宋体"/>
          <w:b/>
          <w:bCs/>
          <w:color w:val="auto"/>
          <w:sz w:val="21"/>
          <w:szCs w:val="21"/>
          <w:highlight w:val="none"/>
          <w:lang w:eastAsia="zh-CN"/>
        </w:rPr>
      </w:pPr>
      <w:bookmarkStart w:id="891" w:name="_Toc455080161"/>
      <w:bookmarkStart w:id="892" w:name="_Toc7272"/>
      <w:bookmarkStart w:id="893" w:name="_Toc281405533"/>
      <w:bookmarkStart w:id="894" w:name="_Toc455867821"/>
      <w:bookmarkStart w:id="895" w:name="_Toc14633"/>
      <w:bookmarkStart w:id="896" w:name="_Toc15066"/>
      <w:bookmarkStart w:id="897" w:name="_Toc18349"/>
      <w:bookmarkStart w:id="898" w:name="_Toc29092"/>
      <w:bookmarkStart w:id="899" w:name="_Toc29614"/>
      <w:bookmarkStart w:id="900" w:name="_Toc16892"/>
      <w:bookmarkStart w:id="901" w:name="_Toc318450727"/>
      <w:bookmarkStart w:id="902" w:name="_Toc466298144"/>
      <w:bookmarkStart w:id="903" w:name="_Toc9433"/>
      <w:bookmarkStart w:id="904" w:name="_Toc18886"/>
      <w:bookmarkStart w:id="905" w:name="_Toc490667880"/>
      <w:bookmarkStart w:id="906" w:name="_Toc5427"/>
      <w:bookmarkStart w:id="907" w:name="_Toc30986"/>
      <w:bookmarkStart w:id="908" w:name="_Toc2410"/>
      <w:r>
        <w:rPr>
          <w:rFonts w:hint="eastAsia" w:ascii="宋体" w:hAnsi="宋体" w:eastAsia="宋体"/>
          <w:b/>
          <w:bCs/>
          <w:color w:val="auto"/>
          <w:sz w:val="21"/>
          <w:szCs w:val="21"/>
          <w:highlight w:val="none"/>
          <w:lang w:eastAsia="zh-CN"/>
        </w:rPr>
        <w:t>3.1 初步评审</w:t>
      </w:r>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p>
    <w:p w14:paraId="1518F9E4">
      <w:pPr>
        <w:spacing w:line="400" w:lineRule="exact"/>
        <w:ind w:firstLine="420"/>
        <w:rPr>
          <w:rFonts w:ascii="宋体" w:hAnsi="宋体" w:cs="宋体"/>
          <w:b/>
          <w:bCs/>
          <w:color w:val="auto"/>
          <w:highlight w:val="none"/>
          <w:lang w:eastAsia="zh-CN"/>
        </w:rPr>
      </w:pPr>
      <w:bookmarkStart w:id="909" w:name="_Toc22101"/>
      <w:bookmarkStart w:id="910" w:name="_Toc281405534"/>
      <w:bookmarkStart w:id="911" w:name="_Toc21032"/>
      <w:bookmarkStart w:id="912" w:name="_Toc455080162"/>
      <w:bookmarkStart w:id="913" w:name="_Toc7121"/>
      <w:bookmarkStart w:id="914" w:name="_Toc466298145"/>
      <w:bookmarkStart w:id="915" w:name="_Toc10692"/>
      <w:bookmarkStart w:id="916" w:name="_Toc13386"/>
      <w:bookmarkStart w:id="917" w:name="_Toc318450728"/>
      <w:bookmarkStart w:id="918" w:name="_Toc21570"/>
      <w:bookmarkStart w:id="919" w:name="_Toc26280"/>
      <w:bookmarkStart w:id="920" w:name="_Toc490667881"/>
      <w:bookmarkStart w:id="921" w:name="_Toc12406"/>
      <w:bookmarkStart w:id="922" w:name="_Toc16964"/>
      <w:bookmarkStart w:id="923" w:name="_Toc455867822"/>
      <w:bookmarkStart w:id="924" w:name="_Toc26049"/>
      <w:r>
        <w:rPr>
          <w:rFonts w:hint="eastAsia" w:ascii="宋体" w:hAnsi="宋体" w:cs="宋体"/>
          <w:color w:val="auto"/>
          <w:highlight w:val="none"/>
          <w:lang w:eastAsia="zh-CN"/>
        </w:rPr>
        <w:t>3.1.1只有通过资格审查的供应商才能进入符合性评审。评标委员会依据2.1.2规定的内容和标准对响应文件进行符合性审查。</w:t>
      </w:r>
      <w:r>
        <w:rPr>
          <w:rFonts w:hint="eastAsia" w:ascii="宋体" w:hAnsi="宋体" w:cs="宋体"/>
          <w:b/>
          <w:bCs/>
          <w:color w:val="auto"/>
          <w:highlight w:val="none"/>
          <w:lang w:eastAsia="zh-CN"/>
        </w:rPr>
        <w:t>有一项不符合评审标准的，其投标做无效投标处理，不得进入详细评审。</w:t>
      </w:r>
    </w:p>
    <w:p w14:paraId="7C120E8A">
      <w:pPr>
        <w:spacing w:line="400" w:lineRule="exact"/>
        <w:ind w:firstLine="420"/>
        <w:rPr>
          <w:rFonts w:ascii="宋体" w:hAnsi="宋体" w:cs="宋体"/>
          <w:color w:val="auto"/>
          <w:highlight w:val="none"/>
          <w:lang w:eastAsia="zh-CN"/>
        </w:rPr>
      </w:pPr>
      <w:r>
        <w:rPr>
          <w:rFonts w:hint="eastAsia" w:ascii="宋体" w:hAnsi="宋体" w:cs="宋体"/>
          <w:color w:val="auto"/>
          <w:highlight w:val="none"/>
          <w:lang w:eastAsia="zh-CN"/>
        </w:rPr>
        <w:t>3.1.2 供应商有以下情形之一的，其响应文件作无效处理：</w:t>
      </w:r>
    </w:p>
    <w:p w14:paraId="0BBB0674">
      <w:pPr>
        <w:spacing w:line="400" w:lineRule="exact"/>
        <w:ind w:firstLine="210" w:firstLineChars="100"/>
        <w:rPr>
          <w:rFonts w:ascii="宋体" w:hAnsi="宋体" w:cs="宋体"/>
          <w:color w:val="auto"/>
          <w:highlight w:val="none"/>
          <w:lang w:eastAsia="zh-CN"/>
        </w:rPr>
      </w:pPr>
      <w:r>
        <w:rPr>
          <w:rFonts w:hint="eastAsia" w:ascii="宋体" w:hAnsi="宋体" w:cs="宋体"/>
          <w:color w:val="auto"/>
          <w:highlight w:val="none"/>
          <w:lang w:eastAsia="zh-CN"/>
        </w:rPr>
        <w:t>（1）串通或弄虚作假或有其他违法行为的；</w:t>
      </w:r>
    </w:p>
    <w:p w14:paraId="4D7D9A6E">
      <w:pPr>
        <w:spacing w:line="400" w:lineRule="exact"/>
        <w:ind w:firstLine="210" w:firstLineChars="100"/>
        <w:rPr>
          <w:rFonts w:ascii="宋体" w:hAnsi="宋体" w:cs="宋体"/>
          <w:color w:val="auto"/>
          <w:highlight w:val="none"/>
          <w:lang w:eastAsia="zh-CN"/>
        </w:rPr>
      </w:pPr>
      <w:r>
        <w:rPr>
          <w:rFonts w:hint="eastAsia" w:ascii="宋体" w:hAnsi="宋体" w:cs="宋体"/>
          <w:color w:val="auto"/>
          <w:highlight w:val="none"/>
          <w:lang w:eastAsia="zh-CN"/>
        </w:rPr>
        <w:t>（2）不按磋商小组要求澄清、说明或补正的；</w:t>
      </w:r>
    </w:p>
    <w:p w14:paraId="616C7009">
      <w:pPr>
        <w:spacing w:line="400" w:lineRule="exact"/>
        <w:ind w:firstLine="210" w:firstLineChars="100"/>
        <w:rPr>
          <w:rFonts w:ascii="宋体" w:hAnsi="宋体" w:cs="宋体"/>
          <w:color w:val="auto"/>
          <w:highlight w:val="none"/>
          <w:lang w:eastAsia="zh-CN"/>
        </w:rPr>
      </w:pPr>
      <w:r>
        <w:rPr>
          <w:rFonts w:hint="eastAsia" w:ascii="宋体" w:hAnsi="宋体" w:cs="宋体"/>
          <w:color w:val="auto"/>
          <w:highlight w:val="none"/>
          <w:lang w:eastAsia="zh-CN"/>
        </w:rPr>
        <w:t>（3）未按规定格式填写、内容不全或关键字迹模糊、无法辨认的；</w:t>
      </w:r>
    </w:p>
    <w:p w14:paraId="0F81EBD2">
      <w:pPr>
        <w:spacing w:line="400" w:lineRule="exact"/>
        <w:ind w:firstLine="210" w:firstLineChars="100"/>
        <w:rPr>
          <w:rFonts w:ascii="宋体" w:hAnsi="宋体" w:cs="宋体"/>
          <w:color w:val="auto"/>
          <w:highlight w:val="none"/>
          <w:lang w:eastAsia="zh-CN"/>
        </w:rPr>
      </w:pPr>
      <w:r>
        <w:rPr>
          <w:rFonts w:hint="eastAsia" w:ascii="宋体" w:hAnsi="宋体" w:cs="宋体"/>
          <w:color w:val="auto"/>
          <w:highlight w:val="none"/>
          <w:lang w:eastAsia="zh-CN"/>
        </w:rPr>
        <w:t>（4）响应文件附有采购人不能接受的条件；</w:t>
      </w:r>
    </w:p>
    <w:p w14:paraId="3A2137EC">
      <w:pPr>
        <w:spacing w:line="400" w:lineRule="exact"/>
        <w:ind w:firstLine="210" w:firstLineChars="100"/>
        <w:rPr>
          <w:rFonts w:ascii="宋体" w:hAnsi="宋体" w:cs="宋体"/>
          <w:color w:val="auto"/>
          <w:highlight w:val="none"/>
          <w:lang w:eastAsia="zh-CN"/>
        </w:rPr>
      </w:pPr>
      <w:r>
        <w:rPr>
          <w:rFonts w:hint="eastAsia" w:ascii="宋体" w:hAnsi="宋体" w:cs="宋体"/>
          <w:color w:val="auto"/>
          <w:highlight w:val="none"/>
          <w:lang w:eastAsia="zh-CN"/>
        </w:rPr>
        <w:t>（5）不符合竞争性磋商文件规定的其他实质性要求。</w:t>
      </w:r>
    </w:p>
    <w:p w14:paraId="4DECA874">
      <w:pPr>
        <w:pStyle w:val="37"/>
        <w:ind w:firstLine="422" w:firstLineChars="0"/>
        <w:outlineLvl w:val="2"/>
        <w:rPr>
          <w:rFonts w:ascii="宋体" w:hAnsi="宋体" w:eastAsia="宋体"/>
          <w:b/>
          <w:bCs/>
          <w:color w:val="auto"/>
          <w:sz w:val="21"/>
          <w:szCs w:val="21"/>
          <w:highlight w:val="none"/>
          <w:lang w:eastAsia="zh-CN"/>
        </w:rPr>
      </w:pPr>
      <w:bookmarkStart w:id="925" w:name="_Toc1862"/>
      <w:bookmarkStart w:id="926" w:name="_Toc26230"/>
      <w:r>
        <w:rPr>
          <w:rFonts w:hint="eastAsia" w:ascii="宋体" w:hAnsi="宋体" w:eastAsia="宋体"/>
          <w:b/>
          <w:bCs/>
          <w:color w:val="auto"/>
          <w:sz w:val="21"/>
          <w:szCs w:val="21"/>
          <w:highlight w:val="none"/>
          <w:lang w:eastAsia="zh-CN"/>
        </w:rPr>
        <w:t>3.2 详细评审</w:t>
      </w:r>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p>
    <w:p w14:paraId="2D46D3C3">
      <w:pPr>
        <w:spacing w:line="400" w:lineRule="exact"/>
        <w:ind w:firstLine="420"/>
        <w:rPr>
          <w:rFonts w:ascii="宋体" w:hAnsi="宋体" w:cs="宋体"/>
          <w:color w:val="auto"/>
          <w:highlight w:val="none"/>
          <w:lang w:eastAsia="zh-CN"/>
        </w:rPr>
      </w:pPr>
      <w:r>
        <w:rPr>
          <w:rFonts w:hint="eastAsia" w:ascii="宋体" w:hAnsi="宋体" w:cs="宋体"/>
          <w:color w:val="auto"/>
          <w:highlight w:val="none"/>
          <w:lang w:eastAsia="zh-CN"/>
        </w:rPr>
        <w:t>3.2.1 磋商小组按本章第2.2款规定的量化因素和分值进行打分，并计算出综合评分得分。</w:t>
      </w:r>
    </w:p>
    <w:p w14:paraId="0B2EB1E5">
      <w:pPr>
        <w:spacing w:line="400" w:lineRule="exact"/>
        <w:ind w:firstLine="420"/>
        <w:rPr>
          <w:rFonts w:ascii="宋体" w:hAnsi="宋体" w:cs="宋体"/>
          <w:color w:val="auto"/>
          <w:highlight w:val="none"/>
          <w:lang w:eastAsia="zh-CN"/>
        </w:rPr>
      </w:pPr>
      <w:r>
        <w:rPr>
          <w:rFonts w:hint="eastAsia" w:ascii="宋体" w:hAnsi="宋体" w:cs="宋体"/>
          <w:color w:val="auto"/>
          <w:highlight w:val="none"/>
          <w:lang w:eastAsia="zh-CN"/>
        </w:rPr>
        <w:t>3.2.2 评分分值计算保留小数点后两位，小数点后第三位“四舍五入”。</w:t>
      </w:r>
    </w:p>
    <w:p w14:paraId="6E18F8AB">
      <w:pPr>
        <w:spacing w:line="400" w:lineRule="exact"/>
        <w:ind w:firstLine="420"/>
        <w:rPr>
          <w:rFonts w:ascii="宋体" w:hAnsi="宋体" w:cs="宋体"/>
          <w:color w:val="auto"/>
          <w:highlight w:val="none"/>
          <w:lang w:eastAsia="zh-CN"/>
        </w:rPr>
      </w:pPr>
      <w:r>
        <w:rPr>
          <w:rFonts w:hint="eastAsia" w:ascii="宋体" w:hAnsi="宋体" w:cs="宋体"/>
          <w:color w:val="auto"/>
          <w:highlight w:val="none"/>
          <w:lang w:eastAsia="zh-CN"/>
        </w:rPr>
        <w:t>3.2.3供应商的最终得分以全部小组成员打分的算术平均值为准，作为该供应商的最终得分。</w:t>
      </w:r>
    </w:p>
    <w:p w14:paraId="4122A629">
      <w:pPr>
        <w:spacing w:line="400" w:lineRule="exact"/>
        <w:ind w:firstLine="420"/>
        <w:rPr>
          <w:rFonts w:ascii="宋体" w:hAnsi="宋体" w:cs="宋体"/>
          <w:color w:val="auto"/>
          <w:highlight w:val="none"/>
          <w:lang w:eastAsia="zh-CN"/>
        </w:rPr>
      </w:pPr>
      <w:r>
        <w:rPr>
          <w:rFonts w:hint="eastAsia" w:ascii="宋体" w:hAnsi="宋体" w:cs="宋体"/>
          <w:color w:val="auto"/>
          <w:highlight w:val="none"/>
          <w:lang w:eastAsia="zh-CN"/>
        </w:rPr>
        <w:t>3.2.4在磋商过程中，凡遇到竞争性磋商文件中无界定或界定不清、前后不一致使磋商小组意见有分歧且又难以协商一致的问题，均由磋商小组予以表决，获半数以上同意的即为通过，未获半数同意的即为否决。</w:t>
      </w:r>
    </w:p>
    <w:p w14:paraId="7497C2B2">
      <w:pPr>
        <w:pStyle w:val="37"/>
        <w:ind w:firstLine="422" w:firstLineChars="0"/>
        <w:outlineLvl w:val="2"/>
        <w:rPr>
          <w:rFonts w:ascii="宋体" w:hAnsi="宋体" w:eastAsia="宋体"/>
          <w:b/>
          <w:bCs/>
          <w:color w:val="auto"/>
          <w:sz w:val="21"/>
          <w:szCs w:val="21"/>
          <w:highlight w:val="none"/>
          <w:lang w:eastAsia="zh-CN"/>
        </w:rPr>
      </w:pPr>
      <w:bookmarkStart w:id="927" w:name="_Toc12374"/>
      <w:bookmarkStart w:id="928" w:name="_Toc318450729"/>
      <w:bookmarkStart w:id="929" w:name="_Toc28633"/>
      <w:bookmarkStart w:id="930" w:name="_Toc4349"/>
      <w:bookmarkStart w:id="931" w:name="_Toc2657"/>
      <w:bookmarkStart w:id="932" w:name="_Toc281405535"/>
      <w:bookmarkStart w:id="933" w:name="_Toc331"/>
      <w:bookmarkStart w:id="934" w:name="_Toc22084"/>
      <w:bookmarkStart w:id="935" w:name="_Toc455867823"/>
      <w:bookmarkStart w:id="936" w:name="_Toc24862"/>
      <w:bookmarkStart w:id="937" w:name="_Toc8342"/>
      <w:bookmarkStart w:id="938" w:name="_Toc455080163"/>
      <w:bookmarkStart w:id="939" w:name="_Toc8813"/>
      <w:bookmarkStart w:id="940" w:name="_Toc11958"/>
      <w:bookmarkStart w:id="941" w:name="_Toc20542"/>
      <w:bookmarkStart w:id="942" w:name="_Toc466298146"/>
      <w:bookmarkStart w:id="943" w:name="_Toc10153"/>
      <w:bookmarkStart w:id="944" w:name="_Toc490667882"/>
      <w:r>
        <w:rPr>
          <w:rFonts w:hint="eastAsia" w:ascii="宋体" w:hAnsi="宋体" w:eastAsia="宋体"/>
          <w:b/>
          <w:bCs/>
          <w:color w:val="auto"/>
          <w:sz w:val="21"/>
          <w:szCs w:val="21"/>
          <w:highlight w:val="none"/>
          <w:lang w:eastAsia="zh-CN"/>
        </w:rPr>
        <w:t>3.3 响应文件的澄清和补正</w:t>
      </w:r>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p>
    <w:p w14:paraId="739A8188">
      <w:pPr>
        <w:spacing w:line="400" w:lineRule="exact"/>
        <w:ind w:firstLine="420"/>
        <w:rPr>
          <w:rFonts w:ascii="宋体" w:hAnsi="宋体" w:cs="宋体"/>
          <w:color w:val="auto"/>
          <w:highlight w:val="none"/>
          <w:lang w:eastAsia="zh-CN"/>
        </w:rPr>
      </w:pPr>
      <w:r>
        <w:rPr>
          <w:rFonts w:hint="eastAsia" w:ascii="宋体" w:hAnsi="宋体" w:cs="宋体"/>
          <w:color w:val="auto"/>
          <w:highlight w:val="none"/>
          <w:lang w:eastAsia="zh-CN"/>
        </w:rPr>
        <w:t>3.3.1在磋商过程中，磋商小组可以书面形式要求供应商对所提交的响应文件中不明确的内容进行书面澄清或说明，或者对细微偏离进行补正。磋商小组不接受供应商主动提出的澄清、说明或补正。</w:t>
      </w:r>
    </w:p>
    <w:p w14:paraId="6EA4E757">
      <w:pPr>
        <w:spacing w:line="400" w:lineRule="exact"/>
        <w:ind w:firstLine="420"/>
        <w:rPr>
          <w:rFonts w:ascii="宋体" w:hAnsi="宋体" w:cs="宋体"/>
          <w:color w:val="auto"/>
          <w:highlight w:val="none"/>
          <w:lang w:eastAsia="zh-CN"/>
        </w:rPr>
      </w:pPr>
      <w:r>
        <w:rPr>
          <w:rFonts w:hint="eastAsia" w:ascii="宋体" w:hAnsi="宋体" w:cs="宋体"/>
          <w:color w:val="auto"/>
          <w:highlight w:val="none"/>
          <w:lang w:eastAsia="zh-CN"/>
        </w:rPr>
        <w:t>3.3.2 澄清、说明和补正不得超出响应文件的范围或者改变响应文件的实质性内容（算术性错误修正的除外）。供应商的书面澄清、说明和补正属于响应文件的组成部分。</w:t>
      </w:r>
    </w:p>
    <w:p w14:paraId="4CEE491F">
      <w:pPr>
        <w:spacing w:line="400" w:lineRule="exact"/>
        <w:ind w:firstLine="420"/>
        <w:rPr>
          <w:rFonts w:ascii="宋体" w:hAnsi="宋体" w:cs="宋体"/>
          <w:color w:val="auto"/>
          <w:highlight w:val="none"/>
          <w:lang w:eastAsia="zh-CN"/>
        </w:rPr>
      </w:pPr>
      <w:r>
        <w:rPr>
          <w:rFonts w:hint="eastAsia" w:ascii="宋体" w:hAnsi="宋体" w:cs="宋体"/>
          <w:color w:val="auto"/>
          <w:highlight w:val="none"/>
          <w:lang w:eastAsia="zh-CN"/>
        </w:rPr>
        <w:t>3.3.3 磋商小组对供应商提交的澄清、说明或补正有疑问的，可以要求供应商进一步澄清、说明或补正，直至满足磋商小组的要求。</w:t>
      </w:r>
    </w:p>
    <w:p w14:paraId="32E40011">
      <w:pPr>
        <w:pStyle w:val="37"/>
        <w:ind w:firstLine="420" w:firstLineChars="0"/>
        <w:outlineLvl w:val="2"/>
        <w:rPr>
          <w:rFonts w:ascii="宋体" w:hAnsi="宋体" w:eastAsia="宋体"/>
          <w:color w:val="auto"/>
          <w:sz w:val="21"/>
          <w:szCs w:val="21"/>
          <w:highlight w:val="none"/>
          <w:lang w:eastAsia="zh-CN"/>
        </w:rPr>
      </w:pPr>
      <w:bookmarkStart w:id="945" w:name="_Toc19938"/>
      <w:bookmarkStart w:id="946" w:name="_Toc14788"/>
      <w:bookmarkStart w:id="947" w:name="_Toc30053"/>
      <w:bookmarkStart w:id="948" w:name="_Toc1857"/>
      <w:bookmarkStart w:id="949" w:name="_Toc281405536"/>
      <w:bookmarkStart w:id="950" w:name="_Toc318450730"/>
      <w:bookmarkStart w:id="951" w:name="_Toc19453"/>
      <w:bookmarkStart w:id="952" w:name="_Toc490667883"/>
      <w:bookmarkStart w:id="953" w:name="_Toc22049"/>
      <w:bookmarkStart w:id="954" w:name="_Toc4286"/>
      <w:bookmarkStart w:id="955" w:name="_Toc32183"/>
      <w:bookmarkStart w:id="956" w:name="_Toc455867824"/>
      <w:bookmarkStart w:id="957" w:name="_Toc22986"/>
      <w:bookmarkStart w:id="958" w:name="_Toc26894"/>
      <w:bookmarkStart w:id="959" w:name="_Toc455080164"/>
      <w:bookmarkStart w:id="960" w:name="_Toc22682"/>
      <w:bookmarkStart w:id="961" w:name="_Toc5903"/>
      <w:bookmarkStart w:id="962" w:name="_Toc466298147"/>
      <w:r>
        <w:rPr>
          <w:rFonts w:hint="eastAsia" w:ascii="宋体" w:hAnsi="宋体" w:eastAsia="宋体"/>
          <w:color w:val="auto"/>
          <w:sz w:val="21"/>
          <w:szCs w:val="21"/>
          <w:highlight w:val="none"/>
          <w:lang w:eastAsia="zh-CN"/>
        </w:rPr>
        <w:t>3.4 评审结果</w:t>
      </w:r>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p>
    <w:p w14:paraId="0B7BB06F">
      <w:pPr>
        <w:spacing w:line="400" w:lineRule="exact"/>
        <w:ind w:firstLine="420"/>
        <w:rPr>
          <w:rFonts w:ascii="宋体" w:hAnsi="宋体" w:cs="宋体"/>
          <w:color w:val="auto"/>
          <w:highlight w:val="none"/>
          <w:lang w:eastAsia="zh-CN"/>
        </w:rPr>
      </w:pPr>
      <w:r>
        <w:rPr>
          <w:rFonts w:hint="eastAsia" w:ascii="宋体" w:hAnsi="宋体" w:cs="宋体"/>
          <w:color w:val="auto"/>
          <w:highlight w:val="none"/>
          <w:lang w:eastAsia="zh-CN"/>
        </w:rPr>
        <w:t>3.4.1除第二章“供应商须知”前附表授权直接确定成交人外，磋商小组按照得分由高到低的顺序推荐成交候选人。</w:t>
      </w:r>
    </w:p>
    <w:p w14:paraId="3E796BF4">
      <w:pPr>
        <w:spacing w:line="400" w:lineRule="exact"/>
        <w:ind w:firstLine="420"/>
        <w:rPr>
          <w:rFonts w:ascii="宋体" w:hAnsi="宋体" w:cs="宋体"/>
          <w:color w:val="auto"/>
          <w:highlight w:val="none"/>
          <w:lang w:eastAsia="zh-CN"/>
        </w:rPr>
      </w:pPr>
      <w:r>
        <w:rPr>
          <w:rFonts w:hint="eastAsia" w:ascii="宋体" w:hAnsi="宋体" w:cs="宋体"/>
          <w:color w:val="auto"/>
          <w:highlight w:val="none"/>
          <w:lang w:eastAsia="zh-CN"/>
        </w:rPr>
        <w:t>3.4.2 磋商小组完成评审后，应当向采购人提交书面评审报告。</w:t>
      </w:r>
    </w:p>
    <w:p w14:paraId="615EE4F1">
      <w:pPr>
        <w:spacing w:line="400" w:lineRule="exact"/>
        <w:ind w:firstLine="420" w:firstLineChars="0"/>
        <w:outlineLvl w:val="1"/>
        <w:rPr>
          <w:rFonts w:ascii="宋体" w:hAnsi="宋体" w:cs="宋体"/>
          <w:color w:val="auto"/>
          <w:highlight w:val="none"/>
          <w:lang w:eastAsia="zh-CN"/>
        </w:rPr>
      </w:pPr>
      <w:bookmarkStart w:id="963" w:name="_Toc20314"/>
      <w:bookmarkStart w:id="964" w:name="_Toc152042387"/>
      <w:bookmarkStart w:id="965" w:name="_Toc144974577"/>
      <w:bookmarkStart w:id="966" w:name="_Toc14024"/>
      <w:bookmarkStart w:id="967" w:name="_Toc152045609"/>
      <w:r>
        <w:rPr>
          <w:rFonts w:hint="eastAsia" w:ascii="宋体" w:hAnsi="宋体" w:cs="宋体"/>
          <w:color w:val="auto"/>
          <w:highlight w:val="none"/>
          <w:lang w:eastAsia="zh-CN"/>
        </w:rPr>
        <w:t>附件：废标条件</w:t>
      </w:r>
      <w:bookmarkEnd w:id="963"/>
    </w:p>
    <w:p w14:paraId="1F76BCBB">
      <w:pPr>
        <w:spacing w:line="400" w:lineRule="exact"/>
        <w:ind w:firstLine="422"/>
        <w:jc w:val="center"/>
        <w:rPr>
          <w:rFonts w:ascii="宋体" w:hAnsi="宋体" w:cs="宋体"/>
          <w:b/>
          <w:color w:val="auto"/>
          <w:highlight w:val="none"/>
          <w:lang w:eastAsia="zh-CN"/>
        </w:rPr>
      </w:pPr>
      <w:r>
        <w:rPr>
          <w:rFonts w:hint="eastAsia" w:ascii="宋体" w:hAnsi="宋体" w:cs="宋体"/>
          <w:b/>
          <w:color w:val="auto"/>
          <w:highlight w:val="none"/>
          <w:lang w:eastAsia="zh-CN"/>
        </w:rPr>
        <w:t>废标条件</w:t>
      </w:r>
    </w:p>
    <w:p w14:paraId="56AF7069">
      <w:pPr>
        <w:spacing w:line="400" w:lineRule="exact"/>
        <w:ind w:firstLine="422"/>
        <w:rPr>
          <w:rFonts w:ascii="宋体" w:hAnsi="宋体" w:cs="宋体"/>
          <w:b/>
          <w:color w:val="auto"/>
          <w:highlight w:val="none"/>
          <w:lang w:eastAsia="zh-CN"/>
        </w:rPr>
      </w:pPr>
      <w:r>
        <w:rPr>
          <w:rFonts w:hint="eastAsia" w:ascii="宋体" w:hAnsi="宋体" w:cs="宋体"/>
          <w:b/>
          <w:color w:val="auto"/>
          <w:highlight w:val="none"/>
          <w:lang w:eastAsia="zh-CN"/>
        </w:rPr>
        <w:t>本附件所集中列示的废标条件，是本章“评标办法”的组成部分，是对第二章“供应商须知”和本章正文部分所规定的废标条件的总结和补充，如果出现相互矛盾的情况，以第二章“供应商须知”和本章正文部分的规定为准。</w:t>
      </w:r>
    </w:p>
    <w:p w14:paraId="3A40ED54">
      <w:pPr>
        <w:spacing w:line="400" w:lineRule="exact"/>
        <w:ind w:firstLine="422"/>
        <w:rPr>
          <w:rFonts w:ascii="宋体" w:hAnsi="宋体" w:cs="宋体"/>
          <w:b/>
          <w:color w:val="auto"/>
          <w:highlight w:val="none"/>
          <w:lang w:eastAsia="zh-CN"/>
        </w:rPr>
      </w:pPr>
      <w:r>
        <w:rPr>
          <w:rFonts w:hint="eastAsia" w:ascii="宋体" w:hAnsi="宋体" w:cs="宋体"/>
          <w:b/>
          <w:color w:val="auto"/>
          <w:highlight w:val="none"/>
          <w:lang w:eastAsia="zh-CN"/>
        </w:rPr>
        <w:t xml:space="preserve">1.未通过第三章评标办法资格评审、符合性评审的； </w:t>
      </w:r>
    </w:p>
    <w:p w14:paraId="27259AE6">
      <w:pPr>
        <w:spacing w:line="400" w:lineRule="exact"/>
        <w:ind w:firstLine="422"/>
        <w:rPr>
          <w:rFonts w:ascii="宋体" w:hAnsi="宋体" w:cs="宋体"/>
          <w:b/>
          <w:color w:val="auto"/>
          <w:highlight w:val="none"/>
          <w:lang w:eastAsia="zh-CN"/>
        </w:rPr>
      </w:pPr>
      <w:r>
        <w:rPr>
          <w:rFonts w:hint="eastAsia" w:ascii="宋体" w:hAnsi="宋体" w:cs="宋体"/>
          <w:b/>
          <w:color w:val="auto"/>
          <w:highlight w:val="none"/>
          <w:lang w:eastAsia="zh-CN"/>
        </w:rPr>
        <w:t>2.不按磋商小组要求澄清、说明或补正的；</w:t>
      </w:r>
    </w:p>
    <w:p w14:paraId="03EB46D9">
      <w:pPr>
        <w:spacing w:line="400" w:lineRule="exact"/>
        <w:ind w:firstLine="422"/>
        <w:rPr>
          <w:rFonts w:ascii="宋体" w:hAnsi="宋体" w:cs="宋体"/>
          <w:b/>
          <w:color w:val="auto"/>
          <w:highlight w:val="none"/>
          <w:lang w:eastAsia="zh-CN"/>
        </w:rPr>
      </w:pPr>
      <w:r>
        <w:rPr>
          <w:rFonts w:hint="eastAsia" w:ascii="宋体" w:hAnsi="宋体" w:cs="宋体"/>
          <w:b/>
          <w:color w:val="auto"/>
          <w:highlight w:val="none"/>
          <w:lang w:eastAsia="zh-CN"/>
        </w:rPr>
        <w:t>3.磋商报价有算术性错误，供应商不接受修正价格的；</w:t>
      </w:r>
    </w:p>
    <w:p w14:paraId="23064A3B">
      <w:pPr>
        <w:spacing w:line="400" w:lineRule="exact"/>
        <w:ind w:firstLine="422"/>
        <w:rPr>
          <w:rFonts w:ascii="宋体" w:hAnsi="宋体" w:cs="宋体"/>
          <w:b/>
          <w:color w:val="auto"/>
          <w:highlight w:val="none"/>
          <w:lang w:eastAsia="zh-CN"/>
        </w:rPr>
      </w:pPr>
      <w:r>
        <w:rPr>
          <w:rFonts w:hint="eastAsia" w:ascii="宋体" w:hAnsi="宋体" w:cs="宋体"/>
          <w:b/>
          <w:color w:val="auto"/>
          <w:highlight w:val="none"/>
          <w:lang w:eastAsia="zh-CN"/>
        </w:rPr>
        <w:t>4.以他人的名义投标、以行贿手段谋取中标或者以其他弄虚作假方式投标的；</w:t>
      </w:r>
    </w:p>
    <w:p w14:paraId="4DE3C6D8">
      <w:pPr>
        <w:spacing w:line="400" w:lineRule="exact"/>
        <w:ind w:firstLine="422"/>
        <w:rPr>
          <w:rFonts w:ascii="宋体" w:hAnsi="宋体" w:cs="宋体"/>
          <w:b/>
          <w:color w:val="auto"/>
          <w:highlight w:val="none"/>
          <w:lang w:eastAsia="zh-CN"/>
        </w:rPr>
      </w:pPr>
      <w:r>
        <w:rPr>
          <w:rFonts w:hint="eastAsia" w:ascii="宋体" w:hAnsi="宋体" w:cs="宋体"/>
          <w:b/>
          <w:color w:val="auto"/>
          <w:highlight w:val="none"/>
          <w:lang w:eastAsia="zh-CN"/>
        </w:rPr>
        <w:t>5.属于串（围）标行为的；</w:t>
      </w:r>
    </w:p>
    <w:p w14:paraId="4421FDF1">
      <w:pPr>
        <w:spacing w:line="400" w:lineRule="exact"/>
        <w:ind w:firstLine="422"/>
        <w:rPr>
          <w:rFonts w:ascii="宋体" w:hAnsi="宋体" w:cs="宋体"/>
          <w:b/>
          <w:color w:val="auto"/>
          <w:highlight w:val="none"/>
          <w:lang w:eastAsia="zh-CN"/>
        </w:rPr>
      </w:pPr>
      <w:r>
        <w:rPr>
          <w:rFonts w:hint="eastAsia" w:ascii="宋体" w:hAnsi="宋体" w:cs="宋体"/>
          <w:b/>
          <w:color w:val="auto"/>
          <w:highlight w:val="none"/>
          <w:lang w:eastAsia="zh-CN"/>
        </w:rPr>
        <w:t>6.评标委员会认定供应商以低于成本报价竞标的；</w:t>
      </w:r>
    </w:p>
    <w:p w14:paraId="327BF29A">
      <w:pPr>
        <w:spacing w:line="400" w:lineRule="exact"/>
        <w:ind w:firstLine="422"/>
        <w:rPr>
          <w:rFonts w:ascii="宋体" w:hAnsi="宋体" w:cs="宋体"/>
          <w:b/>
          <w:color w:val="auto"/>
          <w:highlight w:val="none"/>
          <w:lang w:eastAsia="zh-CN"/>
        </w:rPr>
      </w:pPr>
      <w:r>
        <w:rPr>
          <w:rFonts w:hint="eastAsia" w:ascii="宋体" w:hAnsi="宋体" w:cs="宋体"/>
          <w:b/>
          <w:color w:val="auto"/>
          <w:highlight w:val="none"/>
          <w:lang w:eastAsia="zh-CN"/>
        </w:rPr>
        <w:t>7.明显不符合技术规格、技术标准的要求；</w:t>
      </w:r>
    </w:p>
    <w:p w14:paraId="3A5471AE">
      <w:pPr>
        <w:spacing w:line="400" w:lineRule="exact"/>
        <w:ind w:firstLine="422"/>
        <w:rPr>
          <w:rFonts w:ascii="宋体" w:hAnsi="宋体" w:cs="宋体"/>
          <w:b/>
          <w:color w:val="auto"/>
          <w:highlight w:val="none"/>
          <w:lang w:eastAsia="zh-CN"/>
        </w:rPr>
      </w:pPr>
      <w:r>
        <w:rPr>
          <w:rFonts w:hint="eastAsia" w:ascii="宋体" w:hAnsi="宋体" w:cs="宋体"/>
          <w:b/>
          <w:color w:val="auto"/>
          <w:highlight w:val="none"/>
          <w:lang w:eastAsia="zh-CN"/>
        </w:rPr>
        <w:t>8.文件制作机器码、文件创建标识码有相同的；</w:t>
      </w:r>
    </w:p>
    <w:p w14:paraId="7ABB8691">
      <w:pPr>
        <w:spacing w:line="400" w:lineRule="exact"/>
        <w:ind w:firstLine="422"/>
        <w:rPr>
          <w:rFonts w:ascii="宋体" w:hAnsi="宋体" w:cs="宋体"/>
          <w:b/>
          <w:color w:val="auto"/>
          <w:highlight w:val="none"/>
          <w:lang w:eastAsia="zh-CN"/>
        </w:rPr>
      </w:pPr>
      <w:r>
        <w:rPr>
          <w:rFonts w:hint="eastAsia" w:ascii="宋体" w:hAnsi="宋体" w:cs="宋体"/>
          <w:b/>
          <w:color w:val="auto"/>
          <w:highlight w:val="none"/>
          <w:lang w:eastAsia="zh-CN"/>
        </w:rPr>
        <w:t>9．不符合竞争性磋商文件规定的其他实质性要求及相关法律、法规或规章规定可以废标的其他情形。</w:t>
      </w:r>
    </w:p>
    <w:p w14:paraId="29821C6F">
      <w:pPr>
        <w:pStyle w:val="2"/>
        <w:ind w:firstLine="280"/>
        <w:rPr>
          <w:rFonts w:ascii="宋体" w:hAnsi="宋体" w:cs="宋体"/>
          <w:bCs/>
          <w:color w:val="auto"/>
          <w:sz w:val="28"/>
          <w:szCs w:val="28"/>
          <w:highlight w:val="none"/>
          <w:lang w:eastAsia="zh-CN"/>
        </w:rPr>
      </w:pPr>
    </w:p>
    <w:p w14:paraId="4F9AEE62">
      <w:pPr>
        <w:pStyle w:val="7"/>
        <w:tabs>
          <w:tab w:val="left" w:pos="945"/>
          <w:tab w:val="left" w:pos="1155"/>
        </w:tabs>
        <w:ind w:firstLine="560"/>
        <w:rPr>
          <w:rFonts w:ascii="宋体" w:hAnsi="宋体" w:cs="宋体"/>
          <w:bCs/>
          <w:color w:val="auto"/>
          <w:sz w:val="28"/>
          <w:szCs w:val="28"/>
          <w:highlight w:val="none"/>
          <w:lang w:eastAsia="zh-CN"/>
        </w:rPr>
      </w:pPr>
    </w:p>
    <w:p w14:paraId="6EA84BEA">
      <w:pPr>
        <w:ind w:firstLine="560"/>
        <w:rPr>
          <w:rFonts w:ascii="宋体" w:hAnsi="宋体" w:cs="宋体"/>
          <w:bCs/>
          <w:color w:val="auto"/>
          <w:sz w:val="28"/>
          <w:szCs w:val="28"/>
          <w:highlight w:val="none"/>
          <w:lang w:eastAsia="zh-CN"/>
        </w:rPr>
      </w:pPr>
    </w:p>
    <w:bookmarkEnd w:id="964"/>
    <w:bookmarkEnd w:id="965"/>
    <w:bookmarkEnd w:id="966"/>
    <w:bookmarkEnd w:id="967"/>
    <w:p w14:paraId="4C8FB82D">
      <w:pPr>
        <w:rPr>
          <w:rStyle w:val="29"/>
          <w:rFonts w:hint="eastAsia"/>
          <w:color w:val="auto"/>
          <w:highlight w:val="none"/>
          <w:lang w:eastAsia="zh-CN"/>
        </w:rPr>
      </w:pPr>
      <w:bookmarkStart w:id="968" w:name="_Toc19109"/>
      <w:bookmarkStart w:id="969" w:name="_Toc31177"/>
      <w:bookmarkStart w:id="970" w:name="_Toc152045786"/>
      <w:bookmarkStart w:id="971" w:name="_Toc144974855"/>
      <w:bookmarkStart w:id="972" w:name="_Toc14158"/>
      <w:bookmarkStart w:id="973" w:name="_Toc152042575"/>
      <w:r>
        <w:rPr>
          <w:rStyle w:val="29"/>
          <w:rFonts w:hint="eastAsia"/>
          <w:color w:val="auto"/>
          <w:highlight w:val="none"/>
          <w:lang w:eastAsia="zh-CN"/>
        </w:rPr>
        <w:br w:type="page"/>
      </w:r>
    </w:p>
    <w:p w14:paraId="13C3FAF9">
      <w:pPr>
        <w:spacing w:line="400" w:lineRule="exact"/>
        <w:ind w:firstLine="3218" w:firstLineChars="1005"/>
        <w:jc w:val="both"/>
        <w:outlineLvl w:val="0"/>
        <w:rPr>
          <w:rFonts w:ascii="宋体" w:hAnsi="宋体" w:cs="宋体"/>
          <w:b/>
          <w:color w:val="auto"/>
          <w:sz w:val="32"/>
          <w:szCs w:val="32"/>
          <w:highlight w:val="none"/>
          <w:lang w:eastAsia="zh-CN"/>
        </w:rPr>
      </w:pPr>
      <w:r>
        <w:rPr>
          <w:rStyle w:val="29"/>
          <w:rFonts w:hint="eastAsia"/>
          <w:color w:val="auto"/>
          <w:highlight w:val="none"/>
          <w:lang w:eastAsia="zh-CN"/>
        </w:rPr>
        <w:t>第四章  河南省政府采购合同</w:t>
      </w:r>
      <w:bookmarkEnd w:id="968"/>
      <w:bookmarkEnd w:id="969"/>
      <w:r>
        <w:rPr>
          <w:rFonts w:hint="eastAsia" w:ascii="宋体" w:hAnsi="宋体" w:cs="宋体"/>
          <w:b/>
          <w:color w:val="auto"/>
          <w:sz w:val="32"/>
          <w:szCs w:val="32"/>
          <w:highlight w:val="none"/>
          <w:lang w:eastAsia="zh-CN"/>
        </w:rPr>
        <w:t>（参考文本）</w:t>
      </w:r>
    </w:p>
    <w:p w14:paraId="47F107D9">
      <w:pPr>
        <w:spacing w:before="78" w:line="222" w:lineRule="auto"/>
        <w:ind w:left="1547" w:firstLine="1428" w:firstLineChars="600"/>
        <w:rPr>
          <w:rFonts w:ascii="仿宋" w:hAnsi="仿宋" w:eastAsia="仿宋" w:cs="仿宋"/>
          <w:sz w:val="24"/>
          <w:szCs w:val="24"/>
          <w:highlight w:val="none"/>
        </w:rPr>
      </w:pPr>
      <w:r>
        <w:rPr>
          <w:rFonts w:ascii="仿宋" w:hAnsi="仿宋" w:eastAsia="仿宋" w:cs="仿宋"/>
          <w:spacing w:val="-1"/>
          <w:sz w:val="24"/>
          <w:szCs w:val="24"/>
          <w:highlight w:val="none"/>
        </w:rPr>
        <w:t>（此合同仅做参考，以采购人与供应商最终确定为准）</w:t>
      </w:r>
    </w:p>
    <w:p w14:paraId="3D01E98E">
      <w:pPr>
        <w:pStyle w:val="3"/>
        <w:spacing w:line="255" w:lineRule="auto"/>
        <w:rPr>
          <w:highlight w:val="none"/>
        </w:rPr>
      </w:pPr>
    </w:p>
    <w:p w14:paraId="043BA2CC">
      <w:pPr>
        <w:pStyle w:val="3"/>
        <w:spacing w:line="256" w:lineRule="auto"/>
        <w:rPr>
          <w:highlight w:val="none"/>
        </w:rPr>
      </w:pPr>
    </w:p>
    <w:p w14:paraId="756D5208">
      <w:pPr>
        <w:rPr>
          <w:rFonts w:hint="eastAsia" w:ascii="楷体" w:hAnsi="楷体" w:eastAsia="楷体" w:cs="楷体"/>
          <w:spacing w:val="-2"/>
          <w:sz w:val="24"/>
          <w:szCs w:val="24"/>
          <w:highlight w:val="none"/>
          <w:lang w:val="en-US" w:eastAsia="zh-CN"/>
        </w:rPr>
      </w:pPr>
    </w:p>
    <w:p w14:paraId="061BCF4A">
      <w:pPr>
        <w:pStyle w:val="2"/>
        <w:rPr>
          <w:rFonts w:ascii="楷体" w:hAnsi="楷体" w:eastAsia="楷体" w:cs="楷体"/>
          <w:spacing w:val="-2"/>
          <w:sz w:val="24"/>
          <w:szCs w:val="24"/>
          <w:highlight w:val="none"/>
        </w:rPr>
      </w:pPr>
    </w:p>
    <w:p w14:paraId="328A73EC">
      <w:pPr>
        <w:pStyle w:val="7"/>
        <w:ind w:left="0" w:leftChars="0" w:firstLine="0" w:firstLineChars="0"/>
        <w:rPr>
          <w:rFonts w:hint="eastAsia" w:eastAsia="楷体"/>
          <w:color w:val="0000FF"/>
          <w:highlight w:val="none"/>
          <w:lang w:val="en-US" w:eastAsia="zh-CN"/>
        </w:rPr>
      </w:pPr>
    </w:p>
    <w:p w14:paraId="79D884D7">
      <w:pPr>
        <w:pStyle w:val="9"/>
        <w:jc w:val="both"/>
        <w:rPr>
          <w:rFonts w:hint="eastAsia"/>
          <w:color w:val="0000FF"/>
          <w:highlight w:val="none"/>
          <w:shd w:val="clear" w:color="auto" w:fill="FFFFFF"/>
        </w:rPr>
      </w:pPr>
      <w:bookmarkStart w:id="974" w:name="_Toc14620"/>
    </w:p>
    <w:p w14:paraId="5712858C">
      <w:pPr>
        <w:pStyle w:val="9"/>
        <w:jc w:val="both"/>
        <w:rPr>
          <w:rFonts w:hint="eastAsia"/>
          <w:color w:val="0000FF"/>
          <w:highlight w:val="none"/>
          <w:shd w:val="clear" w:color="auto" w:fill="FFFFFF"/>
        </w:rPr>
      </w:pPr>
    </w:p>
    <w:p w14:paraId="50485F3E">
      <w:pPr>
        <w:pStyle w:val="9"/>
        <w:jc w:val="both"/>
        <w:rPr>
          <w:rFonts w:hint="eastAsia"/>
          <w:color w:val="0000FF"/>
          <w:highlight w:val="none"/>
          <w:shd w:val="clear" w:color="auto" w:fill="FFFFFF"/>
        </w:rPr>
      </w:pPr>
    </w:p>
    <w:p w14:paraId="46FB760C">
      <w:pPr>
        <w:pStyle w:val="9"/>
        <w:jc w:val="both"/>
        <w:rPr>
          <w:rFonts w:hint="eastAsia"/>
          <w:color w:val="0000FF"/>
          <w:highlight w:val="none"/>
          <w:shd w:val="clear" w:color="auto" w:fill="FFFFFF"/>
        </w:rPr>
      </w:pPr>
    </w:p>
    <w:p w14:paraId="18DC284E">
      <w:pPr>
        <w:pStyle w:val="9"/>
        <w:jc w:val="both"/>
        <w:rPr>
          <w:rFonts w:hint="eastAsia"/>
          <w:color w:val="0000FF"/>
          <w:highlight w:val="none"/>
          <w:shd w:val="clear" w:color="auto" w:fill="FFFFFF"/>
        </w:rPr>
      </w:pPr>
    </w:p>
    <w:p w14:paraId="282AB6D9">
      <w:pPr>
        <w:pStyle w:val="9"/>
        <w:jc w:val="both"/>
        <w:rPr>
          <w:rFonts w:hint="eastAsia"/>
          <w:color w:val="0000FF"/>
          <w:highlight w:val="none"/>
          <w:shd w:val="clear" w:color="auto" w:fill="FFFFFF"/>
        </w:rPr>
      </w:pPr>
    </w:p>
    <w:p w14:paraId="2B569088">
      <w:pPr>
        <w:pStyle w:val="9"/>
        <w:jc w:val="both"/>
        <w:rPr>
          <w:rFonts w:hint="eastAsia"/>
          <w:color w:val="0000FF"/>
          <w:highlight w:val="none"/>
          <w:shd w:val="clear" w:color="auto" w:fill="FFFFFF"/>
        </w:rPr>
      </w:pPr>
    </w:p>
    <w:p w14:paraId="168A9CB6">
      <w:pPr>
        <w:pStyle w:val="9"/>
        <w:jc w:val="both"/>
        <w:rPr>
          <w:rFonts w:hint="eastAsia"/>
          <w:color w:val="0000FF"/>
          <w:highlight w:val="none"/>
          <w:shd w:val="clear" w:color="auto" w:fill="FFFFFF"/>
        </w:rPr>
      </w:pPr>
    </w:p>
    <w:p w14:paraId="36ED89C0">
      <w:pPr>
        <w:pStyle w:val="9"/>
        <w:jc w:val="both"/>
        <w:rPr>
          <w:rFonts w:hint="eastAsia"/>
          <w:color w:val="0000FF"/>
          <w:highlight w:val="none"/>
          <w:shd w:val="clear" w:color="auto" w:fill="FFFFFF"/>
        </w:rPr>
      </w:pPr>
    </w:p>
    <w:p w14:paraId="40FB9FEB">
      <w:pPr>
        <w:pStyle w:val="9"/>
        <w:jc w:val="both"/>
        <w:rPr>
          <w:rFonts w:hint="eastAsia"/>
          <w:color w:val="0000FF"/>
          <w:highlight w:val="none"/>
          <w:shd w:val="clear" w:color="auto" w:fill="FFFFFF"/>
        </w:rPr>
      </w:pPr>
    </w:p>
    <w:p w14:paraId="0D557FF1">
      <w:pPr>
        <w:pStyle w:val="9"/>
        <w:jc w:val="both"/>
        <w:rPr>
          <w:rFonts w:hint="eastAsia"/>
          <w:color w:val="0000FF"/>
          <w:highlight w:val="none"/>
          <w:shd w:val="clear" w:color="auto" w:fill="FFFFFF"/>
        </w:rPr>
      </w:pPr>
    </w:p>
    <w:p w14:paraId="66F7C3FD">
      <w:pPr>
        <w:pStyle w:val="9"/>
        <w:jc w:val="both"/>
        <w:rPr>
          <w:rFonts w:hint="eastAsia"/>
          <w:color w:val="0000FF"/>
          <w:highlight w:val="none"/>
          <w:shd w:val="clear" w:color="auto" w:fill="FFFFFF"/>
        </w:rPr>
      </w:pPr>
    </w:p>
    <w:p w14:paraId="30060EC7">
      <w:pPr>
        <w:pStyle w:val="9"/>
        <w:jc w:val="both"/>
        <w:rPr>
          <w:rFonts w:hint="eastAsia"/>
          <w:color w:val="0000FF"/>
          <w:highlight w:val="none"/>
          <w:shd w:val="clear" w:color="auto" w:fill="FFFFFF"/>
        </w:rPr>
      </w:pPr>
    </w:p>
    <w:p w14:paraId="60E9146E">
      <w:pPr>
        <w:pStyle w:val="9"/>
        <w:jc w:val="both"/>
        <w:rPr>
          <w:rFonts w:hint="eastAsia"/>
          <w:color w:val="0000FF"/>
          <w:highlight w:val="none"/>
          <w:shd w:val="clear" w:color="auto" w:fill="FFFFFF"/>
        </w:rPr>
      </w:pPr>
    </w:p>
    <w:p w14:paraId="1B9DD2D5">
      <w:pPr>
        <w:pStyle w:val="9"/>
        <w:jc w:val="both"/>
        <w:rPr>
          <w:rFonts w:hint="eastAsia"/>
          <w:color w:val="0000FF"/>
          <w:highlight w:val="none"/>
          <w:shd w:val="clear" w:color="auto" w:fill="FFFFFF"/>
        </w:rPr>
      </w:pPr>
    </w:p>
    <w:p w14:paraId="7904DFD1">
      <w:pPr>
        <w:pStyle w:val="9"/>
        <w:jc w:val="both"/>
        <w:rPr>
          <w:rFonts w:hint="eastAsia"/>
          <w:color w:val="0000FF"/>
          <w:highlight w:val="none"/>
          <w:shd w:val="clear" w:color="auto" w:fill="FFFFFF"/>
        </w:rPr>
      </w:pPr>
    </w:p>
    <w:p w14:paraId="2F08D56A">
      <w:pPr>
        <w:pStyle w:val="9"/>
        <w:jc w:val="both"/>
        <w:rPr>
          <w:rFonts w:hint="eastAsia"/>
          <w:color w:val="0000FF"/>
          <w:highlight w:val="none"/>
          <w:shd w:val="clear" w:color="auto" w:fill="FFFFFF"/>
        </w:rPr>
      </w:pPr>
    </w:p>
    <w:p w14:paraId="56A4FA61">
      <w:pPr>
        <w:pStyle w:val="9"/>
        <w:jc w:val="both"/>
        <w:rPr>
          <w:rFonts w:hint="eastAsia"/>
          <w:color w:val="0000FF"/>
          <w:highlight w:val="none"/>
          <w:shd w:val="clear" w:color="auto" w:fill="FFFFFF"/>
        </w:rPr>
      </w:pPr>
    </w:p>
    <w:p w14:paraId="42C5C6CF">
      <w:pPr>
        <w:pStyle w:val="9"/>
        <w:jc w:val="both"/>
        <w:rPr>
          <w:rFonts w:hint="eastAsia"/>
          <w:color w:val="0000FF"/>
          <w:highlight w:val="none"/>
          <w:shd w:val="clear" w:color="auto" w:fill="FFFFFF"/>
        </w:rPr>
      </w:pPr>
    </w:p>
    <w:p w14:paraId="03A2B925">
      <w:pPr>
        <w:pStyle w:val="9"/>
        <w:jc w:val="both"/>
        <w:rPr>
          <w:rFonts w:hint="eastAsia"/>
          <w:color w:val="0000FF"/>
          <w:highlight w:val="none"/>
          <w:shd w:val="clear" w:color="auto" w:fill="FFFFFF"/>
        </w:rPr>
      </w:pPr>
    </w:p>
    <w:p w14:paraId="257A8D0B">
      <w:pPr>
        <w:pStyle w:val="9"/>
        <w:jc w:val="both"/>
        <w:rPr>
          <w:rFonts w:hint="eastAsia"/>
          <w:color w:val="0000FF"/>
          <w:highlight w:val="none"/>
          <w:shd w:val="clear" w:color="auto" w:fill="FFFFFF"/>
        </w:rPr>
      </w:pPr>
    </w:p>
    <w:p w14:paraId="1D399016">
      <w:pPr>
        <w:pStyle w:val="9"/>
        <w:jc w:val="both"/>
        <w:rPr>
          <w:rFonts w:hint="eastAsia"/>
          <w:color w:val="0000FF"/>
          <w:highlight w:val="none"/>
          <w:shd w:val="clear" w:color="auto" w:fill="FFFFFF"/>
        </w:rPr>
      </w:pPr>
    </w:p>
    <w:p w14:paraId="35291EB0">
      <w:pPr>
        <w:pStyle w:val="9"/>
        <w:jc w:val="both"/>
        <w:rPr>
          <w:rFonts w:hint="eastAsia"/>
          <w:color w:val="0000FF"/>
          <w:highlight w:val="none"/>
          <w:shd w:val="clear" w:color="auto" w:fill="FFFFFF"/>
        </w:rPr>
      </w:pPr>
    </w:p>
    <w:p w14:paraId="795FA3B4">
      <w:pPr>
        <w:pStyle w:val="9"/>
        <w:jc w:val="both"/>
        <w:rPr>
          <w:rFonts w:hint="eastAsia"/>
          <w:color w:val="0000FF"/>
          <w:highlight w:val="none"/>
          <w:shd w:val="clear" w:color="auto" w:fill="FFFFFF"/>
        </w:rPr>
      </w:pPr>
    </w:p>
    <w:p w14:paraId="26063BA2">
      <w:pPr>
        <w:pStyle w:val="9"/>
        <w:jc w:val="both"/>
        <w:rPr>
          <w:rFonts w:hint="eastAsia"/>
          <w:color w:val="0000FF"/>
          <w:highlight w:val="none"/>
          <w:shd w:val="clear" w:color="auto" w:fill="FFFFFF"/>
        </w:rPr>
      </w:pPr>
    </w:p>
    <w:p w14:paraId="285B61EA">
      <w:pPr>
        <w:pStyle w:val="9"/>
        <w:jc w:val="both"/>
        <w:rPr>
          <w:rFonts w:hint="eastAsia"/>
          <w:color w:val="0000FF"/>
          <w:highlight w:val="none"/>
          <w:shd w:val="clear" w:color="auto" w:fill="FFFFFF"/>
        </w:rPr>
      </w:pPr>
    </w:p>
    <w:p w14:paraId="33D56D00">
      <w:pPr>
        <w:pStyle w:val="9"/>
        <w:jc w:val="both"/>
        <w:rPr>
          <w:rFonts w:hint="eastAsia"/>
          <w:color w:val="0000FF"/>
          <w:highlight w:val="none"/>
          <w:shd w:val="clear" w:color="auto" w:fill="FFFFFF"/>
        </w:rPr>
      </w:pPr>
    </w:p>
    <w:p w14:paraId="08DD8EF0">
      <w:pPr>
        <w:pStyle w:val="9"/>
        <w:jc w:val="both"/>
        <w:rPr>
          <w:rFonts w:hint="eastAsia"/>
          <w:color w:val="0000FF"/>
          <w:highlight w:val="none"/>
          <w:shd w:val="clear" w:color="auto" w:fill="FFFFFF"/>
        </w:rPr>
      </w:pPr>
    </w:p>
    <w:p w14:paraId="64EA6470">
      <w:pPr>
        <w:pStyle w:val="9"/>
        <w:jc w:val="both"/>
        <w:rPr>
          <w:rFonts w:hint="eastAsia"/>
          <w:color w:val="0000FF"/>
          <w:highlight w:val="none"/>
          <w:shd w:val="clear" w:color="auto" w:fill="FFFFFF"/>
        </w:rPr>
      </w:pPr>
    </w:p>
    <w:p w14:paraId="61FAA426">
      <w:pPr>
        <w:pStyle w:val="9"/>
        <w:jc w:val="both"/>
        <w:rPr>
          <w:rFonts w:hint="eastAsia"/>
          <w:color w:val="0000FF"/>
          <w:highlight w:val="none"/>
          <w:shd w:val="clear" w:color="auto" w:fill="FFFFFF"/>
        </w:rPr>
      </w:pPr>
    </w:p>
    <w:p w14:paraId="0A9B265B">
      <w:pPr>
        <w:pStyle w:val="9"/>
        <w:jc w:val="both"/>
        <w:rPr>
          <w:rFonts w:hint="eastAsia"/>
          <w:color w:val="0000FF"/>
          <w:highlight w:val="none"/>
          <w:shd w:val="clear" w:color="auto" w:fill="FFFFFF"/>
        </w:rPr>
      </w:pPr>
    </w:p>
    <w:p w14:paraId="08F54510">
      <w:pPr>
        <w:pStyle w:val="9"/>
        <w:jc w:val="both"/>
        <w:rPr>
          <w:rFonts w:hint="eastAsia"/>
          <w:color w:val="0000FF"/>
          <w:highlight w:val="none"/>
          <w:shd w:val="clear" w:color="auto" w:fill="FFFFFF"/>
        </w:rPr>
      </w:pPr>
    </w:p>
    <w:p w14:paraId="5860E2B2">
      <w:pPr>
        <w:pStyle w:val="9"/>
        <w:jc w:val="both"/>
        <w:rPr>
          <w:rFonts w:hint="eastAsia"/>
          <w:color w:val="0000FF"/>
          <w:highlight w:val="none"/>
          <w:shd w:val="clear" w:color="auto" w:fill="FFFFFF"/>
        </w:rPr>
      </w:pPr>
    </w:p>
    <w:p w14:paraId="3F05748F">
      <w:pPr>
        <w:pStyle w:val="9"/>
        <w:jc w:val="both"/>
        <w:rPr>
          <w:rFonts w:hint="eastAsia"/>
          <w:color w:val="0000FF"/>
          <w:highlight w:val="none"/>
          <w:shd w:val="clear" w:color="auto" w:fill="FFFFFF"/>
        </w:rPr>
      </w:pPr>
    </w:p>
    <w:p w14:paraId="509EF60C">
      <w:pPr>
        <w:pStyle w:val="9"/>
        <w:jc w:val="both"/>
        <w:rPr>
          <w:rFonts w:hint="eastAsia"/>
          <w:color w:val="0000FF"/>
          <w:highlight w:val="none"/>
          <w:shd w:val="clear" w:color="auto" w:fill="FFFFFF"/>
        </w:rPr>
      </w:pPr>
    </w:p>
    <w:p w14:paraId="1FA963D3">
      <w:pPr>
        <w:pStyle w:val="9"/>
        <w:jc w:val="both"/>
        <w:rPr>
          <w:rFonts w:hint="eastAsia"/>
          <w:color w:val="0000FF"/>
          <w:highlight w:val="none"/>
          <w:shd w:val="clear" w:color="auto" w:fill="FFFFFF"/>
        </w:rPr>
      </w:pPr>
    </w:p>
    <w:p w14:paraId="1AE65C70">
      <w:pPr>
        <w:pStyle w:val="9"/>
        <w:jc w:val="both"/>
        <w:rPr>
          <w:rFonts w:hint="eastAsia"/>
          <w:color w:val="0000FF"/>
          <w:highlight w:val="none"/>
          <w:shd w:val="clear" w:color="auto" w:fill="FFFFFF"/>
        </w:rPr>
      </w:pPr>
    </w:p>
    <w:p w14:paraId="45F13B4D">
      <w:pPr>
        <w:pStyle w:val="9"/>
        <w:jc w:val="both"/>
        <w:rPr>
          <w:rFonts w:hint="eastAsia"/>
          <w:color w:val="0000FF"/>
          <w:highlight w:val="none"/>
          <w:shd w:val="clear" w:color="auto" w:fill="FFFFFF"/>
        </w:rPr>
      </w:pPr>
    </w:p>
    <w:p w14:paraId="16A336B7">
      <w:pPr>
        <w:pStyle w:val="9"/>
        <w:jc w:val="both"/>
        <w:rPr>
          <w:rFonts w:hint="eastAsia"/>
          <w:color w:val="0000FF"/>
          <w:highlight w:val="none"/>
          <w:shd w:val="clear" w:color="auto" w:fill="FFFFFF"/>
        </w:rPr>
      </w:pPr>
    </w:p>
    <w:p w14:paraId="7270648C">
      <w:pPr>
        <w:pStyle w:val="9"/>
        <w:ind w:firstLine="4482" w:firstLineChars="1400"/>
        <w:jc w:val="both"/>
        <w:rPr>
          <w:color w:val="0000FF"/>
          <w:highlight w:val="none"/>
          <w:shd w:val="clear" w:color="auto" w:fill="FFFFFF"/>
        </w:rPr>
      </w:pPr>
      <w:r>
        <w:rPr>
          <w:rFonts w:hint="eastAsia"/>
          <w:color w:val="0000FF"/>
          <w:highlight w:val="none"/>
          <w:shd w:val="clear" w:color="auto" w:fill="FFFFFF"/>
        </w:rPr>
        <w:t>第五章  技术参数及要求</w:t>
      </w:r>
      <w:bookmarkEnd w:id="974"/>
    </w:p>
    <w:p w14:paraId="75025903">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left"/>
        <w:textAlignment w:val="auto"/>
        <w:outlineLvl w:val="2"/>
        <w:rPr>
          <w:rFonts w:hint="eastAsia" w:ascii="宋体" w:hAnsi="宋体" w:eastAsia="宋体" w:cs="宋体"/>
          <w:b/>
          <w:bCs/>
          <w:kern w:val="2"/>
          <w:sz w:val="21"/>
          <w:szCs w:val="32"/>
          <w:highlight w:val="none"/>
          <w:lang w:val="en-US" w:eastAsia="zh-CN" w:bidi="ar-SA"/>
        </w:rPr>
      </w:pPr>
      <w:r>
        <w:rPr>
          <w:rFonts w:hint="eastAsia" w:ascii="宋体" w:hAnsi="宋体" w:eastAsia="宋体" w:cs="宋体"/>
          <w:b/>
          <w:bCs/>
          <w:kern w:val="2"/>
          <w:sz w:val="21"/>
          <w:szCs w:val="32"/>
          <w:highlight w:val="none"/>
          <w:lang w:val="en-US" w:eastAsia="zh-CN" w:bidi="ar-SA"/>
        </w:rPr>
        <w:t>1.1 视频技术</w:t>
      </w:r>
    </w:p>
    <w:p w14:paraId="2A563FA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20" w:firstLineChars="200"/>
        <w:jc w:val="both"/>
        <w:textAlignment w:val="auto"/>
        <w:rPr>
          <w:rFonts w:hint="eastAsia" w:ascii="宋体" w:hAnsi="宋体" w:eastAsia="宋体" w:cs="宋体"/>
          <w:b w:val="0"/>
          <w:bCs w:val="0"/>
          <w:kern w:val="2"/>
          <w:sz w:val="21"/>
          <w:szCs w:val="32"/>
          <w:highlight w:val="none"/>
          <w:lang w:val="en-US" w:eastAsia="zh-CN" w:bidi="ar-SA"/>
        </w:rPr>
      </w:pPr>
      <w:r>
        <w:rPr>
          <w:rFonts w:hint="eastAsia" w:ascii="宋体" w:hAnsi="宋体" w:eastAsia="宋体" w:cs="宋体"/>
          <w:b w:val="0"/>
          <w:bCs w:val="0"/>
          <w:kern w:val="2"/>
          <w:sz w:val="21"/>
          <w:szCs w:val="32"/>
          <w:highlight w:val="none"/>
          <w:lang w:val="en-US" w:eastAsia="zh-CN" w:bidi="ar-SA"/>
        </w:rPr>
        <w:t>视频远程会诊系统应支持H.265视频编码，在保证高效的视频压缩性能的基础上，视频广播端可以通过一次编码产生具有不同帧率、分辨率的视频压缩码流，以适应不同网络带宽、不同的显示屏幕和终端解码能力的应用需求；提供高达1080P分辨率的视频图像，同时具有自适应去噪和色彩增强技术，使图像更加真实；具有超分技术、HDR控制技术、智能插帧技术，使视频会议画面更加清晰流畅。</w:t>
      </w:r>
    </w:p>
    <w:p w14:paraId="2AB782C0">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20" w:firstLineChars="200"/>
        <w:jc w:val="both"/>
        <w:textAlignment w:val="auto"/>
        <w:rPr>
          <w:rFonts w:hint="eastAsia" w:ascii="宋体" w:hAnsi="宋体" w:eastAsia="宋体" w:cs="宋体"/>
          <w:b w:val="0"/>
          <w:bCs w:val="0"/>
          <w:kern w:val="2"/>
          <w:sz w:val="21"/>
          <w:szCs w:val="32"/>
          <w:highlight w:val="none"/>
          <w:lang w:val="en-US" w:eastAsia="zh-CN" w:bidi="ar-SA"/>
        </w:rPr>
      </w:pPr>
      <w:r>
        <w:rPr>
          <w:rFonts w:hint="eastAsia" w:ascii="宋体" w:hAnsi="宋体" w:eastAsia="宋体" w:cs="宋体"/>
          <w:b w:val="0"/>
          <w:bCs w:val="0"/>
          <w:kern w:val="2"/>
          <w:sz w:val="21"/>
          <w:szCs w:val="32"/>
          <w:highlight w:val="none"/>
          <w:lang w:val="en-US" w:eastAsia="zh-CN" w:bidi="ar-SA"/>
        </w:rPr>
        <w:t>视频远程会诊系统支持全编全解架构，最大限度支持速率、协议动态适配，能够保证所有参会的会场均能以不同的通信协议、不同的带宽、不同的视音频协议、不同的清晰度加入会议，保证所有的会场加入会议过程中均能够进行图像解码，然后再进行重新编码组合成新的图像。</w:t>
      </w:r>
    </w:p>
    <w:p w14:paraId="728F64C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20" w:firstLineChars="200"/>
        <w:jc w:val="both"/>
        <w:textAlignment w:val="auto"/>
        <w:rPr>
          <w:rFonts w:hint="eastAsia" w:ascii="宋体" w:hAnsi="宋体" w:eastAsia="宋体" w:cs="宋体"/>
          <w:b w:val="0"/>
          <w:bCs w:val="0"/>
          <w:kern w:val="2"/>
          <w:sz w:val="21"/>
          <w:szCs w:val="32"/>
          <w:highlight w:val="none"/>
          <w:lang w:val="en-US" w:eastAsia="zh-CN" w:bidi="ar-SA"/>
        </w:rPr>
      </w:pPr>
      <w:r>
        <w:rPr>
          <w:rFonts w:hint="eastAsia" w:ascii="宋体" w:hAnsi="宋体" w:eastAsia="宋体" w:cs="宋体"/>
          <w:b w:val="0"/>
          <w:bCs w:val="0"/>
          <w:kern w:val="2"/>
          <w:sz w:val="21"/>
          <w:szCs w:val="32"/>
          <w:highlight w:val="none"/>
          <w:lang w:val="en-US" w:eastAsia="zh-CN" w:bidi="ar-SA"/>
        </w:rPr>
        <w:t>需支持以下任意编码协议，图像格式支持在任意速率（64K～8M）下适配：</w:t>
      </w:r>
    </w:p>
    <w:p w14:paraId="3AF21A1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20" w:firstLineChars="200"/>
        <w:jc w:val="both"/>
        <w:textAlignment w:val="auto"/>
        <w:rPr>
          <w:rFonts w:hint="eastAsia" w:ascii="宋体" w:hAnsi="宋体" w:eastAsia="宋体" w:cs="宋体"/>
          <w:b w:val="0"/>
          <w:bCs w:val="0"/>
          <w:kern w:val="2"/>
          <w:sz w:val="21"/>
          <w:szCs w:val="32"/>
          <w:highlight w:val="none"/>
          <w:lang w:val="en-US" w:eastAsia="zh-CN" w:bidi="ar-SA"/>
        </w:rPr>
      </w:pPr>
      <w:r>
        <w:rPr>
          <w:rFonts w:hint="eastAsia" w:ascii="宋体" w:hAnsi="宋体" w:eastAsia="宋体" w:cs="宋体"/>
          <w:b w:val="0"/>
          <w:bCs w:val="0"/>
          <w:kern w:val="2"/>
          <w:sz w:val="21"/>
          <w:szCs w:val="32"/>
          <w:highlight w:val="none"/>
          <w:lang w:val="en-US" w:eastAsia="zh-CN" w:bidi="ar-SA"/>
        </w:rPr>
        <w:t>（1）H.263 QCIF/CIF/4CIF    H.264BP/HP QCIF/CIF/4CIF</w:t>
      </w:r>
    </w:p>
    <w:p w14:paraId="17ACF9A5">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20" w:firstLineChars="200"/>
        <w:jc w:val="both"/>
        <w:textAlignment w:val="auto"/>
        <w:rPr>
          <w:rFonts w:hint="eastAsia" w:ascii="宋体" w:hAnsi="宋体" w:eastAsia="宋体" w:cs="宋体"/>
          <w:b w:val="0"/>
          <w:bCs w:val="0"/>
          <w:kern w:val="2"/>
          <w:sz w:val="21"/>
          <w:szCs w:val="32"/>
          <w:highlight w:val="none"/>
          <w:lang w:val="en-US" w:eastAsia="zh-CN" w:bidi="ar-SA"/>
        </w:rPr>
      </w:pPr>
      <w:r>
        <w:rPr>
          <w:rFonts w:hint="eastAsia" w:ascii="宋体" w:hAnsi="宋体" w:eastAsia="宋体" w:cs="宋体"/>
          <w:b w:val="0"/>
          <w:bCs w:val="0"/>
          <w:kern w:val="2"/>
          <w:sz w:val="21"/>
          <w:szCs w:val="32"/>
          <w:highlight w:val="none"/>
          <w:lang w:val="en-US" w:eastAsia="zh-CN" w:bidi="ar-SA"/>
        </w:rPr>
        <w:t>（2）H.264BP/H.264HP 720P 30fps    H.264BP/H.264HP 720P 60fps</w:t>
      </w:r>
    </w:p>
    <w:p w14:paraId="6CEECC05">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20" w:firstLineChars="200"/>
        <w:jc w:val="both"/>
        <w:textAlignment w:val="auto"/>
        <w:rPr>
          <w:rFonts w:hint="eastAsia" w:ascii="宋体" w:hAnsi="宋体" w:eastAsia="宋体" w:cs="宋体"/>
          <w:b w:val="0"/>
          <w:bCs w:val="0"/>
          <w:kern w:val="2"/>
          <w:sz w:val="21"/>
          <w:szCs w:val="32"/>
          <w:highlight w:val="none"/>
          <w:lang w:val="en-US" w:eastAsia="zh-CN" w:bidi="ar-SA"/>
        </w:rPr>
      </w:pPr>
      <w:r>
        <w:rPr>
          <w:rFonts w:hint="eastAsia" w:ascii="宋体" w:hAnsi="宋体" w:eastAsia="宋体" w:cs="宋体"/>
          <w:b w:val="0"/>
          <w:bCs w:val="0"/>
          <w:kern w:val="2"/>
          <w:sz w:val="21"/>
          <w:szCs w:val="32"/>
          <w:highlight w:val="none"/>
          <w:lang w:val="en-US" w:eastAsia="zh-CN" w:bidi="ar-SA"/>
        </w:rPr>
        <w:t>（3）H.264BP/H.264HP 1080P 30fps</w:t>
      </w:r>
    </w:p>
    <w:p w14:paraId="4D055702">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left"/>
        <w:textAlignment w:val="auto"/>
        <w:outlineLvl w:val="2"/>
        <w:rPr>
          <w:rFonts w:hint="eastAsia" w:ascii="宋体" w:hAnsi="宋体" w:eastAsia="宋体" w:cs="宋体"/>
          <w:b/>
          <w:bCs/>
          <w:kern w:val="2"/>
          <w:sz w:val="21"/>
          <w:szCs w:val="32"/>
          <w:highlight w:val="none"/>
          <w:lang w:val="en-US" w:eastAsia="zh-CN" w:bidi="ar-SA"/>
        </w:rPr>
      </w:pPr>
      <w:r>
        <w:rPr>
          <w:rFonts w:hint="eastAsia" w:ascii="宋体" w:hAnsi="宋体" w:eastAsia="宋体" w:cs="宋体"/>
          <w:b/>
          <w:bCs/>
          <w:kern w:val="2"/>
          <w:sz w:val="21"/>
          <w:szCs w:val="32"/>
          <w:highlight w:val="none"/>
          <w:lang w:val="en-US" w:eastAsia="zh-CN" w:bidi="ar-SA"/>
        </w:rPr>
        <w:t>1.2 音频技术</w:t>
      </w:r>
    </w:p>
    <w:p w14:paraId="5070928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20" w:firstLineChars="200"/>
        <w:jc w:val="both"/>
        <w:textAlignment w:val="auto"/>
        <w:rPr>
          <w:rFonts w:hint="eastAsia" w:ascii="宋体" w:hAnsi="宋体" w:eastAsia="宋体" w:cs="宋体"/>
          <w:b w:val="0"/>
          <w:bCs w:val="0"/>
          <w:kern w:val="2"/>
          <w:sz w:val="21"/>
          <w:szCs w:val="32"/>
          <w:highlight w:val="none"/>
          <w:lang w:val="en-US" w:eastAsia="zh-CN" w:bidi="ar-SA"/>
        </w:rPr>
      </w:pPr>
      <w:r>
        <w:rPr>
          <w:rFonts w:hint="eastAsia" w:ascii="宋体" w:hAnsi="宋体" w:eastAsia="宋体" w:cs="宋体"/>
          <w:b w:val="0"/>
          <w:bCs w:val="0"/>
          <w:kern w:val="2"/>
          <w:sz w:val="21"/>
          <w:szCs w:val="32"/>
          <w:highlight w:val="none"/>
          <w:lang w:val="en-US" w:eastAsia="zh-CN" w:bidi="ar-SA"/>
        </w:rPr>
        <w:t>视频远程会诊系统应支持G.711、G.722、MPEG4-AAC LC/LD、Opus音频协议，提供不低于48KHz采样频率的高保真音质，能够配合终端提供高保真立体声播放效果。支持自动回声抵消（AEC）、背景噪声抑制（ANS）、自动增益控制（AGC），同时具有去混响技术、波束成形和音源定位语音增强技术。</w:t>
      </w:r>
    </w:p>
    <w:p w14:paraId="44B2E351">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outlineLvl w:val="2"/>
        <w:rPr>
          <w:rFonts w:hint="eastAsia" w:ascii="宋体" w:hAnsi="宋体" w:eastAsia="宋体" w:cs="宋体"/>
          <w:b/>
          <w:bCs/>
          <w:kern w:val="2"/>
          <w:sz w:val="21"/>
          <w:szCs w:val="32"/>
          <w:highlight w:val="none"/>
          <w:lang w:val="en-US" w:eastAsia="zh-CN" w:bidi="ar-SA"/>
        </w:rPr>
      </w:pPr>
      <w:r>
        <w:rPr>
          <w:rFonts w:hint="eastAsia" w:ascii="宋体" w:hAnsi="宋体" w:eastAsia="宋体" w:cs="宋体"/>
          <w:b/>
          <w:bCs/>
          <w:kern w:val="2"/>
          <w:sz w:val="21"/>
          <w:szCs w:val="32"/>
          <w:highlight w:val="none"/>
          <w:lang w:val="en-US" w:eastAsia="zh-CN" w:bidi="ar-SA"/>
        </w:rPr>
        <w:t>1.3 双流技术</w:t>
      </w:r>
    </w:p>
    <w:p w14:paraId="0B06CDD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20" w:firstLineChars="200"/>
        <w:jc w:val="both"/>
        <w:textAlignment w:val="auto"/>
        <w:rPr>
          <w:rFonts w:hint="eastAsia" w:ascii="宋体" w:hAnsi="宋体" w:eastAsia="宋体" w:cs="宋体"/>
          <w:b w:val="0"/>
          <w:bCs w:val="0"/>
          <w:kern w:val="2"/>
          <w:sz w:val="21"/>
          <w:szCs w:val="32"/>
          <w:highlight w:val="none"/>
          <w:lang w:val="en-US" w:eastAsia="zh-CN" w:bidi="ar-SA"/>
        </w:rPr>
      </w:pPr>
      <w:r>
        <w:rPr>
          <w:rFonts w:hint="eastAsia" w:ascii="宋体" w:hAnsi="宋体" w:eastAsia="宋体" w:cs="宋体"/>
          <w:b w:val="0"/>
          <w:bCs w:val="0"/>
          <w:kern w:val="2"/>
          <w:sz w:val="21"/>
          <w:szCs w:val="32"/>
          <w:highlight w:val="none"/>
          <w:lang w:val="en-US" w:eastAsia="zh-CN" w:bidi="ar-SA"/>
        </w:rPr>
        <w:t>视频远程会诊系统应支持在会议中所有视频会场可接收和发送两路视频流，一路是主视频流，用来传送会场画面；一路是辅视频流，用来传送计算机桌面内容以共享视频文件、ppt或word文档等会议相关的影像资料。</w:t>
      </w:r>
    </w:p>
    <w:p w14:paraId="7313900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20" w:firstLineChars="200"/>
        <w:jc w:val="both"/>
        <w:textAlignment w:val="auto"/>
        <w:rPr>
          <w:rFonts w:hint="eastAsia" w:ascii="宋体" w:hAnsi="宋体" w:eastAsia="宋体" w:cs="宋体"/>
          <w:b w:val="0"/>
          <w:bCs w:val="0"/>
          <w:kern w:val="2"/>
          <w:sz w:val="21"/>
          <w:szCs w:val="32"/>
          <w:highlight w:val="none"/>
          <w:lang w:val="en-US" w:eastAsia="zh-CN" w:bidi="ar-SA"/>
        </w:rPr>
      </w:pPr>
      <w:r>
        <w:rPr>
          <w:rFonts w:hint="eastAsia" w:ascii="宋体" w:hAnsi="宋体" w:eastAsia="宋体" w:cs="宋体"/>
          <w:b w:val="0"/>
          <w:bCs w:val="0"/>
          <w:kern w:val="2"/>
          <w:sz w:val="21"/>
          <w:szCs w:val="32"/>
          <w:highlight w:val="none"/>
          <w:lang w:val="en-US" w:eastAsia="zh-CN" w:bidi="ar-SA"/>
        </w:rPr>
        <w:t>视频远程会诊系统应支持单屏双显、双屏双显、动态双流、静态双流，最高应提供1080P的高清视频双流显示效果。并且支持在两台不同显示设备上分别显示动态视频画面和共享数据。</w:t>
      </w:r>
    </w:p>
    <w:p w14:paraId="560C017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20" w:firstLineChars="200"/>
        <w:jc w:val="both"/>
        <w:textAlignment w:val="auto"/>
        <w:rPr>
          <w:rFonts w:hint="eastAsia" w:ascii="宋体" w:hAnsi="宋体" w:eastAsia="宋体" w:cs="宋体"/>
          <w:b w:val="0"/>
          <w:bCs w:val="0"/>
          <w:kern w:val="2"/>
          <w:sz w:val="21"/>
          <w:szCs w:val="32"/>
          <w:highlight w:val="none"/>
          <w:lang w:val="en-US" w:eastAsia="zh-CN" w:bidi="ar-SA"/>
        </w:rPr>
      </w:pPr>
      <w:r>
        <w:rPr>
          <w:rFonts w:hint="eastAsia" w:ascii="宋体" w:hAnsi="宋体" w:eastAsia="宋体" w:cs="宋体"/>
          <w:b w:val="0"/>
          <w:bCs w:val="0"/>
          <w:kern w:val="2"/>
          <w:sz w:val="21"/>
          <w:szCs w:val="32"/>
          <w:highlight w:val="none"/>
          <w:lang w:val="en-US" w:eastAsia="zh-CN" w:bidi="ar-SA"/>
        </w:rPr>
        <w:t>支持BFCP、H.239双流协议。</w:t>
      </w:r>
    </w:p>
    <w:p w14:paraId="3D36479B">
      <w:pPr>
        <w:pStyle w:val="4"/>
        <w:keepLines w:val="0"/>
        <w:pageBreakBefore w:val="0"/>
        <w:widowControl w:val="0"/>
        <w:numPr>
          <w:ilvl w:val="0"/>
          <w:numId w:val="0"/>
        </w:numPr>
        <w:tabs>
          <w:tab w:val="left" w:pos="360"/>
        </w:tabs>
        <w:kinsoku/>
        <w:wordWrap/>
        <w:overflowPunct/>
        <w:topLinePunct w:val="0"/>
        <w:autoSpaceDE w:val="0"/>
        <w:autoSpaceDN w:val="0"/>
        <w:bidi w:val="0"/>
        <w:adjustRightInd w:val="0"/>
        <w:snapToGrid/>
        <w:spacing w:line="460" w:lineRule="exact"/>
        <w:jc w:val="both"/>
        <w:textAlignment w:val="auto"/>
        <w:outlineLvl w:val="2"/>
        <w:rPr>
          <w:rFonts w:hint="eastAsia" w:ascii="宋体" w:hAnsi="宋体" w:eastAsia="宋体" w:cs="宋体"/>
          <w:b/>
          <w:bCs/>
          <w:color w:val="auto"/>
          <w:kern w:val="2"/>
          <w:sz w:val="21"/>
          <w:szCs w:val="32"/>
          <w:highlight w:val="none"/>
          <w:lang w:val="en-US" w:eastAsia="zh-CN" w:bidi="ar-SA"/>
        </w:rPr>
      </w:pPr>
      <w:r>
        <w:rPr>
          <w:rFonts w:hint="eastAsia" w:hAnsi="宋体" w:cs="宋体"/>
          <w:b/>
          <w:bCs/>
          <w:color w:val="auto"/>
          <w:kern w:val="2"/>
          <w:sz w:val="21"/>
          <w:szCs w:val="32"/>
          <w:highlight w:val="none"/>
          <w:lang w:val="en-US" w:eastAsia="zh-CN" w:bidi="ar-SA"/>
        </w:rPr>
        <w:t>1</w:t>
      </w:r>
      <w:r>
        <w:rPr>
          <w:rFonts w:hint="eastAsia" w:ascii="宋体" w:hAnsi="宋体" w:eastAsia="宋体" w:cs="宋体"/>
          <w:b/>
          <w:bCs/>
          <w:color w:val="auto"/>
          <w:kern w:val="2"/>
          <w:sz w:val="21"/>
          <w:szCs w:val="32"/>
          <w:highlight w:val="none"/>
          <w:lang w:val="en-US" w:eastAsia="zh-CN" w:bidi="ar-SA"/>
        </w:rPr>
        <w:t>.4 网络技术要求</w:t>
      </w:r>
    </w:p>
    <w:p w14:paraId="7C6716BC">
      <w:pPr>
        <w:pStyle w:val="4"/>
        <w:keepLines w:val="0"/>
        <w:pageBreakBefore w:val="0"/>
        <w:widowControl w:val="0"/>
        <w:numPr>
          <w:ilvl w:val="0"/>
          <w:numId w:val="0"/>
        </w:numPr>
        <w:tabs>
          <w:tab w:val="left" w:pos="360"/>
        </w:tabs>
        <w:kinsoku/>
        <w:wordWrap/>
        <w:overflowPunct/>
        <w:topLinePunct w:val="0"/>
        <w:autoSpaceDE w:val="0"/>
        <w:autoSpaceDN w:val="0"/>
        <w:bidi w:val="0"/>
        <w:adjustRightInd w:val="0"/>
        <w:snapToGrid/>
        <w:spacing w:line="460" w:lineRule="exact"/>
        <w:ind w:firstLine="420" w:firstLineChars="200"/>
        <w:jc w:val="both"/>
        <w:textAlignment w:val="auto"/>
        <w:outlineLvl w:val="9"/>
        <w:rPr>
          <w:rFonts w:hint="eastAsia" w:ascii="宋体" w:hAnsi="宋体" w:eastAsia="宋体" w:cs="宋体"/>
          <w:b w:val="0"/>
          <w:bCs w:val="0"/>
          <w:color w:val="auto"/>
          <w:kern w:val="2"/>
          <w:sz w:val="21"/>
          <w:szCs w:val="32"/>
          <w:highlight w:val="none"/>
          <w:lang w:val="en-US" w:eastAsia="zh-CN" w:bidi="ar-SA"/>
        </w:rPr>
      </w:pPr>
      <w:r>
        <w:rPr>
          <w:rFonts w:hint="eastAsia" w:ascii="宋体" w:hAnsi="宋体" w:eastAsia="宋体" w:cs="宋体"/>
          <w:b w:val="0"/>
          <w:bCs w:val="0"/>
          <w:color w:val="auto"/>
          <w:kern w:val="2"/>
          <w:sz w:val="21"/>
          <w:szCs w:val="32"/>
          <w:highlight w:val="none"/>
          <w:lang w:val="en-US" w:eastAsia="zh-CN" w:bidi="ar-SA"/>
        </w:rPr>
        <w:t>（1）具备SBC和智能网络穿越技术：支持防火墙/NAT穿越，能够解决各种跨运营商网络、固移异构网络下的各种网络问题。</w:t>
      </w:r>
    </w:p>
    <w:p w14:paraId="2B970B7A">
      <w:pPr>
        <w:pStyle w:val="4"/>
        <w:keepLines w:val="0"/>
        <w:pageBreakBefore w:val="0"/>
        <w:widowControl w:val="0"/>
        <w:numPr>
          <w:ilvl w:val="0"/>
          <w:numId w:val="0"/>
        </w:numPr>
        <w:tabs>
          <w:tab w:val="left" w:pos="360"/>
        </w:tabs>
        <w:kinsoku/>
        <w:wordWrap/>
        <w:overflowPunct/>
        <w:topLinePunct w:val="0"/>
        <w:autoSpaceDE w:val="0"/>
        <w:autoSpaceDN w:val="0"/>
        <w:bidi w:val="0"/>
        <w:adjustRightInd w:val="0"/>
        <w:snapToGrid/>
        <w:spacing w:line="460" w:lineRule="exact"/>
        <w:ind w:firstLine="420" w:firstLineChars="200"/>
        <w:jc w:val="both"/>
        <w:textAlignment w:val="auto"/>
        <w:outlineLvl w:val="9"/>
        <w:rPr>
          <w:rFonts w:hint="eastAsia" w:ascii="宋体" w:hAnsi="宋体" w:eastAsia="宋体" w:cs="宋体"/>
          <w:b w:val="0"/>
          <w:bCs w:val="0"/>
          <w:color w:val="auto"/>
          <w:kern w:val="2"/>
          <w:sz w:val="21"/>
          <w:szCs w:val="32"/>
          <w:highlight w:val="none"/>
          <w:lang w:val="en-US" w:eastAsia="zh-CN" w:bidi="ar-SA"/>
        </w:rPr>
      </w:pPr>
      <w:r>
        <w:rPr>
          <w:rFonts w:hint="eastAsia" w:ascii="宋体" w:hAnsi="宋体" w:eastAsia="宋体" w:cs="宋体"/>
          <w:b w:val="0"/>
          <w:bCs w:val="0"/>
          <w:color w:val="auto"/>
          <w:kern w:val="2"/>
          <w:sz w:val="21"/>
          <w:szCs w:val="32"/>
          <w:highlight w:val="none"/>
          <w:lang w:val="en-US" w:eastAsia="zh-CN" w:bidi="ar-SA"/>
        </w:rPr>
        <w:t>（2）具备TCP加速网络处理技术：支持智能丢包恢复、动态速率调整，能有效保证拥塞网络环境下的视频会议质量。</w:t>
      </w:r>
    </w:p>
    <w:p w14:paraId="42DECB12">
      <w:pPr>
        <w:pStyle w:val="4"/>
        <w:keepLines w:val="0"/>
        <w:pageBreakBefore w:val="0"/>
        <w:widowControl w:val="0"/>
        <w:numPr>
          <w:ilvl w:val="0"/>
          <w:numId w:val="0"/>
        </w:numPr>
        <w:tabs>
          <w:tab w:val="left" w:pos="360"/>
        </w:tabs>
        <w:kinsoku/>
        <w:wordWrap/>
        <w:overflowPunct/>
        <w:topLinePunct w:val="0"/>
        <w:autoSpaceDE w:val="0"/>
        <w:autoSpaceDN w:val="0"/>
        <w:bidi w:val="0"/>
        <w:adjustRightInd w:val="0"/>
        <w:snapToGrid/>
        <w:spacing w:line="460" w:lineRule="exact"/>
        <w:ind w:firstLine="420" w:firstLineChars="200"/>
        <w:jc w:val="both"/>
        <w:textAlignment w:val="auto"/>
        <w:outlineLvl w:val="9"/>
        <w:rPr>
          <w:rFonts w:hint="eastAsia" w:ascii="宋体" w:hAnsi="宋体" w:eastAsia="宋体" w:cs="宋体"/>
          <w:b w:val="0"/>
          <w:bCs w:val="0"/>
          <w:color w:val="auto"/>
          <w:kern w:val="2"/>
          <w:sz w:val="21"/>
          <w:szCs w:val="32"/>
          <w:highlight w:val="none"/>
          <w:lang w:val="en-US" w:eastAsia="zh-CN" w:bidi="ar-SA"/>
        </w:rPr>
      </w:pPr>
      <w:r>
        <w:rPr>
          <w:rFonts w:hint="eastAsia" w:ascii="宋体" w:hAnsi="宋体" w:eastAsia="宋体" w:cs="宋体"/>
          <w:b w:val="0"/>
          <w:bCs w:val="0"/>
          <w:color w:val="auto"/>
          <w:kern w:val="2"/>
          <w:sz w:val="21"/>
          <w:szCs w:val="32"/>
          <w:highlight w:val="none"/>
          <w:lang w:val="en-US" w:eastAsia="zh-CN" w:bidi="ar-SA"/>
        </w:rPr>
        <w:t>（3）为保障视频会议稳定、安全，本项目依托于专用线路进行传输，具有静态IP地址，无需拨号和认证。</w:t>
      </w:r>
    </w:p>
    <w:p w14:paraId="0EEBED73">
      <w:pPr>
        <w:pStyle w:val="4"/>
        <w:keepLines w:val="0"/>
        <w:pageBreakBefore w:val="0"/>
        <w:widowControl w:val="0"/>
        <w:numPr>
          <w:ilvl w:val="0"/>
          <w:numId w:val="0"/>
        </w:numPr>
        <w:tabs>
          <w:tab w:val="left" w:pos="360"/>
        </w:tabs>
        <w:kinsoku/>
        <w:wordWrap/>
        <w:overflowPunct/>
        <w:topLinePunct w:val="0"/>
        <w:autoSpaceDE w:val="0"/>
        <w:autoSpaceDN w:val="0"/>
        <w:bidi w:val="0"/>
        <w:adjustRightInd w:val="0"/>
        <w:snapToGrid/>
        <w:spacing w:line="460" w:lineRule="exact"/>
        <w:ind w:firstLine="420" w:firstLineChars="200"/>
        <w:jc w:val="both"/>
        <w:textAlignment w:val="auto"/>
        <w:outlineLvl w:val="9"/>
        <w:rPr>
          <w:rFonts w:hint="eastAsia" w:ascii="宋体" w:hAnsi="宋体" w:eastAsia="宋体" w:cs="宋体"/>
          <w:b w:val="0"/>
          <w:bCs w:val="0"/>
          <w:color w:val="auto"/>
          <w:kern w:val="2"/>
          <w:sz w:val="21"/>
          <w:szCs w:val="32"/>
          <w:highlight w:val="none"/>
          <w:lang w:val="en-US" w:eastAsia="zh-CN" w:bidi="ar-SA"/>
        </w:rPr>
      </w:pPr>
      <w:r>
        <w:rPr>
          <w:rFonts w:hint="eastAsia" w:ascii="宋体" w:hAnsi="宋体" w:eastAsia="宋体" w:cs="宋体"/>
          <w:b w:val="0"/>
          <w:bCs w:val="0"/>
          <w:color w:val="auto"/>
          <w:kern w:val="2"/>
          <w:sz w:val="21"/>
          <w:szCs w:val="32"/>
          <w:highlight w:val="none"/>
          <w:lang w:val="en-US" w:eastAsia="zh-CN" w:bidi="ar-SA"/>
        </w:rPr>
        <w:t>（4）线路传输上行、下行应均不低于10M带宽，端到端全程在线离线状态统计、远程重启、实时速率显示。</w:t>
      </w:r>
    </w:p>
    <w:p w14:paraId="7F57FBFD">
      <w:pPr>
        <w:pStyle w:val="4"/>
        <w:keepLines w:val="0"/>
        <w:pageBreakBefore w:val="0"/>
        <w:widowControl w:val="0"/>
        <w:numPr>
          <w:ilvl w:val="0"/>
          <w:numId w:val="0"/>
        </w:numPr>
        <w:tabs>
          <w:tab w:val="left" w:pos="360"/>
        </w:tabs>
        <w:kinsoku/>
        <w:wordWrap/>
        <w:overflowPunct/>
        <w:topLinePunct w:val="0"/>
        <w:autoSpaceDE w:val="0"/>
        <w:autoSpaceDN w:val="0"/>
        <w:bidi w:val="0"/>
        <w:adjustRightInd w:val="0"/>
        <w:snapToGrid/>
        <w:spacing w:line="460" w:lineRule="exact"/>
        <w:ind w:firstLine="420" w:firstLineChars="200"/>
        <w:jc w:val="both"/>
        <w:textAlignment w:val="auto"/>
        <w:outlineLvl w:val="9"/>
        <w:rPr>
          <w:rFonts w:hint="eastAsia" w:ascii="宋体" w:hAnsi="宋体" w:eastAsia="宋体" w:cs="宋体"/>
          <w:b w:val="0"/>
          <w:bCs w:val="0"/>
          <w:color w:val="auto"/>
          <w:kern w:val="2"/>
          <w:sz w:val="21"/>
          <w:szCs w:val="32"/>
          <w:highlight w:val="none"/>
          <w:lang w:val="en-US" w:eastAsia="zh-CN" w:bidi="ar-SA"/>
        </w:rPr>
      </w:pPr>
      <w:r>
        <w:rPr>
          <w:rFonts w:hint="eastAsia" w:ascii="宋体" w:hAnsi="宋体" w:eastAsia="宋体" w:cs="宋体"/>
          <w:b w:val="0"/>
          <w:bCs w:val="0"/>
          <w:color w:val="auto"/>
          <w:kern w:val="2"/>
          <w:sz w:val="21"/>
          <w:szCs w:val="32"/>
          <w:highlight w:val="none"/>
          <w:lang w:val="en-US" w:eastAsia="zh-CN" w:bidi="ar-SA"/>
        </w:rPr>
        <w:t>（5）传输网络提供电信级别的服务保障和安全防护，端到端单向时延在300ms以内，网络抖动在50ms以内。</w:t>
      </w:r>
    </w:p>
    <w:p w14:paraId="17ACB2FC">
      <w:pPr>
        <w:pStyle w:val="4"/>
        <w:keepLines w:val="0"/>
        <w:pageBreakBefore w:val="0"/>
        <w:widowControl w:val="0"/>
        <w:numPr>
          <w:ilvl w:val="0"/>
          <w:numId w:val="0"/>
        </w:numPr>
        <w:tabs>
          <w:tab w:val="left" w:pos="360"/>
        </w:tabs>
        <w:kinsoku/>
        <w:wordWrap/>
        <w:overflowPunct/>
        <w:topLinePunct w:val="0"/>
        <w:autoSpaceDE w:val="0"/>
        <w:autoSpaceDN w:val="0"/>
        <w:bidi w:val="0"/>
        <w:adjustRightInd w:val="0"/>
        <w:snapToGrid/>
        <w:spacing w:line="460" w:lineRule="exact"/>
        <w:jc w:val="both"/>
        <w:textAlignment w:val="auto"/>
        <w:outlineLvl w:val="2"/>
        <w:rPr>
          <w:rFonts w:hint="eastAsia" w:ascii="宋体" w:hAnsi="宋体" w:eastAsia="宋体" w:cs="宋体"/>
          <w:b/>
          <w:bCs/>
          <w:color w:val="auto"/>
          <w:kern w:val="2"/>
          <w:sz w:val="21"/>
          <w:szCs w:val="32"/>
          <w:highlight w:val="none"/>
          <w:lang w:val="en-US" w:eastAsia="zh-CN" w:bidi="ar-SA"/>
        </w:rPr>
      </w:pPr>
      <w:r>
        <w:rPr>
          <w:rFonts w:hint="eastAsia" w:hAnsi="宋体" w:cs="宋体"/>
          <w:b/>
          <w:bCs/>
          <w:color w:val="auto"/>
          <w:kern w:val="2"/>
          <w:sz w:val="21"/>
          <w:szCs w:val="32"/>
          <w:highlight w:val="none"/>
          <w:lang w:val="en-US" w:eastAsia="zh-CN" w:bidi="ar-SA"/>
        </w:rPr>
        <w:t>1</w:t>
      </w:r>
      <w:r>
        <w:rPr>
          <w:rFonts w:hint="eastAsia" w:ascii="宋体" w:hAnsi="宋体" w:eastAsia="宋体" w:cs="宋体"/>
          <w:b/>
          <w:bCs/>
          <w:color w:val="auto"/>
          <w:kern w:val="2"/>
          <w:sz w:val="21"/>
          <w:szCs w:val="32"/>
          <w:highlight w:val="none"/>
          <w:lang w:val="en-US" w:eastAsia="zh-CN" w:bidi="ar-SA"/>
        </w:rPr>
        <w:t>.5 视频会议系统技术要求</w:t>
      </w:r>
    </w:p>
    <w:p w14:paraId="708CBECB">
      <w:pPr>
        <w:pStyle w:val="4"/>
        <w:keepLines w:val="0"/>
        <w:pageBreakBefore w:val="0"/>
        <w:widowControl w:val="0"/>
        <w:numPr>
          <w:ilvl w:val="0"/>
          <w:numId w:val="0"/>
        </w:numPr>
        <w:tabs>
          <w:tab w:val="left" w:pos="360"/>
        </w:tabs>
        <w:kinsoku/>
        <w:wordWrap/>
        <w:overflowPunct/>
        <w:topLinePunct w:val="0"/>
        <w:autoSpaceDE w:val="0"/>
        <w:autoSpaceDN w:val="0"/>
        <w:bidi w:val="0"/>
        <w:adjustRightInd w:val="0"/>
        <w:snapToGrid/>
        <w:spacing w:line="460" w:lineRule="exact"/>
        <w:ind w:firstLine="420" w:firstLineChars="200"/>
        <w:jc w:val="both"/>
        <w:textAlignment w:val="auto"/>
        <w:outlineLvl w:val="9"/>
        <w:rPr>
          <w:rFonts w:hint="eastAsia" w:ascii="宋体" w:hAnsi="宋体" w:eastAsia="宋体" w:cs="宋体"/>
          <w:b w:val="0"/>
          <w:bCs w:val="0"/>
          <w:color w:val="auto"/>
          <w:kern w:val="2"/>
          <w:sz w:val="21"/>
          <w:szCs w:val="32"/>
          <w:highlight w:val="none"/>
          <w:lang w:val="en-US" w:eastAsia="zh-CN" w:bidi="ar-SA"/>
        </w:rPr>
      </w:pPr>
      <w:r>
        <w:rPr>
          <w:rFonts w:hint="eastAsia" w:ascii="宋体" w:hAnsi="宋体" w:eastAsia="宋体" w:cs="宋体"/>
          <w:b w:val="0"/>
          <w:bCs w:val="0"/>
          <w:color w:val="auto"/>
          <w:kern w:val="2"/>
          <w:sz w:val="21"/>
          <w:szCs w:val="32"/>
          <w:highlight w:val="none"/>
          <w:lang w:val="en-US" w:eastAsia="zh-CN" w:bidi="ar-SA"/>
        </w:rPr>
        <w:t>（1）平台侧安全策略：视频会议系统从端到端构建安全体系，针对设备层、网络层和应用层分别提供安全机制，满足接入的安全保障服务要求。</w:t>
      </w:r>
    </w:p>
    <w:p w14:paraId="02D9377E">
      <w:pPr>
        <w:pStyle w:val="4"/>
        <w:keepLines w:val="0"/>
        <w:pageBreakBefore w:val="0"/>
        <w:widowControl w:val="0"/>
        <w:numPr>
          <w:ilvl w:val="0"/>
          <w:numId w:val="0"/>
        </w:numPr>
        <w:tabs>
          <w:tab w:val="left" w:pos="360"/>
        </w:tabs>
        <w:kinsoku/>
        <w:wordWrap/>
        <w:overflowPunct/>
        <w:topLinePunct w:val="0"/>
        <w:autoSpaceDE w:val="0"/>
        <w:autoSpaceDN w:val="0"/>
        <w:bidi w:val="0"/>
        <w:adjustRightInd w:val="0"/>
        <w:snapToGrid/>
        <w:spacing w:line="460" w:lineRule="exact"/>
        <w:ind w:firstLine="420" w:firstLineChars="200"/>
        <w:jc w:val="both"/>
        <w:textAlignment w:val="auto"/>
        <w:outlineLvl w:val="9"/>
        <w:rPr>
          <w:rFonts w:hint="eastAsia" w:ascii="宋体" w:hAnsi="宋体" w:eastAsia="宋体" w:cs="宋体"/>
          <w:b w:val="0"/>
          <w:bCs w:val="0"/>
          <w:color w:val="auto"/>
          <w:kern w:val="2"/>
          <w:sz w:val="21"/>
          <w:szCs w:val="32"/>
          <w:highlight w:val="none"/>
          <w:lang w:val="en-US" w:eastAsia="zh-CN" w:bidi="ar-SA"/>
        </w:rPr>
      </w:pPr>
      <w:r>
        <w:rPr>
          <w:rFonts w:hint="eastAsia" w:ascii="宋体" w:hAnsi="宋体" w:eastAsia="宋体" w:cs="宋体"/>
          <w:b w:val="0"/>
          <w:bCs w:val="0"/>
          <w:color w:val="auto"/>
          <w:kern w:val="2"/>
          <w:sz w:val="21"/>
          <w:szCs w:val="32"/>
          <w:highlight w:val="none"/>
          <w:lang w:val="en-US" w:eastAsia="zh-CN" w:bidi="ar-SA"/>
        </w:rPr>
        <w:t>（2）防攻击：防止DDoS攻击，防止畸形报文攻击，防止媒体攻击，防止暴力破解密码等。</w:t>
      </w:r>
    </w:p>
    <w:p w14:paraId="7AC8D293">
      <w:pPr>
        <w:pStyle w:val="4"/>
        <w:keepLines w:val="0"/>
        <w:pageBreakBefore w:val="0"/>
        <w:widowControl w:val="0"/>
        <w:numPr>
          <w:ilvl w:val="0"/>
          <w:numId w:val="0"/>
        </w:numPr>
        <w:tabs>
          <w:tab w:val="left" w:pos="360"/>
        </w:tabs>
        <w:kinsoku/>
        <w:wordWrap/>
        <w:overflowPunct/>
        <w:topLinePunct w:val="0"/>
        <w:autoSpaceDE w:val="0"/>
        <w:autoSpaceDN w:val="0"/>
        <w:bidi w:val="0"/>
        <w:adjustRightInd w:val="0"/>
        <w:snapToGrid/>
        <w:spacing w:line="460" w:lineRule="exact"/>
        <w:ind w:firstLine="420" w:firstLineChars="200"/>
        <w:jc w:val="both"/>
        <w:textAlignment w:val="auto"/>
        <w:outlineLvl w:val="9"/>
        <w:rPr>
          <w:rFonts w:hint="eastAsia" w:ascii="宋体" w:hAnsi="宋体" w:eastAsia="宋体" w:cs="宋体"/>
          <w:b w:val="0"/>
          <w:bCs w:val="0"/>
          <w:color w:val="auto"/>
          <w:kern w:val="2"/>
          <w:sz w:val="21"/>
          <w:szCs w:val="32"/>
          <w:highlight w:val="none"/>
          <w:lang w:val="en-US" w:eastAsia="zh-CN" w:bidi="ar-SA"/>
        </w:rPr>
      </w:pPr>
      <w:r>
        <w:rPr>
          <w:rFonts w:hint="eastAsia" w:ascii="宋体" w:hAnsi="宋体" w:eastAsia="宋体" w:cs="宋体"/>
          <w:b w:val="0"/>
          <w:bCs w:val="0"/>
          <w:color w:val="auto"/>
          <w:kern w:val="2"/>
          <w:sz w:val="21"/>
          <w:szCs w:val="32"/>
          <w:highlight w:val="none"/>
          <w:lang w:val="en-US" w:eastAsia="zh-CN" w:bidi="ar-SA"/>
        </w:rPr>
        <w:t>（3）业务安全：视频会议需要密码才能参加会议，支持会议会中锁定，确保会议安全。</w:t>
      </w:r>
    </w:p>
    <w:p w14:paraId="2C427BD2">
      <w:pPr>
        <w:pStyle w:val="4"/>
        <w:keepLines w:val="0"/>
        <w:pageBreakBefore w:val="0"/>
        <w:widowControl w:val="0"/>
        <w:numPr>
          <w:ilvl w:val="0"/>
          <w:numId w:val="0"/>
        </w:numPr>
        <w:tabs>
          <w:tab w:val="left" w:pos="360"/>
        </w:tabs>
        <w:kinsoku/>
        <w:wordWrap/>
        <w:overflowPunct/>
        <w:topLinePunct w:val="0"/>
        <w:autoSpaceDE w:val="0"/>
        <w:autoSpaceDN w:val="0"/>
        <w:bidi w:val="0"/>
        <w:adjustRightInd w:val="0"/>
        <w:snapToGrid/>
        <w:spacing w:line="460" w:lineRule="exact"/>
        <w:ind w:firstLine="420" w:firstLineChars="200"/>
        <w:jc w:val="both"/>
        <w:textAlignment w:val="auto"/>
        <w:outlineLvl w:val="9"/>
        <w:rPr>
          <w:rFonts w:hint="eastAsia" w:ascii="宋体" w:hAnsi="宋体" w:eastAsia="宋体" w:cs="宋体"/>
          <w:b w:val="0"/>
          <w:bCs w:val="0"/>
          <w:color w:val="auto"/>
          <w:kern w:val="2"/>
          <w:sz w:val="21"/>
          <w:szCs w:val="32"/>
          <w:highlight w:val="none"/>
          <w:lang w:val="en-US" w:eastAsia="zh-CN" w:bidi="ar-SA"/>
        </w:rPr>
      </w:pPr>
      <w:r>
        <w:rPr>
          <w:rFonts w:hint="eastAsia" w:ascii="宋体" w:hAnsi="宋体" w:eastAsia="宋体" w:cs="宋体"/>
          <w:b w:val="0"/>
          <w:bCs w:val="0"/>
          <w:color w:val="auto"/>
          <w:kern w:val="2"/>
          <w:sz w:val="21"/>
          <w:szCs w:val="32"/>
          <w:highlight w:val="none"/>
          <w:lang w:val="en-US" w:eastAsia="zh-CN" w:bidi="ar-SA"/>
        </w:rPr>
        <w:t>（4）安全管理：具备用户操作的安全回溯，针对会议业务具备安全回溯功能。</w:t>
      </w:r>
    </w:p>
    <w:p w14:paraId="7C138696">
      <w:pPr>
        <w:pStyle w:val="4"/>
        <w:keepLines w:val="0"/>
        <w:pageBreakBefore w:val="0"/>
        <w:widowControl w:val="0"/>
        <w:numPr>
          <w:ilvl w:val="0"/>
          <w:numId w:val="0"/>
        </w:numPr>
        <w:tabs>
          <w:tab w:val="left" w:pos="360"/>
        </w:tabs>
        <w:kinsoku/>
        <w:wordWrap/>
        <w:overflowPunct/>
        <w:topLinePunct w:val="0"/>
        <w:autoSpaceDE w:val="0"/>
        <w:autoSpaceDN w:val="0"/>
        <w:bidi w:val="0"/>
        <w:adjustRightInd w:val="0"/>
        <w:snapToGrid/>
        <w:spacing w:line="460" w:lineRule="exact"/>
        <w:ind w:firstLine="420" w:firstLineChars="200"/>
        <w:jc w:val="both"/>
        <w:textAlignment w:val="auto"/>
        <w:outlineLvl w:val="9"/>
        <w:rPr>
          <w:rFonts w:hint="eastAsia" w:ascii="宋体" w:hAnsi="宋体" w:eastAsia="宋体" w:cs="宋体"/>
          <w:b w:val="0"/>
          <w:bCs w:val="0"/>
          <w:color w:val="auto"/>
          <w:kern w:val="2"/>
          <w:sz w:val="21"/>
          <w:szCs w:val="32"/>
          <w:highlight w:val="none"/>
          <w:lang w:val="en-US" w:eastAsia="zh-CN" w:bidi="ar-SA"/>
        </w:rPr>
      </w:pPr>
      <w:r>
        <w:rPr>
          <w:rFonts w:hint="eastAsia" w:ascii="宋体" w:hAnsi="宋体" w:eastAsia="宋体" w:cs="宋体"/>
          <w:b w:val="0"/>
          <w:bCs w:val="0"/>
          <w:color w:val="auto"/>
          <w:kern w:val="2"/>
          <w:sz w:val="21"/>
          <w:szCs w:val="32"/>
          <w:highlight w:val="none"/>
          <w:lang w:val="en-US" w:eastAsia="zh-CN" w:bidi="ar-SA"/>
        </w:rPr>
        <w:t>（5）组网安全：使用国际标准组织3GPP规定的安全组网技术，实现安全的组网规划，在网络安全信任域与非信任域边界处部署防火墙，最大程度确保组网安全服务。</w:t>
      </w:r>
    </w:p>
    <w:p w14:paraId="223E1B28">
      <w:pPr>
        <w:pStyle w:val="4"/>
        <w:keepLines w:val="0"/>
        <w:pageBreakBefore w:val="0"/>
        <w:widowControl w:val="0"/>
        <w:numPr>
          <w:ilvl w:val="0"/>
          <w:numId w:val="0"/>
        </w:numPr>
        <w:tabs>
          <w:tab w:val="left" w:pos="360"/>
        </w:tabs>
        <w:kinsoku/>
        <w:wordWrap/>
        <w:overflowPunct/>
        <w:topLinePunct w:val="0"/>
        <w:autoSpaceDE w:val="0"/>
        <w:autoSpaceDN w:val="0"/>
        <w:bidi w:val="0"/>
        <w:adjustRightInd w:val="0"/>
        <w:snapToGrid/>
        <w:spacing w:line="460" w:lineRule="exact"/>
        <w:ind w:firstLine="420" w:firstLineChars="200"/>
        <w:jc w:val="both"/>
        <w:textAlignment w:val="auto"/>
        <w:outlineLvl w:val="9"/>
        <w:rPr>
          <w:rFonts w:hint="eastAsia" w:ascii="宋体" w:hAnsi="宋体" w:eastAsia="宋体" w:cs="宋体"/>
          <w:b w:val="0"/>
          <w:bCs w:val="0"/>
          <w:color w:val="auto"/>
          <w:kern w:val="2"/>
          <w:sz w:val="21"/>
          <w:szCs w:val="32"/>
          <w:highlight w:val="none"/>
          <w:lang w:val="en-US" w:eastAsia="zh-CN" w:bidi="ar-SA"/>
        </w:rPr>
      </w:pPr>
      <w:r>
        <w:rPr>
          <w:rFonts w:hint="eastAsia" w:ascii="宋体" w:hAnsi="宋体" w:eastAsia="宋体" w:cs="宋体"/>
          <w:b w:val="0"/>
          <w:bCs w:val="0"/>
          <w:color w:val="auto"/>
          <w:kern w:val="2"/>
          <w:sz w:val="21"/>
          <w:szCs w:val="32"/>
          <w:highlight w:val="none"/>
          <w:lang w:val="en-US" w:eastAsia="zh-CN" w:bidi="ar-SA"/>
        </w:rPr>
        <w:t>（6）传输数据安全保障：使用TLS协议传输，媒体支持AES算法加密，保障传输链路上的安全性，同时支持双流加密。</w:t>
      </w:r>
    </w:p>
    <w:p w14:paraId="7FA94282">
      <w:pPr>
        <w:pStyle w:val="4"/>
        <w:keepLines w:val="0"/>
        <w:pageBreakBefore w:val="0"/>
        <w:widowControl w:val="0"/>
        <w:numPr>
          <w:ilvl w:val="0"/>
          <w:numId w:val="0"/>
        </w:numPr>
        <w:tabs>
          <w:tab w:val="left" w:pos="360"/>
        </w:tabs>
        <w:kinsoku/>
        <w:wordWrap/>
        <w:overflowPunct/>
        <w:topLinePunct w:val="0"/>
        <w:autoSpaceDE w:val="0"/>
        <w:autoSpaceDN w:val="0"/>
        <w:bidi w:val="0"/>
        <w:adjustRightInd w:val="0"/>
        <w:snapToGrid/>
        <w:spacing w:line="460" w:lineRule="exact"/>
        <w:ind w:firstLine="420" w:firstLineChars="200"/>
        <w:jc w:val="both"/>
        <w:textAlignment w:val="auto"/>
        <w:outlineLvl w:val="9"/>
        <w:rPr>
          <w:rFonts w:hint="eastAsia" w:ascii="宋体" w:hAnsi="宋体" w:eastAsia="宋体" w:cs="宋体"/>
          <w:b w:val="0"/>
          <w:bCs w:val="0"/>
          <w:color w:val="auto"/>
          <w:kern w:val="2"/>
          <w:sz w:val="21"/>
          <w:szCs w:val="32"/>
          <w:highlight w:val="none"/>
          <w:lang w:val="en-US" w:eastAsia="zh-CN" w:bidi="ar-SA"/>
        </w:rPr>
      </w:pPr>
      <w:r>
        <w:rPr>
          <w:rFonts w:hint="eastAsia" w:ascii="宋体" w:hAnsi="宋体" w:eastAsia="宋体" w:cs="宋体"/>
          <w:b w:val="0"/>
          <w:bCs w:val="0"/>
          <w:color w:val="auto"/>
          <w:kern w:val="2"/>
          <w:sz w:val="21"/>
          <w:szCs w:val="32"/>
          <w:highlight w:val="none"/>
          <w:lang w:val="en-US" w:eastAsia="zh-CN" w:bidi="ar-SA"/>
        </w:rPr>
        <w:t>（7）符合IETF SIP标准，支持基于IMS实现对会议终端的注册和鉴权。</w:t>
      </w:r>
    </w:p>
    <w:p w14:paraId="4C7D3101">
      <w:pPr>
        <w:pStyle w:val="4"/>
        <w:keepLines w:val="0"/>
        <w:pageBreakBefore w:val="0"/>
        <w:widowControl w:val="0"/>
        <w:numPr>
          <w:ilvl w:val="0"/>
          <w:numId w:val="0"/>
        </w:numPr>
        <w:tabs>
          <w:tab w:val="left" w:pos="360"/>
        </w:tabs>
        <w:kinsoku/>
        <w:wordWrap/>
        <w:overflowPunct/>
        <w:topLinePunct w:val="0"/>
        <w:autoSpaceDE w:val="0"/>
        <w:autoSpaceDN w:val="0"/>
        <w:bidi w:val="0"/>
        <w:adjustRightInd w:val="0"/>
        <w:snapToGrid/>
        <w:spacing w:line="460" w:lineRule="exact"/>
        <w:ind w:firstLine="420" w:firstLineChars="200"/>
        <w:jc w:val="both"/>
        <w:textAlignment w:val="auto"/>
        <w:outlineLvl w:val="9"/>
        <w:rPr>
          <w:rFonts w:hint="eastAsia" w:ascii="宋体" w:hAnsi="宋体" w:eastAsia="宋体" w:cs="宋体"/>
          <w:b w:val="0"/>
          <w:bCs w:val="0"/>
          <w:color w:val="auto"/>
          <w:kern w:val="2"/>
          <w:sz w:val="21"/>
          <w:szCs w:val="32"/>
          <w:highlight w:val="none"/>
          <w:lang w:val="en-US" w:eastAsia="zh-CN" w:bidi="ar-SA"/>
        </w:rPr>
      </w:pPr>
      <w:r>
        <w:rPr>
          <w:rFonts w:hint="eastAsia" w:ascii="宋体" w:hAnsi="宋体" w:eastAsia="宋体" w:cs="宋体"/>
          <w:b w:val="0"/>
          <w:bCs w:val="0"/>
          <w:color w:val="auto"/>
          <w:kern w:val="2"/>
          <w:sz w:val="21"/>
          <w:szCs w:val="32"/>
          <w:highlight w:val="none"/>
          <w:lang w:val="en-US" w:eastAsia="zh-CN" w:bidi="ar-SA"/>
        </w:rPr>
        <w:t>（8）支持基于SIP over TLS实现信令加密功能，支持基于SRTP实现媒体加密功能。</w:t>
      </w:r>
    </w:p>
    <w:p w14:paraId="5D653AF1">
      <w:pPr>
        <w:pStyle w:val="4"/>
        <w:keepLines w:val="0"/>
        <w:pageBreakBefore w:val="0"/>
        <w:widowControl w:val="0"/>
        <w:numPr>
          <w:ilvl w:val="0"/>
          <w:numId w:val="0"/>
        </w:numPr>
        <w:tabs>
          <w:tab w:val="left" w:pos="360"/>
        </w:tabs>
        <w:kinsoku/>
        <w:wordWrap/>
        <w:overflowPunct/>
        <w:topLinePunct w:val="0"/>
        <w:autoSpaceDE w:val="0"/>
        <w:autoSpaceDN w:val="0"/>
        <w:bidi w:val="0"/>
        <w:adjustRightInd w:val="0"/>
        <w:snapToGrid/>
        <w:spacing w:line="460" w:lineRule="exact"/>
        <w:ind w:firstLine="420" w:firstLineChars="200"/>
        <w:jc w:val="both"/>
        <w:textAlignment w:val="auto"/>
        <w:outlineLvl w:val="9"/>
        <w:rPr>
          <w:rFonts w:hint="eastAsia" w:ascii="宋体" w:hAnsi="宋体" w:eastAsia="宋体" w:cs="宋体"/>
          <w:b w:val="0"/>
          <w:bCs w:val="0"/>
          <w:color w:val="auto"/>
          <w:kern w:val="2"/>
          <w:sz w:val="21"/>
          <w:szCs w:val="32"/>
          <w:highlight w:val="none"/>
          <w:lang w:val="en-US" w:eastAsia="zh-CN" w:bidi="ar-SA"/>
        </w:rPr>
      </w:pPr>
      <w:r>
        <w:rPr>
          <w:rFonts w:hint="eastAsia" w:ascii="宋体" w:hAnsi="宋体" w:eastAsia="宋体" w:cs="宋体"/>
          <w:b w:val="0"/>
          <w:bCs w:val="0"/>
          <w:color w:val="auto"/>
          <w:kern w:val="2"/>
          <w:sz w:val="21"/>
          <w:szCs w:val="32"/>
          <w:highlight w:val="none"/>
          <w:lang w:val="en-US" w:eastAsia="zh-CN" w:bidi="ar-SA"/>
        </w:rPr>
        <w:t>（9）支持G.711、G.722、G.722.1C、AAC-LD等音频协议，可达到20KHz以上的宽频效果。</w:t>
      </w:r>
    </w:p>
    <w:p w14:paraId="40496A0D">
      <w:pPr>
        <w:pStyle w:val="4"/>
        <w:keepLines w:val="0"/>
        <w:pageBreakBefore w:val="0"/>
        <w:widowControl w:val="0"/>
        <w:numPr>
          <w:ilvl w:val="0"/>
          <w:numId w:val="0"/>
        </w:numPr>
        <w:tabs>
          <w:tab w:val="left" w:pos="360"/>
        </w:tabs>
        <w:kinsoku/>
        <w:wordWrap/>
        <w:overflowPunct/>
        <w:topLinePunct w:val="0"/>
        <w:autoSpaceDE w:val="0"/>
        <w:autoSpaceDN w:val="0"/>
        <w:bidi w:val="0"/>
        <w:adjustRightInd w:val="0"/>
        <w:snapToGrid/>
        <w:spacing w:line="460" w:lineRule="exact"/>
        <w:ind w:firstLine="420" w:firstLineChars="200"/>
        <w:jc w:val="both"/>
        <w:textAlignment w:val="auto"/>
        <w:outlineLvl w:val="9"/>
        <w:rPr>
          <w:rFonts w:hint="eastAsia" w:ascii="宋体" w:hAnsi="宋体" w:eastAsia="宋体" w:cs="宋体"/>
          <w:b w:val="0"/>
          <w:bCs w:val="0"/>
          <w:color w:val="auto"/>
          <w:kern w:val="2"/>
          <w:sz w:val="21"/>
          <w:szCs w:val="32"/>
          <w:highlight w:val="none"/>
          <w:lang w:val="en-US" w:eastAsia="zh-CN" w:bidi="ar-SA"/>
        </w:rPr>
      </w:pPr>
      <w:r>
        <w:rPr>
          <w:rFonts w:hint="eastAsia" w:ascii="宋体" w:hAnsi="宋体" w:eastAsia="宋体" w:cs="宋体"/>
          <w:b w:val="0"/>
          <w:bCs w:val="0"/>
          <w:color w:val="auto"/>
          <w:kern w:val="2"/>
          <w:sz w:val="21"/>
          <w:szCs w:val="32"/>
          <w:highlight w:val="none"/>
          <w:lang w:val="en-US" w:eastAsia="zh-CN" w:bidi="ar-SA"/>
        </w:rPr>
        <w:t>（10）支持语音会议、标清视频会议、高清视频会议、Web会议，并且支持语音、标清视频、高清视频、Web终端混合组会。</w:t>
      </w:r>
    </w:p>
    <w:p w14:paraId="2B4FCE98">
      <w:pPr>
        <w:pStyle w:val="4"/>
        <w:keepLines w:val="0"/>
        <w:pageBreakBefore w:val="0"/>
        <w:widowControl w:val="0"/>
        <w:numPr>
          <w:ilvl w:val="0"/>
          <w:numId w:val="0"/>
        </w:numPr>
        <w:tabs>
          <w:tab w:val="left" w:pos="360"/>
        </w:tabs>
        <w:kinsoku/>
        <w:wordWrap/>
        <w:overflowPunct/>
        <w:topLinePunct w:val="0"/>
        <w:autoSpaceDE w:val="0"/>
        <w:autoSpaceDN w:val="0"/>
        <w:bidi w:val="0"/>
        <w:adjustRightInd w:val="0"/>
        <w:snapToGrid/>
        <w:spacing w:line="460" w:lineRule="exact"/>
        <w:ind w:firstLine="420" w:firstLineChars="200"/>
        <w:jc w:val="both"/>
        <w:textAlignment w:val="auto"/>
        <w:outlineLvl w:val="9"/>
        <w:rPr>
          <w:rFonts w:hint="eastAsia" w:ascii="宋体" w:hAnsi="宋体" w:eastAsia="宋体" w:cs="宋体"/>
          <w:b w:val="0"/>
          <w:bCs w:val="0"/>
          <w:color w:val="auto"/>
          <w:kern w:val="2"/>
          <w:sz w:val="21"/>
          <w:szCs w:val="32"/>
          <w:highlight w:val="none"/>
          <w:lang w:val="en-US" w:eastAsia="zh-CN" w:bidi="ar-SA"/>
        </w:rPr>
      </w:pPr>
      <w:r>
        <w:rPr>
          <w:rFonts w:hint="eastAsia" w:ascii="宋体" w:hAnsi="宋体" w:eastAsia="宋体" w:cs="宋体"/>
          <w:b w:val="0"/>
          <w:bCs w:val="0"/>
          <w:color w:val="auto"/>
          <w:kern w:val="2"/>
          <w:sz w:val="21"/>
          <w:szCs w:val="32"/>
          <w:highlight w:val="none"/>
          <w:lang w:val="en-US" w:eastAsia="zh-CN" w:bidi="ar-SA"/>
        </w:rPr>
        <w:t>（11）支持三种用户入会方式：①系统自动呼叫相关与会者，被呼叫的用户应答后，直接参与会议，无需进行会议ID验证；②会议过程中，会议管理员通过会议管理Portal邀请参会者加入会议，与会者应答呼叫后，直接加入会议；③参会者可以拨打会议接入号加入会议，呼叫接通后根据提示音输入会议ID和会议密码进行验证入会。</w:t>
      </w:r>
    </w:p>
    <w:p w14:paraId="56293EA2">
      <w:pPr>
        <w:pStyle w:val="4"/>
        <w:keepLines w:val="0"/>
        <w:pageBreakBefore w:val="0"/>
        <w:widowControl w:val="0"/>
        <w:numPr>
          <w:ilvl w:val="0"/>
          <w:numId w:val="0"/>
        </w:numPr>
        <w:tabs>
          <w:tab w:val="left" w:pos="360"/>
        </w:tabs>
        <w:kinsoku/>
        <w:wordWrap/>
        <w:overflowPunct/>
        <w:topLinePunct w:val="0"/>
        <w:autoSpaceDE w:val="0"/>
        <w:autoSpaceDN w:val="0"/>
        <w:bidi w:val="0"/>
        <w:adjustRightInd w:val="0"/>
        <w:snapToGrid/>
        <w:spacing w:line="460" w:lineRule="exact"/>
        <w:ind w:firstLine="420" w:firstLineChars="200"/>
        <w:jc w:val="both"/>
        <w:textAlignment w:val="auto"/>
        <w:outlineLvl w:val="9"/>
        <w:rPr>
          <w:rFonts w:hint="eastAsia" w:ascii="宋体" w:hAnsi="宋体" w:eastAsia="宋体" w:cs="宋体"/>
          <w:b w:val="0"/>
          <w:bCs w:val="0"/>
          <w:color w:val="auto"/>
          <w:kern w:val="2"/>
          <w:sz w:val="21"/>
          <w:szCs w:val="32"/>
          <w:highlight w:val="none"/>
          <w:lang w:val="en-US" w:eastAsia="zh-CN" w:bidi="ar-SA"/>
        </w:rPr>
      </w:pPr>
      <w:r>
        <w:rPr>
          <w:rFonts w:hint="eastAsia" w:ascii="宋体" w:hAnsi="宋体" w:eastAsia="宋体" w:cs="宋体"/>
          <w:b w:val="0"/>
          <w:bCs w:val="0"/>
          <w:color w:val="auto"/>
          <w:kern w:val="2"/>
          <w:sz w:val="21"/>
          <w:szCs w:val="32"/>
          <w:highlight w:val="none"/>
          <w:lang w:val="en-US" w:eastAsia="zh-CN" w:bidi="ar-SA"/>
        </w:rPr>
        <w:t>（12）▲支持会议录制功能。(提供功能页面截图或对应承诺书，格式自拟)</w:t>
      </w:r>
    </w:p>
    <w:p w14:paraId="72FDDA35">
      <w:pPr>
        <w:pStyle w:val="4"/>
        <w:keepLines w:val="0"/>
        <w:pageBreakBefore w:val="0"/>
        <w:widowControl w:val="0"/>
        <w:numPr>
          <w:ilvl w:val="0"/>
          <w:numId w:val="0"/>
        </w:numPr>
        <w:tabs>
          <w:tab w:val="left" w:pos="360"/>
        </w:tabs>
        <w:kinsoku/>
        <w:wordWrap/>
        <w:overflowPunct/>
        <w:topLinePunct w:val="0"/>
        <w:autoSpaceDE w:val="0"/>
        <w:autoSpaceDN w:val="0"/>
        <w:bidi w:val="0"/>
        <w:adjustRightInd w:val="0"/>
        <w:snapToGrid/>
        <w:spacing w:line="460" w:lineRule="exact"/>
        <w:ind w:firstLine="420" w:firstLineChars="200"/>
        <w:jc w:val="both"/>
        <w:textAlignment w:val="auto"/>
        <w:outlineLvl w:val="9"/>
        <w:rPr>
          <w:rFonts w:hint="eastAsia" w:ascii="宋体" w:hAnsi="宋体" w:eastAsia="宋体" w:cs="宋体"/>
          <w:b w:val="0"/>
          <w:bCs w:val="0"/>
          <w:color w:val="auto"/>
          <w:kern w:val="2"/>
          <w:sz w:val="21"/>
          <w:szCs w:val="32"/>
          <w:highlight w:val="none"/>
          <w:lang w:val="en-US" w:eastAsia="zh-CN" w:bidi="ar-SA"/>
        </w:rPr>
      </w:pPr>
      <w:r>
        <w:rPr>
          <w:rFonts w:hint="eastAsia" w:ascii="宋体" w:hAnsi="宋体" w:eastAsia="宋体" w:cs="宋体"/>
          <w:b w:val="0"/>
          <w:bCs w:val="0"/>
          <w:color w:val="auto"/>
          <w:kern w:val="2"/>
          <w:sz w:val="21"/>
          <w:szCs w:val="32"/>
          <w:highlight w:val="none"/>
          <w:lang w:val="en-US" w:eastAsia="zh-CN" w:bidi="ar-SA"/>
        </w:rPr>
        <w:t>（14）▲支持允许/取消发言功能，会议管理员可以通过PC端、PAD端和手机端会议管理界面对参会者进行是否发言、禁言等操作。(提供功能页面截图或对应承诺书，格式自拟)</w:t>
      </w:r>
    </w:p>
    <w:p w14:paraId="7355B7BF">
      <w:pPr>
        <w:pStyle w:val="4"/>
        <w:keepLines w:val="0"/>
        <w:pageBreakBefore w:val="0"/>
        <w:widowControl w:val="0"/>
        <w:numPr>
          <w:ilvl w:val="0"/>
          <w:numId w:val="0"/>
        </w:numPr>
        <w:tabs>
          <w:tab w:val="left" w:pos="360"/>
        </w:tabs>
        <w:kinsoku/>
        <w:wordWrap/>
        <w:overflowPunct/>
        <w:topLinePunct w:val="0"/>
        <w:autoSpaceDE w:val="0"/>
        <w:autoSpaceDN w:val="0"/>
        <w:bidi w:val="0"/>
        <w:adjustRightInd w:val="0"/>
        <w:snapToGrid/>
        <w:spacing w:line="460" w:lineRule="exact"/>
        <w:ind w:firstLine="420" w:firstLineChars="200"/>
        <w:jc w:val="both"/>
        <w:textAlignment w:val="auto"/>
        <w:outlineLvl w:val="9"/>
        <w:rPr>
          <w:rFonts w:hint="eastAsia" w:ascii="宋体" w:hAnsi="宋体" w:eastAsia="宋体" w:cs="宋体"/>
          <w:b w:val="0"/>
          <w:bCs w:val="0"/>
          <w:color w:val="auto"/>
          <w:kern w:val="2"/>
          <w:sz w:val="21"/>
          <w:szCs w:val="32"/>
          <w:highlight w:val="none"/>
          <w:lang w:val="en-US" w:eastAsia="zh-CN" w:bidi="ar-SA"/>
        </w:rPr>
      </w:pPr>
      <w:r>
        <w:rPr>
          <w:rFonts w:hint="eastAsia" w:ascii="宋体" w:hAnsi="宋体" w:eastAsia="宋体" w:cs="宋体"/>
          <w:b w:val="0"/>
          <w:bCs w:val="0"/>
          <w:color w:val="auto"/>
          <w:kern w:val="2"/>
          <w:sz w:val="21"/>
          <w:szCs w:val="32"/>
          <w:highlight w:val="none"/>
          <w:lang w:val="en-US" w:eastAsia="zh-CN" w:bidi="ar-SA"/>
        </w:rPr>
        <w:t>（15）▲支持会议管理员选择多画面视频布局，支持在1-24画面中任意选择。主会场会议管理员支持在以下的显示模式中进行选择：固定画面模式、声控模式、轮播模式、演讲者模式。(提供功能页面截图或对应承诺书，格式自拟)</w:t>
      </w:r>
    </w:p>
    <w:p w14:paraId="4BF4F792">
      <w:pPr>
        <w:pStyle w:val="4"/>
        <w:keepLines w:val="0"/>
        <w:pageBreakBefore w:val="0"/>
        <w:widowControl w:val="0"/>
        <w:numPr>
          <w:ilvl w:val="0"/>
          <w:numId w:val="0"/>
        </w:numPr>
        <w:tabs>
          <w:tab w:val="left" w:pos="360"/>
        </w:tabs>
        <w:kinsoku/>
        <w:wordWrap/>
        <w:overflowPunct/>
        <w:topLinePunct w:val="0"/>
        <w:autoSpaceDE w:val="0"/>
        <w:autoSpaceDN w:val="0"/>
        <w:bidi w:val="0"/>
        <w:adjustRightInd w:val="0"/>
        <w:snapToGrid/>
        <w:spacing w:line="460" w:lineRule="exact"/>
        <w:ind w:firstLine="420" w:firstLineChars="200"/>
        <w:jc w:val="both"/>
        <w:textAlignment w:val="auto"/>
        <w:outlineLvl w:val="9"/>
        <w:rPr>
          <w:rFonts w:hint="eastAsia" w:ascii="宋体" w:hAnsi="宋体" w:eastAsia="宋体" w:cs="宋体"/>
          <w:b w:val="0"/>
          <w:bCs w:val="0"/>
          <w:color w:val="auto"/>
          <w:kern w:val="2"/>
          <w:sz w:val="21"/>
          <w:szCs w:val="32"/>
          <w:highlight w:val="none"/>
          <w:lang w:val="en-US" w:eastAsia="zh-CN" w:bidi="ar-SA"/>
        </w:rPr>
      </w:pPr>
      <w:r>
        <w:rPr>
          <w:rFonts w:hint="eastAsia" w:ascii="宋体" w:hAnsi="宋体" w:eastAsia="宋体" w:cs="宋体"/>
          <w:b w:val="0"/>
          <w:bCs w:val="0"/>
          <w:color w:val="auto"/>
          <w:kern w:val="2"/>
          <w:sz w:val="21"/>
          <w:szCs w:val="32"/>
          <w:highlight w:val="none"/>
          <w:lang w:val="en-US" w:eastAsia="zh-CN" w:bidi="ar-SA"/>
        </w:rPr>
        <w:t>（16）支持手机以语音/视频方式参与到视频会议中，支持无需安装客户端，Volte手机直接以视频方式入会。</w:t>
      </w:r>
    </w:p>
    <w:p w14:paraId="789F61DD">
      <w:pPr>
        <w:pStyle w:val="4"/>
        <w:keepLines w:val="0"/>
        <w:pageBreakBefore w:val="0"/>
        <w:widowControl w:val="0"/>
        <w:numPr>
          <w:ilvl w:val="0"/>
          <w:numId w:val="0"/>
        </w:numPr>
        <w:tabs>
          <w:tab w:val="left" w:pos="360"/>
        </w:tabs>
        <w:kinsoku/>
        <w:wordWrap/>
        <w:overflowPunct/>
        <w:topLinePunct w:val="0"/>
        <w:autoSpaceDE w:val="0"/>
        <w:autoSpaceDN w:val="0"/>
        <w:bidi w:val="0"/>
        <w:adjustRightInd w:val="0"/>
        <w:snapToGrid/>
        <w:spacing w:line="460" w:lineRule="exact"/>
        <w:ind w:firstLine="420" w:firstLineChars="200"/>
        <w:jc w:val="both"/>
        <w:textAlignment w:val="auto"/>
        <w:outlineLvl w:val="9"/>
        <w:rPr>
          <w:rFonts w:hint="eastAsia" w:ascii="宋体" w:hAnsi="宋体" w:eastAsia="宋体" w:cs="宋体"/>
          <w:b w:val="0"/>
          <w:bCs w:val="0"/>
          <w:color w:val="auto"/>
          <w:kern w:val="2"/>
          <w:sz w:val="21"/>
          <w:szCs w:val="32"/>
          <w:highlight w:val="none"/>
          <w:lang w:val="en-US" w:eastAsia="zh-CN" w:bidi="ar-SA"/>
        </w:rPr>
      </w:pPr>
      <w:r>
        <w:rPr>
          <w:rFonts w:hint="eastAsia" w:ascii="宋体" w:hAnsi="宋体" w:eastAsia="宋体" w:cs="宋体"/>
          <w:b w:val="0"/>
          <w:bCs w:val="0"/>
          <w:color w:val="auto"/>
          <w:kern w:val="2"/>
          <w:sz w:val="21"/>
          <w:szCs w:val="32"/>
          <w:highlight w:val="none"/>
          <w:lang w:val="en-US" w:eastAsia="zh-CN" w:bidi="ar-SA"/>
        </w:rPr>
        <w:t>（17）▲应具备良好的网络适应性，30%的网络丢包下，视频会议应保持音视频流畅、互动正常、会议质量正常。（提供第三方测试机构出具的测试报告扫描件或对应承诺书，格式自拟）</w:t>
      </w:r>
    </w:p>
    <w:p w14:paraId="7552DD45">
      <w:pPr>
        <w:pStyle w:val="4"/>
        <w:keepLines w:val="0"/>
        <w:pageBreakBefore w:val="0"/>
        <w:widowControl w:val="0"/>
        <w:numPr>
          <w:ilvl w:val="0"/>
          <w:numId w:val="0"/>
        </w:numPr>
        <w:tabs>
          <w:tab w:val="left" w:pos="360"/>
        </w:tabs>
        <w:kinsoku/>
        <w:wordWrap/>
        <w:overflowPunct/>
        <w:topLinePunct w:val="0"/>
        <w:autoSpaceDE w:val="0"/>
        <w:autoSpaceDN w:val="0"/>
        <w:bidi w:val="0"/>
        <w:adjustRightInd w:val="0"/>
        <w:snapToGrid/>
        <w:spacing w:line="460" w:lineRule="exact"/>
        <w:ind w:firstLine="420" w:firstLineChars="200"/>
        <w:jc w:val="both"/>
        <w:textAlignment w:val="auto"/>
        <w:outlineLvl w:val="9"/>
        <w:rPr>
          <w:rFonts w:hint="eastAsia" w:ascii="宋体" w:hAnsi="宋体" w:eastAsia="宋体" w:cs="宋体"/>
          <w:b w:val="0"/>
          <w:bCs w:val="0"/>
          <w:color w:val="auto"/>
          <w:kern w:val="2"/>
          <w:sz w:val="21"/>
          <w:szCs w:val="32"/>
          <w:highlight w:val="none"/>
          <w:lang w:val="en-US" w:eastAsia="zh-CN" w:bidi="ar-SA"/>
        </w:rPr>
      </w:pPr>
      <w:r>
        <w:rPr>
          <w:rFonts w:hint="eastAsia" w:ascii="宋体" w:hAnsi="宋体" w:eastAsia="宋体" w:cs="宋体"/>
          <w:b w:val="0"/>
          <w:bCs w:val="0"/>
          <w:color w:val="auto"/>
          <w:kern w:val="2"/>
          <w:sz w:val="21"/>
          <w:szCs w:val="32"/>
          <w:highlight w:val="none"/>
          <w:lang w:val="en-US" w:eastAsia="zh-CN" w:bidi="ar-SA"/>
        </w:rPr>
        <w:t>（18）支持通过集中部署的会议平台，本地无需MCU，就能同时为多个会场提供会议业务，可向指定会场提供会议管理、设备管理、会议控制等功能服务。</w:t>
      </w:r>
    </w:p>
    <w:p w14:paraId="2467F909">
      <w:pPr>
        <w:pStyle w:val="4"/>
        <w:keepLines w:val="0"/>
        <w:pageBreakBefore w:val="0"/>
        <w:widowControl w:val="0"/>
        <w:numPr>
          <w:ilvl w:val="0"/>
          <w:numId w:val="0"/>
        </w:numPr>
        <w:tabs>
          <w:tab w:val="left" w:pos="360"/>
        </w:tabs>
        <w:kinsoku/>
        <w:wordWrap/>
        <w:overflowPunct/>
        <w:topLinePunct w:val="0"/>
        <w:autoSpaceDE w:val="0"/>
        <w:autoSpaceDN w:val="0"/>
        <w:bidi w:val="0"/>
        <w:adjustRightInd w:val="0"/>
        <w:snapToGrid/>
        <w:spacing w:line="460" w:lineRule="exact"/>
        <w:jc w:val="both"/>
        <w:textAlignment w:val="auto"/>
        <w:outlineLvl w:val="2"/>
        <w:rPr>
          <w:rFonts w:hint="eastAsia" w:ascii="宋体" w:hAnsi="宋体" w:eastAsia="宋体" w:cs="宋体"/>
          <w:b/>
          <w:bCs/>
          <w:color w:val="auto"/>
          <w:kern w:val="2"/>
          <w:sz w:val="21"/>
          <w:szCs w:val="32"/>
          <w:highlight w:val="none"/>
          <w:lang w:val="en-US" w:eastAsia="zh-CN" w:bidi="ar-SA"/>
        </w:rPr>
      </w:pPr>
      <w:r>
        <w:rPr>
          <w:rFonts w:hint="eastAsia" w:hAnsi="宋体" w:cs="宋体"/>
          <w:b/>
          <w:bCs/>
          <w:color w:val="auto"/>
          <w:kern w:val="2"/>
          <w:sz w:val="21"/>
          <w:szCs w:val="32"/>
          <w:highlight w:val="none"/>
          <w:lang w:val="en-US" w:eastAsia="zh-CN" w:bidi="ar-SA"/>
        </w:rPr>
        <w:t>1</w:t>
      </w:r>
      <w:r>
        <w:rPr>
          <w:rFonts w:hint="eastAsia" w:ascii="宋体" w:hAnsi="宋体" w:eastAsia="宋体" w:cs="宋体"/>
          <w:b/>
          <w:bCs/>
          <w:color w:val="auto"/>
          <w:kern w:val="2"/>
          <w:sz w:val="21"/>
          <w:szCs w:val="32"/>
          <w:highlight w:val="none"/>
          <w:lang w:val="en-US" w:eastAsia="zh-CN" w:bidi="ar-SA"/>
        </w:rPr>
        <w:t>.6 会场技术要求</w:t>
      </w:r>
    </w:p>
    <w:p w14:paraId="3A6C7B9A">
      <w:pPr>
        <w:pStyle w:val="4"/>
        <w:keepLines w:val="0"/>
        <w:pageBreakBefore w:val="0"/>
        <w:widowControl w:val="0"/>
        <w:numPr>
          <w:ilvl w:val="0"/>
          <w:numId w:val="0"/>
        </w:numPr>
        <w:tabs>
          <w:tab w:val="left" w:pos="360"/>
        </w:tabs>
        <w:kinsoku/>
        <w:wordWrap/>
        <w:overflowPunct/>
        <w:topLinePunct w:val="0"/>
        <w:autoSpaceDE w:val="0"/>
        <w:autoSpaceDN w:val="0"/>
        <w:bidi w:val="0"/>
        <w:adjustRightInd w:val="0"/>
        <w:snapToGrid/>
        <w:spacing w:line="460" w:lineRule="exact"/>
        <w:ind w:firstLine="420" w:firstLineChars="200"/>
        <w:jc w:val="both"/>
        <w:textAlignment w:val="auto"/>
        <w:outlineLvl w:val="9"/>
        <w:rPr>
          <w:rFonts w:hint="eastAsia" w:ascii="宋体" w:hAnsi="宋体" w:eastAsia="宋体" w:cs="宋体"/>
          <w:b w:val="0"/>
          <w:bCs w:val="0"/>
          <w:color w:val="auto"/>
          <w:kern w:val="2"/>
          <w:sz w:val="21"/>
          <w:szCs w:val="32"/>
          <w:highlight w:val="none"/>
          <w:lang w:val="en-US" w:eastAsia="zh-CN" w:bidi="ar-SA"/>
        </w:rPr>
      </w:pPr>
      <w:r>
        <w:rPr>
          <w:rFonts w:hint="eastAsia" w:ascii="宋体" w:hAnsi="宋体" w:eastAsia="宋体" w:cs="宋体"/>
          <w:b w:val="0"/>
          <w:bCs w:val="0"/>
          <w:color w:val="auto"/>
          <w:kern w:val="2"/>
          <w:sz w:val="21"/>
          <w:szCs w:val="32"/>
          <w:highlight w:val="none"/>
          <w:lang w:val="en-US" w:eastAsia="zh-CN" w:bidi="ar-SA"/>
        </w:rPr>
        <w:t>（1）会场支持双流1080P 60fps，支持1080P 60fps＋4K双流会议，向下兼容1080P、720P等分辨率。</w:t>
      </w:r>
    </w:p>
    <w:p w14:paraId="3E36F456">
      <w:pPr>
        <w:pStyle w:val="4"/>
        <w:keepLines w:val="0"/>
        <w:pageBreakBefore w:val="0"/>
        <w:widowControl w:val="0"/>
        <w:numPr>
          <w:ilvl w:val="0"/>
          <w:numId w:val="0"/>
        </w:numPr>
        <w:tabs>
          <w:tab w:val="left" w:pos="360"/>
        </w:tabs>
        <w:kinsoku/>
        <w:wordWrap/>
        <w:overflowPunct/>
        <w:topLinePunct w:val="0"/>
        <w:autoSpaceDE w:val="0"/>
        <w:autoSpaceDN w:val="0"/>
        <w:bidi w:val="0"/>
        <w:adjustRightInd w:val="0"/>
        <w:snapToGrid/>
        <w:spacing w:line="460" w:lineRule="exact"/>
        <w:ind w:firstLine="420" w:firstLineChars="200"/>
        <w:jc w:val="both"/>
        <w:textAlignment w:val="auto"/>
        <w:outlineLvl w:val="9"/>
        <w:rPr>
          <w:rFonts w:hint="eastAsia" w:ascii="宋体" w:hAnsi="宋体" w:eastAsia="宋体" w:cs="宋体"/>
          <w:b w:val="0"/>
          <w:bCs w:val="0"/>
          <w:color w:val="auto"/>
          <w:kern w:val="2"/>
          <w:sz w:val="21"/>
          <w:szCs w:val="32"/>
          <w:highlight w:val="none"/>
          <w:lang w:val="en-US" w:eastAsia="zh-CN" w:bidi="ar-SA"/>
        </w:rPr>
      </w:pPr>
      <w:r>
        <w:rPr>
          <w:rFonts w:hint="eastAsia" w:ascii="宋体" w:hAnsi="宋体" w:eastAsia="宋体" w:cs="宋体"/>
          <w:b w:val="0"/>
          <w:bCs w:val="0"/>
          <w:color w:val="auto"/>
          <w:kern w:val="2"/>
          <w:sz w:val="21"/>
          <w:szCs w:val="32"/>
          <w:highlight w:val="none"/>
          <w:lang w:val="en-US" w:eastAsia="zh-CN" w:bidi="ar-SA"/>
        </w:rPr>
        <w:t>（2）会议画面支持字幕显示，可自定义字幕内容、大小、颜色。支持会场终端的呼叫控制、提醒控制、云台控制、预置位控制、变焦控制。</w:t>
      </w:r>
    </w:p>
    <w:p w14:paraId="4032D155">
      <w:pPr>
        <w:pStyle w:val="4"/>
        <w:keepLines w:val="0"/>
        <w:pageBreakBefore w:val="0"/>
        <w:widowControl w:val="0"/>
        <w:numPr>
          <w:ilvl w:val="0"/>
          <w:numId w:val="0"/>
        </w:numPr>
        <w:tabs>
          <w:tab w:val="left" w:pos="360"/>
        </w:tabs>
        <w:kinsoku/>
        <w:wordWrap/>
        <w:overflowPunct/>
        <w:topLinePunct w:val="0"/>
        <w:autoSpaceDE w:val="0"/>
        <w:autoSpaceDN w:val="0"/>
        <w:bidi w:val="0"/>
        <w:adjustRightInd w:val="0"/>
        <w:snapToGrid/>
        <w:spacing w:line="460" w:lineRule="exact"/>
        <w:ind w:firstLine="420" w:firstLineChars="200"/>
        <w:jc w:val="both"/>
        <w:textAlignment w:val="auto"/>
        <w:outlineLvl w:val="9"/>
        <w:rPr>
          <w:rFonts w:hint="eastAsia" w:ascii="宋体" w:hAnsi="宋体" w:eastAsia="宋体" w:cs="宋体"/>
          <w:b w:val="0"/>
          <w:bCs w:val="0"/>
          <w:color w:val="auto"/>
          <w:kern w:val="2"/>
          <w:sz w:val="21"/>
          <w:szCs w:val="32"/>
          <w:highlight w:val="none"/>
          <w:lang w:val="en-US" w:eastAsia="zh-CN" w:bidi="ar-SA"/>
        </w:rPr>
      </w:pPr>
      <w:r>
        <w:rPr>
          <w:rFonts w:hint="eastAsia" w:ascii="宋体" w:hAnsi="宋体" w:eastAsia="宋体" w:cs="宋体"/>
          <w:b w:val="0"/>
          <w:bCs w:val="0"/>
          <w:color w:val="auto"/>
          <w:kern w:val="2"/>
          <w:sz w:val="21"/>
          <w:szCs w:val="32"/>
          <w:highlight w:val="none"/>
          <w:lang w:val="en-US" w:eastAsia="zh-CN" w:bidi="ar-SA"/>
        </w:rPr>
        <w:t>（3）▲支持1080P单屏三显功能，在一个显示设备上显示远端图像、本端图像及双流图像。(提供功能页面截图或对应承诺书，格式自拟)</w:t>
      </w:r>
    </w:p>
    <w:p w14:paraId="02DB997A">
      <w:pPr>
        <w:pStyle w:val="4"/>
        <w:keepLines w:val="0"/>
        <w:pageBreakBefore w:val="0"/>
        <w:widowControl w:val="0"/>
        <w:numPr>
          <w:ilvl w:val="0"/>
          <w:numId w:val="0"/>
        </w:numPr>
        <w:tabs>
          <w:tab w:val="left" w:pos="360"/>
        </w:tabs>
        <w:kinsoku/>
        <w:wordWrap/>
        <w:overflowPunct/>
        <w:topLinePunct w:val="0"/>
        <w:autoSpaceDE w:val="0"/>
        <w:autoSpaceDN w:val="0"/>
        <w:bidi w:val="0"/>
        <w:adjustRightInd w:val="0"/>
        <w:snapToGrid/>
        <w:spacing w:line="460" w:lineRule="exact"/>
        <w:ind w:firstLine="420" w:firstLineChars="200"/>
        <w:jc w:val="both"/>
        <w:textAlignment w:val="auto"/>
        <w:outlineLvl w:val="9"/>
        <w:rPr>
          <w:rFonts w:hint="eastAsia" w:ascii="宋体" w:hAnsi="宋体" w:eastAsia="宋体" w:cs="宋体"/>
          <w:b w:val="0"/>
          <w:bCs w:val="0"/>
          <w:color w:val="auto"/>
          <w:kern w:val="2"/>
          <w:sz w:val="21"/>
          <w:szCs w:val="32"/>
          <w:highlight w:val="none"/>
          <w:lang w:val="en-US" w:eastAsia="zh-CN" w:bidi="ar-SA"/>
        </w:rPr>
      </w:pPr>
      <w:r>
        <w:rPr>
          <w:rFonts w:hint="eastAsia" w:ascii="宋体" w:hAnsi="宋体" w:eastAsia="宋体" w:cs="宋体"/>
          <w:b w:val="0"/>
          <w:bCs w:val="0"/>
          <w:color w:val="auto"/>
          <w:kern w:val="2"/>
          <w:sz w:val="21"/>
          <w:szCs w:val="32"/>
          <w:highlight w:val="none"/>
          <w:lang w:val="en-US" w:eastAsia="zh-CN" w:bidi="ar-SA"/>
        </w:rPr>
        <w:t>（4）小型会场应支持通过水平视角≥70°、数字变焦≥4倍的高品质成像效果，采集小型会场画面。</w:t>
      </w:r>
    </w:p>
    <w:p w14:paraId="5B3766B1">
      <w:pPr>
        <w:pStyle w:val="4"/>
        <w:keepLines w:val="0"/>
        <w:pageBreakBefore w:val="0"/>
        <w:widowControl w:val="0"/>
        <w:numPr>
          <w:ilvl w:val="0"/>
          <w:numId w:val="0"/>
        </w:numPr>
        <w:tabs>
          <w:tab w:val="left" w:pos="360"/>
        </w:tabs>
        <w:kinsoku/>
        <w:wordWrap/>
        <w:overflowPunct/>
        <w:topLinePunct w:val="0"/>
        <w:autoSpaceDE w:val="0"/>
        <w:autoSpaceDN w:val="0"/>
        <w:bidi w:val="0"/>
        <w:adjustRightInd w:val="0"/>
        <w:snapToGrid/>
        <w:spacing w:line="460" w:lineRule="exact"/>
        <w:ind w:firstLine="420" w:firstLineChars="200"/>
        <w:jc w:val="both"/>
        <w:textAlignment w:val="auto"/>
        <w:outlineLvl w:val="9"/>
        <w:rPr>
          <w:rFonts w:hint="eastAsia" w:ascii="宋体" w:hAnsi="宋体" w:eastAsia="宋体" w:cs="宋体"/>
          <w:b w:val="0"/>
          <w:bCs w:val="0"/>
          <w:color w:val="auto"/>
          <w:kern w:val="2"/>
          <w:sz w:val="21"/>
          <w:szCs w:val="32"/>
          <w:highlight w:val="none"/>
          <w:lang w:val="en-US" w:eastAsia="zh-CN" w:bidi="ar-SA"/>
        </w:rPr>
      </w:pPr>
      <w:r>
        <w:rPr>
          <w:rFonts w:hint="eastAsia" w:ascii="宋体" w:hAnsi="宋体" w:eastAsia="宋体" w:cs="宋体"/>
          <w:b w:val="0"/>
          <w:bCs w:val="0"/>
          <w:color w:val="auto"/>
          <w:kern w:val="2"/>
          <w:sz w:val="21"/>
          <w:szCs w:val="32"/>
          <w:highlight w:val="none"/>
          <w:lang w:val="en-US" w:eastAsia="zh-CN" w:bidi="ar-SA"/>
        </w:rPr>
        <w:t>（5）具有基本的系统监测诊断功能，包括呼叫状态显示、网络信息统计、本端音视频自环测试、日志、远程升级维护等功能。</w:t>
      </w:r>
    </w:p>
    <w:p w14:paraId="79F2230D">
      <w:pPr>
        <w:pStyle w:val="4"/>
        <w:keepLines w:val="0"/>
        <w:pageBreakBefore w:val="0"/>
        <w:widowControl w:val="0"/>
        <w:numPr>
          <w:ilvl w:val="0"/>
          <w:numId w:val="0"/>
        </w:numPr>
        <w:tabs>
          <w:tab w:val="left" w:pos="360"/>
        </w:tabs>
        <w:kinsoku/>
        <w:wordWrap/>
        <w:overflowPunct/>
        <w:topLinePunct w:val="0"/>
        <w:autoSpaceDE w:val="0"/>
        <w:autoSpaceDN w:val="0"/>
        <w:bidi w:val="0"/>
        <w:adjustRightInd w:val="0"/>
        <w:snapToGrid/>
        <w:spacing w:line="460" w:lineRule="exact"/>
        <w:ind w:firstLine="420" w:firstLineChars="200"/>
        <w:jc w:val="both"/>
        <w:textAlignment w:val="auto"/>
        <w:outlineLvl w:val="9"/>
        <w:rPr>
          <w:rFonts w:hint="eastAsia" w:ascii="宋体" w:hAnsi="宋体" w:eastAsia="宋体" w:cs="宋体"/>
          <w:b w:val="0"/>
          <w:bCs w:val="0"/>
          <w:color w:val="auto"/>
          <w:kern w:val="2"/>
          <w:sz w:val="21"/>
          <w:szCs w:val="32"/>
          <w:highlight w:val="none"/>
          <w:lang w:val="en-US" w:eastAsia="zh-CN" w:bidi="ar-SA"/>
        </w:rPr>
      </w:pPr>
      <w:r>
        <w:rPr>
          <w:rFonts w:hint="eastAsia" w:ascii="宋体" w:hAnsi="宋体" w:eastAsia="宋体" w:cs="宋体"/>
          <w:b w:val="0"/>
          <w:bCs w:val="0"/>
          <w:color w:val="auto"/>
          <w:kern w:val="2"/>
          <w:sz w:val="21"/>
          <w:szCs w:val="32"/>
          <w:highlight w:val="none"/>
          <w:lang w:val="en-US" w:eastAsia="zh-CN" w:bidi="ar-SA"/>
        </w:rPr>
        <w:t>（6）支持通讯录自动下发功能，提供通讯录快速查询，提高通讯效率。</w:t>
      </w:r>
    </w:p>
    <w:p w14:paraId="2F295CD6">
      <w:pPr>
        <w:pStyle w:val="9"/>
        <w:jc w:val="center"/>
        <w:rPr>
          <w:rFonts w:hint="eastAsia"/>
          <w:highlight w:val="none"/>
          <w:shd w:val="clear" w:color="auto" w:fill="FFFFFF"/>
        </w:rPr>
      </w:pPr>
    </w:p>
    <w:p w14:paraId="42F43065">
      <w:pPr>
        <w:pStyle w:val="9"/>
        <w:jc w:val="center"/>
        <w:rPr>
          <w:rFonts w:hint="eastAsia"/>
          <w:highlight w:val="none"/>
          <w:shd w:val="clear" w:color="auto" w:fill="FFFFFF"/>
        </w:rPr>
      </w:pPr>
    </w:p>
    <w:p w14:paraId="3E857B53">
      <w:pPr>
        <w:pStyle w:val="9"/>
        <w:jc w:val="center"/>
        <w:rPr>
          <w:rFonts w:hint="eastAsia"/>
          <w:highlight w:val="none"/>
          <w:shd w:val="clear" w:color="auto" w:fill="FFFFFF"/>
        </w:rPr>
      </w:pPr>
    </w:p>
    <w:p w14:paraId="30E6C2EA">
      <w:pPr>
        <w:rPr>
          <w:rFonts w:hint="eastAsia"/>
          <w:highlight w:val="none"/>
          <w:shd w:val="clear" w:color="auto" w:fill="FFFFFF"/>
        </w:rPr>
      </w:pPr>
    </w:p>
    <w:p w14:paraId="1CB5B5CC">
      <w:pPr>
        <w:pStyle w:val="2"/>
        <w:rPr>
          <w:rFonts w:hint="eastAsia"/>
          <w:highlight w:val="none"/>
          <w:shd w:val="clear" w:color="auto" w:fill="FFFFFF"/>
        </w:rPr>
      </w:pPr>
    </w:p>
    <w:p w14:paraId="6B22C2A0">
      <w:pPr>
        <w:pStyle w:val="7"/>
        <w:rPr>
          <w:rFonts w:hint="eastAsia"/>
          <w:highlight w:val="none"/>
          <w:shd w:val="clear" w:color="auto" w:fill="FFFFFF"/>
        </w:rPr>
      </w:pPr>
    </w:p>
    <w:p w14:paraId="194B8CCF">
      <w:pPr>
        <w:rPr>
          <w:rFonts w:hint="eastAsia"/>
          <w:highlight w:val="none"/>
          <w:shd w:val="clear" w:color="auto" w:fill="FFFFFF"/>
        </w:rPr>
      </w:pPr>
    </w:p>
    <w:p w14:paraId="032F228A">
      <w:pPr>
        <w:pStyle w:val="2"/>
        <w:rPr>
          <w:rFonts w:hint="eastAsia"/>
          <w:highlight w:val="none"/>
          <w:shd w:val="clear" w:color="auto" w:fill="FFFFFF"/>
        </w:rPr>
      </w:pPr>
    </w:p>
    <w:p w14:paraId="5408D2F3">
      <w:pPr>
        <w:pStyle w:val="7"/>
        <w:rPr>
          <w:rFonts w:hint="eastAsia"/>
          <w:highlight w:val="none"/>
          <w:shd w:val="clear" w:color="auto" w:fill="FFFFFF"/>
        </w:rPr>
      </w:pPr>
    </w:p>
    <w:p w14:paraId="0D93CAFD">
      <w:pPr>
        <w:rPr>
          <w:rFonts w:hint="eastAsia"/>
          <w:highlight w:val="none"/>
          <w:shd w:val="clear" w:color="auto" w:fill="FFFFFF"/>
        </w:rPr>
      </w:pPr>
    </w:p>
    <w:p w14:paraId="35B40EFB">
      <w:pPr>
        <w:pStyle w:val="2"/>
        <w:rPr>
          <w:rFonts w:hint="eastAsia"/>
          <w:highlight w:val="none"/>
          <w:shd w:val="clear" w:color="auto" w:fill="FFFFFF"/>
        </w:rPr>
      </w:pPr>
    </w:p>
    <w:p w14:paraId="34A1CC53">
      <w:pPr>
        <w:pStyle w:val="7"/>
        <w:rPr>
          <w:rFonts w:hint="eastAsia"/>
          <w:highlight w:val="none"/>
          <w:shd w:val="clear" w:color="auto" w:fill="FFFFFF"/>
        </w:rPr>
      </w:pPr>
    </w:p>
    <w:p w14:paraId="6472CC4F">
      <w:pPr>
        <w:rPr>
          <w:rFonts w:hint="eastAsia"/>
          <w:highlight w:val="none"/>
          <w:shd w:val="clear" w:color="auto" w:fill="FFFFFF"/>
        </w:rPr>
      </w:pPr>
    </w:p>
    <w:p w14:paraId="608C72C8">
      <w:pPr>
        <w:pStyle w:val="2"/>
        <w:rPr>
          <w:rFonts w:hint="eastAsia"/>
          <w:highlight w:val="none"/>
          <w:shd w:val="clear" w:color="auto" w:fill="FFFFFF"/>
        </w:rPr>
      </w:pPr>
    </w:p>
    <w:p w14:paraId="24DD5106">
      <w:pPr>
        <w:rPr>
          <w:rFonts w:hint="eastAsia"/>
          <w:highlight w:val="none"/>
          <w:lang w:val="en-US" w:eastAsia="zh-CN"/>
        </w:rPr>
        <w:sectPr>
          <w:footerReference r:id="rId7" w:type="default"/>
          <w:pgSz w:w="16838" w:h="23811"/>
          <w:pgMar w:top="1440" w:right="1800" w:bottom="1440" w:left="1800" w:header="0" w:footer="1070" w:gutter="0"/>
          <w:pgNumType w:fmt="decimal" w:start="1"/>
          <w:cols w:space="720" w:num="1"/>
        </w:sectPr>
      </w:pPr>
    </w:p>
    <w:p w14:paraId="1E712F9D">
      <w:pPr>
        <w:spacing w:before="78" w:line="223" w:lineRule="auto"/>
        <w:rPr>
          <w:rFonts w:ascii="楷体" w:hAnsi="楷体" w:eastAsia="楷体" w:cs="楷体"/>
          <w:sz w:val="24"/>
          <w:szCs w:val="24"/>
          <w:highlight w:val="none"/>
        </w:rPr>
      </w:pPr>
      <w:r>
        <w:rPr>
          <w:rFonts w:ascii="楷体" w:hAnsi="楷体" w:eastAsia="楷体" w:cs="楷体"/>
          <w:spacing w:val="-2"/>
          <w:sz w:val="24"/>
          <w:szCs w:val="24"/>
          <w:highlight w:val="none"/>
        </w:rPr>
        <w:t>合同编号：</w:t>
      </w:r>
      <w:r>
        <w:rPr>
          <w:rFonts w:ascii="楷体" w:hAnsi="楷体" w:eastAsia="楷体" w:cs="楷体"/>
          <w:sz w:val="24"/>
          <w:szCs w:val="24"/>
          <w:highlight w:val="none"/>
          <w:u w:val="single" w:color="auto"/>
        </w:rPr>
        <w:t xml:space="preserve">           </w:t>
      </w:r>
    </w:p>
    <w:p w14:paraId="66196ABE">
      <w:pPr>
        <w:pStyle w:val="3"/>
        <w:spacing w:line="270" w:lineRule="auto"/>
        <w:rPr>
          <w:highlight w:val="none"/>
        </w:rPr>
      </w:pPr>
    </w:p>
    <w:p w14:paraId="58BB89D7">
      <w:pPr>
        <w:pStyle w:val="3"/>
        <w:spacing w:line="271" w:lineRule="auto"/>
        <w:rPr>
          <w:highlight w:val="none"/>
        </w:rPr>
      </w:pPr>
    </w:p>
    <w:p w14:paraId="6BE0F695">
      <w:pPr>
        <w:pStyle w:val="3"/>
        <w:spacing w:line="271" w:lineRule="auto"/>
        <w:rPr>
          <w:highlight w:val="none"/>
        </w:rPr>
      </w:pPr>
    </w:p>
    <w:p w14:paraId="6520FB7F">
      <w:pPr>
        <w:pStyle w:val="3"/>
        <w:spacing w:line="271" w:lineRule="auto"/>
        <w:rPr>
          <w:highlight w:val="none"/>
        </w:rPr>
      </w:pPr>
    </w:p>
    <w:p w14:paraId="2873F4EC">
      <w:pPr>
        <w:pStyle w:val="3"/>
        <w:spacing w:line="271" w:lineRule="auto"/>
        <w:rPr>
          <w:highlight w:val="none"/>
        </w:rPr>
      </w:pPr>
    </w:p>
    <w:p w14:paraId="6B464D98">
      <w:pPr>
        <w:spacing w:before="140" w:line="227" w:lineRule="auto"/>
        <w:ind w:left="2212"/>
        <w:rPr>
          <w:rFonts w:ascii="楷体" w:hAnsi="楷体" w:eastAsia="楷体" w:cs="楷体"/>
          <w:sz w:val="43"/>
          <w:szCs w:val="43"/>
          <w:highlight w:val="none"/>
        </w:rPr>
      </w:pPr>
      <w:r>
        <w:rPr>
          <w:rFonts w:ascii="楷体" w:hAnsi="楷体" w:eastAsia="楷体" w:cs="楷体"/>
          <w:b/>
          <w:bCs/>
          <w:spacing w:val="5"/>
          <w:sz w:val="43"/>
          <w:szCs w:val="43"/>
          <w:highlight w:val="none"/>
        </w:rPr>
        <w:t>政府采购合同参考范本</w:t>
      </w:r>
    </w:p>
    <w:p w14:paraId="20CF68A8">
      <w:pPr>
        <w:pStyle w:val="3"/>
        <w:spacing w:line="251" w:lineRule="auto"/>
        <w:rPr>
          <w:highlight w:val="none"/>
        </w:rPr>
      </w:pPr>
    </w:p>
    <w:p w14:paraId="0ECB7E02">
      <w:pPr>
        <w:pStyle w:val="3"/>
        <w:spacing w:line="251" w:lineRule="auto"/>
        <w:rPr>
          <w:highlight w:val="none"/>
        </w:rPr>
      </w:pPr>
    </w:p>
    <w:p w14:paraId="3F62CA2A">
      <w:pPr>
        <w:spacing w:before="78" w:line="222" w:lineRule="auto"/>
        <w:ind w:left="3824"/>
        <w:rPr>
          <w:rFonts w:ascii="仿宋" w:hAnsi="仿宋" w:eastAsia="仿宋" w:cs="仿宋"/>
          <w:sz w:val="24"/>
          <w:szCs w:val="24"/>
          <w:highlight w:val="none"/>
        </w:rPr>
      </w:pPr>
      <w:r>
        <w:rPr>
          <w:rFonts w:ascii="仿宋" w:hAnsi="仿宋" w:eastAsia="仿宋" w:cs="仿宋"/>
          <w:b/>
          <w:bCs/>
          <w:spacing w:val="-7"/>
          <w:sz w:val="24"/>
          <w:szCs w:val="24"/>
          <w:highlight w:val="none"/>
        </w:rPr>
        <w:t>（服务类）</w:t>
      </w:r>
    </w:p>
    <w:p w14:paraId="32975C17">
      <w:pPr>
        <w:pStyle w:val="3"/>
        <w:spacing w:line="293" w:lineRule="auto"/>
        <w:rPr>
          <w:highlight w:val="none"/>
        </w:rPr>
      </w:pPr>
    </w:p>
    <w:p w14:paraId="0C874A33">
      <w:pPr>
        <w:pStyle w:val="3"/>
        <w:spacing w:line="293" w:lineRule="auto"/>
        <w:rPr>
          <w:highlight w:val="none"/>
        </w:rPr>
      </w:pPr>
    </w:p>
    <w:p w14:paraId="0EC93561">
      <w:pPr>
        <w:pStyle w:val="3"/>
        <w:spacing w:line="293" w:lineRule="auto"/>
        <w:rPr>
          <w:highlight w:val="none"/>
        </w:rPr>
      </w:pPr>
    </w:p>
    <w:p w14:paraId="7D6CB87B">
      <w:pPr>
        <w:pStyle w:val="3"/>
        <w:spacing w:line="294" w:lineRule="auto"/>
        <w:rPr>
          <w:highlight w:val="none"/>
        </w:rPr>
      </w:pPr>
    </w:p>
    <w:p w14:paraId="6694DC72">
      <w:pPr>
        <w:spacing w:before="91" w:line="223" w:lineRule="auto"/>
        <w:ind w:left="3383"/>
        <w:rPr>
          <w:rFonts w:ascii="仿宋" w:hAnsi="仿宋" w:eastAsia="仿宋" w:cs="仿宋"/>
          <w:sz w:val="28"/>
          <w:szCs w:val="28"/>
          <w:highlight w:val="none"/>
        </w:rPr>
      </w:pPr>
      <w:r>
        <w:rPr>
          <w:rFonts w:ascii="仿宋" w:hAnsi="仿宋" w:eastAsia="仿宋" w:cs="仿宋"/>
          <w:b/>
          <w:bCs/>
          <w:spacing w:val="-11"/>
          <w:sz w:val="28"/>
          <w:szCs w:val="28"/>
          <w:highlight w:val="none"/>
        </w:rPr>
        <w:t>第一部分</w:t>
      </w:r>
      <w:r>
        <w:rPr>
          <w:rFonts w:ascii="仿宋" w:hAnsi="仿宋" w:eastAsia="仿宋" w:cs="仿宋"/>
          <w:spacing w:val="29"/>
          <w:sz w:val="28"/>
          <w:szCs w:val="28"/>
          <w:highlight w:val="none"/>
        </w:rPr>
        <w:t xml:space="preserve"> </w:t>
      </w:r>
      <w:r>
        <w:rPr>
          <w:rFonts w:ascii="仿宋" w:hAnsi="仿宋" w:eastAsia="仿宋" w:cs="仿宋"/>
          <w:b/>
          <w:bCs/>
          <w:spacing w:val="-11"/>
          <w:sz w:val="28"/>
          <w:szCs w:val="28"/>
          <w:highlight w:val="none"/>
        </w:rPr>
        <w:t>合同书</w:t>
      </w:r>
    </w:p>
    <w:p w14:paraId="52A8E103">
      <w:pPr>
        <w:pStyle w:val="3"/>
        <w:spacing w:line="277" w:lineRule="auto"/>
        <w:rPr>
          <w:highlight w:val="none"/>
        </w:rPr>
      </w:pPr>
    </w:p>
    <w:p w14:paraId="54455A1B">
      <w:pPr>
        <w:pStyle w:val="3"/>
        <w:spacing w:line="277" w:lineRule="auto"/>
        <w:rPr>
          <w:highlight w:val="none"/>
        </w:rPr>
      </w:pPr>
    </w:p>
    <w:p w14:paraId="17BF0AA4">
      <w:pPr>
        <w:pStyle w:val="3"/>
        <w:spacing w:line="277" w:lineRule="auto"/>
        <w:rPr>
          <w:highlight w:val="none"/>
        </w:rPr>
      </w:pPr>
    </w:p>
    <w:p w14:paraId="1E213A37">
      <w:pPr>
        <w:pStyle w:val="3"/>
        <w:spacing w:line="278" w:lineRule="auto"/>
        <w:rPr>
          <w:highlight w:val="none"/>
        </w:rPr>
      </w:pPr>
    </w:p>
    <w:p w14:paraId="37E5BB00">
      <w:pPr>
        <w:spacing w:before="78" w:line="221" w:lineRule="auto"/>
        <w:ind w:left="971"/>
        <w:rPr>
          <w:rFonts w:ascii="仿宋" w:hAnsi="仿宋" w:eastAsia="仿宋" w:cs="仿宋"/>
          <w:sz w:val="24"/>
          <w:szCs w:val="24"/>
          <w:highlight w:val="none"/>
        </w:rPr>
      </w:pPr>
      <w:r>
        <w:rPr>
          <w:rFonts w:ascii="仿宋" w:hAnsi="仿宋" w:eastAsia="仿宋" w:cs="仿宋"/>
          <w:spacing w:val="-4"/>
          <w:sz w:val="24"/>
          <w:szCs w:val="24"/>
          <w:highlight w:val="none"/>
        </w:rPr>
        <w:t>项目名称：</w:t>
      </w:r>
      <w:r>
        <w:rPr>
          <w:rFonts w:ascii="仿宋" w:hAnsi="仿宋" w:eastAsia="仿宋" w:cs="仿宋"/>
          <w:sz w:val="24"/>
          <w:szCs w:val="24"/>
          <w:highlight w:val="none"/>
          <w:u w:val="single" w:color="auto"/>
        </w:rPr>
        <w:t xml:space="preserve">                                   </w:t>
      </w:r>
    </w:p>
    <w:p w14:paraId="7C7B7732">
      <w:pPr>
        <w:pStyle w:val="3"/>
        <w:spacing w:line="298" w:lineRule="auto"/>
        <w:rPr>
          <w:highlight w:val="none"/>
        </w:rPr>
      </w:pPr>
    </w:p>
    <w:p w14:paraId="0431D859">
      <w:pPr>
        <w:pStyle w:val="3"/>
        <w:spacing w:line="298" w:lineRule="auto"/>
        <w:rPr>
          <w:highlight w:val="none"/>
        </w:rPr>
      </w:pPr>
    </w:p>
    <w:p w14:paraId="4B2F5304">
      <w:pPr>
        <w:pStyle w:val="3"/>
        <w:spacing w:line="298" w:lineRule="auto"/>
        <w:rPr>
          <w:highlight w:val="none"/>
        </w:rPr>
      </w:pPr>
    </w:p>
    <w:p w14:paraId="196098F6">
      <w:pPr>
        <w:pStyle w:val="3"/>
        <w:spacing w:line="298" w:lineRule="auto"/>
        <w:rPr>
          <w:highlight w:val="none"/>
        </w:rPr>
      </w:pPr>
    </w:p>
    <w:p w14:paraId="3448F50C">
      <w:pPr>
        <w:spacing w:before="79" w:line="222" w:lineRule="auto"/>
        <w:ind w:left="1002"/>
        <w:rPr>
          <w:rFonts w:ascii="仿宋" w:hAnsi="仿宋" w:eastAsia="仿宋" w:cs="仿宋"/>
          <w:sz w:val="24"/>
          <w:szCs w:val="24"/>
          <w:highlight w:val="none"/>
        </w:rPr>
      </w:pPr>
      <w:r>
        <w:rPr>
          <w:rFonts w:ascii="仿宋" w:hAnsi="仿宋" w:eastAsia="仿宋" w:cs="仿宋"/>
          <w:spacing w:val="-9"/>
          <w:sz w:val="24"/>
          <w:szCs w:val="24"/>
          <w:highlight w:val="none"/>
        </w:rPr>
        <w:t>甲方：</w:t>
      </w:r>
      <w:r>
        <w:rPr>
          <w:rFonts w:ascii="仿宋" w:hAnsi="仿宋" w:eastAsia="仿宋" w:cs="仿宋"/>
          <w:spacing w:val="-9"/>
          <w:sz w:val="24"/>
          <w:szCs w:val="24"/>
          <w:highlight w:val="none"/>
          <w:u w:val="single" w:color="auto"/>
        </w:rPr>
        <w:t xml:space="preserve">                                     </w:t>
      </w:r>
      <w:r>
        <w:rPr>
          <w:rFonts w:ascii="仿宋" w:hAnsi="仿宋" w:eastAsia="仿宋" w:cs="仿宋"/>
          <w:spacing w:val="-10"/>
          <w:sz w:val="24"/>
          <w:szCs w:val="24"/>
          <w:highlight w:val="none"/>
          <w:u w:val="single" w:color="auto"/>
        </w:rPr>
        <w:t xml:space="preserve">     </w:t>
      </w:r>
    </w:p>
    <w:p w14:paraId="3033C470">
      <w:pPr>
        <w:pStyle w:val="3"/>
        <w:spacing w:line="247" w:lineRule="auto"/>
        <w:rPr>
          <w:highlight w:val="none"/>
        </w:rPr>
      </w:pPr>
    </w:p>
    <w:p w14:paraId="72627BAD">
      <w:pPr>
        <w:pStyle w:val="3"/>
        <w:spacing w:line="247" w:lineRule="auto"/>
        <w:rPr>
          <w:highlight w:val="none"/>
        </w:rPr>
      </w:pPr>
    </w:p>
    <w:p w14:paraId="456AC11F">
      <w:pPr>
        <w:spacing w:before="78" w:line="224" w:lineRule="auto"/>
        <w:ind w:left="988"/>
        <w:rPr>
          <w:rFonts w:ascii="仿宋" w:hAnsi="仿宋" w:eastAsia="仿宋" w:cs="仿宋"/>
          <w:sz w:val="24"/>
          <w:szCs w:val="24"/>
          <w:highlight w:val="none"/>
        </w:rPr>
      </w:pPr>
      <w:r>
        <w:rPr>
          <w:rFonts w:ascii="仿宋" w:hAnsi="仿宋" w:eastAsia="仿宋" w:cs="仿宋"/>
          <w:spacing w:val="-6"/>
          <w:sz w:val="24"/>
          <w:szCs w:val="24"/>
          <w:highlight w:val="none"/>
        </w:rPr>
        <w:t>乙方：</w:t>
      </w:r>
      <w:r>
        <w:rPr>
          <w:rFonts w:ascii="仿宋" w:hAnsi="仿宋" w:eastAsia="仿宋" w:cs="仿宋"/>
          <w:spacing w:val="-6"/>
          <w:sz w:val="24"/>
          <w:szCs w:val="24"/>
          <w:highlight w:val="none"/>
          <w:u w:val="single" w:color="auto"/>
        </w:rPr>
        <w:t xml:space="preserve">                              </w:t>
      </w:r>
      <w:r>
        <w:rPr>
          <w:rFonts w:ascii="仿宋" w:hAnsi="仿宋" w:eastAsia="仿宋" w:cs="仿宋"/>
          <w:spacing w:val="-7"/>
          <w:sz w:val="24"/>
          <w:szCs w:val="24"/>
          <w:highlight w:val="none"/>
          <w:u w:val="single" w:color="auto"/>
        </w:rPr>
        <w:t xml:space="preserve">           </w:t>
      </w:r>
    </w:p>
    <w:p w14:paraId="59DBC8B4">
      <w:pPr>
        <w:pStyle w:val="3"/>
        <w:spacing w:line="244" w:lineRule="auto"/>
        <w:rPr>
          <w:highlight w:val="none"/>
        </w:rPr>
      </w:pPr>
    </w:p>
    <w:p w14:paraId="31E81809">
      <w:pPr>
        <w:pStyle w:val="3"/>
        <w:spacing w:line="245" w:lineRule="auto"/>
        <w:rPr>
          <w:highlight w:val="none"/>
        </w:rPr>
      </w:pPr>
    </w:p>
    <w:p w14:paraId="339CD8DE">
      <w:pPr>
        <w:spacing w:before="79" w:line="224" w:lineRule="auto"/>
        <w:ind w:left="976"/>
        <w:rPr>
          <w:rFonts w:ascii="仿宋" w:hAnsi="仿宋" w:eastAsia="仿宋" w:cs="仿宋"/>
          <w:sz w:val="24"/>
          <w:szCs w:val="24"/>
          <w:highlight w:val="none"/>
        </w:rPr>
      </w:pPr>
      <w:r>
        <w:rPr>
          <w:rFonts w:ascii="仿宋" w:hAnsi="仿宋" w:eastAsia="仿宋" w:cs="仿宋"/>
          <w:spacing w:val="-3"/>
          <w:sz w:val="24"/>
          <w:szCs w:val="24"/>
          <w:highlight w:val="none"/>
        </w:rPr>
        <w:t>签订地：</w:t>
      </w:r>
      <w:r>
        <w:rPr>
          <w:rFonts w:ascii="仿宋" w:hAnsi="仿宋" w:eastAsia="仿宋" w:cs="仿宋"/>
          <w:spacing w:val="-3"/>
          <w:sz w:val="24"/>
          <w:szCs w:val="24"/>
          <w:highlight w:val="none"/>
          <w:u w:val="single" w:color="auto"/>
        </w:rPr>
        <w:t xml:space="preserve">                    </w:t>
      </w:r>
      <w:r>
        <w:rPr>
          <w:rFonts w:ascii="仿宋" w:hAnsi="仿宋" w:eastAsia="仿宋" w:cs="仿宋"/>
          <w:spacing w:val="-4"/>
          <w:sz w:val="24"/>
          <w:szCs w:val="24"/>
          <w:highlight w:val="none"/>
          <w:u w:val="single" w:color="auto"/>
        </w:rPr>
        <w:t xml:space="preserve">                  </w:t>
      </w:r>
    </w:p>
    <w:p w14:paraId="5660581F">
      <w:pPr>
        <w:pStyle w:val="3"/>
        <w:spacing w:line="245" w:lineRule="auto"/>
        <w:rPr>
          <w:highlight w:val="none"/>
        </w:rPr>
      </w:pPr>
    </w:p>
    <w:p w14:paraId="0B5E5D43">
      <w:pPr>
        <w:pStyle w:val="3"/>
        <w:spacing w:line="246" w:lineRule="auto"/>
        <w:rPr>
          <w:highlight w:val="none"/>
        </w:rPr>
      </w:pPr>
    </w:p>
    <w:p w14:paraId="5EE4A565">
      <w:pPr>
        <w:spacing w:before="78" w:line="222" w:lineRule="auto"/>
        <w:ind w:left="976"/>
        <w:rPr>
          <w:rFonts w:ascii="仿宋" w:hAnsi="仿宋" w:eastAsia="仿宋" w:cs="仿宋"/>
          <w:sz w:val="24"/>
          <w:szCs w:val="24"/>
          <w:highlight w:val="none"/>
        </w:rPr>
      </w:pPr>
      <w:r>
        <w:rPr>
          <w:rFonts w:ascii="仿宋" w:hAnsi="仿宋" w:eastAsia="仿宋" w:cs="仿宋"/>
          <w:spacing w:val="-9"/>
          <w:sz w:val="24"/>
          <w:szCs w:val="24"/>
          <w:highlight w:val="none"/>
        </w:rPr>
        <w:t>签订日期：</w:t>
      </w:r>
      <w:r>
        <w:rPr>
          <w:rFonts w:ascii="仿宋" w:hAnsi="仿宋" w:eastAsia="仿宋" w:cs="仿宋"/>
          <w:sz w:val="24"/>
          <w:szCs w:val="24"/>
          <w:highlight w:val="none"/>
          <w:u w:val="single" w:color="auto"/>
        </w:rPr>
        <w:t xml:space="preserve">               </w:t>
      </w:r>
      <w:r>
        <w:rPr>
          <w:rFonts w:ascii="仿宋" w:hAnsi="仿宋" w:eastAsia="仿宋" w:cs="仿宋"/>
          <w:spacing w:val="-98"/>
          <w:sz w:val="24"/>
          <w:szCs w:val="24"/>
          <w:highlight w:val="none"/>
        </w:rPr>
        <w:t xml:space="preserve"> </w:t>
      </w:r>
      <w:r>
        <w:rPr>
          <w:rFonts w:ascii="仿宋" w:hAnsi="仿宋" w:eastAsia="仿宋" w:cs="仿宋"/>
          <w:spacing w:val="-9"/>
          <w:sz w:val="24"/>
          <w:szCs w:val="24"/>
          <w:highlight w:val="none"/>
        </w:rPr>
        <w:t>年</w:t>
      </w:r>
      <w:r>
        <w:rPr>
          <w:rFonts w:ascii="仿宋" w:hAnsi="仿宋" w:eastAsia="仿宋" w:cs="仿宋"/>
          <w:spacing w:val="19"/>
          <w:sz w:val="24"/>
          <w:szCs w:val="24"/>
          <w:highlight w:val="none"/>
          <w:u w:val="single" w:color="auto"/>
        </w:rPr>
        <w:t xml:space="preserve">      </w:t>
      </w:r>
      <w:r>
        <w:rPr>
          <w:rFonts w:ascii="仿宋" w:hAnsi="仿宋" w:eastAsia="仿宋" w:cs="仿宋"/>
          <w:spacing w:val="-87"/>
          <w:sz w:val="24"/>
          <w:szCs w:val="24"/>
          <w:highlight w:val="none"/>
        </w:rPr>
        <w:t xml:space="preserve"> </w:t>
      </w:r>
      <w:r>
        <w:rPr>
          <w:rFonts w:ascii="仿宋" w:hAnsi="仿宋" w:eastAsia="仿宋" w:cs="仿宋"/>
          <w:spacing w:val="-9"/>
          <w:sz w:val="24"/>
          <w:szCs w:val="24"/>
          <w:highlight w:val="none"/>
        </w:rPr>
        <w:t>月</w:t>
      </w:r>
      <w:r>
        <w:rPr>
          <w:rFonts w:ascii="仿宋" w:hAnsi="仿宋" w:eastAsia="仿宋" w:cs="仿宋"/>
          <w:spacing w:val="19"/>
          <w:sz w:val="24"/>
          <w:szCs w:val="24"/>
          <w:highlight w:val="none"/>
          <w:u w:val="single" w:color="auto"/>
        </w:rPr>
        <w:t xml:space="preserve">      </w:t>
      </w:r>
      <w:r>
        <w:rPr>
          <w:rFonts w:ascii="仿宋" w:hAnsi="仿宋" w:eastAsia="仿宋" w:cs="仿宋"/>
          <w:spacing w:val="-48"/>
          <w:sz w:val="24"/>
          <w:szCs w:val="24"/>
          <w:highlight w:val="none"/>
        </w:rPr>
        <w:t xml:space="preserve"> </w:t>
      </w:r>
      <w:r>
        <w:rPr>
          <w:rFonts w:ascii="仿宋" w:hAnsi="仿宋" w:eastAsia="仿宋" w:cs="仿宋"/>
          <w:spacing w:val="-9"/>
          <w:sz w:val="24"/>
          <w:szCs w:val="24"/>
          <w:highlight w:val="none"/>
        </w:rPr>
        <w:t>日</w:t>
      </w:r>
    </w:p>
    <w:p w14:paraId="10E49443">
      <w:pPr>
        <w:spacing w:line="222" w:lineRule="auto"/>
        <w:rPr>
          <w:rFonts w:ascii="仿宋" w:hAnsi="仿宋" w:eastAsia="仿宋" w:cs="仿宋"/>
          <w:sz w:val="24"/>
          <w:szCs w:val="24"/>
          <w:highlight w:val="none"/>
        </w:rPr>
        <w:sectPr>
          <w:pgSz w:w="11907" w:h="16840"/>
          <w:pgMar w:top="1440" w:right="1800" w:bottom="1440" w:left="1800" w:header="0" w:footer="1070" w:gutter="0"/>
          <w:pgNumType w:fmt="decimal"/>
          <w:cols w:space="720" w:num="1"/>
        </w:sectPr>
      </w:pPr>
    </w:p>
    <w:p w14:paraId="3C338266">
      <w:pPr>
        <w:tabs>
          <w:tab w:val="left" w:pos="136"/>
        </w:tabs>
        <w:spacing w:before="314" w:line="421" w:lineRule="auto"/>
        <w:ind w:left="237" w:leftChars="113" w:right="2" w:firstLine="460" w:firstLineChars="192"/>
        <w:jc w:val="both"/>
        <w:rPr>
          <w:rFonts w:ascii="仿宋" w:hAnsi="仿宋" w:eastAsia="仿宋" w:cs="仿宋"/>
          <w:sz w:val="24"/>
          <w:szCs w:val="24"/>
          <w:highlight w:val="none"/>
        </w:rPr>
      </w:pPr>
      <w:r>
        <w:rPr>
          <w:rFonts w:ascii="仿宋" w:hAnsi="仿宋" w:eastAsia="仿宋" w:cs="仿宋"/>
          <w:sz w:val="24"/>
          <w:szCs w:val="24"/>
          <w:highlight w:val="none"/>
          <w:u w:val="single" w:color="auto"/>
        </w:rPr>
        <w:tab/>
      </w:r>
      <w:r>
        <w:rPr>
          <w:rFonts w:ascii="仿宋" w:hAnsi="仿宋" w:eastAsia="仿宋" w:cs="仿宋"/>
          <w:spacing w:val="-98"/>
          <w:sz w:val="24"/>
          <w:szCs w:val="24"/>
          <w:highlight w:val="none"/>
        </w:rPr>
        <w:t xml:space="preserve"> </w:t>
      </w:r>
      <w:r>
        <w:rPr>
          <w:rFonts w:ascii="仿宋" w:hAnsi="仿宋" w:eastAsia="仿宋" w:cs="仿宋"/>
          <w:spacing w:val="-2"/>
          <w:sz w:val="24"/>
          <w:szCs w:val="24"/>
          <w:highlight w:val="none"/>
        </w:rPr>
        <w:t>年</w:t>
      </w:r>
      <w:r>
        <w:rPr>
          <w:rFonts w:ascii="仿宋" w:hAnsi="仿宋" w:eastAsia="仿宋" w:cs="仿宋"/>
          <w:spacing w:val="-2"/>
          <w:sz w:val="24"/>
          <w:szCs w:val="24"/>
          <w:highlight w:val="none"/>
          <w:u w:val="single" w:color="auto"/>
        </w:rPr>
        <w:t xml:space="preserve">    </w:t>
      </w:r>
      <w:r>
        <w:rPr>
          <w:rFonts w:ascii="仿宋" w:hAnsi="仿宋" w:eastAsia="仿宋" w:cs="仿宋"/>
          <w:spacing w:val="-93"/>
          <w:sz w:val="24"/>
          <w:szCs w:val="24"/>
          <w:highlight w:val="none"/>
        </w:rPr>
        <w:t xml:space="preserve"> </w:t>
      </w:r>
      <w:r>
        <w:rPr>
          <w:rFonts w:ascii="仿宋" w:hAnsi="仿宋" w:eastAsia="仿宋" w:cs="仿宋"/>
          <w:spacing w:val="-2"/>
          <w:sz w:val="24"/>
          <w:szCs w:val="24"/>
          <w:highlight w:val="none"/>
        </w:rPr>
        <w:t>月</w:t>
      </w:r>
      <w:r>
        <w:rPr>
          <w:rFonts w:ascii="仿宋" w:hAnsi="仿宋" w:eastAsia="仿宋" w:cs="仿宋"/>
          <w:spacing w:val="-2"/>
          <w:sz w:val="24"/>
          <w:szCs w:val="24"/>
          <w:highlight w:val="none"/>
          <w:u w:val="single" w:color="auto"/>
        </w:rPr>
        <w:t xml:space="preserve">    </w:t>
      </w:r>
      <w:r>
        <w:rPr>
          <w:rFonts w:ascii="仿宋" w:hAnsi="仿宋" w:eastAsia="仿宋" w:cs="仿宋"/>
          <w:spacing w:val="-53"/>
          <w:sz w:val="24"/>
          <w:szCs w:val="24"/>
          <w:highlight w:val="none"/>
        </w:rPr>
        <w:t xml:space="preserve"> </w:t>
      </w:r>
      <w:r>
        <w:rPr>
          <w:rFonts w:ascii="仿宋" w:hAnsi="仿宋" w:eastAsia="仿宋" w:cs="仿宋"/>
          <w:spacing w:val="-2"/>
          <w:sz w:val="24"/>
          <w:szCs w:val="24"/>
          <w:highlight w:val="none"/>
        </w:rPr>
        <w:t>日</w:t>
      </w:r>
      <w:r>
        <w:rPr>
          <w:rFonts w:ascii="仿宋" w:hAnsi="仿宋" w:eastAsia="仿宋" w:cs="仿宋"/>
          <w:spacing w:val="-33"/>
          <w:sz w:val="24"/>
          <w:szCs w:val="24"/>
          <w:highlight w:val="none"/>
        </w:rPr>
        <w:t>，</w:t>
      </w:r>
      <w:r>
        <w:rPr>
          <w:rFonts w:ascii="仿宋" w:hAnsi="仿宋" w:eastAsia="仿宋" w:cs="仿宋"/>
          <w:spacing w:val="1"/>
          <w:sz w:val="24"/>
          <w:szCs w:val="24"/>
          <w:highlight w:val="none"/>
          <w:u w:val="single" w:color="auto"/>
        </w:rPr>
        <w:t xml:space="preserve">   </w:t>
      </w:r>
      <w:r>
        <w:rPr>
          <w:rFonts w:ascii="仿宋" w:hAnsi="仿宋" w:eastAsia="仿宋" w:cs="仿宋"/>
          <w:spacing w:val="-33"/>
          <w:sz w:val="24"/>
          <w:szCs w:val="24"/>
          <w:highlight w:val="none"/>
          <w:u w:val="single" w:color="auto"/>
        </w:rPr>
        <w:t>（</w:t>
      </w:r>
      <w:r>
        <w:rPr>
          <w:rFonts w:ascii="仿宋" w:hAnsi="仿宋" w:eastAsia="仿宋" w:cs="仿宋"/>
          <w:spacing w:val="-2"/>
          <w:sz w:val="24"/>
          <w:szCs w:val="24"/>
          <w:highlight w:val="none"/>
          <w:u w:val="single" w:color="auto"/>
        </w:rPr>
        <w:t xml:space="preserve">采购人名称）   </w:t>
      </w:r>
      <w:r>
        <w:rPr>
          <w:rFonts w:ascii="仿宋" w:hAnsi="仿宋" w:eastAsia="仿宋" w:cs="仿宋"/>
          <w:spacing w:val="-77"/>
          <w:sz w:val="24"/>
          <w:szCs w:val="24"/>
          <w:highlight w:val="none"/>
        </w:rPr>
        <w:t xml:space="preserve"> </w:t>
      </w:r>
      <w:r>
        <w:rPr>
          <w:rFonts w:ascii="仿宋" w:hAnsi="仿宋" w:eastAsia="仿宋" w:cs="仿宋"/>
          <w:spacing w:val="-2"/>
          <w:sz w:val="24"/>
          <w:szCs w:val="24"/>
          <w:highlight w:val="none"/>
        </w:rPr>
        <w:t>以</w:t>
      </w:r>
      <w:r>
        <w:rPr>
          <w:rFonts w:ascii="仿宋" w:hAnsi="仿宋" w:eastAsia="仿宋" w:cs="仿宋"/>
          <w:spacing w:val="2"/>
          <w:sz w:val="24"/>
          <w:szCs w:val="24"/>
          <w:highlight w:val="none"/>
          <w:u w:val="single" w:color="auto"/>
        </w:rPr>
        <w:t xml:space="preserve">   </w:t>
      </w:r>
      <w:r>
        <w:rPr>
          <w:rFonts w:ascii="仿宋" w:hAnsi="仿宋" w:eastAsia="仿宋" w:cs="仿宋"/>
          <w:spacing w:val="-3"/>
          <w:sz w:val="24"/>
          <w:szCs w:val="24"/>
          <w:highlight w:val="none"/>
          <w:u w:val="single" w:color="auto"/>
        </w:rPr>
        <w:t>（政府采购方式）</w:t>
      </w:r>
      <w:r>
        <w:rPr>
          <w:rFonts w:ascii="仿宋" w:hAnsi="仿宋" w:eastAsia="仿宋" w:cs="仿宋"/>
          <w:spacing w:val="4"/>
          <w:sz w:val="24"/>
          <w:szCs w:val="24"/>
          <w:highlight w:val="none"/>
          <w:u w:val="single" w:color="auto"/>
        </w:rPr>
        <w:t xml:space="preserve">  </w:t>
      </w:r>
      <w:r>
        <w:rPr>
          <w:rFonts w:ascii="仿宋" w:hAnsi="仿宋" w:eastAsia="仿宋" w:cs="仿宋"/>
          <w:spacing w:val="-102"/>
          <w:sz w:val="24"/>
          <w:szCs w:val="24"/>
          <w:highlight w:val="none"/>
        </w:rPr>
        <w:t xml:space="preserve"> </w:t>
      </w:r>
      <w:r>
        <w:rPr>
          <w:rFonts w:ascii="仿宋" w:hAnsi="仿宋" w:eastAsia="仿宋" w:cs="仿宋"/>
          <w:spacing w:val="-3"/>
          <w:sz w:val="24"/>
          <w:szCs w:val="24"/>
          <w:highlight w:val="none"/>
        </w:rPr>
        <w:t>对</w:t>
      </w:r>
      <w:r>
        <w:rPr>
          <w:rFonts w:ascii="仿宋" w:hAnsi="仿宋" w:eastAsia="仿宋" w:cs="仿宋"/>
          <w:sz w:val="24"/>
          <w:szCs w:val="24"/>
          <w:highlight w:val="none"/>
          <w:u w:val="single" w:color="auto"/>
        </w:rPr>
        <w:tab/>
      </w:r>
      <w:r>
        <w:rPr>
          <w:rFonts w:ascii="仿宋" w:hAnsi="仿宋" w:eastAsia="仿宋" w:cs="仿宋"/>
          <w:sz w:val="24"/>
          <w:szCs w:val="24"/>
          <w:highlight w:val="none"/>
          <w:u w:val="single" w:color="auto"/>
        </w:rPr>
        <w:tab/>
      </w:r>
      <w:r>
        <w:rPr>
          <w:rFonts w:ascii="仿宋" w:hAnsi="仿宋" w:eastAsia="仿宋" w:cs="仿宋"/>
          <w:spacing w:val="-5"/>
          <w:sz w:val="24"/>
          <w:szCs w:val="24"/>
          <w:highlight w:val="none"/>
          <w:u w:val="single" w:color="auto"/>
        </w:rPr>
        <w:t xml:space="preserve">（同前页项目名称）  </w:t>
      </w:r>
      <w:r>
        <w:rPr>
          <w:rFonts w:ascii="仿宋" w:hAnsi="仿宋" w:eastAsia="仿宋" w:cs="仿宋"/>
          <w:spacing w:val="-103"/>
          <w:sz w:val="24"/>
          <w:szCs w:val="24"/>
          <w:highlight w:val="none"/>
        </w:rPr>
        <w:t xml:space="preserve"> </w:t>
      </w:r>
      <w:r>
        <w:rPr>
          <w:rFonts w:ascii="仿宋" w:hAnsi="仿宋" w:eastAsia="仿宋" w:cs="仿宋"/>
          <w:spacing w:val="-5"/>
          <w:sz w:val="24"/>
          <w:szCs w:val="24"/>
          <w:highlight w:val="none"/>
        </w:rPr>
        <w:t>项目进行了采购。经</w:t>
      </w:r>
      <w:r>
        <w:rPr>
          <w:rFonts w:ascii="仿宋" w:hAnsi="仿宋" w:eastAsia="仿宋" w:cs="仿宋"/>
          <w:spacing w:val="-5"/>
          <w:sz w:val="24"/>
          <w:szCs w:val="24"/>
          <w:highlight w:val="none"/>
          <w:u w:val="single" w:color="auto"/>
        </w:rPr>
        <w:t xml:space="preserve">  （相关评定主</w:t>
      </w:r>
      <w:r>
        <w:rPr>
          <w:rFonts w:ascii="仿宋" w:hAnsi="仿宋" w:eastAsia="仿宋" w:cs="仿宋"/>
          <w:spacing w:val="-6"/>
          <w:sz w:val="24"/>
          <w:szCs w:val="24"/>
          <w:highlight w:val="none"/>
          <w:u w:val="single" w:color="auto"/>
        </w:rPr>
        <w:t>体名称）</w:t>
      </w:r>
      <w:r>
        <w:rPr>
          <w:rFonts w:ascii="仿宋" w:hAnsi="仿宋" w:eastAsia="仿宋" w:cs="仿宋"/>
          <w:spacing w:val="12"/>
          <w:sz w:val="24"/>
          <w:szCs w:val="24"/>
          <w:highlight w:val="none"/>
          <w:u w:val="single" w:color="auto"/>
        </w:rPr>
        <w:t xml:space="preserve">  </w:t>
      </w:r>
      <w:r>
        <w:rPr>
          <w:rFonts w:ascii="仿宋" w:hAnsi="仿宋" w:eastAsia="仿宋" w:cs="仿宋"/>
          <w:spacing w:val="-103"/>
          <w:sz w:val="24"/>
          <w:szCs w:val="24"/>
          <w:highlight w:val="none"/>
        </w:rPr>
        <w:t xml:space="preserve"> </w:t>
      </w:r>
      <w:r>
        <w:rPr>
          <w:rFonts w:ascii="仿宋" w:hAnsi="仿宋" w:eastAsia="仿宋" w:cs="仿宋"/>
          <w:spacing w:val="-6"/>
          <w:sz w:val="24"/>
          <w:szCs w:val="24"/>
          <w:highlight w:val="none"/>
        </w:rPr>
        <w:t>评定</w:t>
      </w:r>
      <w:r>
        <w:rPr>
          <w:rFonts w:ascii="仿宋" w:hAnsi="仿宋" w:eastAsia="仿宋" w:cs="仿宋"/>
          <w:spacing w:val="-64"/>
          <w:sz w:val="24"/>
          <w:szCs w:val="24"/>
          <w:highlight w:val="none"/>
        </w:rPr>
        <w:t>，</w:t>
      </w:r>
      <w:r>
        <w:rPr>
          <w:rFonts w:ascii="仿宋" w:hAnsi="仿宋" w:eastAsia="仿宋" w:cs="仿宋"/>
          <w:spacing w:val="26"/>
          <w:sz w:val="24"/>
          <w:szCs w:val="24"/>
          <w:highlight w:val="none"/>
          <w:u w:val="single" w:color="auto"/>
        </w:rPr>
        <w:t xml:space="preserve">  </w:t>
      </w:r>
      <w:r>
        <w:rPr>
          <w:rFonts w:ascii="仿宋" w:hAnsi="仿宋" w:eastAsia="仿宋" w:cs="仿宋"/>
          <w:spacing w:val="-64"/>
          <w:sz w:val="24"/>
          <w:szCs w:val="24"/>
          <w:highlight w:val="none"/>
          <w:u w:val="single" w:color="auto"/>
        </w:rPr>
        <w:t>（</w:t>
      </w:r>
      <w:r>
        <w:rPr>
          <w:rFonts w:ascii="仿宋" w:hAnsi="仿宋" w:eastAsia="仿宋" w:cs="仿宋"/>
          <w:spacing w:val="-6"/>
          <w:sz w:val="24"/>
          <w:szCs w:val="24"/>
          <w:highlight w:val="none"/>
          <w:u w:val="single" w:color="auto"/>
        </w:rPr>
        <w:t>中</w:t>
      </w:r>
      <w:r>
        <w:rPr>
          <w:rFonts w:ascii="仿宋" w:hAnsi="仿宋" w:eastAsia="仿宋" w:cs="仿宋"/>
          <w:spacing w:val="1"/>
          <w:sz w:val="24"/>
          <w:szCs w:val="24"/>
          <w:highlight w:val="none"/>
        </w:rPr>
        <w:t xml:space="preserve"> </w:t>
      </w:r>
      <w:r>
        <w:rPr>
          <w:rFonts w:ascii="仿宋" w:hAnsi="仿宋" w:eastAsia="仿宋" w:cs="仿宋"/>
          <w:sz w:val="24"/>
          <w:szCs w:val="24"/>
          <w:highlight w:val="none"/>
          <w:u w:val="single" w:color="auto"/>
        </w:rPr>
        <w:t xml:space="preserve">标供应商名称） </w:t>
      </w:r>
      <w:r>
        <w:rPr>
          <w:rFonts w:ascii="仿宋" w:hAnsi="仿宋" w:eastAsia="仿宋" w:cs="仿宋"/>
          <w:spacing w:val="-79"/>
          <w:sz w:val="24"/>
          <w:szCs w:val="24"/>
          <w:highlight w:val="none"/>
        </w:rPr>
        <w:t xml:space="preserve"> </w:t>
      </w:r>
      <w:r>
        <w:rPr>
          <w:rFonts w:ascii="仿宋" w:hAnsi="仿宋" w:eastAsia="仿宋" w:cs="仿宋"/>
          <w:sz w:val="24"/>
          <w:szCs w:val="24"/>
          <w:highlight w:val="none"/>
        </w:rPr>
        <w:t xml:space="preserve">为该项目中标供应商。现于中标通知书发出之日起三十日内，按照 </w:t>
      </w:r>
      <w:r>
        <w:rPr>
          <w:rFonts w:ascii="仿宋" w:hAnsi="仿宋" w:eastAsia="仿宋" w:cs="仿宋"/>
          <w:spacing w:val="-2"/>
          <w:sz w:val="24"/>
          <w:szCs w:val="24"/>
          <w:highlight w:val="none"/>
        </w:rPr>
        <w:t>采购文件确定的事项签订本合同。</w:t>
      </w:r>
    </w:p>
    <w:p w14:paraId="3DC760AB">
      <w:pPr>
        <w:spacing w:before="37" w:line="423" w:lineRule="auto"/>
        <w:ind w:left="15" w:firstLine="481"/>
        <w:jc w:val="both"/>
        <w:rPr>
          <w:rFonts w:ascii="仿宋" w:hAnsi="仿宋" w:eastAsia="仿宋" w:cs="仿宋"/>
          <w:sz w:val="24"/>
          <w:szCs w:val="24"/>
          <w:highlight w:val="none"/>
        </w:rPr>
      </w:pPr>
      <w:r>
        <w:rPr>
          <w:rFonts w:ascii="仿宋" w:hAnsi="仿宋" w:eastAsia="仿宋" w:cs="仿宋"/>
          <w:spacing w:val="-2"/>
          <w:sz w:val="24"/>
          <w:szCs w:val="24"/>
          <w:highlight w:val="none"/>
        </w:rPr>
        <w:t>根据《中华人民共和国合同法》、《中华人民共和国政府采购</w:t>
      </w:r>
      <w:r>
        <w:rPr>
          <w:rFonts w:ascii="仿宋" w:hAnsi="仿宋" w:eastAsia="仿宋" w:cs="仿宋"/>
          <w:spacing w:val="-3"/>
          <w:sz w:val="24"/>
          <w:szCs w:val="24"/>
          <w:highlight w:val="none"/>
        </w:rPr>
        <w:t>法》等相关法律法</w:t>
      </w:r>
      <w:r>
        <w:rPr>
          <w:rFonts w:ascii="仿宋" w:hAnsi="仿宋" w:eastAsia="仿宋" w:cs="仿宋"/>
          <w:sz w:val="24"/>
          <w:szCs w:val="24"/>
          <w:highlight w:val="none"/>
        </w:rPr>
        <w:t xml:space="preserve"> </w:t>
      </w:r>
      <w:r>
        <w:rPr>
          <w:rFonts w:ascii="仿宋" w:hAnsi="仿宋" w:eastAsia="仿宋" w:cs="仿宋"/>
          <w:spacing w:val="-2"/>
          <w:sz w:val="24"/>
          <w:szCs w:val="24"/>
          <w:highlight w:val="none"/>
        </w:rPr>
        <w:t>规之规定，按照平等、</w:t>
      </w:r>
      <w:r>
        <w:rPr>
          <w:rFonts w:ascii="仿宋" w:hAnsi="仿宋" w:eastAsia="仿宋" w:cs="仿宋"/>
          <w:spacing w:val="-50"/>
          <w:sz w:val="24"/>
          <w:szCs w:val="24"/>
          <w:highlight w:val="none"/>
        </w:rPr>
        <w:t xml:space="preserve"> </w:t>
      </w:r>
      <w:r>
        <w:rPr>
          <w:rFonts w:ascii="仿宋" w:hAnsi="仿宋" w:eastAsia="仿宋" w:cs="仿宋"/>
          <w:spacing w:val="-2"/>
          <w:sz w:val="24"/>
          <w:szCs w:val="24"/>
          <w:highlight w:val="none"/>
        </w:rPr>
        <w:t>自愿、公平和诚实信用的原则，经</w:t>
      </w:r>
      <w:r>
        <w:rPr>
          <w:rFonts w:ascii="仿宋" w:hAnsi="仿宋" w:eastAsia="仿宋" w:cs="仿宋"/>
          <w:spacing w:val="-2"/>
          <w:sz w:val="24"/>
          <w:szCs w:val="24"/>
          <w:highlight w:val="none"/>
          <w:u w:val="single" w:color="auto"/>
        </w:rPr>
        <w:t xml:space="preserve">   （采购人名称）   </w:t>
      </w:r>
      <w:r>
        <w:rPr>
          <w:rFonts w:ascii="仿宋" w:hAnsi="仿宋" w:eastAsia="仿宋" w:cs="仿宋"/>
          <w:spacing w:val="-69"/>
          <w:sz w:val="24"/>
          <w:szCs w:val="24"/>
          <w:highlight w:val="none"/>
        </w:rPr>
        <w:t xml:space="preserve"> </w:t>
      </w:r>
      <w:r>
        <w:rPr>
          <w:rFonts w:ascii="仿宋" w:hAnsi="仿宋" w:eastAsia="仿宋" w:cs="仿宋"/>
          <w:spacing w:val="-2"/>
          <w:sz w:val="24"/>
          <w:szCs w:val="24"/>
          <w:highlight w:val="none"/>
        </w:rPr>
        <w:t>(以</w:t>
      </w:r>
      <w:r>
        <w:rPr>
          <w:rFonts w:ascii="仿宋" w:hAnsi="仿宋" w:eastAsia="仿宋" w:cs="仿宋"/>
          <w:sz w:val="24"/>
          <w:szCs w:val="24"/>
          <w:highlight w:val="none"/>
        </w:rPr>
        <w:t xml:space="preserve"> </w:t>
      </w:r>
      <w:r>
        <w:rPr>
          <w:rFonts w:ascii="仿宋" w:hAnsi="仿宋" w:eastAsia="仿宋" w:cs="仿宋"/>
          <w:spacing w:val="-1"/>
          <w:sz w:val="24"/>
          <w:szCs w:val="24"/>
          <w:highlight w:val="none"/>
        </w:rPr>
        <w:t>下简称：</w:t>
      </w:r>
      <w:r>
        <w:rPr>
          <w:rFonts w:ascii="仿宋" w:hAnsi="仿宋" w:eastAsia="仿宋" w:cs="仿宋"/>
          <w:spacing w:val="-70"/>
          <w:sz w:val="24"/>
          <w:szCs w:val="24"/>
          <w:highlight w:val="none"/>
        </w:rPr>
        <w:t xml:space="preserve"> </w:t>
      </w:r>
      <w:r>
        <w:rPr>
          <w:rFonts w:ascii="仿宋" w:hAnsi="仿宋" w:eastAsia="仿宋" w:cs="仿宋"/>
          <w:spacing w:val="-1"/>
          <w:sz w:val="24"/>
          <w:szCs w:val="24"/>
          <w:highlight w:val="none"/>
        </w:rPr>
        <w:t>甲方)和</w:t>
      </w:r>
      <w:r>
        <w:rPr>
          <w:rFonts w:ascii="仿宋" w:hAnsi="仿宋" w:eastAsia="仿宋" w:cs="仿宋"/>
          <w:spacing w:val="-1"/>
          <w:sz w:val="24"/>
          <w:szCs w:val="24"/>
          <w:highlight w:val="none"/>
          <w:u w:val="single" w:color="auto"/>
        </w:rPr>
        <w:t xml:space="preserve">   （中标供应商名称）   </w:t>
      </w:r>
      <w:r>
        <w:rPr>
          <w:rFonts w:ascii="仿宋" w:hAnsi="仿宋" w:eastAsia="仿宋" w:cs="仿宋"/>
          <w:spacing w:val="-69"/>
          <w:sz w:val="24"/>
          <w:szCs w:val="24"/>
          <w:highlight w:val="none"/>
        </w:rPr>
        <w:t xml:space="preserve"> </w:t>
      </w:r>
      <w:r>
        <w:rPr>
          <w:rFonts w:ascii="仿宋" w:hAnsi="仿宋" w:eastAsia="仿宋" w:cs="仿宋"/>
          <w:spacing w:val="-1"/>
          <w:sz w:val="24"/>
          <w:szCs w:val="24"/>
          <w:highlight w:val="none"/>
        </w:rPr>
        <w:t>(</w:t>
      </w:r>
      <w:r>
        <w:rPr>
          <w:rFonts w:ascii="仿宋" w:hAnsi="仿宋" w:eastAsia="仿宋" w:cs="仿宋"/>
          <w:spacing w:val="-2"/>
          <w:sz w:val="24"/>
          <w:szCs w:val="24"/>
          <w:highlight w:val="none"/>
        </w:rPr>
        <w:t>以下简称：乙方)协商一致，约定以下</w:t>
      </w:r>
      <w:r>
        <w:rPr>
          <w:rFonts w:ascii="仿宋" w:hAnsi="仿宋" w:eastAsia="仿宋" w:cs="仿宋"/>
          <w:sz w:val="24"/>
          <w:szCs w:val="24"/>
          <w:highlight w:val="none"/>
        </w:rPr>
        <w:t xml:space="preserve"> </w:t>
      </w:r>
      <w:r>
        <w:rPr>
          <w:rFonts w:ascii="仿宋" w:hAnsi="仿宋" w:eastAsia="仿宋" w:cs="仿宋"/>
          <w:spacing w:val="-1"/>
          <w:sz w:val="24"/>
          <w:szCs w:val="24"/>
          <w:highlight w:val="none"/>
        </w:rPr>
        <w:t>合同条款，以兹共同遵守、全面履行。</w:t>
      </w:r>
    </w:p>
    <w:p w14:paraId="0D85A34A">
      <w:pPr>
        <w:spacing w:before="39" w:line="222" w:lineRule="auto"/>
        <w:ind w:left="506"/>
        <w:rPr>
          <w:rFonts w:ascii="仿宋" w:hAnsi="仿宋" w:eastAsia="仿宋" w:cs="仿宋"/>
          <w:sz w:val="24"/>
          <w:szCs w:val="24"/>
          <w:highlight w:val="none"/>
        </w:rPr>
      </w:pPr>
      <w:r>
        <w:rPr>
          <w:rFonts w:ascii="仿宋" w:hAnsi="仿宋" w:eastAsia="仿宋" w:cs="仿宋"/>
          <w:b/>
          <w:bCs/>
          <w:spacing w:val="-8"/>
          <w:sz w:val="24"/>
          <w:szCs w:val="24"/>
          <w:highlight w:val="none"/>
        </w:rPr>
        <w:t>1.1</w:t>
      </w:r>
      <w:r>
        <w:rPr>
          <w:rFonts w:ascii="仿宋" w:hAnsi="仿宋" w:eastAsia="仿宋" w:cs="仿宋"/>
          <w:spacing w:val="29"/>
          <w:sz w:val="24"/>
          <w:szCs w:val="24"/>
          <w:highlight w:val="none"/>
        </w:rPr>
        <w:t xml:space="preserve"> </w:t>
      </w:r>
      <w:r>
        <w:rPr>
          <w:rFonts w:ascii="仿宋" w:hAnsi="仿宋" w:eastAsia="仿宋" w:cs="仿宋"/>
          <w:b/>
          <w:bCs/>
          <w:spacing w:val="-8"/>
          <w:sz w:val="24"/>
          <w:szCs w:val="24"/>
          <w:highlight w:val="none"/>
        </w:rPr>
        <w:t>合同组成部分</w:t>
      </w:r>
    </w:p>
    <w:p w14:paraId="7E848A54">
      <w:pPr>
        <w:spacing w:before="273" w:line="420" w:lineRule="auto"/>
        <w:ind w:left="20" w:firstLine="480"/>
        <w:jc w:val="both"/>
        <w:rPr>
          <w:rFonts w:ascii="仿宋" w:hAnsi="仿宋" w:eastAsia="仿宋" w:cs="仿宋"/>
          <w:sz w:val="24"/>
          <w:szCs w:val="24"/>
          <w:highlight w:val="none"/>
        </w:rPr>
      </w:pPr>
      <w:r>
        <w:rPr>
          <w:rFonts w:ascii="仿宋" w:hAnsi="仿宋" w:eastAsia="仿宋" w:cs="仿宋"/>
          <w:spacing w:val="-2"/>
          <w:sz w:val="24"/>
          <w:szCs w:val="24"/>
          <w:highlight w:val="none"/>
        </w:rPr>
        <w:t>下列文件为本合同的组成部分，并构成一个整体，需</w:t>
      </w:r>
      <w:r>
        <w:rPr>
          <w:rFonts w:ascii="仿宋" w:hAnsi="仿宋" w:eastAsia="仿宋" w:cs="仿宋"/>
          <w:spacing w:val="-3"/>
          <w:sz w:val="24"/>
          <w:szCs w:val="24"/>
          <w:highlight w:val="none"/>
        </w:rPr>
        <w:t>综合解释、相互补充。如果</w:t>
      </w:r>
      <w:r>
        <w:rPr>
          <w:rFonts w:ascii="仿宋" w:hAnsi="仿宋" w:eastAsia="仿宋" w:cs="仿宋"/>
          <w:sz w:val="24"/>
          <w:szCs w:val="24"/>
          <w:highlight w:val="none"/>
        </w:rPr>
        <w:t xml:space="preserve"> </w:t>
      </w:r>
      <w:r>
        <w:rPr>
          <w:rFonts w:ascii="仿宋" w:hAnsi="仿宋" w:eastAsia="仿宋" w:cs="仿宋"/>
          <w:spacing w:val="-2"/>
          <w:sz w:val="24"/>
          <w:szCs w:val="24"/>
          <w:highlight w:val="none"/>
        </w:rPr>
        <w:t>下列文件内容出现不一致的情形，那么在保证按照采购文件确定的事</w:t>
      </w:r>
      <w:r>
        <w:rPr>
          <w:rFonts w:ascii="仿宋" w:hAnsi="仿宋" w:eastAsia="仿宋" w:cs="仿宋"/>
          <w:spacing w:val="-3"/>
          <w:sz w:val="24"/>
          <w:szCs w:val="24"/>
          <w:highlight w:val="none"/>
        </w:rPr>
        <w:t>项的前提下，组</w:t>
      </w:r>
      <w:r>
        <w:rPr>
          <w:rFonts w:ascii="仿宋" w:hAnsi="仿宋" w:eastAsia="仿宋" w:cs="仿宋"/>
          <w:sz w:val="24"/>
          <w:szCs w:val="24"/>
          <w:highlight w:val="none"/>
        </w:rPr>
        <w:t xml:space="preserve"> </w:t>
      </w:r>
      <w:r>
        <w:rPr>
          <w:rFonts w:ascii="仿宋" w:hAnsi="仿宋" w:eastAsia="仿宋" w:cs="仿宋"/>
          <w:spacing w:val="-2"/>
          <w:sz w:val="24"/>
          <w:szCs w:val="24"/>
          <w:highlight w:val="none"/>
        </w:rPr>
        <w:t>成本合同的多个文件的优先适用顺序如下：</w:t>
      </w:r>
    </w:p>
    <w:p w14:paraId="778005CE">
      <w:pPr>
        <w:spacing w:before="40" w:line="222" w:lineRule="auto"/>
        <w:ind w:left="506"/>
        <w:rPr>
          <w:rFonts w:ascii="仿宋" w:hAnsi="仿宋" w:eastAsia="仿宋" w:cs="仿宋"/>
          <w:sz w:val="24"/>
          <w:szCs w:val="24"/>
          <w:highlight w:val="none"/>
        </w:rPr>
      </w:pPr>
      <w:r>
        <w:rPr>
          <w:rFonts w:ascii="仿宋" w:hAnsi="仿宋" w:eastAsia="仿宋" w:cs="仿宋"/>
          <w:spacing w:val="-2"/>
          <w:sz w:val="24"/>
          <w:szCs w:val="24"/>
          <w:highlight w:val="none"/>
        </w:rPr>
        <w:t>1.1.1 本合同及其补充合同、变更协议；</w:t>
      </w:r>
    </w:p>
    <w:p w14:paraId="2623C37D">
      <w:pPr>
        <w:spacing w:before="272" w:line="222" w:lineRule="auto"/>
        <w:ind w:left="506"/>
        <w:rPr>
          <w:rFonts w:ascii="仿宋" w:hAnsi="仿宋" w:eastAsia="仿宋" w:cs="仿宋"/>
          <w:sz w:val="24"/>
          <w:szCs w:val="24"/>
          <w:highlight w:val="none"/>
        </w:rPr>
      </w:pPr>
      <w:r>
        <w:rPr>
          <w:rFonts w:ascii="仿宋" w:hAnsi="仿宋" w:eastAsia="仿宋" w:cs="仿宋"/>
          <w:spacing w:val="-7"/>
          <w:sz w:val="24"/>
          <w:szCs w:val="24"/>
          <w:highlight w:val="none"/>
        </w:rPr>
        <w:t>1.1.2</w:t>
      </w:r>
      <w:r>
        <w:rPr>
          <w:rFonts w:ascii="仿宋" w:hAnsi="仿宋" w:eastAsia="仿宋" w:cs="仿宋"/>
          <w:spacing w:val="49"/>
          <w:sz w:val="24"/>
          <w:szCs w:val="24"/>
          <w:highlight w:val="none"/>
        </w:rPr>
        <w:t xml:space="preserve"> </w:t>
      </w:r>
      <w:r>
        <w:rPr>
          <w:rFonts w:ascii="仿宋" w:hAnsi="仿宋" w:eastAsia="仿宋" w:cs="仿宋"/>
          <w:spacing w:val="-7"/>
          <w:sz w:val="24"/>
          <w:szCs w:val="24"/>
          <w:highlight w:val="none"/>
        </w:rPr>
        <w:t>中标通知书；</w:t>
      </w:r>
    </w:p>
    <w:p w14:paraId="1FC804B0">
      <w:pPr>
        <w:spacing w:before="270" w:line="222" w:lineRule="auto"/>
        <w:ind w:left="506"/>
        <w:rPr>
          <w:rFonts w:ascii="仿宋" w:hAnsi="仿宋" w:eastAsia="仿宋" w:cs="仿宋"/>
          <w:sz w:val="24"/>
          <w:szCs w:val="24"/>
          <w:highlight w:val="none"/>
        </w:rPr>
      </w:pPr>
      <w:r>
        <w:rPr>
          <w:rFonts w:ascii="仿宋" w:hAnsi="仿宋" w:eastAsia="仿宋" w:cs="仿宋"/>
          <w:spacing w:val="-2"/>
          <w:sz w:val="24"/>
          <w:szCs w:val="24"/>
          <w:highlight w:val="none"/>
        </w:rPr>
        <w:t>1.1.3 投标文件（含澄清或者说明文件</w:t>
      </w:r>
      <w:r>
        <w:rPr>
          <w:rFonts w:ascii="仿宋" w:hAnsi="仿宋" w:eastAsia="仿宋" w:cs="仿宋"/>
          <w:spacing w:val="6"/>
          <w:sz w:val="24"/>
          <w:szCs w:val="24"/>
          <w:highlight w:val="none"/>
        </w:rPr>
        <w:t>）；</w:t>
      </w:r>
    </w:p>
    <w:p w14:paraId="3C161476">
      <w:pPr>
        <w:spacing w:before="274" w:line="222" w:lineRule="auto"/>
        <w:ind w:left="506"/>
        <w:rPr>
          <w:rFonts w:ascii="仿宋" w:hAnsi="仿宋" w:eastAsia="仿宋" w:cs="仿宋"/>
          <w:sz w:val="24"/>
          <w:szCs w:val="24"/>
          <w:highlight w:val="none"/>
        </w:rPr>
      </w:pPr>
      <w:r>
        <w:rPr>
          <w:rFonts w:ascii="仿宋" w:hAnsi="仿宋" w:eastAsia="仿宋" w:cs="仿宋"/>
          <w:spacing w:val="-2"/>
          <w:sz w:val="24"/>
          <w:szCs w:val="24"/>
          <w:highlight w:val="none"/>
        </w:rPr>
        <w:t>1.1.4 招标文件（含澄清或者修改文件</w:t>
      </w:r>
      <w:r>
        <w:rPr>
          <w:rFonts w:ascii="仿宋" w:hAnsi="仿宋" w:eastAsia="仿宋" w:cs="仿宋"/>
          <w:spacing w:val="6"/>
          <w:sz w:val="24"/>
          <w:szCs w:val="24"/>
          <w:highlight w:val="none"/>
        </w:rPr>
        <w:t>）；</w:t>
      </w:r>
    </w:p>
    <w:p w14:paraId="2E52BF1C">
      <w:pPr>
        <w:spacing w:before="269" w:line="222" w:lineRule="auto"/>
        <w:ind w:left="506"/>
        <w:rPr>
          <w:rFonts w:ascii="仿宋" w:hAnsi="仿宋" w:eastAsia="仿宋" w:cs="仿宋"/>
          <w:sz w:val="24"/>
          <w:szCs w:val="24"/>
          <w:highlight w:val="none"/>
        </w:rPr>
      </w:pPr>
      <w:r>
        <w:rPr>
          <w:rFonts w:ascii="仿宋" w:hAnsi="仿宋" w:eastAsia="仿宋" w:cs="仿宋"/>
          <w:spacing w:val="-2"/>
          <w:sz w:val="24"/>
          <w:szCs w:val="24"/>
          <w:highlight w:val="none"/>
        </w:rPr>
        <w:t>1.1.5 其他相关采购文件。</w:t>
      </w:r>
    </w:p>
    <w:p w14:paraId="47D97973">
      <w:pPr>
        <w:spacing w:before="272" w:line="222" w:lineRule="auto"/>
        <w:ind w:left="506"/>
        <w:rPr>
          <w:rFonts w:ascii="仿宋" w:hAnsi="仿宋" w:eastAsia="仿宋" w:cs="仿宋"/>
          <w:sz w:val="24"/>
          <w:szCs w:val="24"/>
          <w:highlight w:val="none"/>
        </w:rPr>
      </w:pPr>
      <w:r>
        <w:rPr>
          <w:rFonts w:ascii="仿宋" w:hAnsi="仿宋" w:eastAsia="仿宋" w:cs="仿宋"/>
          <w:b/>
          <w:bCs/>
          <w:spacing w:val="-11"/>
          <w:sz w:val="24"/>
          <w:szCs w:val="24"/>
          <w:highlight w:val="none"/>
        </w:rPr>
        <w:t>1.2</w:t>
      </w:r>
      <w:r>
        <w:rPr>
          <w:rFonts w:ascii="仿宋" w:hAnsi="仿宋" w:eastAsia="仿宋" w:cs="仿宋"/>
          <w:spacing w:val="17"/>
          <w:sz w:val="24"/>
          <w:szCs w:val="24"/>
          <w:highlight w:val="none"/>
        </w:rPr>
        <w:t xml:space="preserve"> </w:t>
      </w:r>
      <w:r>
        <w:rPr>
          <w:rFonts w:ascii="仿宋" w:hAnsi="仿宋" w:eastAsia="仿宋" w:cs="仿宋"/>
          <w:b/>
          <w:bCs/>
          <w:spacing w:val="-11"/>
          <w:sz w:val="24"/>
          <w:szCs w:val="24"/>
          <w:highlight w:val="none"/>
        </w:rPr>
        <w:t>标的</w:t>
      </w:r>
    </w:p>
    <w:p w14:paraId="3835D00F">
      <w:pPr>
        <w:spacing w:before="272" w:line="221" w:lineRule="auto"/>
        <w:ind w:left="506"/>
        <w:rPr>
          <w:rFonts w:ascii="仿宋" w:hAnsi="仿宋" w:eastAsia="仿宋" w:cs="仿宋"/>
          <w:sz w:val="24"/>
          <w:szCs w:val="24"/>
          <w:highlight w:val="none"/>
        </w:rPr>
      </w:pPr>
      <w:r>
        <w:rPr>
          <w:rFonts w:ascii="仿宋" w:hAnsi="仿宋" w:eastAsia="仿宋" w:cs="仿宋"/>
          <w:spacing w:val="-5"/>
          <w:sz w:val="24"/>
          <w:szCs w:val="24"/>
          <w:highlight w:val="none"/>
        </w:rPr>
        <w:t>1.2.1</w:t>
      </w:r>
      <w:r>
        <w:rPr>
          <w:rFonts w:ascii="仿宋" w:hAnsi="仿宋" w:eastAsia="仿宋" w:cs="仿宋"/>
          <w:spacing w:val="17"/>
          <w:sz w:val="24"/>
          <w:szCs w:val="24"/>
          <w:highlight w:val="none"/>
        </w:rPr>
        <w:t xml:space="preserve"> </w:t>
      </w:r>
      <w:r>
        <w:rPr>
          <w:rFonts w:ascii="仿宋" w:hAnsi="仿宋" w:eastAsia="仿宋" w:cs="仿宋"/>
          <w:spacing w:val="-5"/>
          <w:sz w:val="24"/>
          <w:szCs w:val="24"/>
          <w:highlight w:val="none"/>
        </w:rPr>
        <w:t>标的名称</w:t>
      </w:r>
      <w:r>
        <w:rPr>
          <w:rFonts w:ascii="仿宋" w:hAnsi="仿宋" w:eastAsia="仿宋" w:cs="仿宋"/>
          <w:sz w:val="24"/>
          <w:szCs w:val="24"/>
          <w:highlight w:val="none"/>
        </w:rPr>
        <w:t>：</w:t>
      </w:r>
      <w:r>
        <w:rPr>
          <w:rFonts w:ascii="仿宋" w:hAnsi="仿宋" w:eastAsia="仿宋" w:cs="仿宋"/>
          <w:sz w:val="24"/>
          <w:szCs w:val="24"/>
          <w:highlight w:val="none"/>
          <w:u w:val="single" w:color="auto"/>
        </w:rPr>
        <w:t xml:space="preserve">                                               </w:t>
      </w:r>
      <w:r>
        <w:rPr>
          <w:rFonts w:ascii="仿宋" w:hAnsi="仿宋" w:eastAsia="仿宋" w:cs="仿宋"/>
          <w:sz w:val="24"/>
          <w:szCs w:val="24"/>
          <w:highlight w:val="none"/>
        </w:rPr>
        <w:t>；</w:t>
      </w:r>
    </w:p>
    <w:p w14:paraId="79EF6848">
      <w:pPr>
        <w:spacing w:before="273" w:line="222" w:lineRule="auto"/>
        <w:ind w:left="506"/>
        <w:rPr>
          <w:rFonts w:ascii="仿宋" w:hAnsi="仿宋" w:eastAsia="仿宋" w:cs="仿宋"/>
          <w:sz w:val="24"/>
          <w:szCs w:val="24"/>
          <w:highlight w:val="none"/>
        </w:rPr>
      </w:pPr>
      <w:r>
        <w:rPr>
          <w:rFonts w:ascii="仿宋" w:hAnsi="仿宋" w:eastAsia="仿宋" w:cs="仿宋"/>
          <w:spacing w:val="-5"/>
          <w:sz w:val="24"/>
          <w:szCs w:val="24"/>
          <w:highlight w:val="none"/>
        </w:rPr>
        <w:t>1.2.2</w:t>
      </w:r>
      <w:r>
        <w:rPr>
          <w:rFonts w:ascii="仿宋" w:hAnsi="仿宋" w:eastAsia="仿宋" w:cs="仿宋"/>
          <w:spacing w:val="17"/>
          <w:sz w:val="24"/>
          <w:szCs w:val="24"/>
          <w:highlight w:val="none"/>
        </w:rPr>
        <w:t xml:space="preserve"> </w:t>
      </w:r>
      <w:r>
        <w:rPr>
          <w:rFonts w:ascii="仿宋" w:hAnsi="仿宋" w:eastAsia="仿宋" w:cs="仿宋"/>
          <w:spacing w:val="-5"/>
          <w:sz w:val="24"/>
          <w:szCs w:val="24"/>
          <w:highlight w:val="none"/>
        </w:rPr>
        <w:t>标的数量</w:t>
      </w:r>
      <w:r>
        <w:rPr>
          <w:rFonts w:ascii="仿宋" w:hAnsi="仿宋" w:eastAsia="仿宋" w:cs="仿宋"/>
          <w:sz w:val="24"/>
          <w:szCs w:val="24"/>
          <w:highlight w:val="none"/>
        </w:rPr>
        <w:t>：</w:t>
      </w:r>
      <w:r>
        <w:rPr>
          <w:rFonts w:ascii="仿宋" w:hAnsi="仿宋" w:eastAsia="仿宋" w:cs="仿宋"/>
          <w:sz w:val="24"/>
          <w:szCs w:val="24"/>
          <w:highlight w:val="none"/>
          <w:u w:val="single" w:color="auto"/>
        </w:rPr>
        <w:t xml:space="preserve">                                               </w:t>
      </w:r>
      <w:r>
        <w:rPr>
          <w:rFonts w:ascii="仿宋" w:hAnsi="仿宋" w:eastAsia="仿宋" w:cs="仿宋"/>
          <w:sz w:val="24"/>
          <w:szCs w:val="24"/>
          <w:highlight w:val="none"/>
        </w:rPr>
        <w:t>；</w:t>
      </w:r>
    </w:p>
    <w:p w14:paraId="3C3F656A">
      <w:pPr>
        <w:spacing w:before="270" w:line="222" w:lineRule="auto"/>
        <w:ind w:left="506"/>
        <w:rPr>
          <w:rFonts w:ascii="仿宋" w:hAnsi="仿宋" w:eastAsia="仿宋" w:cs="仿宋"/>
          <w:sz w:val="24"/>
          <w:szCs w:val="24"/>
          <w:highlight w:val="none"/>
        </w:rPr>
      </w:pPr>
      <w:r>
        <w:rPr>
          <w:rFonts w:ascii="仿宋" w:hAnsi="仿宋" w:eastAsia="仿宋" w:cs="仿宋"/>
          <w:spacing w:val="-2"/>
          <w:sz w:val="24"/>
          <w:szCs w:val="24"/>
          <w:highlight w:val="none"/>
        </w:rPr>
        <w:t>1.2.3 标的质量：</w:t>
      </w:r>
      <w:r>
        <w:rPr>
          <w:rFonts w:ascii="仿宋" w:hAnsi="仿宋" w:eastAsia="仿宋" w:cs="仿宋"/>
          <w:spacing w:val="-2"/>
          <w:sz w:val="24"/>
          <w:szCs w:val="24"/>
          <w:highlight w:val="none"/>
          <w:u w:val="single" w:color="auto"/>
        </w:rPr>
        <w:t xml:space="preserve">                        </w:t>
      </w:r>
      <w:r>
        <w:rPr>
          <w:rFonts w:ascii="仿宋" w:hAnsi="仿宋" w:eastAsia="仿宋" w:cs="仿宋"/>
          <w:spacing w:val="-3"/>
          <w:sz w:val="24"/>
          <w:szCs w:val="24"/>
          <w:highlight w:val="none"/>
          <w:u w:val="single" w:color="auto"/>
        </w:rPr>
        <w:t xml:space="preserve">                        </w:t>
      </w:r>
      <w:r>
        <w:rPr>
          <w:rFonts w:ascii="仿宋" w:hAnsi="仿宋" w:eastAsia="仿宋" w:cs="仿宋"/>
          <w:spacing w:val="-3"/>
          <w:sz w:val="24"/>
          <w:szCs w:val="24"/>
          <w:highlight w:val="none"/>
        </w:rPr>
        <w:t>。</w:t>
      </w:r>
    </w:p>
    <w:p w14:paraId="63F37094">
      <w:pPr>
        <w:spacing w:before="273" w:line="222" w:lineRule="auto"/>
        <w:ind w:left="506"/>
        <w:rPr>
          <w:rFonts w:ascii="仿宋" w:hAnsi="仿宋" w:eastAsia="仿宋" w:cs="仿宋"/>
          <w:sz w:val="24"/>
          <w:szCs w:val="24"/>
          <w:highlight w:val="none"/>
        </w:rPr>
      </w:pPr>
      <w:r>
        <w:rPr>
          <w:rFonts w:ascii="仿宋" w:hAnsi="仿宋" w:eastAsia="仿宋" w:cs="仿宋"/>
          <w:b/>
          <w:bCs/>
          <w:spacing w:val="-11"/>
          <w:sz w:val="24"/>
          <w:szCs w:val="24"/>
          <w:highlight w:val="none"/>
        </w:rPr>
        <w:t>1.3</w:t>
      </w:r>
      <w:r>
        <w:rPr>
          <w:rFonts w:ascii="仿宋" w:hAnsi="仿宋" w:eastAsia="仿宋" w:cs="仿宋"/>
          <w:spacing w:val="17"/>
          <w:sz w:val="24"/>
          <w:szCs w:val="24"/>
          <w:highlight w:val="none"/>
        </w:rPr>
        <w:t xml:space="preserve"> </w:t>
      </w:r>
      <w:r>
        <w:rPr>
          <w:rFonts w:ascii="仿宋" w:hAnsi="仿宋" w:eastAsia="仿宋" w:cs="仿宋"/>
          <w:b/>
          <w:bCs/>
          <w:spacing w:val="-11"/>
          <w:sz w:val="24"/>
          <w:szCs w:val="24"/>
          <w:highlight w:val="none"/>
        </w:rPr>
        <w:t>价款</w:t>
      </w:r>
    </w:p>
    <w:p w14:paraId="26ED7E5E">
      <w:pPr>
        <w:spacing w:line="240" w:lineRule="auto"/>
        <w:rPr>
          <w:rFonts w:ascii="仿宋" w:hAnsi="仿宋" w:eastAsia="仿宋" w:cs="仿宋"/>
          <w:sz w:val="24"/>
          <w:szCs w:val="24"/>
          <w:highlight w:val="none"/>
        </w:rPr>
        <w:sectPr>
          <w:headerReference r:id="rId8" w:type="default"/>
          <w:footerReference r:id="rId9" w:type="default"/>
          <w:pgSz w:w="11910" w:h="16840"/>
          <w:pgMar w:top="1440" w:right="1800" w:bottom="1440" w:left="1800" w:header="1665" w:footer="1157" w:gutter="0"/>
          <w:pgNumType w:fmt="decimal"/>
          <w:cols w:space="720" w:num="1"/>
        </w:sectPr>
      </w:pPr>
      <w:r>
        <w:rPr>
          <w:rFonts w:ascii="仿宋" w:hAnsi="仿宋" w:eastAsia="仿宋" w:cs="仿宋"/>
          <w:spacing w:val="-9"/>
          <w:sz w:val="24"/>
          <w:szCs w:val="24"/>
          <w:highlight w:val="none"/>
        </w:rPr>
        <w:t>本合同总价为：</w:t>
      </w:r>
      <w:r>
        <w:rPr>
          <w:rFonts w:ascii="仿宋" w:hAnsi="仿宋" w:eastAsia="仿宋" w:cs="仿宋"/>
          <w:spacing w:val="-75"/>
          <w:sz w:val="24"/>
          <w:szCs w:val="24"/>
          <w:highlight w:val="none"/>
        </w:rPr>
        <w:t xml:space="preserve"> </w:t>
      </w:r>
      <w:r>
        <w:rPr>
          <w:rFonts w:ascii="仿宋" w:hAnsi="仿宋" w:eastAsia="仿宋" w:cs="仿宋"/>
          <w:spacing w:val="-9"/>
          <w:sz w:val="24"/>
          <w:szCs w:val="24"/>
          <w:highlight w:val="none"/>
        </w:rPr>
        <w:t>￥</w:t>
      </w:r>
      <w:r>
        <w:rPr>
          <w:rFonts w:ascii="仿宋" w:hAnsi="仿宋" w:eastAsia="仿宋" w:cs="仿宋"/>
          <w:spacing w:val="-90"/>
          <w:sz w:val="24"/>
          <w:szCs w:val="24"/>
          <w:highlight w:val="none"/>
        </w:rPr>
        <w:t xml:space="preserve"> </w:t>
      </w:r>
      <w:r>
        <w:rPr>
          <w:rFonts w:ascii="仿宋" w:hAnsi="仿宋" w:eastAsia="仿宋" w:cs="仿宋"/>
          <w:sz w:val="24"/>
          <w:szCs w:val="24"/>
          <w:highlight w:val="none"/>
          <w:u w:val="single" w:color="auto"/>
        </w:rPr>
        <w:t xml:space="preserve">           </w:t>
      </w:r>
      <w:r>
        <w:rPr>
          <w:rFonts w:ascii="仿宋" w:hAnsi="仿宋" w:eastAsia="仿宋" w:cs="仿宋"/>
          <w:spacing w:val="-100"/>
          <w:sz w:val="24"/>
          <w:szCs w:val="24"/>
          <w:highlight w:val="none"/>
        </w:rPr>
        <w:t xml:space="preserve"> </w:t>
      </w:r>
      <w:r>
        <w:rPr>
          <w:rFonts w:ascii="仿宋" w:hAnsi="仿宋" w:eastAsia="仿宋" w:cs="仿宋"/>
          <w:spacing w:val="-9"/>
          <w:sz w:val="24"/>
          <w:szCs w:val="24"/>
          <w:highlight w:val="none"/>
        </w:rPr>
        <w:t>元（大写：</w:t>
      </w:r>
      <w:r>
        <w:rPr>
          <w:rFonts w:ascii="仿宋" w:hAnsi="仿宋" w:eastAsia="仿宋" w:cs="仿宋"/>
          <w:sz w:val="24"/>
          <w:szCs w:val="24"/>
          <w:highlight w:val="none"/>
          <w:u w:val="single" w:color="auto"/>
        </w:rPr>
        <w:t xml:space="preserve">                 </w:t>
      </w:r>
      <w:r>
        <w:rPr>
          <w:rFonts w:ascii="仿宋" w:hAnsi="仿宋" w:eastAsia="仿宋" w:cs="仿宋"/>
          <w:spacing w:val="-99"/>
          <w:sz w:val="24"/>
          <w:szCs w:val="24"/>
          <w:highlight w:val="none"/>
        </w:rPr>
        <w:t xml:space="preserve"> </w:t>
      </w:r>
      <w:r>
        <w:rPr>
          <w:rFonts w:ascii="仿宋" w:hAnsi="仿宋" w:eastAsia="仿宋" w:cs="仿宋"/>
          <w:spacing w:val="-9"/>
          <w:sz w:val="24"/>
          <w:szCs w:val="24"/>
          <w:highlight w:val="none"/>
        </w:rPr>
        <w:t>元人民币）。</w:t>
      </w:r>
      <w:r>
        <w:rPr>
          <w:rFonts w:ascii="仿宋" w:hAnsi="仿宋" w:eastAsia="仿宋" w:cs="仿宋"/>
          <w:sz w:val="24"/>
          <w:szCs w:val="24"/>
          <w:highlight w:val="none"/>
        </w:rPr>
        <w:t xml:space="preserve"> </w:t>
      </w:r>
      <w:r>
        <w:rPr>
          <w:rFonts w:ascii="仿宋" w:hAnsi="仿宋" w:eastAsia="仿宋" w:cs="仿宋"/>
          <w:spacing w:val="-4"/>
          <w:sz w:val="24"/>
          <w:szCs w:val="24"/>
          <w:highlight w:val="none"/>
        </w:rPr>
        <w:t>分项价格：</w:t>
      </w:r>
    </w:p>
    <w:tbl>
      <w:tblPr>
        <w:tblStyle w:val="28"/>
        <w:tblW w:w="7159" w:type="dxa"/>
        <w:tblInd w:w="81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5"/>
        <w:gridCol w:w="3399"/>
        <w:gridCol w:w="2555"/>
      </w:tblGrid>
      <w:tr w14:paraId="08E883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205" w:type="dxa"/>
            <w:vAlign w:val="top"/>
          </w:tcPr>
          <w:p w14:paraId="28A9D2FD">
            <w:pPr>
              <w:spacing w:before="248" w:line="222" w:lineRule="auto"/>
              <w:ind w:left="374"/>
              <w:rPr>
                <w:rFonts w:ascii="仿宋" w:hAnsi="仿宋" w:eastAsia="仿宋" w:cs="仿宋"/>
                <w:sz w:val="24"/>
                <w:szCs w:val="24"/>
                <w:highlight w:val="none"/>
              </w:rPr>
            </w:pPr>
            <w:r>
              <w:rPr>
                <w:rFonts w:ascii="仿宋" w:hAnsi="仿宋" w:eastAsia="仿宋" w:cs="仿宋"/>
                <w:spacing w:val="-8"/>
                <w:sz w:val="24"/>
                <w:szCs w:val="24"/>
                <w:highlight w:val="none"/>
              </w:rPr>
              <w:t>序号</w:t>
            </w:r>
          </w:p>
        </w:tc>
        <w:tc>
          <w:tcPr>
            <w:tcW w:w="3399" w:type="dxa"/>
            <w:vAlign w:val="top"/>
          </w:tcPr>
          <w:p w14:paraId="50F5C758">
            <w:pPr>
              <w:spacing w:before="248" w:line="221" w:lineRule="auto"/>
              <w:ind w:left="1335"/>
              <w:rPr>
                <w:rFonts w:ascii="仿宋" w:hAnsi="仿宋" w:eastAsia="仿宋" w:cs="仿宋"/>
                <w:sz w:val="24"/>
                <w:szCs w:val="24"/>
                <w:highlight w:val="none"/>
              </w:rPr>
            </w:pPr>
            <w:r>
              <w:rPr>
                <w:rFonts w:ascii="仿宋" w:hAnsi="仿宋" w:eastAsia="仿宋" w:cs="仿宋"/>
                <w:spacing w:val="-5"/>
                <w:sz w:val="24"/>
                <w:szCs w:val="24"/>
                <w:highlight w:val="none"/>
              </w:rPr>
              <w:t>分项名称</w:t>
            </w:r>
          </w:p>
        </w:tc>
        <w:tc>
          <w:tcPr>
            <w:tcW w:w="2555" w:type="dxa"/>
            <w:vAlign w:val="top"/>
          </w:tcPr>
          <w:p w14:paraId="47C5EC14">
            <w:pPr>
              <w:spacing w:before="248" w:line="222" w:lineRule="auto"/>
              <w:ind w:left="813"/>
              <w:rPr>
                <w:rFonts w:ascii="仿宋" w:hAnsi="仿宋" w:eastAsia="仿宋" w:cs="仿宋"/>
                <w:sz w:val="24"/>
                <w:szCs w:val="24"/>
                <w:highlight w:val="none"/>
              </w:rPr>
            </w:pPr>
            <w:r>
              <w:rPr>
                <w:rFonts w:ascii="仿宋" w:hAnsi="仿宋" w:eastAsia="仿宋" w:cs="仿宋"/>
                <w:spacing w:val="-5"/>
                <w:sz w:val="24"/>
                <w:szCs w:val="24"/>
                <w:highlight w:val="none"/>
              </w:rPr>
              <w:t>分项价格</w:t>
            </w:r>
          </w:p>
        </w:tc>
      </w:tr>
      <w:tr w14:paraId="24FE58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05" w:type="dxa"/>
            <w:vAlign w:val="top"/>
          </w:tcPr>
          <w:p w14:paraId="66B47BF4">
            <w:pPr>
              <w:rPr>
                <w:rFonts w:ascii="Arial"/>
                <w:sz w:val="21"/>
                <w:highlight w:val="none"/>
              </w:rPr>
            </w:pPr>
          </w:p>
        </w:tc>
        <w:tc>
          <w:tcPr>
            <w:tcW w:w="3399" w:type="dxa"/>
            <w:vAlign w:val="top"/>
          </w:tcPr>
          <w:p w14:paraId="0BDBAEFB">
            <w:pPr>
              <w:rPr>
                <w:rFonts w:ascii="Arial"/>
                <w:sz w:val="21"/>
                <w:highlight w:val="none"/>
              </w:rPr>
            </w:pPr>
          </w:p>
        </w:tc>
        <w:tc>
          <w:tcPr>
            <w:tcW w:w="2555" w:type="dxa"/>
            <w:vAlign w:val="top"/>
          </w:tcPr>
          <w:p w14:paraId="657C6F28">
            <w:pPr>
              <w:rPr>
                <w:rFonts w:ascii="Arial"/>
                <w:sz w:val="21"/>
                <w:highlight w:val="none"/>
              </w:rPr>
            </w:pPr>
          </w:p>
        </w:tc>
      </w:tr>
      <w:tr w14:paraId="218F0F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05" w:type="dxa"/>
            <w:vAlign w:val="top"/>
          </w:tcPr>
          <w:p w14:paraId="7E11B340">
            <w:pPr>
              <w:rPr>
                <w:rFonts w:ascii="Arial"/>
                <w:sz w:val="21"/>
                <w:highlight w:val="none"/>
              </w:rPr>
            </w:pPr>
          </w:p>
        </w:tc>
        <w:tc>
          <w:tcPr>
            <w:tcW w:w="3399" w:type="dxa"/>
            <w:vAlign w:val="top"/>
          </w:tcPr>
          <w:p w14:paraId="07B335D7">
            <w:pPr>
              <w:rPr>
                <w:rFonts w:ascii="Arial"/>
                <w:sz w:val="21"/>
                <w:highlight w:val="none"/>
              </w:rPr>
            </w:pPr>
          </w:p>
        </w:tc>
        <w:tc>
          <w:tcPr>
            <w:tcW w:w="2555" w:type="dxa"/>
            <w:vAlign w:val="top"/>
          </w:tcPr>
          <w:p w14:paraId="28E69D60">
            <w:pPr>
              <w:rPr>
                <w:rFonts w:ascii="Arial"/>
                <w:sz w:val="21"/>
                <w:highlight w:val="none"/>
              </w:rPr>
            </w:pPr>
          </w:p>
        </w:tc>
      </w:tr>
      <w:tr w14:paraId="5D81A8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05" w:type="dxa"/>
            <w:vAlign w:val="top"/>
          </w:tcPr>
          <w:p w14:paraId="567FD9B7">
            <w:pPr>
              <w:rPr>
                <w:rFonts w:ascii="Arial"/>
                <w:sz w:val="21"/>
                <w:highlight w:val="none"/>
              </w:rPr>
            </w:pPr>
          </w:p>
        </w:tc>
        <w:tc>
          <w:tcPr>
            <w:tcW w:w="3399" w:type="dxa"/>
            <w:vAlign w:val="top"/>
          </w:tcPr>
          <w:p w14:paraId="067F07F0">
            <w:pPr>
              <w:rPr>
                <w:rFonts w:ascii="Arial"/>
                <w:sz w:val="21"/>
                <w:highlight w:val="none"/>
              </w:rPr>
            </w:pPr>
          </w:p>
        </w:tc>
        <w:tc>
          <w:tcPr>
            <w:tcW w:w="2555" w:type="dxa"/>
            <w:vAlign w:val="top"/>
          </w:tcPr>
          <w:p w14:paraId="3520A8EA">
            <w:pPr>
              <w:rPr>
                <w:rFonts w:ascii="Arial"/>
                <w:sz w:val="21"/>
                <w:highlight w:val="none"/>
              </w:rPr>
            </w:pPr>
          </w:p>
        </w:tc>
      </w:tr>
      <w:tr w14:paraId="4061A0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05" w:type="dxa"/>
            <w:vAlign w:val="top"/>
          </w:tcPr>
          <w:p w14:paraId="742A08E2">
            <w:pPr>
              <w:rPr>
                <w:rFonts w:ascii="Arial"/>
                <w:sz w:val="21"/>
                <w:highlight w:val="none"/>
              </w:rPr>
            </w:pPr>
          </w:p>
        </w:tc>
        <w:tc>
          <w:tcPr>
            <w:tcW w:w="3399" w:type="dxa"/>
            <w:vAlign w:val="top"/>
          </w:tcPr>
          <w:p w14:paraId="741873FB">
            <w:pPr>
              <w:rPr>
                <w:rFonts w:ascii="Arial"/>
                <w:sz w:val="21"/>
                <w:highlight w:val="none"/>
              </w:rPr>
            </w:pPr>
          </w:p>
        </w:tc>
        <w:tc>
          <w:tcPr>
            <w:tcW w:w="2555" w:type="dxa"/>
            <w:vAlign w:val="top"/>
          </w:tcPr>
          <w:p w14:paraId="2075FB23">
            <w:pPr>
              <w:rPr>
                <w:rFonts w:ascii="Arial"/>
                <w:sz w:val="21"/>
                <w:highlight w:val="none"/>
              </w:rPr>
            </w:pPr>
          </w:p>
        </w:tc>
      </w:tr>
      <w:tr w14:paraId="04A295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4604" w:type="dxa"/>
            <w:gridSpan w:val="2"/>
            <w:vAlign w:val="top"/>
          </w:tcPr>
          <w:p w14:paraId="6DFB5BBA">
            <w:pPr>
              <w:spacing w:before="247" w:line="222" w:lineRule="auto"/>
              <w:ind w:left="2187"/>
              <w:rPr>
                <w:rFonts w:ascii="仿宋" w:hAnsi="仿宋" w:eastAsia="仿宋" w:cs="仿宋"/>
                <w:sz w:val="24"/>
                <w:szCs w:val="24"/>
                <w:highlight w:val="none"/>
              </w:rPr>
            </w:pPr>
            <w:r>
              <w:rPr>
                <w:rFonts w:ascii="仿宋" w:hAnsi="仿宋" w:eastAsia="仿宋" w:cs="仿宋"/>
                <w:spacing w:val="-14"/>
                <w:sz w:val="24"/>
                <w:szCs w:val="24"/>
                <w:highlight w:val="none"/>
              </w:rPr>
              <w:t>总价</w:t>
            </w:r>
          </w:p>
        </w:tc>
        <w:tc>
          <w:tcPr>
            <w:tcW w:w="2555" w:type="dxa"/>
            <w:vAlign w:val="top"/>
          </w:tcPr>
          <w:p w14:paraId="2FD66CC0">
            <w:pPr>
              <w:rPr>
                <w:rFonts w:ascii="Arial"/>
                <w:sz w:val="21"/>
                <w:highlight w:val="none"/>
              </w:rPr>
            </w:pPr>
          </w:p>
        </w:tc>
      </w:tr>
    </w:tbl>
    <w:p w14:paraId="0D79CBFB">
      <w:pPr>
        <w:spacing w:before="244" w:line="222" w:lineRule="auto"/>
        <w:ind w:left="491"/>
        <w:rPr>
          <w:rFonts w:ascii="仿宋" w:hAnsi="仿宋" w:eastAsia="仿宋" w:cs="仿宋"/>
          <w:sz w:val="24"/>
          <w:szCs w:val="24"/>
          <w:highlight w:val="none"/>
        </w:rPr>
      </w:pPr>
      <w:r>
        <w:rPr>
          <w:rFonts w:ascii="仿宋" w:hAnsi="仿宋" w:eastAsia="仿宋" w:cs="仿宋"/>
          <w:b/>
          <w:bCs/>
          <w:spacing w:val="-4"/>
          <w:sz w:val="24"/>
          <w:szCs w:val="24"/>
          <w:highlight w:val="none"/>
        </w:rPr>
        <w:t>1.4</w:t>
      </w:r>
      <w:r>
        <w:rPr>
          <w:rFonts w:ascii="仿宋" w:hAnsi="仿宋" w:eastAsia="仿宋" w:cs="仿宋"/>
          <w:spacing w:val="-4"/>
          <w:sz w:val="24"/>
          <w:szCs w:val="24"/>
          <w:highlight w:val="none"/>
        </w:rPr>
        <w:t xml:space="preserve"> </w:t>
      </w:r>
      <w:r>
        <w:rPr>
          <w:rFonts w:ascii="仿宋" w:hAnsi="仿宋" w:eastAsia="仿宋" w:cs="仿宋"/>
          <w:b/>
          <w:bCs/>
          <w:spacing w:val="-4"/>
          <w:sz w:val="24"/>
          <w:szCs w:val="24"/>
          <w:highlight w:val="none"/>
        </w:rPr>
        <w:t>付款方式和发票开具方式</w:t>
      </w:r>
    </w:p>
    <w:p w14:paraId="6A63B5DA">
      <w:pPr>
        <w:spacing w:before="270" w:line="222" w:lineRule="auto"/>
        <w:ind w:left="491"/>
        <w:rPr>
          <w:rFonts w:ascii="仿宋" w:hAnsi="仿宋" w:eastAsia="仿宋" w:cs="仿宋"/>
          <w:sz w:val="24"/>
          <w:szCs w:val="24"/>
          <w:highlight w:val="none"/>
        </w:rPr>
      </w:pPr>
      <w:r>
        <w:rPr>
          <w:rFonts w:ascii="仿宋" w:hAnsi="仿宋" w:eastAsia="仿宋" w:cs="仿宋"/>
          <w:spacing w:val="-5"/>
          <w:sz w:val="24"/>
          <w:szCs w:val="24"/>
          <w:highlight w:val="none"/>
        </w:rPr>
        <w:t>1.4.1</w:t>
      </w:r>
      <w:r>
        <w:rPr>
          <w:rFonts w:ascii="仿宋" w:hAnsi="仿宋" w:eastAsia="仿宋" w:cs="仿宋"/>
          <w:spacing w:val="-43"/>
          <w:sz w:val="24"/>
          <w:szCs w:val="24"/>
          <w:highlight w:val="none"/>
        </w:rPr>
        <w:t xml:space="preserve"> </w:t>
      </w:r>
      <w:r>
        <w:rPr>
          <w:rFonts w:ascii="仿宋" w:hAnsi="仿宋" w:eastAsia="仿宋" w:cs="仿宋"/>
          <w:spacing w:val="-5"/>
          <w:sz w:val="24"/>
          <w:szCs w:val="24"/>
          <w:highlight w:val="none"/>
        </w:rPr>
        <w:t>付款方式</w:t>
      </w:r>
      <w:r>
        <w:rPr>
          <w:rFonts w:ascii="仿宋" w:hAnsi="仿宋" w:eastAsia="仿宋" w:cs="仿宋"/>
          <w:sz w:val="24"/>
          <w:szCs w:val="24"/>
          <w:highlight w:val="none"/>
        </w:rPr>
        <w:t>：</w:t>
      </w:r>
      <w:r>
        <w:rPr>
          <w:rFonts w:ascii="仿宋" w:hAnsi="仿宋" w:eastAsia="仿宋" w:cs="仿宋"/>
          <w:sz w:val="24"/>
          <w:szCs w:val="24"/>
          <w:highlight w:val="none"/>
          <w:u w:val="single" w:color="auto"/>
        </w:rPr>
        <w:t xml:space="preserve">                                                </w:t>
      </w:r>
      <w:r>
        <w:rPr>
          <w:rFonts w:ascii="仿宋" w:hAnsi="仿宋" w:eastAsia="仿宋" w:cs="仿宋"/>
          <w:sz w:val="24"/>
          <w:szCs w:val="24"/>
          <w:highlight w:val="none"/>
        </w:rPr>
        <w:t>；</w:t>
      </w:r>
    </w:p>
    <w:p w14:paraId="42BA7262">
      <w:pPr>
        <w:spacing w:before="270" w:line="222" w:lineRule="auto"/>
        <w:ind w:left="491"/>
        <w:rPr>
          <w:rFonts w:ascii="仿宋" w:hAnsi="仿宋" w:eastAsia="仿宋" w:cs="仿宋"/>
          <w:sz w:val="24"/>
          <w:szCs w:val="24"/>
          <w:highlight w:val="none"/>
        </w:rPr>
      </w:pPr>
      <w:r>
        <w:rPr>
          <w:rFonts w:ascii="仿宋" w:hAnsi="仿宋" w:eastAsia="仿宋" w:cs="仿宋"/>
          <w:spacing w:val="-4"/>
          <w:sz w:val="24"/>
          <w:szCs w:val="24"/>
          <w:highlight w:val="none"/>
        </w:rPr>
        <w:t>1.4.2</w:t>
      </w:r>
      <w:r>
        <w:rPr>
          <w:rFonts w:ascii="仿宋" w:hAnsi="仿宋" w:eastAsia="仿宋" w:cs="仿宋"/>
          <w:spacing w:val="24"/>
          <w:sz w:val="24"/>
          <w:szCs w:val="24"/>
          <w:highlight w:val="none"/>
        </w:rPr>
        <w:t xml:space="preserve"> </w:t>
      </w:r>
      <w:r>
        <w:rPr>
          <w:rFonts w:ascii="仿宋" w:hAnsi="仿宋" w:eastAsia="仿宋" w:cs="仿宋"/>
          <w:spacing w:val="-4"/>
          <w:sz w:val="24"/>
          <w:szCs w:val="24"/>
          <w:highlight w:val="none"/>
        </w:rPr>
        <w:t>发票开具方式：</w:t>
      </w:r>
      <w:r>
        <w:rPr>
          <w:rFonts w:ascii="仿宋" w:hAnsi="仿宋" w:eastAsia="仿宋" w:cs="仿宋"/>
          <w:sz w:val="24"/>
          <w:szCs w:val="24"/>
          <w:highlight w:val="none"/>
          <w:u w:val="single" w:color="auto"/>
        </w:rPr>
        <w:t xml:space="preserve">                                            </w:t>
      </w:r>
      <w:r>
        <w:rPr>
          <w:rFonts w:ascii="仿宋" w:hAnsi="仿宋" w:eastAsia="仿宋" w:cs="仿宋"/>
          <w:spacing w:val="-4"/>
          <w:sz w:val="24"/>
          <w:szCs w:val="24"/>
          <w:highlight w:val="none"/>
        </w:rPr>
        <w:t>。</w:t>
      </w:r>
    </w:p>
    <w:p w14:paraId="1165A0EC">
      <w:pPr>
        <w:spacing w:before="272" w:line="221" w:lineRule="auto"/>
        <w:ind w:left="491"/>
        <w:rPr>
          <w:rFonts w:ascii="仿宋" w:hAnsi="仿宋" w:eastAsia="仿宋" w:cs="仿宋"/>
          <w:sz w:val="24"/>
          <w:szCs w:val="24"/>
          <w:highlight w:val="none"/>
        </w:rPr>
      </w:pPr>
      <w:r>
        <w:rPr>
          <w:rFonts w:ascii="仿宋" w:hAnsi="仿宋" w:eastAsia="仿宋" w:cs="仿宋"/>
          <w:b/>
          <w:bCs/>
          <w:spacing w:val="-4"/>
          <w:sz w:val="24"/>
          <w:szCs w:val="24"/>
          <w:highlight w:val="none"/>
        </w:rPr>
        <w:t>1.5</w:t>
      </w:r>
      <w:r>
        <w:rPr>
          <w:rFonts w:ascii="仿宋" w:hAnsi="仿宋" w:eastAsia="仿宋" w:cs="仿宋"/>
          <w:spacing w:val="-4"/>
          <w:sz w:val="24"/>
          <w:szCs w:val="24"/>
          <w:highlight w:val="none"/>
        </w:rPr>
        <w:t xml:space="preserve"> </w:t>
      </w:r>
      <w:r>
        <w:rPr>
          <w:rFonts w:ascii="仿宋" w:hAnsi="仿宋" w:eastAsia="仿宋" w:cs="仿宋"/>
          <w:b/>
          <w:bCs/>
          <w:spacing w:val="-4"/>
          <w:sz w:val="24"/>
          <w:szCs w:val="24"/>
          <w:highlight w:val="none"/>
        </w:rPr>
        <w:t>履行期限、地点和方式</w:t>
      </w:r>
    </w:p>
    <w:p w14:paraId="3D58D693">
      <w:pPr>
        <w:spacing w:before="271" w:line="221" w:lineRule="auto"/>
        <w:ind w:left="491"/>
        <w:rPr>
          <w:rFonts w:ascii="仿宋" w:hAnsi="仿宋" w:eastAsia="仿宋" w:cs="仿宋"/>
          <w:sz w:val="24"/>
          <w:szCs w:val="24"/>
          <w:highlight w:val="none"/>
        </w:rPr>
      </w:pPr>
      <w:r>
        <w:rPr>
          <w:rFonts w:ascii="仿宋" w:hAnsi="仿宋" w:eastAsia="仿宋" w:cs="仿宋"/>
          <w:spacing w:val="-6"/>
          <w:sz w:val="24"/>
          <w:szCs w:val="24"/>
          <w:highlight w:val="none"/>
        </w:rPr>
        <w:t>1.5.1</w:t>
      </w:r>
      <w:r>
        <w:rPr>
          <w:rFonts w:ascii="仿宋" w:hAnsi="仿宋" w:eastAsia="仿宋" w:cs="仿宋"/>
          <w:spacing w:val="22"/>
          <w:sz w:val="24"/>
          <w:szCs w:val="24"/>
          <w:highlight w:val="none"/>
        </w:rPr>
        <w:t xml:space="preserve"> </w:t>
      </w:r>
      <w:r>
        <w:rPr>
          <w:rFonts w:ascii="仿宋" w:hAnsi="仿宋" w:eastAsia="仿宋" w:cs="仿宋"/>
          <w:spacing w:val="-6"/>
          <w:sz w:val="24"/>
          <w:szCs w:val="24"/>
          <w:highlight w:val="none"/>
        </w:rPr>
        <w:t>履行期限</w:t>
      </w:r>
      <w:r>
        <w:rPr>
          <w:rFonts w:ascii="仿宋" w:hAnsi="仿宋" w:eastAsia="仿宋" w:cs="仿宋"/>
          <w:spacing w:val="2"/>
          <w:sz w:val="24"/>
          <w:szCs w:val="24"/>
          <w:highlight w:val="none"/>
        </w:rPr>
        <w:t>：</w:t>
      </w:r>
      <w:r>
        <w:rPr>
          <w:rFonts w:ascii="仿宋" w:hAnsi="仿宋" w:eastAsia="仿宋" w:cs="仿宋"/>
          <w:sz w:val="24"/>
          <w:szCs w:val="24"/>
          <w:highlight w:val="none"/>
          <w:u w:val="single" w:color="auto"/>
        </w:rPr>
        <w:t xml:space="preserve">                                                </w:t>
      </w:r>
      <w:r>
        <w:rPr>
          <w:rFonts w:ascii="仿宋" w:hAnsi="仿宋" w:eastAsia="仿宋" w:cs="仿宋"/>
          <w:spacing w:val="2"/>
          <w:sz w:val="24"/>
          <w:szCs w:val="24"/>
          <w:highlight w:val="none"/>
        </w:rPr>
        <w:t>；</w:t>
      </w:r>
    </w:p>
    <w:p w14:paraId="627B05E3">
      <w:pPr>
        <w:spacing w:before="272" w:line="221" w:lineRule="auto"/>
        <w:ind w:left="491"/>
        <w:rPr>
          <w:rFonts w:ascii="仿宋" w:hAnsi="仿宋" w:eastAsia="仿宋" w:cs="仿宋"/>
          <w:sz w:val="24"/>
          <w:szCs w:val="24"/>
          <w:highlight w:val="none"/>
        </w:rPr>
      </w:pPr>
      <w:r>
        <w:rPr>
          <w:rFonts w:ascii="仿宋" w:hAnsi="仿宋" w:eastAsia="仿宋" w:cs="仿宋"/>
          <w:spacing w:val="-6"/>
          <w:sz w:val="24"/>
          <w:szCs w:val="24"/>
          <w:highlight w:val="none"/>
        </w:rPr>
        <w:t>1.5.2</w:t>
      </w:r>
      <w:r>
        <w:rPr>
          <w:rFonts w:ascii="仿宋" w:hAnsi="仿宋" w:eastAsia="仿宋" w:cs="仿宋"/>
          <w:spacing w:val="22"/>
          <w:sz w:val="24"/>
          <w:szCs w:val="24"/>
          <w:highlight w:val="none"/>
        </w:rPr>
        <w:t xml:space="preserve"> </w:t>
      </w:r>
      <w:r>
        <w:rPr>
          <w:rFonts w:ascii="仿宋" w:hAnsi="仿宋" w:eastAsia="仿宋" w:cs="仿宋"/>
          <w:spacing w:val="-6"/>
          <w:sz w:val="24"/>
          <w:szCs w:val="24"/>
          <w:highlight w:val="none"/>
        </w:rPr>
        <w:t>履行地点</w:t>
      </w:r>
      <w:r>
        <w:rPr>
          <w:rFonts w:ascii="仿宋" w:hAnsi="仿宋" w:eastAsia="仿宋" w:cs="仿宋"/>
          <w:spacing w:val="2"/>
          <w:sz w:val="24"/>
          <w:szCs w:val="24"/>
          <w:highlight w:val="none"/>
        </w:rPr>
        <w:t>：</w:t>
      </w:r>
      <w:r>
        <w:rPr>
          <w:rFonts w:ascii="仿宋" w:hAnsi="仿宋" w:eastAsia="仿宋" w:cs="仿宋"/>
          <w:sz w:val="24"/>
          <w:szCs w:val="24"/>
          <w:highlight w:val="none"/>
          <w:u w:val="single" w:color="auto"/>
        </w:rPr>
        <w:t xml:space="preserve">                                                </w:t>
      </w:r>
      <w:r>
        <w:rPr>
          <w:rFonts w:ascii="仿宋" w:hAnsi="仿宋" w:eastAsia="仿宋" w:cs="仿宋"/>
          <w:spacing w:val="2"/>
          <w:sz w:val="24"/>
          <w:szCs w:val="24"/>
          <w:highlight w:val="none"/>
        </w:rPr>
        <w:t>；</w:t>
      </w:r>
    </w:p>
    <w:p w14:paraId="1F88C496">
      <w:pPr>
        <w:spacing w:before="274" w:line="221" w:lineRule="auto"/>
        <w:ind w:left="491"/>
        <w:rPr>
          <w:rFonts w:ascii="仿宋" w:hAnsi="仿宋" w:eastAsia="仿宋" w:cs="仿宋"/>
          <w:sz w:val="24"/>
          <w:szCs w:val="24"/>
          <w:highlight w:val="none"/>
        </w:rPr>
      </w:pPr>
      <w:r>
        <w:rPr>
          <w:rFonts w:ascii="仿宋" w:hAnsi="仿宋" w:eastAsia="仿宋" w:cs="仿宋"/>
          <w:spacing w:val="-3"/>
          <w:sz w:val="24"/>
          <w:szCs w:val="24"/>
          <w:highlight w:val="none"/>
        </w:rPr>
        <w:t>1.5.3</w:t>
      </w:r>
      <w:r>
        <w:rPr>
          <w:rFonts w:ascii="仿宋" w:hAnsi="仿宋" w:eastAsia="仿宋" w:cs="仿宋"/>
          <w:spacing w:val="32"/>
          <w:sz w:val="24"/>
          <w:szCs w:val="24"/>
          <w:highlight w:val="none"/>
        </w:rPr>
        <w:t xml:space="preserve"> </w:t>
      </w:r>
      <w:r>
        <w:rPr>
          <w:rFonts w:ascii="仿宋" w:hAnsi="仿宋" w:eastAsia="仿宋" w:cs="仿宋"/>
          <w:spacing w:val="-3"/>
          <w:sz w:val="24"/>
          <w:szCs w:val="24"/>
          <w:highlight w:val="none"/>
        </w:rPr>
        <w:t>履行方式：</w:t>
      </w:r>
      <w:r>
        <w:rPr>
          <w:rFonts w:ascii="仿宋" w:hAnsi="仿宋" w:eastAsia="仿宋" w:cs="仿宋"/>
          <w:spacing w:val="-3"/>
          <w:sz w:val="24"/>
          <w:szCs w:val="24"/>
          <w:highlight w:val="none"/>
          <w:u w:val="single" w:color="auto"/>
        </w:rPr>
        <w:t xml:space="preserve">                                                 </w:t>
      </w:r>
      <w:r>
        <w:rPr>
          <w:rFonts w:ascii="仿宋" w:hAnsi="仿宋" w:eastAsia="仿宋" w:cs="仿宋"/>
          <w:spacing w:val="-3"/>
          <w:sz w:val="24"/>
          <w:szCs w:val="24"/>
          <w:highlight w:val="none"/>
        </w:rPr>
        <w:t>。</w:t>
      </w:r>
    </w:p>
    <w:p w14:paraId="66D93899">
      <w:pPr>
        <w:spacing w:before="272" w:line="223" w:lineRule="auto"/>
        <w:ind w:left="491"/>
        <w:rPr>
          <w:rFonts w:ascii="仿宋" w:hAnsi="仿宋" w:eastAsia="仿宋" w:cs="仿宋"/>
          <w:sz w:val="24"/>
          <w:szCs w:val="24"/>
          <w:highlight w:val="none"/>
        </w:rPr>
      </w:pPr>
      <w:r>
        <w:rPr>
          <w:rFonts w:ascii="仿宋" w:hAnsi="仿宋" w:eastAsia="仿宋" w:cs="仿宋"/>
          <w:b/>
          <w:bCs/>
          <w:spacing w:val="-9"/>
          <w:sz w:val="24"/>
          <w:szCs w:val="24"/>
          <w:highlight w:val="none"/>
        </w:rPr>
        <w:t>1.6</w:t>
      </w:r>
      <w:r>
        <w:rPr>
          <w:rFonts w:ascii="仿宋" w:hAnsi="仿宋" w:eastAsia="仿宋" w:cs="仿宋"/>
          <w:spacing w:val="22"/>
          <w:sz w:val="24"/>
          <w:szCs w:val="24"/>
          <w:highlight w:val="none"/>
        </w:rPr>
        <w:t xml:space="preserve"> </w:t>
      </w:r>
      <w:r>
        <w:rPr>
          <w:rFonts w:ascii="仿宋" w:hAnsi="仿宋" w:eastAsia="仿宋" w:cs="仿宋"/>
          <w:b/>
          <w:bCs/>
          <w:spacing w:val="-9"/>
          <w:sz w:val="24"/>
          <w:szCs w:val="24"/>
          <w:highlight w:val="none"/>
        </w:rPr>
        <w:t>违约责任</w:t>
      </w:r>
    </w:p>
    <w:p w14:paraId="589BFFAA">
      <w:pPr>
        <w:spacing w:before="271" w:line="425" w:lineRule="auto"/>
        <w:ind w:firstLine="491"/>
        <w:jc w:val="both"/>
        <w:rPr>
          <w:rFonts w:ascii="仿宋" w:hAnsi="仿宋" w:eastAsia="仿宋" w:cs="仿宋"/>
          <w:sz w:val="24"/>
          <w:szCs w:val="24"/>
          <w:highlight w:val="none"/>
        </w:rPr>
      </w:pPr>
      <w:r>
        <w:rPr>
          <w:rFonts w:ascii="仿宋" w:hAnsi="仿宋" w:eastAsia="仿宋" w:cs="仿宋"/>
          <w:spacing w:val="-2"/>
          <w:sz w:val="24"/>
          <w:szCs w:val="24"/>
          <w:highlight w:val="none"/>
        </w:rPr>
        <w:t>1.6.1 除不可抗力外，如果乙方没有按照本合同约定的期限、地点</w:t>
      </w:r>
      <w:r>
        <w:rPr>
          <w:rFonts w:ascii="仿宋" w:hAnsi="仿宋" w:eastAsia="仿宋" w:cs="仿宋"/>
          <w:spacing w:val="-3"/>
          <w:sz w:val="24"/>
          <w:szCs w:val="24"/>
          <w:highlight w:val="none"/>
        </w:rPr>
        <w:t>和方式履行，</w:t>
      </w:r>
      <w:r>
        <w:rPr>
          <w:rFonts w:ascii="仿宋" w:hAnsi="仿宋" w:eastAsia="仿宋" w:cs="仿宋"/>
          <w:sz w:val="24"/>
          <w:szCs w:val="24"/>
          <w:highlight w:val="none"/>
        </w:rPr>
        <w:t xml:space="preserve"> </w:t>
      </w:r>
      <w:r>
        <w:rPr>
          <w:rFonts w:ascii="仿宋" w:hAnsi="仿宋" w:eastAsia="仿宋" w:cs="仿宋"/>
          <w:spacing w:val="-2"/>
          <w:sz w:val="24"/>
          <w:szCs w:val="24"/>
          <w:highlight w:val="none"/>
        </w:rPr>
        <w:t>那么甲方可要求乙方支付违约金，违约金按每迟延履行一日的应提供而未提供</w:t>
      </w:r>
      <w:r>
        <w:rPr>
          <w:rFonts w:ascii="仿宋" w:hAnsi="仿宋" w:eastAsia="仿宋" w:cs="仿宋"/>
          <w:spacing w:val="-3"/>
          <w:sz w:val="24"/>
          <w:szCs w:val="24"/>
          <w:highlight w:val="none"/>
        </w:rPr>
        <w:t>服务价</w:t>
      </w:r>
      <w:r>
        <w:rPr>
          <w:rFonts w:ascii="仿宋" w:hAnsi="仿宋" w:eastAsia="仿宋" w:cs="仿宋"/>
          <w:sz w:val="24"/>
          <w:szCs w:val="24"/>
          <w:highlight w:val="none"/>
        </w:rPr>
        <w:t xml:space="preserve"> </w:t>
      </w:r>
      <w:r>
        <w:rPr>
          <w:rFonts w:ascii="仿宋" w:hAnsi="仿宋" w:eastAsia="仿宋" w:cs="仿宋"/>
          <w:spacing w:val="1"/>
          <w:sz w:val="24"/>
          <w:szCs w:val="24"/>
          <w:highlight w:val="none"/>
        </w:rPr>
        <w:t>格的</w:t>
      </w:r>
      <w:r>
        <w:rPr>
          <w:rFonts w:ascii="仿宋" w:hAnsi="仿宋" w:eastAsia="仿宋" w:cs="仿宋"/>
          <w:spacing w:val="1"/>
          <w:sz w:val="24"/>
          <w:szCs w:val="24"/>
          <w:highlight w:val="none"/>
          <w:u w:val="single" w:color="auto"/>
        </w:rPr>
        <w:t xml:space="preserve">    </w:t>
      </w:r>
      <w:r>
        <w:rPr>
          <w:rFonts w:ascii="仿宋" w:hAnsi="仿宋" w:eastAsia="仿宋" w:cs="仿宋"/>
          <w:spacing w:val="1"/>
          <w:sz w:val="24"/>
          <w:szCs w:val="24"/>
          <w:highlight w:val="none"/>
        </w:rPr>
        <w:t>%计算，最高限额为本合同总价的</w:t>
      </w:r>
      <w:r>
        <w:rPr>
          <w:rFonts w:ascii="仿宋" w:hAnsi="仿宋" w:eastAsia="仿宋" w:cs="仿宋"/>
          <w:spacing w:val="1"/>
          <w:sz w:val="24"/>
          <w:szCs w:val="24"/>
          <w:highlight w:val="none"/>
          <w:u w:val="single" w:color="auto"/>
        </w:rPr>
        <w:t xml:space="preserve">     </w:t>
      </w:r>
      <w:r>
        <w:rPr>
          <w:rFonts w:ascii="仿宋" w:hAnsi="仿宋" w:eastAsia="仿宋" w:cs="仿宋"/>
          <w:spacing w:val="1"/>
          <w:sz w:val="24"/>
          <w:szCs w:val="24"/>
          <w:highlight w:val="none"/>
        </w:rPr>
        <w:t xml:space="preserve">%；迟延履行的违约金计算数额达到 </w:t>
      </w:r>
      <w:r>
        <w:rPr>
          <w:rFonts w:ascii="仿宋" w:hAnsi="仿宋" w:eastAsia="仿宋" w:cs="仿宋"/>
          <w:spacing w:val="-2"/>
          <w:sz w:val="24"/>
          <w:szCs w:val="24"/>
          <w:highlight w:val="none"/>
        </w:rPr>
        <w:t>前述最高限额之日起，甲方有权在要求乙方支付违约金的同时，书面通知乙方</w:t>
      </w:r>
      <w:r>
        <w:rPr>
          <w:rFonts w:ascii="仿宋" w:hAnsi="仿宋" w:eastAsia="仿宋" w:cs="仿宋"/>
          <w:spacing w:val="-3"/>
          <w:sz w:val="24"/>
          <w:szCs w:val="24"/>
          <w:highlight w:val="none"/>
        </w:rPr>
        <w:t>解除本</w:t>
      </w:r>
      <w:r>
        <w:rPr>
          <w:rFonts w:ascii="仿宋" w:hAnsi="仿宋" w:eastAsia="仿宋" w:cs="仿宋"/>
          <w:sz w:val="24"/>
          <w:szCs w:val="24"/>
          <w:highlight w:val="none"/>
        </w:rPr>
        <w:t xml:space="preserve"> </w:t>
      </w:r>
      <w:r>
        <w:rPr>
          <w:rFonts w:ascii="仿宋" w:hAnsi="仿宋" w:eastAsia="仿宋" w:cs="仿宋"/>
          <w:spacing w:val="-6"/>
          <w:sz w:val="24"/>
          <w:szCs w:val="24"/>
          <w:highlight w:val="none"/>
        </w:rPr>
        <w:t>合同；</w:t>
      </w:r>
    </w:p>
    <w:p w14:paraId="7D9C68B4">
      <w:pPr>
        <w:spacing w:before="35" w:line="423" w:lineRule="auto"/>
        <w:ind w:left="1" w:right="5" w:firstLine="489"/>
        <w:jc w:val="both"/>
        <w:rPr>
          <w:rFonts w:ascii="仿宋" w:hAnsi="仿宋" w:eastAsia="仿宋" w:cs="仿宋"/>
          <w:sz w:val="24"/>
          <w:szCs w:val="24"/>
          <w:highlight w:val="none"/>
        </w:rPr>
      </w:pPr>
      <w:r>
        <w:rPr>
          <w:rFonts w:ascii="仿宋" w:hAnsi="仿宋" w:eastAsia="仿宋" w:cs="仿宋"/>
          <w:spacing w:val="-2"/>
          <w:sz w:val="24"/>
          <w:szCs w:val="24"/>
          <w:highlight w:val="none"/>
        </w:rPr>
        <w:t>1.6.2 除不可抗力外，如果甲方没有按照本合同约定</w:t>
      </w:r>
      <w:r>
        <w:rPr>
          <w:rFonts w:ascii="仿宋" w:hAnsi="仿宋" w:eastAsia="仿宋" w:cs="仿宋"/>
          <w:spacing w:val="-3"/>
          <w:sz w:val="24"/>
          <w:szCs w:val="24"/>
          <w:highlight w:val="none"/>
        </w:rPr>
        <w:t>的付款方式付款，那么乙方</w:t>
      </w:r>
      <w:r>
        <w:rPr>
          <w:rFonts w:ascii="仿宋" w:hAnsi="仿宋" w:eastAsia="仿宋" w:cs="仿宋"/>
          <w:sz w:val="24"/>
          <w:szCs w:val="24"/>
          <w:highlight w:val="none"/>
        </w:rPr>
        <w:t xml:space="preserve"> </w:t>
      </w:r>
      <w:r>
        <w:rPr>
          <w:rFonts w:ascii="仿宋" w:hAnsi="仿宋" w:eastAsia="仿宋" w:cs="仿宋"/>
          <w:spacing w:val="-1"/>
          <w:sz w:val="24"/>
          <w:szCs w:val="24"/>
          <w:highlight w:val="none"/>
        </w:rPr>
        <w:t>可要求甲方支付违约金，违约金按每迟延付款一</w:t>
      </w:r>
      <w:r>
        <w:rPr>
          <w:rFonts w:ascii="仿宋" w:hAnsi="仿宋" w:eastAsia="仿宋" w:cs="仿宋"/>
          <w:spacing w:val="-39"/>
          <w:sz w:val="24"/>
          <w:szCs w:val="24"/>
          <w:highlight w:val="none"/>
        </w:rPr>
        <w:t xml:space="preserve"> </w:t>
      </w:r>
      <w:r>
        <w:rPr>
          <w:rFonts w:ascii="仿宋" w:hAnsi="仿宋" w:eastAsia="仿宋" w:cs="仿宋"/>
          <w:spacing w:val="-1"/>
          <w:sz w:val="24"/>
          <w:szCs w:val="24"/>
          <w:highlight w:val="none"/>
        </w:rPr>
        <w:t>日的应付而未付款的</w:t>
      </w:r>
      <w:r>
        <w:rPr>
          <w:rFonts w:ascii="仿宋" w:hAnsi="仿宋" w:eastAsia="仿宋" w:cs="仿宋"/>
          <w:spacing w:val="-1"/>
          <w:sz w:val="24"/>
          <w:szCs w:val="24"/>
          <w:highlight w:val="none"/>
          <w:u w:val="single" w:color="auto"/>
        </w:rPr>
        <w:t xml:space="preserve">    </w:t>
      </w:r>
      <w:r>
        <w:rPr>
          <w:rFonts w:ascii="仿宋" w:hAnsi="仿宋" w:eastAsia="仿宋" w:cs="仿宋"/>
          <w:spacing w:val="-1"/>
          <w:sz w:val="24"/>
          <w:szCs w:val="24"/>
          <w:highlight w:val="none"/>
        </w:rPr>
        <w:t>%计算，最</w:t>
      </w:r>
      <w:r>
        <w:rPr>
          <w:rFonts w:ascii="仿宋" w:hAnsi="仿宋" w:eastAsia="仿宋" w:cs="仿宋"/>
          <w:sz w:val="24"/>
          <w:szCs w:val="24"/>
          <w:highlight w:val="none"/>
        </w:rPr>
        <w:t xml:space="preserve"> </w:t>
      </w:r>
      <w:r>
        <w:rPr>
          <w:rFonts w:ascii="仿宋" w:hAnsi="仿宋" w:eastAsia="仿宋" w:cs="仿宋"/>
          <w:spacing w:val="4"/>
          <w:sz w:val="24"/>
          <w:szCs w:val="24"/>
          <w:highlight w:val="none"/>
        </w:rPr>
        <w:t>高限额为本合同总价的</w:t>
      </w:r>
      <w:r>
        <w:rPr>
          <w:rFonts w:ascii="仿宋" w:hAnsi="仿宋" w:eastAsia="仿宋" w:cs="仿宋"/>
          <w:spacing w:val="-118"/>
          <w:sz w:val="24"/>
          <w:szCs w:val="24"/>
          <w:highlight w:val="none"/>
        </w:rPr>
        <w:t xml:space="preserve"> </w:t>
      </w:r>
      <w:r>
        <w:rPr>
          <w:rFonts w:ascii="仿宋" w:hAnsi="仿宋" w:eastAsia="仿宋" w:cs="仿宋"/>
          <w:spacing w:val="4"/>
          <w:sz w:val="24"/>
          <w:szCs w:val="24"/>
          <w:highlight w:val="none"/>
          <w:u w:val="single" w:color="auto"/>
        </w:rPr>
        <w:t xml:space="preserve">     </w:t>
      </w:r>
      <w:r>
        <w:rPr>
          <w:rFonts w:ascii="仿宋" w:hAnsi="仿宋" w:eastAsia="仿宋" w:cs="仿宋"/>
          <w:spacing w:val="-114"/>
          <w:sz w:val="24"/>
          <w:szCs w:val="24"/>
          <w:highlight w:val="none"/>
        </w:rPr>
        <w:t xml:space="preserve"> </w:t>
      </w:r>
      <w:r>
        <w:rPr>
          <w:rFonts w:ascii="仿宋" w:hAnsi="仿宋" w:eastAsia="仿宋" w:cs="仿宋"/>
          <w:spacing w:val="4"/>
          <w:sz w:val="24"/>
          <w:szCs w:val="24"/>
          <w:highlight w:val="none"/>
        </w:rPr>
        <w:t>%；迟延付款的违约金计算数额达到前述最</w:t>
      </w:r>
      <w:r>
        <w:rPr>
          <w:rFonts w:ascii="仿宋" w:hAnsi="仿宋" w:eastAsia="仿宋" w:cs="仿宋"/>
          <w:spacing w:val="3"/>
          <w:sz w:val="24"/>
          <w:szCs w:val="24"/>
          <w:highlight w:val="none"/>
        </w:rPr>
        <w:t>高限额之日</w:t>
      </w:r>
      <w:r>
        <w:rPr>
          <w:rFonts w:ascii="仿宋" w:hAnsi="仿宋" w:eastAsia="仿宋" w:cs="仿宋"/>
          <w:sz w:val="24"/>
          <w:szCs w:val="24"/>
          <w:highlight w:val="none"/>
        </w:rPr>
        <w:t xml:space="preserve"> </w:t>
      </w:r>
      <w:r>
        <w:rPr>
          <w:rFonts w:ascii="仿宋" w:hAnsi="仿宋" w:eastAsia="仿宋" w:cs="仿宋"/>
          <w:spacing w:val="-1"/>
          <w:sz w:val="24"/>
          <w:szCs w:val="24"/>
          <w:highlight w:val="none"/>
        </w:rPr>
        <w:t>起，乙方有权在要求甲方支付违约金的同时，书面通知甲方解除本合同；</w:t>
      </w:r>
    </w:p>
    <w:p w14:paraId="774F2B6B">
      <w:pPr>
        <w:spacing w:before="78" w:line="425" w:lineRule="auto"/>
        <w:ind w:left="1"/>
        <w:jc w:val="both"/>
        <w:rPr>
          <w:rFonts w:ascii="仿宋" w:hAnsi="仿宋" w:eastAsia="仿宋" w:cs="仿宋"/>
          <w:sz w:val="24"/>
          <w:szCs w:val="24"/>
          <w:highlight w:val="none"/>
        </w:rPr>
      </w:pPr>
      <w:r>
        <w:rPr>
          <w:rFonts w:ascii="仿宋" w:hAnsi="仿宋" w:eastAsia="仿宋" w:cs="仿宋"/>
          <w:spacing w:val="-2"/>
          <w:sz w:val="24"/>
          <w:szCs w:val="24"/>
          <w:highlight w:val="none"/>
        </w:rPr>
        <w:t>1.6.3 除不可抗力外，任何一方未能履行本合同约定</w:t>
      </w:r>
      <w:r>
        <w:rPr>
          <w:rFonts w:ascii="仿宋" w:hAnsi="仿宋" w:eastAsia="仿宋" w:cs="仿宋"/>
          <w:spacing w:val="-3"/>
          <w:sz w:val="24"/>
          <w:szCs w:val="24"/>
          <w:highlight w:val="none"/>
        </w:rPr>
        <w:t>的其他主要义务，经催告后</w:t>
      </w:r>
      <w:r>
        <w:rPr>
          <w:rFonts w:ascii="仿宋" w:hAnsi="仿宋" w:eastAsia="仿宋" w:cs="仿宋"/>
          <w:spacing w:val="-2"/>
          <w:sz w:val="24"/>
          <w:szCs w:val="24"/>
          <w:highlight w:val="none"/>
        </w:rPr>
        <w:t>在合理期限内仍未履行的，或者任何一方有其他违约行为致使不能实现合同目的的，</w:t>
      </w:r>
      <w:r>
        <w:rPr>
          <w:rFonts w:ascii="仿宋" w:hAnsi="仿宋" w:eastAsia="仿宋" w:cs="仿宋"/>
          <w:sz w:val="24"/>
          <w:szCs w:val="24"/>
          <w:highlight w:val="none"/>
        </w:rPr>
        <w:t xml:space="preserve"> </w:t>
      </w:r>
      <w:r>
        <w:rPr>
          <w:rFonts w:ascii="仿宋" w:hAnsi="仿宋" w:eastAsia="仿宋" w:cs="仿宋"/>
          <w:spacing w:val="-2"/>
          <w:sz w:val="24"/>
          <w:szCs w:val="24"/>
          <w:highlight w:val="none"/>
        </w:rPr>
        <w:t>或者任何一方有腐败行为（即：提供或给予或接受或索取任何财物或其他好</w:t>
      </w:r>
      <w:r>
        <w:rPr>
          <w:rFonts w:ascii="仿宋" w:hAnsi="仿宋" w:eastAsia="仿宋" w:cs="仿宋"/>
          <w:spacing w:val="-3"/>
          <w:sz w:val="24"/>
          <w:szCs w:val="24"/>
          <w:highlight w:val="none"/>
        </w:rPr>
        <w:t>处或者采</w:t>
      </w:r>
      <w:r>
        <w:rPr>
          <w:rFonts w:ascii="仿宋" w:hAnsi="仿宋" w:eastAsia="仿宋" w:cs="仿宋"/>
          <w:sz w:val="24"/>
          <w:szCs w:val="24"/>
          <w:highlight w:val="none"/>
        </w:rPr>
        <w:t xml:space="preserve"> </w:t>
      </w:r>
      <w:r>
        <w:rPr>
          <w:rFonts w:ascii="仿宋" w:hAnsi="仿宋" w:eastAsia="仿宋" w:cs="仿宋"/>
          <w:spacing w:val="-2"/>
          <w:sz w:val="24"/>
          <w:szCs w:val="24"/>
          <w:highlight w:val="none"/>
        </w:rPr>
        <w:t>取其他不正当手段来影响对方当事人在合同签订、履行过程中的行为）或者</w:t>
      </w:r>
      <w:r>
        <w:rPr>
          <w:rFonts w:ascii="仿宋" w:hAnsi="仿宋" w:eastAsia="仿宋" w:cs="仿宋"/>
          <w:spacing w:val="-3"/>
          <w:sz w:val="24"/>
          <w:szCs w:val="24"/>
          <w:highlight w:val="none"/>
        </w:rPr>
        <w:t>欺诈行为</w:t>
      </w:r>
      <w:r>
        <w:rPr>
          <w:rFonts w:ascii="仿宋" w:hAnsi="仿宋" w:eastAsia="仿宋" w:cs="仿宋"/>
          <w:sz w:val="24"/>
          <w:szCs w:val="24"/>
          <w:highlight w:val="none"/>
        </w:rPr>
        <w:t xml:space="preserve"> </w:t>
      </w:r>
      <w:r>
        <w:rPr>
          <w:rFonts w:ascii="仿宋" w:hAnsi="仿宋" w:eastAsia="仿宋" w:cs="仿宋"/>
          <w:spacing w:val="-2"/>
          <w:sz w:val="24"/>
          <w:szCs w:val="24"/>
          <w:highlight w:val="none"/>
        </w:rPr>
        <w:t>（即：以谎报事实或隐瞒真相的方法来影响对方当事人在合同签订、履行过</w:t>
      </w:r>
      <w:r>
        <w:rPr>
          <w:rFonts w:ascii="仿宋" w:hAnsi="仿宋" w:eastAsia="仿宋" w:cs="仿宋"/>
          <w:spacing w:val="-3"/>
          <w:sz w:val="24"/>
          <w:szCs w:val="24"/>
          <w:highlight w:val="none"/>
        </w:rPr>
        <w:t>程中的行</w:t>
      </w:r>
      <w:r>
        <w:rPr>
          <w:rFonts w:ascii="仿宋" w:hAnsi="仿宋" w:eastAsia="仿宋" w:cs="仿宋"/>
          <w:sz w:val="24"/>
          <w:szCs w:val="24"/>
          <w:highlight w:val="none"/>
        </w:rPr>
        <w:t xml:space="preserve"> </w:t>
      </w:r>
      <w:r>
        <w:rPr>
          <w:rFonts w:ascii="仿宋" w:hAnsi="仿宋" w:eastAsia="仿宋" w:cs="仿宋"/>
          <w:spacing w:val="-1"/>
          <w:sz w:val="24"/>
          <w:szCs w:val="24"/>
          <w:highlight w:val="none"/>
        </w:rPr>
        <w:t>为）的，对方当事人可以书面通知违约方解除本合同；</w:t>
      </w:r>
    </w:p>
    <w:p w14:paraId="0D350457">
      <w:pPr>
        <w:spacing w:before="37" w:line="425" w:lineRule="auto"/>
        <w:ind w:right="2" w:firstLine="490"/>
        <w:jc w:val="both"/>
        <w:rPr>
          <w:rFonts w:ascii="仿宋" w:hAnsi="仿宋" w:eastAsia="仿宋" w:cs="仿宋"/>
          <w:sz w:val="24"/>
          <w:szCs w:val="24"/>
          <w:highlight w:val="none"/>
        </w:rPr>
      </w:pPr>
      <w:r>
        <w:rPr>
          <w:rFonts w:ascii="仿宋" w:hAnsi="仿宋" w:eastAsia="仿宋" w:cs="仿宋"/>
          <w:spacing w:val="-2"/>
          <w:sz w:val="24"/>
          <w:szCs w:val="24"/>
          <w:highlight w:val="none"/>
        </w:rPr>
        <w:t>1.6.4 任何一方按照前述约定要求违约方支付违约金</w:t>
      </w:r>
      <w:r>
        <w:rPr>
          <w:rFonts w:ascii="仿宋" w:hAnsi="仿宋" w:eastAsia="仿宋" w:cs="仿宋"/>
          <w:spacing w:val="-3"/>
          <w:sz w:val="24"/>
          <w:szCs w:val="24"/>
          <w:highlight w:val="none"/>
        </w:rPr>
        <w:t>的同时，仍有权要求违约方</w:t>
      </w:r>
      <w:r>
        <w:rPr>
          <w:rFonts w:ascii="仿宋" w:hAnsi="仿宋" w:eastAsia="仿宋" w:cs="仿宋"/>
          <w:sz w:val="24"/>
          <w:szCs w:val="24"/>
          <w:highlight w:val="none"/>
        </w:rPr>
        <w:t xml:space="preserve"> </w:t>
      </w:r>
      <w:r>
        <w:rPr>
          <w:rFonts w:ascii="仿宋" w:hAnsi="仿宋" w:eastAsia="仿宋" w:cs="仿宋"/>
          <w:spacing w:val="-2"/>
          <w:sz w:val="24"/>
          <w:szCs w:val="24"/>
          <w:highlight w:val="none"/>
        </w:rPr>
        <w:t>继续履行合同、采取补救措施，并有权按照己方实际损失情况要求违约方赔偿损失；</w:t>
      </w:r>
      <w:r>
        <w:rPr>
          <w:rFonts w:ascii="仿宋" w:hAnsi="仿宋" w:eastAsia="仿宋" w:cs="仿宋"/>
          <w:sz w:val="24"/>
          <w:szCs w:val="24"/>
          <w:highlight w:val="none"/>
        </w:rPr>
        <w:t xml:space="preserve"> </w:t>
      </w:r>
      <w:r>
        <w:rPr>
          <w:rFonts w:ascii="仿宋" w:hAnsi="仿宋" w:eastAsia="仿宋" w:cs="仿宋"/>
          <w:spacing w:val="-2"/>
          <w:sz w:val="24"/>
          <w:szCs w:val="24"/>
          <w:highlight w:val="none"/>
        </w:rPr>
        <w:t>任何一方按照前述约定要求解除本合同的同时，仍有权要求违约方支付违约金</w:t>
      </w:r>
      <w:r>
        <w:rPr>
          <w:rFonts w:ascii="仿宋" w:hAnsi="仿宋" w:eastAsia="仿宋" w:cs="仿宋"/>
          <w:spacing w:val="-3"/>
          <w:sz w:val="24"/>
          <w:szCs w:val="24"/>
          <w:highlight w:val="none"/>
        </w:rPr>
        <w:t>和按照</w:t>
      </w:r>
      <w:r>
        <w:rPr>
          <w:rFonts w:ascii="仿宋" w:hAnsi="仿宋" w:eastAsia="仿宋" w:cs="仿宋"/>
          <w:sz w:val="24"/>
          <w:szCs w:val="24"/>
          <w:highlight w:val="none"/>
        </w:rPr>
        <w:t xml:space="preserve"> </w:t>
      </w:r>
      <w:r>
        <w:rPr>
          <w:rFonts w:ascii="仿宋" w:hAnsi="仿宋" w:eastAsia="仿宋" w:cs="仿宋"/>
          <w:spacing w:val="-2"/>
          <w:sz w:val="24"/>
          <w:szCs w:val="24"/>
          <w:highlight w:val="none"/>
        </w:rPr>
        <w:t>己方实际损失情况要求违约方赔偿损失；且守约方行使的任何权利救济方式均</w:t>
      </w:r>
      <w:r>
        <w:rPr>
          <w:rFonts w:ascii="仿宋" w:hAnsi="仿宋" w:eastAsia="仿宋" w:cs="仿宋"/>
          <w:spacing w:val="-3"/>
          <w:sz w:val="24"/>
          <w:szCs w:val="24"/>
          <w:highlight w:val="none"/>
        </w:rPr>
        <w:t>不视为</w:t>
      </w:r>
      <w:r>
        <w:rPr>
          <w:rFonts w:ascii="仿宋" w:hAnsi="仿宋" w:eastAsia="仿宋" w:cs="仿宋"/>
          <w:sz w:val="24"/>
          <w:szCs w:val="24"/>
          <w:highlight w:val="none"/>
        </w:rPr>
        <w:t xml:space="preserve"> </w:t>
      </w:r>
      <w:r>
        <w:rPr>
          <w:rFonts w:ascii="仿宋" w:hAnsi="仿宋" w:eastAsia="仿宋" w:cs="仿宋"/>
          <w:spacing w:val="-1"/>
          <w:sz w:val="24"/>
          <w:szCs w:val="24"/>
          <w:highlight w:val="none"/>
        </w:rPr>
        <w:t>其放弃了其他法定或者约定的权利救济方式；</w:t>
      </w:r>
    </w:p>
    <w:p w14:paraId="6527870C">
      <w:pPr>
        <w:spacing w:before="38" w:line="421" w:lineRule="auto"/>
        <w:ind w:right="5" w:firstLine="490"/>
        <w:jc w:val="both"/>
        <w:rPr>
          <w:rFonts w:ascii="仿宋" w:hAnsi="仿宋" w:eastAsia="仿宋" w:cs="仿宋"/>
          <w:sz w:val="24"/>
          <w:szCs w:val="24"/>
          <w:highlight w:val="none"/>
        </w:rPr>
      </w:pPr>
      <w:r>
        <w:rPr>
          <w:rFonts w:ascii="仿宋" w:hAnsi="仿宋" w:eastAsia="仿宋" w:cs="仿宋"/>
          <w:spacing w:val="-2"/>
          <w:sz w:val="24"/>
          <w:szCs w:val="24"/>
          <w:highlight w:val="none"/>
        </w:rPr>
        <w:t>1.6.5 除前述约定外，除不可抗力外，任何一方未能</w:t>
      </w:r>
      <w:r>
        <w:rPr>
          <w:rFonts w:ascii="仿宋" w:hAnsi="仿宋" w:eastAsia="仿宋" w:cs="仿宋"/>
          <w:spacing w:val="-3"/>
          <w:sz w:val="24"/>
          <w:szCs w:val="24"/>
          <w:highlight w:val="none"/>
        </w:rPr>
        <w:t>履行本合同约定的义务，对</w:t>
      </w:r>
      <w:r>
        <w:rPr>
          <w:rFonts w:ascii="仿宋" w:hAnsi="仿宋" w:eastAsia="仿宋" w:cs="仿宋"/>
          <w:sz w:val="24"/>
          <w:szCs w:val="24"/>
          <w:highlight w:val="none"/>
        </w:rPr>
        <w:t xml:space="preserve"> </w:t>
      </w:r>
      <w:r>
        <w:rPr>
          <w:rFonts w:ascii="仿宋" w:hAnsi="仿宋" w:eastAsia="仿宋" w:cs="仿宋"/>
          <w:spacing w:val="-2"/>
          <w:sz w:val="24"/>
          <w:szCs w:val="24"/>
          <w:highlight w:val="none"/>
        </w:rPr>
        <w:t>方当事人均有权要求继续履行、采取补救措施或者赔偿损失等，且对方当事人</w:t>
      </w:r>
      <w:r>
        <w:rPr>
          <w:rFonts w:ascii="仿宋" w:hAnsi="仿宋" w:eastAsia="仿宋" w:cs="仿宋"/>
          <w:spacing w:val="-3"/>
          <w:sz w:val="24"/>
          <w:szCs w:val="24"/>
          <w:highlight w:val="none"/>
        </w:rPr>
        <w:t>行使的</w:t>
      </w:r>
      <w:r>
        <w:rPr>
          <w:rFonts w:ascii="仿宋" w:hAnsi="仿宋" w:eastAsia="仿宋" w:cs="仿宋"/>
          <w:sz w:val="24"/>
          <w:szCs w:val="24"/>
          <w:highlight w:val="none"/>
        </w:rPr>
        <w:t xml:space="preserve"> </w:t>
      </w:r>
      <w:r>
        <w:rPr>
          <w:rFonts w:ascii="仿宋" w:hAnsi="仿宋" w:eastAsia="仿宋" w:cs="仿宋"/>
          <w:spacing w:val="-1"/>
          <w:sz w:val="24"/>
          <w:szCs w:val="24"/>
          <w:highlight w:val="none"/>
        </w:rPr>
        <w:t>任何权利救济方式均不视为其放弃了其他法定或者约定的权利救济方式；</w:t>
      </w:r>
    </w:p>
    <w:p w14:paraId="2BFF7CE0">
      <w:pPr>
        <w:spacing w:before="39" w:line="421" w:lineRule="auto"/>
        <w:ind w:left="2" w:right="5" w:firstLine="488"/>
        <w:jc w:val="both"/>
        <w:rPr>
          <w:rFonts w:ascii="仿宋" w:hAnsi="仿宋" w:eastAsia="仿宋" w:cs="仿宋"/>
          <w:sz w:val="24"/>
          <w:szCs w:val="24"/>
          <w:highlight w:val="none"/>
        </w:rPr>
      </w:pPr>
      <w:r>
        <w:rPr>
          <w:rFonts w:ascii="仿宋" w:hAnsi="仿宋" w:eastAsia="仿宋" w:cs="仿宋"/>
          <w:spacing w:val="-2"/>
          <w:sz w:val="24"/>
          <w:szCs w:val="24"/>
          <w:highlight w:val="none"/>
        </w:rPr>
        <w:t>1.6.6 如果出现政府采购监督管理部门在处理投诉事</w:t>
      </w:r>
      <w:r>
        <w:rPr>
          <w:rFonts w:ascii="仿宋" w:hAnsi="仿宋" w:eastAsia="仿宋" w:cs="仿宋"/>
          <w:spacing w:val="-3"/>
          <w:sz w:val="24"/>
          <w:szCs w:val="24"/>
          <w:highlight w:val="none"/>
        </w:rPr>
        <w:t>项期间，书面通知甲方暂停</w:t>
      </w:r>
      <w:r>
        <w:rPr>
          <w:rFonts w:ascii="仿宋" w:hAnsi="仿宋" w:eastAsia="仿宋" w:cs="仿宋"/>
          <w:sz w:val="24"/>
          <w:szCs w:val="24"/>
          <w:highlight w:val="none"/>
        </w:rPr>
        <w:t xml:space="preserve"> </w:t>
      </w:r>
      <w:r>
        <w:rPr>
          <w:rFonts w:ascii="仿宋" w:hAnsi="仿宋" w:eastAsia="仿宋" w:cs="仿宋"/>
          <w:spacing w:val="-2"/>
          <w:sz w:val="24"/>
          <w:szCs w:val="24"/>
          <w:highlight w:val="none"/>
        </w:rPr>
        <w:t>采购活动的情形，或者询问或质疑事项可能影响中标结果的，导致甲方中</w:t>
      </w:r>
      <w:r>
        <w:rPr>
          <w:rFonts w:ascii="仿宋" w:hAnsi="仿宋" w:eastAsia="仿宋" w:cs="仿宋"/>
          <w:spacing w:val="-3"/>
          <w:sz w:val="24"/>
          <w:szCs w:val="24"/>
          <w:highlight w:val="none"/>
        </w:rPr>
        <w:t>止履行合同</w:t>
      </w:r>
      <w:r>
        <w:rPr>
          <w:rFonts w:ascii="仿宋" w:hAnsi="仿宋" w:eastAsia="仿宋" w:cs="仿宋"/>
          <w:sz w:val="24"/>
          <w:szCs w:val="24"/>
          <w:highlight w:val="none"/>
        </w:rPr>
        <w:t xml:space="preserve"> </w:t>
      </w:r>
      <w:r>
        <w:rPr>
          <w:rFonts w:ascii="仿宋" w:hAnsi="仿宋" w:eastAsia="仿宋" w:cs="仿宋"/>
          <w:spacing w:val="-2"/>
          <w:sz w:val="24"/>
          <w:szCs w:val="24"/>
          <w:highlight w:val="none"/>
        </w:rPr>
        <w:t>的情形，均不视为甲方违约。</w:t>
      </w:r>
    </w:p>
    <w:p w14:paraId="67F9AF65">
      <w:pPr>
        <w:spacing w:before="37" w:line="222" w:lineRule="auto"/>
        <w:ind w:left="491"/>
        <w:rPr>
          <w:rFonts w:ascii="仿宋" w:hAnsi="仿宋" w:eastAsia="仿宋" w:cs="仿宋"/>
          <w:sz w:val="24"/>
          <w:szCs w:val="24"/>
          <w:highlight w:val="none"/>
        </w:rPr>
      </w:pPr>
      <w:r>
        <w:rPr>
          <w:rFonts w:ascii="仿宋" w:hAnsi="仿宋" w:eastAsia="仿宋" w:cs="仿宋"/>
          <w:b/>
          <w:bCs/>
          <w:spacing w:val="-7"/>
          <w:sz w:val="24"/>
          <w:szCs w:val="24"/>
          <w:highlight w:val="none"/>
        </w:rPr>
        <w:t>1.7</w:t>
      </w:r>
      <w:r>
        <w:rPr>
          <w:rFonts w:ascii="仿宋" w:hAnsi="仿宋" w:eastAsia="仿宋" w:cs="仿宋"/>
          <w:spacing w:val="24"/>
          <w:sz w:val="24"/>
          <w:szCs w:val="24"/>
          <w:highlight w:val="none"/>
        </w:rPr>
        <w:t xml:space="preserve"> </w:t>
      </w:r>
      <w:r>
        <w:rPr>
          <w:rFonts w:ascii="仿宋" w:hAnsi="仿宋" w:eastAsia="仿宋" w:cs="仿宋"/>
          <w:b/>
          <w:bCs/>
          <w:spacing w:val="-7"/>
          <w:sz w:val="24"/>
          <w:szCs w:val="24"/>
          <w:highlight w:val="none"/>
        </w:rPr>
        <w:t>合同争议的解决</w:t>
      </w:r>
    </w:p>
    <w:p w14:paraId="1B57FAAC">
      <w:pPr>
        <w:spacing w:before="270" w:line="416" w:lineRule="auto"/>
        <w:ind w:left="4" w:right="5" w:firstLine="477"/>
        <w:rPr>
          <w:rFonts w:ascii="仿宋" w:hAnsi="仿宋" w:eastAsia="仿宋" w:cs="仿宋"/>
          <w:sz w:val="24"/>
          <w:szCs w:val="24"/>
          <w:highlight w:val="none"/>
        </w:rPr>
      </w:pPr>
      <w:r>
        <w:rPr>
          <w:rFonts w:ascii="仿宋" w:hAnsi="仿宋" w:eastAsia="仿宋" w:cs="仿宋"/>
          <w:spacing w:val="-2"/>
          <w:sz w:val="24"/>
          <w:szCs w:val="24"/>
          <w:highlight w:val="none"/>
        </w:rPr>
        <w:t>本合同履行过程中发生的任何争议，双方当事人均可通过和解</w:t>
      </w:r>
      <w:r>
        <w:rPr>
          <w:rFonts w:ascii="仿宋" w:hAnsi="仿宋" w:eastAsia="仿宋" w:cs="仿宋"/>
          <w:spacing w:val="-3"/>
          <w:sz w:val="24"/>
          <w:szCs w:val="24"/>
          <w:highlight w:val="none"/>
        </w:rPr>
        <w:t>或者调解解决；不</w:t>
      </w:r>
      <w:r>
        <w:rPr>
          <w:rFonts w:ascii="仿宋" w:hAnsi="仿宋" w:eastAsia="仿宋" w:cs="仿宋"/>
          <w:sz w:val="24"/>
          <w:szCs w:val="24"/>
          <w:highlight w:val="none"/>
        </w:rPr>
        <w:t xml:space="preserve"> </w:t>
      </w:r>
      <w:r>
        <w:rPr>
          <w:rFonts w:ascii="仿宋" w:hAnsi="仿宋" w:eastAsia="仿宋" w:cs="仿宋"/>
          <w:spacing w:val="-1"/>
          <w:sz w:val="24"/>
          <w:szCs w:val="24"/>
          <w:highlight w:val="none"/>
        </w:rPr>
        <w:t>愿和解、调解或者和解、调解不成的，可以选择下列第</w:t>
      </w:r>
      <w:r>
        <w:rPr>
          <w:rFonts w:ascii="仿宋" w:hAnsi="仿宋" w:eastAsia="仿宋" w:cs="仿宋"/>
          <w:spacing w:val="-1"/>
          <w:sz w:val="24"/>
          <w:szCs w:val="24"/>
          <w:highlight w:val="none"/>
          <w:u w:val="single" w:color="auto"/>
        </w:rPr>
        <w:t xml:space="preserve">    </w:t>
      </w:r>
      <w:r>
        <w:rPr>
          <w:rFonts w:ascii="仿宋" w:hAnsi="仿宋" w:eastAsia="仿宋" w:cs="仿宋"/>
          <w:spacing w:val="-101"/>
          <w:sz w:val="24"/>
          <w:szCs w:val="24"/>
          <w:highlight w:val="none"/>
        </w:rPr>
        <w:t xml:space="preserve"> </w:t>
      </w:r>
      <w:r>
        <w:rPr>
          <w:rFonts w:ascii="仿宋" w:hAnsi="仿宋" w:eastAsia="仿宋" w:cs="仿宋"/>
          <w:spacing w:val="-2"/>
          <w:sz w:val="24"/>
          <w:szCs w:val="24"/>
          <w:highlight w:val="none"/>
        </w:rPr>
        <w:t>种方式解决：</w:t>
      </w:r>
    </w:p>
    <w:p w14:paraId="2C413EB3">
      <w:pPr>
        <w:spacing w:before="40" w:line="415" w:lineRule="auto"/>
        <w:ind w:right="5" w:firstLine="491"/>
        <w:rPr>
          <w:rFonts w:ascii="仿宋" w:hAnsi="仿宋" w:eastAsia="仿宋" w:cs="仿宋"/>
          <w:sz w:val="24"/>
          <w:szCs w:val="24"/>
          <w:highlight w:val="none"/>
        </w:rPr>
      </w:pPr>
      <w:r>
        <w:rPr>
          <w:rFonts w:ascii="仿宋" w:hAnsi="仿宋" w:eastAsia="仿宋" w:cs="仿宋"/>
          <w:spacing w:val="2"/>
          <w:sz w:val="24"/>
          <w:szCs w:val="24"/>
          <w:highlight w:val="none"/>
        </w:rPr>
        <w:t>1.7.1 将争议提交</w:t>
      </w:r>
      <w:r>
        <w:rPr>
          <w:rFonts w:ascii="仿宋" w:hAnsi="仿宋" w:eastAsia="仿宋" w:cs="仿宋"/>
          <w:spacing w:val="-113"/>
          <w:sz w:val="24"/>
          <w:szCs w:val="24"/>
          <w:highlight w:val="none"/>
        </w:rPr>
        <w:t xml:space="preserve"> </w:t>
      </w:r>
      <w:r>
        <w:rPr>
          <w:rFonts w:ascii="仿宋" w:hAnsi="仿宋" w:eastAsia="仿宋" w:cs="仿宋"/>
          <w:spacing w:val="4"/>
          <w:sz w:val="24"/>
          <w:szCs w:val="24"/>
          <w:highlight w:val="none"/>
          <w:u w:val="single" w:color="auto"/>
        </w:rPr>
        <w:t xml:space="preserve">              </w:t>
      </w:r>
      <w:r>
        <w:rPr>
          <w:rFonts w:ascii="仿宋" w:hAnsi="仿宋" w:eastAsia="仿宋" w:cs="仿宋"/>
          <w:spacing w:val="-91"/>
          <w:sz w:val="24"/>
          <w:szCs w:val="24"/>
          <w:highlight w:val="none"/>
        </w:rPr>
        <w:t xml:space="preserve"> </w:t>
      </w:r>
      <w:r>
        <w:rPr>
          <w:rFonts w:ascii="仿宋" w:hAnsi="仿宋" w:eastAsia="仿宋" w:cs="仿宋"/>
          <w:spacing w:val="2"/>
          <w:sz w:val="24"/>
          <w:szCs w:val="24"/>
          <w:highlight w:val="none"/>
        </w:rPr>
        <w:t>仲裁委员会依申请仲裁时其现行有效的仲裁</w:t>
      </w:r>
      <w:r>
        <w:rPr>
          <w:rFonts w:ascii="仿宋" w:hAnsi="仿宋" w:eastAsia="仿宋" w:cs="仿宋"/>
          <w:sz w:val="24"/>
          <w:szCs w:val="24"/>
          <w:highlight w:val="none"/>
        </w:rPr>
        <w:t xml:space="preserve"> </w:t>
      </w:r>
      <w:r>
        <w:rPr>
          <w:rFonts w:ascii="仿宋" w:hAnsi="仿宋" w:eastAsia="仿宋" w:cs="仿宋"/>
          <w:spacing w:val="-4"/>
          <w:sz w:val="24"/>
          <w:szCs w:val="24"/>
          <w:highlight w:val="none"/>
        </w:rPr>
        <w:t>规则裁决；</w:t>
      </w:r>
    </w:p>
    <w:p w14:paraId="601EA390">
      <w:pPr>
        <w:spacing w:before="41" w:line="414" w:lineRule="auto"/>
        <w:ind w:left="2" w:right="7" w:firstLine="488"/>
        <w:rPr>
          <w:rFonts w:ascii="仿宋" w:hAnsi="仿宋" w:eastAsia="仿宋" w:cs="仿宋"/>
          <w:sz w:val="24"/>
          <w:szCs w:val="24"/>
          <w:highlight w:val="none"/>
        </w:rPr>
      </w:pPr>
      <w:r>
        <w:rPr>
          <w:rFonts w:ascii="仿宋" w:hAnsi="仿宋" w:eastAsia="仿宋" w:cs="仿宋"/>
          <w:sz w:val="24"/>
          <w:szCs w:val="24"/>
          <w:highlight w:val="none"/>
        </w:rPr>
        <w:t>1.7.2</w:t>
      </w:r>
      <w:r>
        <w:rPr>
          <w:rFonts w:ascii="仿宋" w:hAnsi="仿宋" w:eastAsia="仿宋" w:cs="仿宋"/>
          <w:spacing w:val="47"/>
          <w:sz w:val="24"/>
          <w:szCs w:val="24"/>
          <w:highlight w:val="none"/>
        </w:rPr>
        <w:t xml:space="preserve"> </w:t>
      </w:r>
      <w:r>
        <w:rPr>
          <w:rFonts w:ascii="仿宋" w:hAnsi="仿宋" w:eastAsia="仿宋" w:cs="仿宋"/>
          <w:sz w:val="24"/>
          <w:szCs w:val="24"/>
          <w:highlight w:val="none"/>
        </w:rPr>
        <w:t>向</w:t>
      </w:r>
      <w:r>
        <w:rPr>
          <w:rFonts w:ascii="仿宋" w:hAnsi="仿宋" w:eastAsia="仿宋" w:cs="仿宋"/>
          <w:sz w:val="24"/>
          <w:szCs w:val="24"/>
          <w:highlight w:val="none"/>
          <w:u w:val="single" w:color="auto"/>
        </w:rPr>
        <w:t xml:space="preserve">   （被告住所地、合同履行地</w:t>
      </w:r>
      <w:r>
        <w:rPr>
          <w:rFonts w:ascii="仿宋" w:hAnsi="仿宋" w:eastAsia="仿宋" w:cs="仿宋"/>
          <w:spacing w:val="-1"/>
          <w:sz w:val="24"/>
          <w:szCs w:val="24"/>
          <w:highlight w:val="none"/>
          <w:u w:val="single" w:color="auto"/>
        </w:rPr>
        <w:t>、合同签订地、原告住所地、标的物所</w:t>
      </w:r>
      <w:r>
        <w:rPr>
          <w:rFonts w:ascii="仿宋" w:hAnsi="仿宋" w:eastAsia="仿宋" w:cs="仿宋"/>
          <w:sz w:val="24"/>
          <w:szCs w:val="24"/>
          <w:highlight w:val="none"/>
        </w:rPr>
        <w:t xml:space="preserve"> </w:t>
      </w:r>
      <w:r>
        <w:rPr>
          <w:rFonts w:ascii="仿宋" w:hAnsi="仿宋" w:eastAsia="仿宋" w:cs="仿宋"/>
          <w:spacing w:val="-1"/>
          <w:sz w:val="24"/>
          <w:szCs w:val="24"/>
          <w:highlight w:val="none"/>
          <w:u w:val="single" w:color="auto"/>
        </w:rPr>
        <w:t xml:space="preserve">在地等与争议有实际联系的地点中选出的人民法院名称）    </w:t>
      </w:r>
      <w:r>
        <w:rPr>
          <w:rFonts w:ascii="仿宋" w:hAnsi="仿宋" w:eastAsia="仿宋" w:cs="仿宋"/>
          <w:spacing w:val="-99"/>
          <w:sz w:val="24"/>
          <w:szCs w:val="24"/>
          <w:highlight w:val="none"/>
        </w:rPr>
        <w:t xml:space="preserve"> </w:t>
      </w:r>
      <w:r>
        <w:rPr>
          <w:rFonts w:ascii="仿宋" w:hAnsi="仿宋" w:eastAsia="仿宋" w:cs="仿宋"/>
          <w:spacing w:val="-1"/>
          <w:sz w:val="24"/>
          <w:szCs w:val="24"/>
          <w:highlight w:val="none"/>
        </w:rPr>
        <w:t>人民法</w:t>
      </w:r>
      <w:r>
        <w:rPr>
          <w:rFonts w:ascii="仿宋" w:hAnsi="仿宋" w:eastAsia="仿宋" w:cs="仿宋"/>
          <w:spacing w:val="-2"/>
          <w:sz w:val="24"/>
          <w:szCs w:val="24"/>
          <w:highlight w:val="none"/>
        </w:rPr>
        <w:t>院起诉。</w:t>
      </w:r>
    </w:p>
    <w:p w14:paraId="2D98A001">
      <w:pPr>
        <w:pStyle w:val="3"/>
        <w:spacing w:line="299" w:lineRule="auto"/>
        <w:rPr>
          <w:highlight w:val="none"/>
        </w:rPr>
      </w:pPr>
      <w:r>
        <w:rPr>
          <w:rFonts w:ascii="仿宋" w:hAnsi="仿宋" w:eastAsia="仿宋" w:cs="仿宋"/>
          <w:b/>
          <w:bCs/>
          <w:spacing w:val="-9"/>
          <w:sz w:val="24"/>
          <w:szCs w:val="24"/>
          <w:highlight w:val="none"/>
        </w:rPr>
        <w:t>1.8</w:t>
      </w:r>
      <w:r>
        <w:rPr>
          <w:rFonts w:ascii="仿宋" w:hAnsi="仿宋" w:eastAsia="仿宋" w:cs="仿宋"/>
          <w:spacing w:val="22"/>
          <w:sz w:val="24"/>
          <w:szCs w:val="24"/>
          <w:highlight w:val="none"/>
        </w:rPr>
        <w:t xml:space="preserve"> </w:t>
      </w:r>
      <w:r>
        <w:rPr>
          <w:rFonts w:ascii="仿宋" w:hAnsi="仿宋" w:eastAsia="仿宋" w:cs="仿宋"/>
          <w:b/>
          <w:bCs/>
          <w:spacing w:val="-9"/>
          <w:sz w:val="24"/>
          <w:szCs w:val="24"/>
          <w:highlight w:val="none"/>
        </w:rPr>
        <w:t>合同生效</w:t>
      </w:r>
    </w:p>
    <w:p w14:paraId="13D1357D">
      <w:pPr>
        <w:pStyle w:val="3"/>
        <w:spacing w:line="299" w:lineRule="auto"/>
        <w:rPr>
          <w:highlight w:val="none"/>
        </w:rPr>
      </w:pPr>
    </w:p>
    <w:p w14:paraId="2F9A98B4">
      <w:pPr>
        <w:pStyle w:val="3"/>
        <w:spacing w:line="300" w:lineRule="auto"/>
        <w:rPr>
          <w:highlight w:val="none"/>
        </w:rPr>
      </w:pPr>
    </w:p>
    <w:p w14:paraId="39EE7FB0">
      <w:pPr>
        <w:pStyle w:val="3"/>
        <w:spacing w:line="300" w:lineRule="auto"/>
        <w:rPr>
          <w:highlight w:val="none"/>
        </w:rPr>
      </w:pPr>
    </w:p>
    <w:p w14:paraId="16649592">
      <w:pPr>
        <w:spacing w:before="78" w:line="222" w:lineRule="auto"/>
        <w:ind w:left="483"/>
        <w:rPr>
          <w:rFonts w:ascii="仿宋" w:hAnsi="仿宋" w:eastAsia="仿宋" w:cs="仿宋"/>
          <w:sz w:val="24"/>
          <w:szCs w:val="24"/>
          <w:highlight w:val="none"/>
        </w:rPr>
      </w:pPr>
      <w:r>
        <w:rPr>
          <w:rFonts w:ascii="仿宋" w:hAnsi="仿宋" w:eastAsia="仿宋" w:cs="仿宋"/>
          <w:spacing w:val="-1"/>
          <w:sz w:val="24"/>
          <w:szCs w:val="24"/>
          <w:highlight w:val="none"/>
        </w:rPr>
        <w:t>本合同自双方当事人盖章或者签字时生效。</w:t>
      </w:r>
    </w:p>
    <w:p w14:paraId="0CDD21AE">
      <w:pPr>
        <w:pStyle w:val="3"/>
        <w:spacing w:line="249" w:lineRule="auto"/>
        <w:rPr>
          <w:highlight w:val="none"/>
        </w:rPr>
      </w:pPr>
    </w:p>
    <w:p w14:paraId="4A0AB40A">
      <w:pPr>
        <w:pStyle w:val="3"/>
        <w:spacing w:line="249" w:lineRule="auto"/>
        <w:rPr>
          <w:highlight w:val="none"/>
        </w:rPr>
      </w:pPr>
    </w:p>
    <w:p w14:paraId="0B7E6DB7">
      <w:pPr>
        <w:pStyle w:val="3"/>
        <w:spacing w:line="249" w:lineRule="auto"/>
        <w:rPr>
          <w:highlight w:val="none"/>
        </w:rPr>
      </w:pPr>
    </w:p>
    <w:p w14:paraId="536AFF8B">
      <w:pPr>
        <w:spacing w:before="78" w:line="222" w:lineRule="auto"/>
        <w:ind w:left="34"/>
        <w:rPr>
          <w:rFonts w:ascii="仿宋" w:hAnsi="仿宋" w:eastAsia="仿宋" w:cs="仿宋"/>
          <w:sz w:val="24"/>
          <w:szCs w:val="24"/>
          <w:highlight w:val="none"/>
        </w:rPr>
      </w:pPr>
      <w:r>
        <w:rPr>
          <w:rFonts w:ascii="仿宋" w:hAnsi="仿宋" w:eastAsia="仿宋" w:cs="仿宋"/>
          <w:b/>
          <w:bCs/>
          <w:spacing w:val="-7"/>
          <w:sz w:val="24"/>
          <w:szCs w:val="24"/>
          <w:highlight w:val="none"/>
        </w:rPr>
        <w:t>甲方</w:t>
      </w:r>
      <w:r>
        <w:rPr>
          <w:rFonts w:ascii="仿宋" w:hAnsi="仿宋" w:eastAsia="仿宋" w:cs="仿宋"/>
          <w:spacing w:val="-7"/>
          <w:sz w:val="24"/>
          <w:szCs w:val="24"/>
          <w:highlight w:val="none"/>
        </w:rPr>
        <w:t xml:space="preserve">：                                     </w:t>
      </w:r>
      <w:r>
        <w:rPr>
          <w:rFonts w:ascii="仿宋" w:hAnsi="仿宋" w:eastAsia="仿宋" w:cs="仿宋"/>
          <w:b/>
          <w:bCs/>
          <w:spacing w:val="-7"/>
          <w:sz w:val="24"/>
          <w:szCs w:val="24"/>
          <w:highlight w:val="none"/>
        </w:rPr>
        <w:t>乙方</w:t>
      </w:r>
      <w:r>
        <w:rPr>
          <w:rFonts w:ascii="仿宋" w:hAnsi="仿宋" w:eastAsia="仿宋" w:cs="仿宋"/>
          <w:spacing w:val="-7"/>
          <w:sz w:val="24"/>
          <w:szCs w:val="24"/>
          <w:highlight w:val="none"/>
        </w:rPr>
        <w:t>：</w:t>
      </w:r>
    </w:p>
    <w:p w14:paraId="3D84AD92">
      <w:pPr>
        <w:spacing w:before="272" w:line="222" w:lineRule="auto"/>
        <w:jc w:val="right"/>
        <w:rPr>
          <w:rFonts w:ascii="仿宋" w:hAnsi="仿宋" w:eastAsia="仿宋" w:cs="仿宋"/>
          <w:sz w:val="24"/>
          <w:szCs w:val="24"/>
          <w:highlight w:val="none"/>
        </w:rPr>
      </w:pPr>
      <w:r>
        <w:rPr>
          <w:rFonts w:ascii="仿宋" w:hAnsi="仿宋" w:eastAsia="仿宋" w:cs="仿宋"/>
          <w:spacing w:val="-2"/>
          <w:sz w:val="24"/>
          <w:szCs w:val="24"/>
          <w:highlight w:val="none"/>
        </w:rPr>
        <w:t>统一社会信用代码：                        统一社会信用代码或身份证号码：</w:t>
      </w:r>
    </w:p>
    <w:p w14:paraId="58C87B83">
      <w:pPr>
        <w:pStyle w:val="3"/>
        <w:spacing w:line="249" w:lineRule="auto"/>
        <w:rPr>
          <w:highlight w:val="none"/>
        </w:rPr>
      </w:pPr>
    </w:p>
    <w:p w14:paraId="36B31F24">
      <w:pPr>
        <w:pStyle w:val="3"/>
        <w:spacing w:line="249" w:lineRule="auto"/>
        <w:rPr>
          <w:highlight w:val="none"/>
        </w:rPr>
      </w:pPr>
    </w:p>
    <w:p w14:paraId="2A604749">
      <w:pPr>
        <w:pStyle w:val="3"/>
        <w:spacing w:line="249" w:lineRule="auto"/>
        <w:rPr>
          <w:highlight w:val="none"/>
        </w:rPr>
      </w:pPr>
    </w:p>
    <w:p w14:paraId="53C3A025">
      <w:pPr>
        <w:spacing w:before="78" w:line="222" w:lineRule="auto"/>
        <w:ind w:left="2"/>
        <w:rPr>
          <w:rFonts w:ascii="仿宋" w:hAnsi="仿宋" w:eastAsia="仿宋" w:cs="仿宋"/>
          <w:sz w:val="24"/>
          <w:szCs w:val="24"/>
          <w:highlight w:val="none"/>
        </w:rPr>
      </w:pPr>
      <w:r>
        <w:rPr>
          <w:rFonts w:ascii="仿宋" w:hAnsi="仿宋" w:eastAsia="仿宋" w:cs="仿宋"/>
          <w:spacing w:val="-6"/>
          <w:sz w:val="24"/>
          <w:szCs w:val="24"/>
          <w:highlight w:val="none"/>
        </w:rPr>
        <w:t>住所：</w:t>
      </w:r>
      <w:r>
        <w:rPr>
          <w:rFonts w:ascii="仿宋" w:hAnsi="仿宋" w:eastAsia="仿宋" w:cs="仿宋"/>
          <w:sz w:val="24"/>
          <w:szCs w:val="24"/>
          <w:highlight w:val="none"/>
        </w:rPr>
        <w:t xml:space="preserve">                                   </w:t>
      </w:r>
      <w:r>
        <w:rPr>
          <w:rFonts w:ascii="仿宋" w:hAnsi="仿宋" w:eastAsia="仿宋" w:cs="仿宋"/>
          <w:spacing w:val="-6"/>
          <w:sz w:val="24"/>
          <w:szCs w:val="24"/>
          <w:highlight w:val="none"/>
        </w:rPr>
        <w:t>住所：</w:t>
      </w:r>
    </w:p>
    <w:p w14:paraId="2A4FCDB2">
      <w:pPr>
        <w:spacing w:before="273" w:line="223" w:lineRule="auto"/>
        <w:ind w:left="10"/>
        <w:rPr>
          <w:rFonts w:ascii="仿宋" w:hAnsi="仿宋" w:eastAsia="仿宋" w:cs="仿宋"/>
          <w:sz w:val="24"/>
          <w:szCs w:val="24"/>
          <w:highlight w:val="none"/>
        </w:rPr>
      </w:pPr>
      <w:r>
        <w:rPr>
          <w:rFonts w:ascii="仿宋" w:hAnsi="仿宋" w:eastAsia="仿宋" w:cs="仿宋"/>
          <w:spacing w:val="-5"/>
          <w:sz w:val="24"/>
          <w:szCs w:val="24"/>
          <w:highlight w:val="none"/>
        </w:rPr>
        <w:t>法定代表人或</w:t>
      </w:r>
      <w:r>
        <w:rPr>
          <w:rFonts w:ascii="仿宋" w:hAnsi="仿宋" w:eastAsia="仿宋" w:cs="仿宋"/>
          <w:spacing w:val="1"/>
          <w:sz w:val="24"/>
          <w:szCs w:val="24"/>
          <w:highlight w:val="none"/>
        </w:rPr>
        <w:t xml:space="preserve">                             </w:t>
      </w:r>
      <w:r>
        <w:rPr>
          <w:rFonts w:ascii="仿宋" w:hAnsi="仿宋" w:eastAsia="仿宋" w:cs="仿宋"/>
          <w:spacing w:val="-5"/>
          <w:sz w:val="24"/>
          <w:szCs w:val="24"/>
          <w:highlight w:val="none"/>
        </w:rPr>
        <w:t>法定代表人</w:t>
      </w:r>
    </w:p>
    <w:p w14:paraId="782752F2">
      <w:pPr>
        <w:spacing w:before="269" w:line="222" w:lineRule="auto"/>
        <w:ind w:left="2"/>
        <w:rPr>
          <w:rFonts w:ascii="仿宋" w:hAnsi="仿宋" w:eastAsia="仿宋" w:cs="仿宋"/>
          <w:sz w:val="24"/>
          <w:szCs w:val="24"/>
          <w:highlight w:val="none"/>
        </w:rPr>
      </w:pPr>
      <w:r>
        <w:rPr>
          <w:rFonts w:ascii="仿宋" w:hAnsi="仿宋" w:eastAsia="仿宋" w:cs="仿宋"/>
          <w:spacing w:val="-1"/>
          <w:sz w:val="24"/>
          <w:szCs w:val="24"/>
          <w:highlight w:val="none"/>
        </w:rPr>
        <w:t>授权代表（签字</w:t>
      </w:r>
      <w:r>
        <w:rPr>
          <w:rFonts w:ascii="仿宋" w:hAnsi="仿宋" w:eastAsia="仿宋" w:cs="仿宋"/>
          <w:spacing w:val="7"/>
          <w:sz w:val="24"/>
          <w:szCs w:val="24"/>
          <w:highlight w:val="none"/>
        </w:rPr>
        <w:t>）：</w:t>
      </w:r>
      <w:r>
        <w:rPr>
          <w:rFonts w:ascii="仿宋" w:hAnsi="仿宋" w:eastAsia="仿宋" w:cs="仿宋"/>
          <w:sz w:val="24"/>
          <w:szCs w:val="24"/>
          <w:highlight w:val="none"/>
        </w:rPr>
        <w:t xml:space="preserve">                        </w:t>
      </w:r>
      <w:r>
        <w:rPr>
          <w:rFonts w:ascii="仿宋" w:hAnsi="仿宋" w:eastAsia="仿宋" w:cs="仿宋"/>
          <w:spacing w:val="-1"/>
          <w:sz w:val="24"/>
          <w:szCs w:val="24"/>
          <w:highlight w:val="none"/>
        </w:rPr>
        <w:t>或授权代表（签字）:</w:t>
      </w:r>
    </w:p>
    <w:p w14:paraId="684E3A26">
      <w:pPr>
        <w:spacing w:before="271" w:line="224" w:lineRule="auto"/>
        <w:rPr>
          <w:rFonts w:ascii="仿宋" w:hAnsi="仿宋" w:eastAsia="仿宋" w:cs="仿宋"/>
          <w:sz w:val="24"/>
          <w:szCs w:val="24"/>
          <w:highlight w:val="none"/>
        </w:rPr>
      </w:pPr>
      <w:r>
        <w:rPr>
          <w:rFonts w:ascii="仿宋" w:hAnsi="仿宋" w:eastAsia="仿宋" w:cs="仿宋"/>
          <w:spacing w:val="-4"/>
          <w:sz w:val="24"/>
          <w:szCs w:val="24"/>
          <w:highlight w:val="none"/>
        </w:rPr>
        <w:t>联系人：</w:t>
      </w:r>
      <w:r>
        <w:rPr>
          <w:rFonts w:ascii="仿宋" w:hAnsi="仿宋" w:eastAsia="仿宋" w:cs="仿宋"/>
          <w:sz w:val="24"/>
          <w:szCs w:val="24"/>
          <w:highlight w:val="none"/>
        </w:rPr>
        <w:t xml:space="preserve">                                 </w:t>
      </w:r>
      <w:r>
        <w:rPr>
          <w:rFonts w:ascii="仿宋" w:hAnsi="仿宋" w:eastAsia="仿宋" w:cs="仿宋"/>
          <w:spacing w:val="-4"/>
          <w:sz w:val="24"/>
          <w:szCs w:val="24"/>
          <w:highlight w:val="none"/>
        </w:rPr>
        <w:t>联系人：</w:t>
      </w:r>
    </w:p>
    <w:p w14:paraId="3692EAEA">
      <w:pPr>
        <w:spacing w:before="269" w:line="224" w:lineRule="auto"/>
        <w:ind w:left="4"/>
        <w:rPr>
          <w:rFonts w:ascii="仿宋" w:hAnsi="仿宋" w:eastAsia="仿宋" w:cs="仿宋"/>
          <w:sz w:val="24"/>
          <w:szCs w:val="24"/>
          <w:highlight w:val="none"/>
        </w:rPr>
      </w:pPr>
      <w:r>
        <w:rPr>
          <w:rFonts w:ascii="仿宋" w:hAnsi="仿宋" w:eastAsia="仿宋" w:cs="仿宋"/>
          <w:sz w:val="24"/>
          <w:szCs w:val="24"/>
          <w:highlight w:val="none"/>
        </w:rPr>
        <w:t xml:space="preserve">约定送达地址：               </w:t>
      </w:r>
      <w:r>
        <w:rPr>
          <w:rFonts w:ascii="仿宋" w:hAnsi="仿宋" w:eastAsia="仿宋" w:cs="仿宋"/>
          <w:spacing w:val="-1"/>
          <w:sz w:val="24"/>
          <w:szCs w:val="24"/>
          <w:highlight w:val="none"/>
        </w:rPr>
        <w:t xml:space="preserve">            约定送达地址：</w:t>
      </w:r>
    </w:p>
    <w:p w14:paraId="213B21D1">
      <w:pPr>
        <w:spacing w:before="268" w:line="222" w:lineRule="auto"/>
        <w:ind w:left="20"/>
        <w:rPr>
          <w:rFonts w:ascii="仿宋" w:hAnsi="仿宋" w:eastAsia="仿宋" w:cs="仿宋"/>
          <w:sz w:val="24"/>
          <w:szCs w:val="24"/>
          <w:highlight w:val="none"/>
        </w:rPr>
      </w:pPr>
      <w:r>
        <w:rPr>
          <w:rFonts w:ascii="仿宋" w:hAnsi="仿宋" w:eastAsia="仿宋" w:cs="仿宋"/>
          <w:spacing w:val="-4"/>
          <w:sz w:val="24"/>
          <w:szCs w:val="24"/>
          <w:highlight w:val="none"/>
        </w:rPr>
        <w:t>邮政编码：                                邮政编码：</w:t>
      </w:r>
    </w:p>
    <w:p w14:paraId="5A0AC446">
      <w:pPr>
        <w:spacing w:before="271" w:line="223" w:lineRule="auto"/>
        <w:ind w:left="29"/>
        <w:rPr>
          <w:rFonts w:ascii="仿宋" w:hAnsi="仿宋" w:eastAsia="仿宋" w:cs="仿宋"/>
          <w:sz w:val="24"/>
          <w:szCs w:val="24"/>
          <w:highlight w:val="none"/>
        </w:rPr>
      </w:pPr>
      <w:r>
        <w:rPr>
          <w:rFonts w:ascii="仿宋" w:hAnsi="仿宋" w:eastAsia="仿宋" w:cs="仿宋"/>
          <w:spacing w:val="-9"/>
          <w:sz w:val="24"/>
          <w:szCs w:val="24"/>
          <w:highlight w:val="none"/>
        </w:rPr>
        <w:t>电话:                                       电话:</w:t>
      </w:r>
    </w:p>
    <w:p w14:paraId="22034A2E">
      <w:pPr>
        <w:spacing w:before="272" w:line="223" w:lineRule="auto"/>
        <w:ind w:left="5"/>
        <w:rPr>
          <w:rFonts w:ascii="仿宋" w:hAnsi="仿宋" w:eastAsia="仿宋" w:cs="仿宋"/>
          <w:sz w:val="24"/>
          <w:szCs w:val="24"/>
          <w:highlight w:val="none"/>
        </w:rPr>
      </w:pPr>
      <w:r>
        <w:rPr>
          <w:rFonts w:ascii="仿宋" w:hAnsi="仿宋" w:eastAsia="仿宋" w:cs="仿宋"/>
          <w:spacing w:val="-3"/>
          <w:sz w:val="24"/>
          <w:szCs w:val="24"/>
          <w:highlight w:val="none"/>
        </w:rPr>
        <w:t xml:space="preserve">传真:                             </w:t>
      </w:r>
      <w:r>
        <w:rPr>
          <w:rFonts w:ascii="仿宋" w:hAnsi="仿宋" w:eastAsia="仿宋" w:cs="仿宋"/>
          <w:spacing w:val="-4"/>
          <w:sz w:val="24"/>
          <w:szCs w:val="24"/>
          <w:highlight w:val="none"/>
        </w:rPr>
        <w:t xml:space="preserve">        传真:</w:t>
      </w:r>
    </w:p>
    <w:p w14:paraId="1FCE7227">
      <w:pPr>
        <w:spacing w:before="269" w:line="221" w:lineRule="auto"/>
        <w:ind w:left="29"/>
        <w:rPr>
          <w:rFonts w:ascii="仿宋" w:hAnsi="仿宋" w:eastAsia="仿宋" w:cs="仿宋"/>
          <w:sz w:val="24"/>
          <w:szCs w:val="24"/>
          <w:highlight w:val="none"/>
        </w:rPr>
      </w:pPr>
      <w:r>
        <w:rPr>
          <w:rFonts w:ascii="仿宋" w:hAnsi="仿宋" w:eastAsia="仿宋" w:cs="仿宋"/>
          <w:spacing w:val="-9"/>
          <w:sz w:val="24"/>
          <w:szCs w:val="24"/>
          <w:highlight w:val="none"/>
        </w:rPr>
        <w:t>电子邮箱：</w:t>
      </w:r>
      <w:r>
        <w:rPr>
          <w:rFonts w:ascii="仿宋" w:hAnsi="仿宋" w:eastAsia="仿宋" w:cs="仿宋"/>
          <w:spacing w:val="1"/>
          <w:sz w:val="24"/>
          <w:szCs w:val="24"/>
          <w:highlight w:val="none"/>
        </w:rPr>
        <w:t xml:space="preserve">                               </w:t>
      </w:r>
      <w:r>
        <w:rPr>
          <w:rFonts w:ascii="仿宋" w:hAnsi="仿宋" w:eastAsia="仿宋" w:cs="仿宋"/>
          <w:spacing w:val="-9"/>
          <w:sz w:val="24"/>
          <w:szCs w:val="24"/>
          <w:highlight w:val="none"/>
        </w:rPr>
        <w:t>电子邮箱：</w:t>
      </w:r>
    </w:p>
    <w:p w14:paraId="7BDACB1B">
      <w:pPr>
        <w:spacing w:before="272" w:line="221" w:lineRule="auto"/>
        <w:ind w:left="2"/>
        <w:rPr>
          <w:rFonts w:ascii="仿宋" w:hAnsi="仿宋" w:eastAsia="仿宋" w:cs="仿宋"/>
          <w:sz w:val="24"/>
          <w:szCs w:val="24"/>
          <w:highlight w:val="none"/>
        </w:rPr>
      </w:pPr>
      <w:r>
        <w:rPr>
          <w:rFonts w:ascii="仿宋" w:hAnsi="仿宋" w:eastAsia="仿宋" w:cs="仿宋"/>
          <w:spacing w:val="-4"/>
          <w:sz w:val="24"/>
          <w:szCs w:val="24"/>
          <w:highlight w:val="none"/>
        </w:rPr>
        <w:t>开户银行：</w:t>
      </w:r>
      <w:r>
        <w:rPr>
          <w:rFonts w:ascii="仿宋" w:hAnsi="仿宋" w:eastAsia="仿宋" w:cs="仿宋"/>
          <w:spacing w:val="1"/>
          <w:sz w:val="24"/>
          <w:szCs w:val="24"/>
          <w:highlight w:val="none"/>
        </w:rPr>
        <w:t xml:space="preserve">                      </w:t>
      </w:r>
      <w:r>
        <w:rPr>
          <w:rFonts w:ascii="仿宋" w:hAnsi="仿宋" w:eastAsia="仿宋" w:cs="仿宋"/>
          <w:sz w:val="24"/>
          <w:szCs w:val="24"/>
          <w:highlight w:val="none"/>
        </w:rPr>
        <w:t xml:space="preserve">         </w:t>
      </w:r>
      <w:r>
        <w:rPr>
          <w:rFonts w:ascii="仿宋" w:hAnsi="仿宋" w:eastAsia="仿宋" w:cs="仿宋"/>
          <w:spacing w:val="-4"/>
          <w:sz w:val="24"/>
          <w:szCs w:val="24"/>
          <w:highlight w:val="none"/>
        </w:rPr>
        <w:t>开户银行：</w:t>
      </w:r>
    </w:p>
    <w:p w14:paraId="33EC2C7E">
      <w:pPr>
        <w:spacing w:before="274" w:line="221" w:lineRule="auto"/>
        <w:ind w:left="2"/>
        <w:rPr>
          <w:rFonts w:ascii="仿宋" w:hAnsi="仿宋" w:eastAsia="仿宋" w:cs="仿宋"/>
          <w:sz w:val="24"/>
          <w:szCs w:val="24"/>
          <w:highlight w:val="none"/>
        </w:rPr>
      </w:pPr>
      <w:r>
        <w:rPr>
          <w:rFonts w:ascii="仿宋" w:hAnsi="仿宋" w:eastAsia="仿宋" w:cs="仿宋"/>
          <w:spacing w:val="-4"/>
          <w:sz w:val="24"/>
          <w:szCs w:val="24"/>
          <w:highlight w:val="none"/>
        </w:rPr>
        <w:t>开户名称：</w:t>
      </w:r>
      <w:r>
        <w:rPr>
          <w:rFonts w:ascii="仿宋" w:hAnsi="仿宋" w:eastAsia="仿宋" w:cs="仿宋"/>
          <w:spacing w:val="1"/>
          <w:sz w:val="24"/>
          <w:szCs w:val="24"/>
          <w:highlight w:val="none"/>
        </w:rPr>
        <w:t xml:space="preserve">                      </w:t>
      </w:r>
      <w:r>
        <w:rPr>
          <w:rFonts w:ascii="仿宋" w:hAnsi="仿宋" w:eastAsia="仿宋" w:cs="仿宋"/>
          <w:sz w:val="24"/>
          <w:szCs w:val="24"/>
          <w:highlight w:val="none"/>
        </w:rPr>
        <w:t xml:space="preserve">         </w:t>
      </w:r>
      <w:r>
        <w:rPr>
          <w:rFonts w:ascii="仿宋" w:hAnsi="仿宋" w:eastAsia="仿宋" w:cs="仿宋"/>
          <w:spacing w:val="-4"/>
          <w:sz w:val="24"/>
          <w:szCs w:val="24"/>
          <w:highlight w:val="none"/>
        </w:rPr>
        <w:t>开户名称：</w:t>
      </w:r>
    </w:p>
    <w:p w14:paraId="58EBC364">
      <w:pPr>
        <w:spacing w:before="273" w:line="222" w:lineRule="auto"/>
        <w:ind w:left="2"/>
        <w:rPr>
          <w:rFonts w:ascii="仿宋" w:hAnsi="仿宋" w:eastAsia="仿宋" w:cs="仿宋"/>
          <w:sz w:val="24"/>
          <w:szCs w:val="24"/>
          <w:highlight w:val="none"/>
        </w:rPr>
      </w:pPr>
      <w:r>
        <w:rPr>
          <w:rFonts w:ascii="仿宋" w:hAnsi="仿宋" w:eastAsia="仿宋" w:cs="仿宋"/>
          <w:spacing w:val="-4"/>
          <w:sz w:val="24"/>
          <w:szCs w:val="24"/>
          <w:highlight w:val="none"/>
        </w:rPr>
        <w:t>开户账号：</w:t>
      </w:r>
      <w:r>
        <w:rPr>
          <w:rFonts w:ascii="仿宋" w:hAnsi="仿宋" w:eastAsia="仿宋" w:cs="仿宋"/>
          <w:spacing w:val="1"/>
          <w:sz w:val="24"/>
          <w:szCs w:val="24"/>
          <w:highlight w:val="none"/>
        </w:rPr>
        <w:t xml:space="preserve">                      </w:t>
      </w:r>
      <w:r>
        <w:rPr>
          <w:rFonts w:ascii="仿宋" w:hAnsi="仿宋" w:eastAsia="仿宋" w:cs="仿宋"/>
          <w:sz w:val="24"/>
          <w:szCs w:val="24"/>
          <w:highlight w:val="none"/>
        </w:rPr>
        <w:t xml:space="preserve">         </w:t>
      </w:r>
      <w:r>
        <w:rPr>
          <w:rFonts w:ascii="仿宋" w:hAnsi="仿宋" w:eastAsia="仿宋" w:cs="仿宋"/>
          <w:spacing w:val="-4"/>
          <w:sz w:val="24"/>
          <w:szCs w:val="24"/>
          <w:highlight w:val="none"/>
        </w:rPr>
        <w:t>开户账号：</w:t>
      </w:r>
    </w:p>
    <w:p w14:paraId="3EFF6C0F">
      <w:pPr>
        <w:spacing w:line="222" w:lineRule="auto"/>
        <w:rPr>
          <w:rFonts w:ascii="仿宋" w:hAnsi="仿宋" w:eastAsia="仿宋" w:cs="仿宋"/>
          <w:sz w:val="24"/>
          <w:szCs w:val="24"/>
          <w:highlight w:val="none"/>
        </w:rPr>
        <w:sectPr>
          <w:headerReference r:id="rId10" w:type="default"/>
          <w:footerReference r:id="rId11" w:type="default"/>
          <w:pgSz w:w="11910" w:h="16840"/>
          <w:pgMar w:top="1440" w:right="1800" w:bottom="1440" w:left="1800" w:header="0" w:footer="1157" w:gutter="0"/>
          <w:pgNumType w:fmt="decimal"/>
          <w:cols w:space="720" w:num="1"/>
        </w:sectPr>
      </w:pPr>
    </w:p>
    <w:p w14:paraId="700DF0AD">
      <w:pPr>
        <w:pStyle w:val="7"/>
        <w:ind w:left="0" w:leftChars="0" w:firstLine="0" w:firstLineChars="0"/>
        <w:rPr>
          <w:rFonts w:ascii="宋体" w:hAnsi="宋体" w:cs="宋体"/>
          <w:b/>
          <w:bCs/>
          <w:color w:val="auto"/>
          <w:highlight w:val="none"/>
          <w:lang w:eastAsia="zh-CN"/>
        </w:rPr>
      </w:pPr>
    </w:p>
    <w:bookmarkEnd w:id="970"/>
    <w:bookmarkEnd w:id="971"/>
    <w:bookmarkEnd w:id="972"/>
    <w:bookmarkEnd w:id="973"/>
    <w:p w14:paraId="6FB8EAB3">
      <w:pPr>
        <w:pStyle w:val="9"/>
        <w:widowControl w:val="0"/>
        <w:kinsoku/>
        <w:autoSpaceDE/>
        <w:autoSpaceDN/>
        <w:spacing w:line="360" w:lineRule="auto"/>
        <w:textAlignment w:val="auto"/>
        <w:rPr>
          <w:rFonts w:ascii="宋体" w:hAnsi="宋体" w:cs="宋体"/>
          <w:bCs w:val="0"/>
          <w:color w:val="auto"/>
          <w:sz w:val="28"/>
          <w:szCs w:val="28"/>
          <w:highlight w:val="none"/>
          <w:lang w:eastAsia="zh-CN"/>
        </w:rPr>
      </w:pPr>
      <w:bookmarkStart w:id="975" w:name="_Toc11042"/>
      <w:bookmarkStart w:id="976" w:name="_Toc2912"/>
      <w:r>
        <w:rPr>
          <w:rFonts w:hint="eastAsia" w:ascii="宋体" w:hAnsi="宋体" w:cs="宋体"/>
          <w:bCs w:val="0"/>
          <w:color w:val="auto"/>
          <w:sz w:val="28"/>
          <w:szCs w:val="28"/>
          <w:highlight w:val="none"/>
          <w:lang w:eastAsia="zh-CN"/>
        </w:rPr>
        <w:t>第六章  竞争性磋商响应文件格式</w:t>
      </w:r>
      <w:bookmarkEnd w:id="975"/>
      <w:bookmarkEnd w:id="976"/>
    </w:p>
    <w:p w14:paraId="0739BB57">
      <w:pPr>
        <w:spacing w:line="400" w:lineRule="exact"/>
        <w:ind w:firstLine="420"/>
        <w:rPr>
          <w:rFonts w:ascii="宋体" w:hAnsi="宋体" w:cs="宋体"/>
          <w:color w:val="auto"/>
          <w:highlight w:val="none"/>
          <w:lang w:eastAsia="zh-CN"/>
        </w:rPr>
      </w:pPr>
    </w:p>
    <w:p w14:paraId="27C12152">
      <w:pPr>
        <w:spacing w:line="440" w:lineRule="exact"/>
        <w:ind w:firstLine="480"/>
        <w:jc w:val="right"/>
        <w:rPr>
          <w:rFonts w:ascii="宋体" w:hAnsi="宋体" w:cs="宋体"/>
          <w:color w:val="auto"/>
          <w:sz w:val="24"/>
          <w:highlight w:val="none"/>
          <w:bdr w:val="single" w:color="auto" w:sz="4" w:space="0"/>
          <w:lang w:eastAsia="zh-CN"/>
        </w:rPr>
      </w:pPr>
    </w:p>
    <w:p w14:paraId="10352E83">
      <w:pPr>
        <w:spacing w:line="440" w:lineRule="exact"/>
        <w:ind w:firstLine="480"/>
        <w:rPr>
          <w:rFonts w:ascii="宋体" w:hAnsi="宋体" w:cs="宋体"/>
          <w:color w:val="auto"/>
          <w:sz w:val="24"/>
          <w:highlight w:val="none"/>
          <w:lang w:eastAsia="zh-CN"/>
        </w:rPr>
      </w:pPr>
    </w:p>
    <w:p w14:paraId="40BE2D96">
      <w:pPr>
        <w:ind w:firstLine="602"/>
        <w:jc w:val="center"/>
        <w:rPr>
          <w:rFonts w:ascii="宋体" w:hAnsi="宋体" w:cs="宋体"/>
          <w:b/>
          <w:bCs/>
          <w:color w:val="auto"/>
          <w:sz w:val="30"/>
          <w:szCs w:val="30"/>
          <w:highlight w:val="none"/>
          <w:lang w:eastAsia="zh-CN"/>
        </w:rPr>
      </w:pPr>
      <w:r>
        <w:rPr>
          <w:rFonts w:hint="eastAsia" w:ascii="宋体" w:hAnsi="宋体" w:cs="宋体"/>
          <w:b/>
          <w:bCs/>
          <w:color w:val="auto"/>
          <w:sz w:val="30"/>
          <w:szCs w:val="30"/>
          <w:highlight w:val="none"/>
          <w:u w:val="single"/>
          <w:lang w:eastAsia="zh-CN"/>
        </w:rPr>
        <w:t xml:space="preserve">                     </w:t>
      </w:r>
      <w:r>
        <w:rPr>
          <w:rFonts w:hint="eastAsia" w:ascii="宋体" w:hAnsi="宋体" w:cs="宋体"/>
          <w:b/>
          <w:bCs/>
          <w:color w:val="auto"/>
          <w:sz w:val="30"/>
          <w:szCs w:val="30"/>
          <w:highlight w:val="none"/>
          <w:lang w:eastAsia="zh-CN"/>
        </w:rPr>
        <w:t>（项目名称）竞争性磋商</w:t>
      </w:r>
    </w:p>
    <w:p w14:paraId="6F1C64AB">
      <w:pPr>
        <w:ind w:firstLine="560"/>
        <w:jc w:val="center"/>
        <w:rPr>
          <w:rFonts w:ascii="宋体" w:hAnsi="宋体" w:cs="宋体"/>
          <w:color w:val="auto"/>
          <w:sz w:val="28"/>
          <w:szCs w:val="28"/>
          <w:highlight w:val="none"/>
          <w:lang w:eastAsia="zh-CN"/>
        </w:rPr>
      </w:pPr>
    </w:p>
    <w:p w14:paraId="73BCE076">
      <w:pPr>
        <w:ind w:firstLine="560"/>
        <w:jc w:val="center"/>
        <w:rPr>
          <w:rFonts w:ascii="宋体" w:hAnsi="宋体" w:cs="宋体"/>
          <w:color w:val="auto"/>
          <w:sz w:val="28"/>
          <w:szCs w:val="28"/>
          <w:highlight w:val="none"/>
          <w:lang w:eastAsia="zh-CN"/>
        </w:rPr>
      </w:pPr>
    </w:p>
    <w:p w14:paraId="7A4E4FEB">
      <w:pPr>
        <w:ind w:firstLine="1124"/>
        <w:jc w:val="center"/>
        <w:rPr>
          <w:rFonts w:ascii="宋体" w:hAnsi="宋体" w:cs="宋体"/>
          <w:color w:val="auto"/>
          <w:sz w:val="56"/>
          <w:szCs w:val="72"/>
          <w:highlight w:val="none"/>
          <w:lang w:eastAsia="zh-CN"/>
        </w:rPr>
      </w:pPr>
      <w:r>
        <w:rPr>
          <w:rFonts w:hint="eastAsia" w:ascii="宋体" w:hAnsi="宋体" w:cs="宋体"/>
          <w:b/>
          <w:bCs/>
          <w:color w:val="auto"/>
          <w:sz w:val="56"/>
          <w:szCs w:val="72"/>
          <w:highlight w:val="none"/>
          <w:lang w:eastAsia="zh-CN"/>
        </w:rPr>
        <w:t>响 应 文 件</w:t>
      </w:r>
    </w:p>
    <w:p w14:paraId="76A3F480">
      <w:pPr>
        <w:spacing w:line="400" w:lineRule="exact"/>
        <w:ind w:firstLine="560"/>
        <w:rPr>
          <w:rFonts w:ascii="宋体" w:hAnsi="宋体" w:cs="宋体"/>
          <w:color w:val="auto"/>
          <w:sz w:val="28"/>
          <w:szCs w:val="28"/>
          <w:highlight w:val="none"/>
          <w:lang w:eastAsia="zh-CN"/>
        </w:rPr>
      </w:pPr>
    </w:p>
    <w:p w14:paraId="403FEF25">
      <w:pPr>
        <w:spacing w:line="400" w:lineRule="exact"/>
        <w:ind w:firstLine="560"/>
        <w:rPr>
          <w:rFonts w:ascii="宋体" w:hAnsi="宋体" w:cs="宋体"/>
          <w:color w:val="auto"/>
          <w:sz w:val="28"/>
          <w:szCs w:val="28"/>
          <w:highlight w:val="none"/>
          <w:lang w:eastAsia="zh-CN"/>
        </w:rPr>
      </w:pPr>
    </w:p>
    <w:p w14:paraId="5FF81408">
      <w:pPr>
        <w:spacing w:line="400" w:lineRule="exact"/>
        <w:ind w:firstLine="560"/>
        <w:rPr>
          <w:rFonts w:ascii="宋体" w:hAnsi="宋体" w:cs="宋体"/>
          <w:color w:val="auto"/>
          <w:sz w:val="28"/>
          <w:szCs w:val="28"/>
          <w:highlight w:val="none"/>
          <w:lang w:eastAsia="zh-CN"/>
        </w:rPr>
      </w:pPr>
    </w:p>
    <w:p w14:paraId="3A4D34B2">
      <w:pPr>
        <w:spacing w:line="400" w:lineRule="exact"/>
        <w:ind w:firstLine="560"/>
        <w:rPr>
          <w:rFonts w:ascii="宋体" w:hAnsi="宋体" w:cs="宋体"/>
          <w:color w:val="auto"/>
          <w:sz w:val="28"/>
          <w:szCs w:val="28"/>
          <w:highlight w:val="none"/>
          <w:lang w:eastAsia="zh-CN"/>
        </w:rPr>
      </w:pPr>
    </w:p>
    <w:p w14:paraId="537E02C7">
      <w:pPr>
        <w:spacing w:line="400" w:lineRule="exact"/>
        <w:ind w:firstLine="560"/>
        <w:rPr>
          <w:rFonts w:ascii="宋体" w:hAnsi="宋体" w:cs="宋体"/>
          <w:color w:val="auto"/>
          <w:sz w:val="28"/>
          <w:szCs w:val="28"/>
          <w:highlight w:val="none"/>
          <w:lang w:eastAsia="zh-CN"/>
        </w:rPr>
      </w:pPr>
    </w:p>
    <w:p w14:paraId="7794E955">
      <w:pPr>
        <w:spacing w:line="400" w:lineRule="exact"/>
        <w:ind w:firstLine="560"/>
        <w:rPr>
          <w:rFonts w:ascii="宋体" w:hAnsi="宋体" w:cs="宋体"/>
          <w:color w:val="auto"/>
          <w:sz w:val="28"/>
          <w:szCs w:val="28"/>
          <w:highlight w:val="none"/>
          <w:lang w:eastAsia="zh-CN"/>
        </w:rPr>
      </w:pPr>
    </w:p>
    <w:p w14:paraId="5A9DA218">
      <w:pPr>
        <w:spacing w:line="400" w:lineRule="exact"/>
        <w:ind w:firstLine="560"/>
        <w:rPr>
          <w:rFonts w:ascii="宋体" w:hAnsi="宋体" w:cs="宋体"/>
          <w:color w:val="auto"/>
          <w:sz w:val="28"/>
          <w:szCs w:val="28"/>
          <w:highlight w:val="none"/>
          <w:lang w:eastAsia="zh-CN"/>
        </w:rPr>
      </w:pPr>
    </w:p>
    <w:p w14:paraId="7475BB46">
      <w:pPr>
        <w:spacing w:line="400" w:lineRule="exact"/>
        <w:ind w:firstLine="560"/>
        <w:rPr>
          <w:rFonts w:ascii="宋体" w:hAnsi="宋体" w:cs="宋体"/>
          <w:color w:val="auto"/>
          <w:sz w:val="28"/>
          <w:szCs w:val="28"/>
          <w:highlight w:val="none"/>
          <w:lang w:eastAsia="zh-CN"/>
        </w:rPr>
      </w:pPr>
    </w:p>
    <w:p w14:paraId="10FE34AB">
      <w:pPr>
        <w:spacing w:line="400" w:lineRule="exact"/>
        <w:ind w:firstLine="560"/>
        <w:rPr>
          <w:rFonts w:ascii="宋体" w:hAnsi="宋体" w:cs="宋体"/>
          <w:color w:val="auto"/>
          <w:sz w:val="28"/>
          <w:szCs w:val="28"/>
          <w:highlight w:val="none"/>
          <w:lang w:eastAsia="zh-CN"/>
        </w:rPr>
      </w:pPr>
    </w:p>
    <w:p w14:paraId="58BF0B6E">
      <w:pPr>
        <w:spacing w:line="400" w:lineRule="exact"/>
        <w:ind w:firstLine="560"/>
        <w:rPr>
          <w:rFonts w:ascii="宋体" w:hAnsi="宋体" w:cs="宋体"/>
          <w:color w:val="auto"/>
          <w:sz w:val="28"/>
          <w:szCs w:val="28"/>
          <w:highlight w:val="none"/>
          <w:lang w:eastAsia="zh-CN"/>
        </w:rPr>
      </w:pPr>
    </w:p>
    <w:p w14:paraId="07B6C868">
      <w:pPr>
        <w:spacing w:line="400" w:lineRule="exact"/>
        <w:ind w:firstLine="560"/>
        <w:rPr>
          <w:rFonts w:ascii="宋体" w:hAnsi="宋体" w:cs="宋体"/>
          <w:color w:val="auto"/>
          <w:sz w:val="28"/>
          <w:szCs w:val="28"/>
          <w:highlight w:val="none"/>
          <w:lang w:eastAsia="zh-CN"/>
        </w:rPr>
      </w:pPr>
    </w:p>
    <w:p w14:paraId="316266D3">
      <w:pPr>
        <w:pStyle w:val="3"/>
        <w:ind w:firstLine="560"/>
        <w:rPr>
          <w:rFonts w:ascii="宋体" w:hAnsi="宋体" w:cs="宋体"/>
          <w:color w:val="auto"/>
          <w:sz w:val="28"/>
          <w:szCs w:val="28"/>
          <w:highlight w:val="none"/>
          <w:lang w:eastAsia="zh-CN"/>
        </w:rPr>
      </w:pPr>
    </w:p>
    <w:p w14:paraId="164A65E4">
      <w:pPr>
        <w:spacing w:line="400" w:lineRule="exact"/>
        <w:ind w:firstLine="560"/>
        <w:rPr>
          <w:rFonts w:ascii="宋体" w:hAnsi="宋体" w:cs="宋体"/>
          <w:color w:val="auto"/>
          <w:sz w:val="28"/>
          <w:szCs w:val="28"/>
          <w:highlight w:val="none"/>
          <w:lang w:eastAsia="zh-CN"/>
        </w:rPr>
      </w:pPr>
    </w:p>
    <w:p w14:paraId="667233CF">
      <w:pPr>
        <w:spacing w:line="400" w:lineRule="exact"/>
        <w:ind w:firstLine="560"/>
        <w:rPr>
          <w:rFonts w:ascii="宋体" w:hAnsi="宋体" w:cs="宋体"/>
          <w:color w:val="auto"/>
          <w:sz w:val="28"/>
          <w:szCs w:val="28"/>
          <w:highlight w:val="none"/>
          <w:lang w:eastAsia="zh-CN"/>
        </w:rPr>
      </w:pPr>
    </w:p>
    <w:p w14:paraId="21C9498C">
      <w:pPr>
        <w:spacing w:line="480" w:lineRule="auto"/>
        <w:ind w:firstLine="480"/>
        <w:jc w:val="center"/>
        <w:rPr>
          <w:rFonts w:ascii="宋体" w:hAnsi="宋体" w:cs="宋体"/>
          <w:color w:val="auto"/>
          <w:sz w:val="24"/>
          <w:highlight w:val="none"/>
          <w:lang w:eastAsia="zh-CN"/>
        </w:rPr>
      </w:pPr>
      <w:r>
        <w:rPr>
          <w:rFonts w:hint="eastAsia" w:ascii="宋体" w:hAnsi="宋体" w:cs="宋体"/>
          <w:color w:val="auto"/>
          <w:sz w:val="24"/>
          <w:highlight w:val="none"/>
          <w:lang w:eastAsia="zh-CN"/>
        </w:rPr>
        <w:t>供应商：</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lang w:eastAsia="zh-CN"/>
        </w:rPr>
        <w:t xml:space="preserve"> （单位电子签章）</w:t>
      </w:r>
    </w:p>
    <w:p w14:paraId="45936F7C">
      <w:pPr>
        <w:spacing w:line="480" w:lineRule="auto"/>
        <w:ind w:firstLine="480"/>
        <w:jc w:val="center"/>
        <w:rPr>
          <w:rFonts w:ascii="宋体" w:hAnsi="宋体" w:cs="宋体"/>
          <w:color w:val="auto"/>
          <w:sz w:val="24"/>
          <w:highlight w:val="none"/>
          <w:lang w:eastAsia="zh-CN"/>
        </w:rPr>
      </w:pPr>
      <w:r>
        <w:rPr>
          <w:rFonts w:hint="eastAsia" w:ascii="宋体" w:hAnsi="宋体" w:cs="宋体"/>
          <w:color w:val="auto"/>
          <w:sz w:val="24"/>
          <w:highlight w:val="none"/>
          <w:lang w:eastAsia="zh-CN"/>
        </w:rPr>
        <w:t>法定代表人或其委托代理人：</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lang w:eastAsia="zh-CN"/>
        </w:rPr>
        <w:t>（电子签名或电子签章）</w:t>
      </w:r>
    </w:p>
    <w:p w14:paraId="5246F76D">
      <w:pPr>
        <w:spacing w:line="480" w:lineRule="auto"/>
        <w:ind w:firstLine="480"/>
        <w:jc w:val="center"/>
        <w:rPr>
          <w:rFonts w:ascii="宋体" w:hAnsi="宋体" w:cs="宋体"/>
          <w:color w:val="auto"/>
          <w:sz w:val="24"/>
          <w:highlight w:val="none"/>
          <w:lang w:eastAsia="zh-CN"/>
        </w:rPr>
      </w:pP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lang w:eastAsia="zh-CN"/>
        </w:rPr>
        <w:t>年</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lang w:eastAsia="zh-CN"/>
        </w:rPr>
        <w:t>月</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lang w:eastAsia="zh-CN"/>
        </w:rPr>
        <w:t>日</w:t>
      </w:r>
      <w:bookmarkStart w:id="977" w:name="_Toc20198"/>
      <w:bookmarkStart w:id="978" w:name="_Toc466298157"/>
      <w:bookmarkStart w:id="979" w:name="_Toc144974856"/>
      <w:bookmarkStart w:id="980" w:name="_Toc8978"/>
      <w:bookmarkStart w:id="981" w:name="_Toc152045787"/>
      <w:bookmarkStart w:id="982" w:name="_Toc152042576"/>
    </w:p>
    <w:p w14:paraId="2185797B">
      <w:pPr>
        <w:pStyle w:val="2"/>
        <w:ind w:firstLine="210"/>
        <w:rPr>
          <w:color w:val="auto"/>
          <w:highlight w:val="none"/>
          <w:lang w:eastAsia="zh-CN"/>
        </w:rPr>
      </w:pPr>
    </w:p>
    <w:p w14:paraId="6CDF92F6">
      <w:pPr>
        <w:pStyle w:val="33"/>
        <w:ind w:firstLine="640" w:firstLineChars="0"/>
        <w:jc w:val="center"/>
        <w:outlineLvl w:val="9"/>
        <w:rPr>
          <w:rFonts w:ascii="宋体" w:hAnsi="宋体"/>
          <w:color w:val="auto"/>
          <w:sz w:val="32"/>
          <w:szCs w:val="32"/>
          <w:highlight w:val="none"/>
          <w:lang w:eastAsia="zh-CN"/>
        </w:rPr>
      </w:pPr>
      <w:r>
        <w:rPr>
          <w:rFonts w:ascii="宋体" w:hAnsi="宋体"/>
          <w:color w:val="auto"/>
          <w:sz w:val="32"/>
          <w:szCs w:val="32"/>
          <w:highlight w:val="none"/>
          <w:lang w:eastAsia="zh-CN"/>
        </w:rPr>
        <w:br w:type="page"/>
      </w:r>
      <w:bookmarkStart w:id="983" w:name="_Toc15422"/>
      <w:bookmarkStart w:id="984" w:name="_Toc16397"/>
      <w:r>
        <w:rPr>
          <w:rFonts w:hint="eastAsia" w:ascii="宋体" w:hAnsi="宋体"/>
          <w:color w:val="auto"/>
          <w:sz w:val="32"/>
          <w:szCs w:val="32"/>
          <w:highlight w:val="none"/>
          <w:lang w:eastAsia="zh-CN"/>
        </w:rPr>
        <w:t>目    录</w:t>
      </w:r>
      <w:bookmarkEnd w:id="977"/>
      <w:bookmarkEnd w:id="978"/>
      <w:bookmarkEnd w:id="979"/>
      <w:bookmarkEnd w:id="980"/>
      <w:bookmarkEnd w:id="981"/>
      <w:bookmarkEnd w:id="982"/>
      <w:bookmarkEnd w:id="983"/>
      <w:bookmarkEnd w:id="984"/>
    </w:p>
    <w:p w14:paraId="057C0E81">
      <w:pPr>
        <w:spacing w:line="540" w:lineRule="exact"/>
        <w:ind w:firstLine="480"/>
        <w:rPr>
          <w:rFonts w:ascii="宋体" w:hAnsi="宋体" w:cs="宋体"/>
          <w:color w:val="auto"/>
          <w:sz w:val="24"/>
          <w:szCs w:val="32"/>
          <w:highlight w:val="none"/>
          <w:lang w:eastAsia="zh-CN"/>
        </w:rPr>
      </w:pPr>
    </w:p>
    <w:p w14:paraId="24BB16DD">
      <w:pPr>
        <w:spacing w:line="540" w:lineRule="exact"/>
        <w:ind w:firstLine="420"/>
        <w:rPr>
          <w:rFonts w:ascii="宋体" w:hAnsi="宋体" w:cs="宋体"/>
          <w:color w:val="auto"/>
          <w:highlight w:val="none"/>
          <w:lang w:eastAsia="zh-CN"/>
        </w:rPr>
      </w:pPr>
      <w:r>
        <w:rPr>
          <w:rFonts w:hint="eastAsia" w:ascii="宋体" w:hAnsi="宋体" w:cs="宋体"/>
          <w:color w:val="auto"/>
          <w:highlight w:val="none"/>
          <w:lang w:eastAsia="zh-CN"/>
        </w:rPr>
        <w:t xml:space="preserve">一、响应函及响应函附录 </w:t>
      </w:r>
    </w:p>
    <w:p w14:paraId="7633B4A4">
      <w:pPr>
        <w:spacing w:line="540" w:lineRule="exact"/>
        <w:ind w:firstLine="420"/>
        <w:rPr>
          <w:rFonts w:ascii="宋体" w:hAnsi="宋体" w:cs="宋体"/>
          <w:color w:val="auto"/>
          <w:highlight w:val="none"/>
          <w:lang w:eastAsia="zh-CN"/>
        </w:rPr>
      </w:pPr>
      <w:r>
        <w:rPr>
          <w:rFonts w:hint="eastAsia" w:ascii="宋体" w:hAnsi="宋体" w:cs="宋体"/>
          <w:color w:val="auto"/>
          <w:highlight w:val="none"/>
          <w:lang w:eastAsia="zh-CN"/>
        </w:rPr>
        <w:t>二、法定代表人身份证明</w:t>
      </w:r>
    </w:p>
    <w:p w14:paraId="3F634324">
      <w:pPr>
        <w:spacing w:line="540" w:lineRule="exact"/>
        <w:ind w:firstLine="420"/>
        <w:rPr>
          <w:rFonts w:ascii="宋体" w:hAnsi="宋体" w:cs="宋体"/>
          <w:color w:val="auto"/>
          <w:highlight w:val="none"/>
          <w:lang w:eastAsia="zh-CN"/>
        </w:rPr>
      </w:pPr>
      <w:r>
        <w:rPr>
          <w:rFonts w:hint="eastAsia" w:ascii="宋体" w:hAnsi="宋体" w:cs="宋体"/>
          <w:color w:val="auto"/>
          <w:highlight w:val="none"/>
          <w:lang w:eastAsia="zh-CN"/>
        </w:rPr>
        <w:t>三、授权委托书</w:t>
      </w:r>
    </w:p>
    <w:p w14:paraId="7BA0BD4F">
      <w:pPr>
        <w:spacing w:line="540" w:lineRule="exact"/>
        <w:ind w:firstLine="420"/>
        <w:rPr>
          <w:rFonts w:ascii="宋体" w:hAnsi="宋体" w:cs="宋体"/>
          <w:color w:val="auto"/>
          <w:highlight w:val="none"/>
          <w:lang w:eastAsia="zh-CN"/>
        </w:rPr>
      </w:pPr>
      <w:r>
        <w:rPr>
          <w:rFonts w:hint="eastAsia" w:ascii="宋体" w:hAnsi="宋体" w:cs="宋体"/>
          <w:color w:val="auto"/>
          <w:highlight w:val="none"/>
          <w:lang w:eastAsia="zh-CN"/>
        </w:rPr>
        <w:t>四、分项报价表</w:t>
      </w:r>
    </w:p>
    <w:p w14:paraId="2CAB9130">
      <w:pPr>
        <w:spacing w:line="540" w:lineRule="exact"/>
        <w:ind w:firstLine="420"/>
        <w:rPr>
          <w:rFonts w:ascii="宋体" w:hAnsi="宋体" w:cs="宋体"/>
          <w:color w:val="auto"/>
          <w:highlight w:val="none"/>
          <w:lang w:eastAsia="zh-CN"/>
        </w:rPr>
      </w:pPr>
      <w:r>
        <w:rPr>
          <w:rFonts w:hint="eastAsia" w:ascii="宋体" w:hAnsi="宋体" w:cs="宋体"/>
          <w:color w:val="auto"/>
          <w:highlight w:val="none"/>
          <w:lang w:eastAsia="zh-CN"/>
        </w:rPr>
        <w:t>五、商务偏差表</w:t>
      </w:r>
    </w:p>
    <w:p w14:paraId="2ACA03FD">
      <w:pPr>
        <w:spacing w:line="540" w:lineRule="exact"/>
        <w:ind w:firstLine="420"/>
        <w:rPr>
          <w:rFonts w:ascii="宋体" w:hAnsi="宋体" w:cs="宋体"/>
          <w:color w:val="auto"/>
          <w:highlight w:val="none"/>
          <w:lang w:eastAsia="zh-CN"/>
        </w:rPr>
      </w:pPr>
      <w:r>
        <w:rPr>
          <w:rFonts w:hint="eastAsia" w:ascii="宋体" w:hAnsi="宋体" w:cs="宋体"/>
          <w:color w:val="auto"/>
          <w:highlight w:val="none"/>
          <w:lang w:eastAsia="zh-CN"/>
        </w:rPr>
        <w:t>六、采购需求及技术要求承诺函</w:t>
      </w:r>
    </w:p>
    <w:p w14:paraId="5DC06A22">
      <w:pPr>
        <w:spacing w:line="540" w:lineRule="exact"/>
        <w:ind w:firstLine="420"/>
        <w:rPr>
          <w:rFonts w:ascii="宋体" w:hAnsi="宋体" w:cs="宋体"/>
          <w:color w:val="auto"/>
          <w:highlight w:val="none"/>
          <w:lang w:eastAsia="zh-CN"/>
        </w:rPr>
      </w:pPr>
      <w:r>
        <w:rPr>
          <w:rFonts w:hint="eastAsia" w:ascii="宋体" w:hAnsi="宋体" w:cs="宋体"/>
          <w:color w:val="auto"/>
          <w:highlight w:val="none"/>
          <w:lang w:eastAsia="zh-CN"/>
        </w:rPr>
        <w:t>七、技术服务方案</w:t>
      </w:r>
    </w:p>
    <w:p w14:paraId="6979D367">
      <w:pPr>
        <w:spacing w:line="540" w:lineRule="exact"/>
        <w:ind w:firstLine="420"/>
        <w:rPr>
          <w:rFonts w:ascii="宋体" w:hAnsi="宋体" w:cs="宋体"/>
          <w:color w:val="auto"/>
          <w:highlight w:val="none"/>
          <w:lang w:eastAsia="zh-CN"/>
        </w:rPr>
      </w:pPr>
      <w:r>
        <w:rPr>
          <w:rFonts w:hint="eastAsia" w:ascii="宋体" w:hAnsi="宋体" w:cs="宋体"/>
          <w:color w:val="auto"/>
          <w:highlight w:val="none"/>
          <w:lang w:eastAsia="zh-CN"/>
        </w:rPr>
        <w:t>八、服务承诺</w:t>
      </w:r>
    </w:p>
    <w:p w14:paraId="7D2FE4BE">
      <w:pPr>
        <w:spacing w:line="540" w:lineRule="exact"/>
        <w:ind w:firstLine="420"/>
        <w:rPr>
          <w:rFonts w:ascii="宋体" w:hAnsi="宋体" w:cs="宋体"/>
          <w:color w:val="auto"/>
          <w:highlight w:val="none"/>
          <w:lang w:eastAsia="zh-CN"/>
        </w:rPr>
      </w:pPr>
      <w:r>
        <w:rPr>
          <w:rFonts w:hint="eastAsia" w:ascii="宋体" w:hAnsi="宋体" w:cs="宋体"/>
          <w:color w:val="auto"/>
          <w:highlight w:val="none"/>
          <w:lang w:eastAsia="zh-CN"/>
        </w:rPr>
        <w:t>九、资格审查资料</w:t>
      </w:r>
    </w:p>
    <w:p w14:paraId="445F1220">
      <w:pPr>
        <w:spacing w:line="540" w:lineRule="exact"/>
        <w:ind w:firstLine="420"/>
        <w:rPr>
          <w:rFonts w:ascii="宋体" w:hAnsi="宋体" w:cs="宋体"/>
          <w:color w:val="auto"/>
          <w:highlight w:val="none"/>
          <w:lang w:eastAsia="zh-CN"/>
        </w:rPr>
      </w:pPr>
      <w:r>
        <w:rPr>
          <w:rFonts w:hint="eastAsia" w:ascii="宋体" w:hAnsi="宋体" w:cs="宋体"/>
          <w:color w:val="auto"/>
          <w:highlight w:val="none"/>
          <w:lang w:eastAsia="zh-CN"/>
        </w:rPr>
        <w:t>十、中小企业声明函(服务)</w:t>
      </w:r>
    </w:p>
    <w:p w14:paraId="44F08A00">
      <w:pPr>
        <w:spacing w:line="540" w:lineRule="exact"/>
        <w:ind w:firstLine="420"/>
        <w:rPr>
          <w:rFonts w:ascii="宋体" w:hAnsi="宋体" w:cs="宋体"/>
          <w:color w:val="auto"/>
          <w:highlight w:val="none"/>
          <w:lang w:eastAsia="zh-CN"/>
        </w:rPr>
      </w:pPr>
      <w:r>
        <w:rPr>
          <w:rFonts w:hint="eastAsia" w:ascii="宋体" w:hAnsi="宋体" w:cs="宋体"/>
          <w:color w:val="auto"/>
          <w:highlight w:val="none"/>
          <w:lang w:eastAsia="zh-CN"/>
        </w:rPr>
        <w:t>十一、残疾人福利性单位声明函(如有)</w:t>
      </w:r>
    </w:p>
    <w:p w14:paraId="7D959282">
      <w:pPr>
        <w:spacing w:line="540" w:lineRule="exact"/>
        <w:ind w:firstLine="420"/>
        <w:rPr>
          <w:rFonts w:ascii="宋体" w:hAnsi="宋体" w:cs="宋体"/>
          <w:color w:val="auto"/>
          <w:highlight w:val="none"/>
          <w:lang w:eastAsia="zh-CN"/>
        </w:rPr>
      </w:pPr>
      <w:r>
        <w:rPr>
          <w:rFonts w:hint="eastAsia" w:ascii="宋体" w:hAnsi="宋体" w:cs="宋体"/>
          <w:color w:val="auto"/>
          <w:highlight w:val="none"/>
          <w:lang w:eastAsia="zh-CN"/>
        </w:rPr>
        <w:t>十二、监狱企业证明文件（如有）</w:t>
      </w:r>
    </w:p>
    <w:p w14:paraId="5FA33C8A">
      <w:pPr>
        <w:spacing w:line="540" w:lineRule="exact"/>
        <w:ind w:firstLine="420"/>
        <w:rPr>
          <w:rFonts w:ascii="宋体" w:hAnsi="宋体" w:cs="宋体"/>
          <w:color w:val="auto"/>
          <w:highlight w:val="none"/>
          <w:lang w:eastAsia="zh-CN"/>
        </w:rPr>
      </w:pPr>
      <w:r>
        <w:rPr>
          <w:rFonts w:hint="eastAsia" w:ascii="宋体" w:hAnsi="宋体" w:cs="宋体"/>
          <w:color w:val="auto"/>
          <w:highlight w:val="none"/>
          <w:lang w:eastAsia="zh-CN"/>
        </w:rPr>
        <w:t>十三、反商业贿赂承诺书</w:t>
      </w:r>
    </w:p>
    <w:p w14:paraId="437D68B7">
      <w:pPr>
        <w:spacing w:line="540" w:lineRule="exact"/>
        <w:ind w:firstLine="420"/>
        <w:rPr>
          <w:rFonts w:ascii="宋体" w:hAnsi="宋体" w:cs="宋体"/>
          <w:color w:val="auto"/>
          <w:highlight w:val="none"/>
          <w:lang w:eastAsia="zh-CN"/>
        </w:rPr>
      </w:pPr>
      <w:r>
        <w:rPr>
          <w:rFonts w:hint="eastAsia" w:ascii="宋体" w:hAnsi="宋体" w:cs="宋体"/>
          <w:color w:val="auto"/>
          <w:highlight w:val="none"/>
          <w:lang w:eastAsia="zh-CN"/>
        </w:rPr>
        <w:t>十四、其他材料</w:t>
      </w:r>
    </w:p>
    <w:p w14:paraId="2AE7FB8A">
      <w:pPr>
        <w:spacing w:line="540" w:lineRule="exact"/>
        <w:ind w:firstLine="420"/>
        <w:rPr>
          <w:rFonts w:ascii="宋体" w:hAnsi="宋体" w:cs="宋体"/>
          <w:color w:val="auto"/>
          <w:highlight w:val="none"/>
          <w:lang w:eastAsia="zh-CN"/>
        </w:rPr>
      </w:pPr>
    </w:p>
    <w:p w14:paraId="190D0382">
      <w:pPr>
        <w:spacing w:line="540" w:lineRule="exact"/>
        <w:ind w:firstLine="420"/>
        <w:rPr>
          <w:rFonts w:ascii="宋体" w:hAnsi="宋体" w:cs="宋体"/>
          <w:color w:val="auto"/>
          <w:highlight w:val="none"/>
          <w:lang w:eastAsia="zh-CN"/>
        </w:rPr>
      </w:pPr>
    </w:p>
    <w:p w14:paraId="361430AC">
      <w:pPr>
        <w:spacing w:line="540" w:lineRule="exact"/>
        <w:ind w:firstLine="420"/>
        <w:rPr>
          <w:rFonts w:ascii="宋体" w:hAnsi="宋体" w:cs="宋体"/>
          <w:color w:val="auto"/>
          <w:highlight w:val="none"/>
          <w:lang w:eastAsia="zh-CN"/>
        </w:rPr>
      </w:pPr>
    </w:p>
    <w:p w14:paraId="07265605">
      <w:pPr>
        <w:spacing w:line="540" w:lineRule="exact"/>
        <w:ind w:firstLine="420"/>
        <w:rPr>
          <w:rFonts w:ascii="宋体" w:hAnsi="宋体" w:cs="宋体"/>
          <w:color w:val="auto"/>
          <w:highlight w:val="none"/>
          <w:lang w:eastAsia="zh-CN"/>
        </w:rPr>
      </w:pPr>
    </w:p>
    <w:p w14:paraId="35D5B9DE">
      <w:pPr>
        <w:pStyle w:val="33"/>
        <w:jc w:val="center"/>
        <w:outlineLvl w:val="9"/>
        <w:rPr>
          <w:rFonts w:ascii="宋体" w:hAnsi="宋体"/>
          <w:b/>
          <w:color w:val="auto"/>
          <w:szCs w:val="28"/>
          <w:highlight w:val="none"/>
          <w:lang w:eastAsia="zh-CN"/>
        </w:rPr>
      </w:pPr>
      <w:bookmarkStart w:id="985" w:name="_Toc144974857"/>
      <w:bookmarkStart w:id="986" w:name="_Toc152042577"/>
      <w:bookmarkStart w:id="987" w:name="_Toc152045788"/>
      <w:bookmarkStart w:id="988" w:name="_Toc466298158"/>
      <w:bookmarkStart w:id="989" w:name="_Toc9911"/>
      <w:bookmarkStart w:id="990" w:name="_Toc8095"/>
      <w:r>
        <w:rPr>
          <w:rFonts w:ascii="宋体" w:hAnsi="宋体"/>
          <w:b/>
          <w:color w:val="auto"/>
          <w:szCs w:val="28"/>
          <w:highlight w:val="none"/>
          <w:lang w:eastAsia="zh-CN"/>
        </w:rPr>
        <w:br w:type="page"/>
      </w:r>
      <w:bookmarkStart w:id="991" w:name="_Toc12601"/>
      <w:bookmarkStart w:id="992" w:name="_Toc6597"/>
      <w:r>
        <w:rPr>
          <w:rStyle w:val="39"/>
          <w:b/>
          <w:color w:val="auto"/>
          <w:highlight w:val="none"/>
          <w:lang w:eastAsia="zh-CN"/>
        </w:rPr>
        <w:t>一、</w:t>
      </w:r>
      <w:r>
        <w:rPr>
          <w:rStyle w:val="39"/>
          <w:rFonts w:hint="eastAsia"/>
          <w:b/>
          <w:color w:val="auto"/>
          <w:highlight w:val="none"/>
          <w:lang w:eastAsia="zh-CN"/>
        </w:rPr>
        <w:t>响应函及</w:t>
      </w:r>
      <w:bookmarkEnd w:id="985"/>
      <w:bookmarkEnd w:id="986"/>
      <w:bookmarkEnd w:id="987"/>
      <w:r>
        <w:rPr>
          <w:rStyle w:val="39"/>
          <w:rFonts w:hint="eastAsia"/>
          <w:b/>
          <w:color w:val="auto"/>
          <w:highlight w:val="none"/>
          <w:lang w:eastAsia="zh-CN"/>
        </w:rPr>
        <w:t>响应函附录</w:t>
      </w:r>
      <w:bookmarkEnd w:id="988"/>
      <w:bookmarkEnd w:id="989"/>
      <w:bookmarkEnd w:id="990"/>
      <w:bookmarkEnd w:id="991"/>
      <w:bookmarkEnd w:id="992"/>
    </w:p>
    <w:p w14:paraId="5722992C">
      <w:pPr>
        <w:pStyle w:val="37"/>
        <w:jc w:val="center"/>
        <w:outlineLvl w:val="9"/>
        <w:rPr>
          <w:rFonts w:ascii="宋体" w:hAnsi="宋体" w:eastAsia="宋体"/>
          <w:b/>
          <w:color w:val="auto"/>
          <w:szCs w:val="23"/>
          <w:highlight w:val="none"/>
          <w:lang w:eastAsia="zh-CN"/>
        </w:rPr>
      </w:pPr>
      <w:bookmarkStart w:id="993" w:name="_Toc14030"/>
      <w:bookmarkStart w:id="994" w:name="_Toc5968"/>
      <w:r>
        <w:rPr>
          <w:rFonts w:hint="eastAsia" w:ascii="宋体" w:hAnsi="宋体" w:eastAsia="宋体"/>
          <w:b/>
          <w:color w:val="auto"/>
          <w:szCs w:val="23"/>
          <w:highlight w:val="none"/>
          <w:lang w:eastAsia="zh-CN"/>
        </w:rPr>
        <w:t>（一）响应函</w:t>
      </w:r>
      <w:bookmarkEnd w:id="993"/>
      <w:bookmarkEnd w:id="994"/>
    </w:p>
    <w:p w14:paraId="4AB5A282">
      <w:pPr>
        <w:pStyle w:val="15"/>
        <w:spacing w:line="420" w:lineRule="exact"/>
        <w:ind w:left="98" w:leftChars="0" w:hanging="98" w:hangingChars="47"/>
        <w:rPr>
          <w:rFonts w:ascii="宋体" w:hAnsi="宋体"/>
          <w:color w:val="auto"/>
          <w:szCs w:val="21"/>
          <w:highlight w:val="none"/>
          <w:lang w:eastAsia="zh-CN"/>
        </w:rPr>
      </w:pPr>
      <w:bookmarkStart w:id="995" w:name="_Toc447888814"/>
      <w:bookmarkStart w:id="996" w:name="_Toc466298160"/>
      <w:bookmarkStart w:id="997" w:name="_Toc19056"/>
      <w:bookmarkStart w:id="998" w:name="_Toc490667893"/>
      <w:r>
        <w:rPr>
          <w:rFonts w:hint="eastAsia" w:ascii="宋体" w:hAnsi="宋体"/>
          <w:color w:val="auto"/>
          <w:szCs w:val="21"/>
          <w:highlight w:val="none"/>
          <w:lang w:eastAsia="zh-CN"/>
        </w:rPr>
        <w:t>致 ：</w:t>
      </w:r>
      <w:r>
        <w:rPr>
          <w:rFonts w:hint="eastAsia" w:ascii="宋体" w:hAnsi="宋体"/>
          <w:color w:val="auto"/>
          <w:szCs w:val="21"/>
          <w:highlight w:val="none"/>
          <w:u w:val="single"/>
          <w:lang w:eastAsia="zh-CN"/>
        </w:rPr>
        <w:t>（采购人）</w:t>
      </w:r>
    </w:p>
    <w:p w14:paraId="7332A06B">
      <w:pPr>
        <w:pStyle w:val="15"/>
        <w:spacing w:line="420" w:lineRule="exact"/>
        <w:ind w:left="1" w:leftChars="0" w:firstLine="420" w:firstLineChars="200"/>
        <w:rPr>
          <w:rFonts w:ascii="宋体" w:hAnsi="宋体"/>
          <w:color w:val="auto"/>
          <w:szCs w:val="21"/>
          <w:highlight w:val="none"/>
          <w:lang w:eastAsia="zh-CN"/>
        </w:rPr>
      </w:pPr>
      <w:r>
        <w:rPr>
          <w:rFonts w:ascii="宋体" w:hAnsi="宋体"/>
          <w:color w:val="auto"/>
          <w:szCs w:val="21"/>
          <w:highlight w:val="none"/>
          <w:lang w:eastAsia="zh-CN"/>
        </w:rPr>
        <w:t>1</w:t>
      </w:r>
      <w:r>
        <w:rPr>
          <w:rFonts w:hint="eastAsia" w:ascii="宋体" w:hAnsi="宋体"/>
          <w:color w:val="auto"/>
          <w:szCs w:val="21"/>
          <w:highlight w:val="none"/>
          <w:lang w:eastAsia="zh-CN"/>
        </w:rPr>
        <w:t>．根据已收到的</w:t>
      </w:r>
      <w:r>
        <w:rPr>
          <w:rFonts w:hint="eastAsia" w:ascii="宋体" w:hAnsi="宋体"/>
          <w:color w:val="auto"/>
          <w:szCs w:val="21"/>
          <w:highlight w:val="none"/>
          <w:u w:val="single"/>
          <w:lang w:eastAsia="zh-CN"/>
        </w:rPr>
        <w:t xml:space="preserve">          （项目名称</w:t>
      </w:r>
      <w:r>
        <w:rPr>
          <w:rFonts w:ascii="宋体" w:hAnsi="宋体"/>
          <w:color w:val="auto"/>
          <w:szCs w:val="21"/>
          <w:highlight w:val="none"/>
          <w:u w:val="single"/>
          <w:lang w:eastAsia="zh-CN"/>
        </w:rPr>
        <w:t>）</w:t>
      </w:r>
      <w:r>
        <w:rPr>
          <w:rFonts w:hint="eastAsia" w:ascii="宋体" w:hAnsi="宋体"/>
          <w:color w:val="auto"/>
          <w:szCs w:val="21"/>
          <w:highlight w:val="none"/>
          <w:lang w:eastAsia="zh-CN"/>
        </w:rPr>
        <w:t>的竞争性磋商文件，遵照《中华人民共和国政府采购法》等有关规定，经考察和认真研究本项目竞争性磋商文件及其它有关文件后，愿以人民币（大写</w:t>
      </w:r>
      <w:r>
        <w:rPr>
          <w:rFonts w:hint="eastAsia" w:ascii="宋体" w:hAnsi="宋体"/>
          <w:color w:val="auto"/>
          <w:szCs w:val="21"/>
          <w:highlight w:val="none"/>
          <w:u w:val="single"/>
          <w:lang w:eastAsia="zh-CN"/>
        </w:rPr>
        <w:t xml:space="preserve">）               </w:t>
      </w:r>
      <w:r>
        <w:rPr>
          <w:rFonts w:hint="eastAsia" w:ascii="宋体" w:hAnsi="宋体"/>
          <w:color w:val="auto"/>
          <w:szCs w:val="21"/>
          <w:highlight w:val="none"/>
          <w:lang w:eastAsia="zh-CN"/>
        </w:rPr>
        <w:t>（￥</w:t>
      </w:r>
      <w:r>
        <w:rPr>
          <w:rFonts w:hint="eastAsia" w:ascii="宋体" w:hAnsi="宋体"/>
          <w:color w:val="auto"/>
          <w:szCs w:val="21"/>
          <w:highlight w:val="none"/>
          <w:u w:val="single"/>
          <w:lang w:eastAsia="zh-CN"/>
        </w:rPr>
        <w:t xml:space="preserve">      </w:t>
      </w:r>
      <w:r>
        <w:rPr>
          <w:rFonts w:hint="eastAsia" w:ascii="宋体" w:hAnsi="宋体"/>
          <w:color w:val="auto"/>
          <w:szCs w:val="21"/>
          <w:highlight w:val="none"/>
          <w:lang w:eastAsia="zh-CN"/>
        </w:rPr>
        <w:t>）的磋商总报价作为第一次磋商报价，按合同约定实施和完成本项目，并承担其任何质量缺陷等问题所造成的任何损失。</w:t>
      </w:r>
    </w:p>
    <w:p w14:paraId="7EC8F99E">
      <w:pPr>
        <w:pStyle w:val="15"/>
        <w:spacing w:line="420" w:lineRule="exact"/>
        <w:ind w:left="1" w:leftChars="0" w:firstLine="420" w:firstLineChars="200"/>
        <w:rPr>
          <w:rFonts w:ascii="宋体" w:hAnsi="宋体"/>
          <w:color w:val="auto"/>
          <w:szCs w:val="21"/>
          <w:highlight w:val="none"/>
          <w:lang w:eastAsia="zh-CN"/>
        </w:rPr>
      </w:pPr>
      <w:r>
        <w:rPr>
          <w:rFonts w:ascii="宋体" w:hAnsi="宋体"/>
          <w:color w:val="auto"/>
          <w:szCs w:val="21"/>
          <w:highlight w:val="none"/>
          <w:lang w:eastAsia="zh-CN"/>
        </w:rPr>
        <w:t>2</w:t>
      </w:r>
      <w:r>
        <w:rPr>
          <w:rFonts w:hint="eastAsia" w:ascii="宋体" w:hAnsi="宋体"/>
          <w:color w:val="auto"/>
          <w:szCs w:val="21"/>
          <w:highlight w:val="none"/>
          <w:lang w:eastAsia="zh-CN"/>
        </w:rPr>
        <w:t>．我方已详细检查全部竞争性磋商文件包括澄清文件、补充通知（如有的话）及有关附件，并完全理解我方必须放弃提出含糊不清或误解的权力，愿按照竞争性磋商文件中的条款和要求按最后一次的报价做为最后报价。</w:t>
      </w:r>
    </w:p>
    <w:p w14:paraId="70651F9E">
      <w:pPr>
        <w:pStyle w:val="15"/>
        <w:spacing w:line="420" w:lineRule="exact"/>
        <w:ind w:left="1" w:leftChars="0" w:firstLine="420" w:firstLineChars="200"/>
        <w:rPr>
          <w:rFonts w:ascii="宋体" w:hAnsi="宋体"/>
          <w:color w:val="auto"/>
          <w:szCs w:val="21"/>
          <w:highlight w:val="none"/>
          <w:lang w:eastAsia="zh-CN"/>
        </w:rPr>
      </w:pPr>
      <w:r>
        <w:rPr>
          <w:rFonts w:ascii="宋体" w:hAnsi="宋体"/>
          <w:color w:val="auto"/>
          <w:szCs w:val="21"/>
          <w:highlight w:val="none"/>
          <w:lang w:eastAsia="zh-CN"/>
        </w:rPr>
        <w:t>3</w:t>
      </w:r>
      <w:r>
        <w:rPr>
          <w:rFonts w:hint="eastAsia" w:ascii="宋体" w:hAnsi="宋体"/>
          <w:color w:val="auto"/>
          <w:szCs w:val="21"/>
          <w:highlight w:val="none"/>
          <w:lang w:eastAsia="zh-CN"/>
        </w:rPr>
        <w:t>．我方在此承诺，我方若能成交，保证在服务期限内，全面履行竞争性磋商文件中规定的职责和义务。</w:t>
      </w:r>
    </w:p>
    <w:p w14:paraId="4C86F261">
      <w:pPr>
        <w:pStyle w:val="15"/>
        <w:spacing w:line="420" w:lineRule="exact"/>
        <w:ind w:left="1" w:leftChars="0" w:firstLine="420" w:firstLineChars="200"/>
        <w:rPr>
          <w:rFonts w:ascii="宋体" w:hAnsi="宋体"/>
          <w:color w:val="auto"/>
          <w:szCs w:val="21"/>
          <w:highlight w:val="none"/>
          <w:lang w:eastAsia="zh-CN"/>
        </w:rPr>
      </w:pPr>
      <w:r>
        <w:rPr>
          <w:rFonts w:hint="eastAsia" w:ascii="宋体" w:hAnsi="宋体"/>
          <w:color w:val="auto"/>
          <w:szCs w:val="21"/>
          <w:highlight w:val="none"/>
          <w:lang w:eastAsia="zh-CN"/>
        </w:rPr>
        <w:t>4．如果我方成交，我方保证按合同条款中规定的内容执行；我方保证质量达到国家及行业现行标准规范规定的合格要求，并按竞争性磋商文件和有关规定提交一切资料。</w:t>
      </w:r>
    </w:p>
    <w:p w14:paraId="41D75B14">
      <w:pPr>
        <w:pStyle w:val="15"/>
        <w:spacing w:line="420" w:lineRule="exact"/>
        <w:ind w:left="1" w:leftChars="0" w:firstLine="420" w:firstLineChars="200"/>
        <w:rPr>
          <w:rFonts w:ascii="宋体" w:hAnsi="宋体"/>
          <w:color w:val="auto"/>
          <w:szCs w:val="21"/>
          <w:highlight w:val="none"/>
          <w:lang w:eastAsia="zh-CN"/>
        </w:rPr>
      </w:pPr>
      <w:r>
        <w:rPr>
          <w:rFonts w:hint="eastAsia" w:ascii="宋体" w:hAnsi="宋体"/>
          <w:color w:val="auto"/>
          <w:szCs w:val="21"/>
          <w:highlight w:val="none"/>
          <w:lang w:eastAsia="zh-CN"/>
        </w:rPr>
        <w:t>5．如果我方成交，我方将按照采购人规定提交履约保证金。</w:t>
      </w:r>
    </w:p>
    <w:p w14:paraId="13618398">
      <w:pPr>
        <w:pStyle w:val="15"/>
        <w:spacing w:line="420" w:lineRule="exact"/>
        <w:ind w:left="1" w:leftChars="0" w:firstLine="420" w:firstLineChars="200"/>
        <w:rPr>
          <w:rFonts w:ascii="宋体" w:hAnsi="宋体"/>
          <w:color w:val="auto"/>
          <w:szCs w:val="21"/>
          <w:highlight w:val="none"/>
          <w:lang w:eastAsia="zh-CN"/>
        </w:rPr>
      </w:pPr>
      <w:r>
        <w:rPr>
          <w:rFonts w:hint="eastAsia" w:ascii="宋体" w:hAnsi="宋体"/>
          <w:color w:val="auto"/>
          <w:szCs w:val="21"/>
          <w:highlight w:val="none"/>
          <w:lang w:eastAsia="zh-CN"/>
        </w:rPr>
        <w:t>6．我方同意从响应文件递交截止日期起</w:t>
      </w:r>
      <w:r>
        <w:rPr>
          <w:rFonts w:hint="eastAsia" w:ascii="宋体" w:hAnsi="宋体"/>
          <w:color w:val="auto"/>
          <w:szCs w:val="21"/>
          <w:highlight w:val="none"/>
          <w:u w:val="single"/>
          <w:lang w:eastAsia="zh-CN"/>
        </w:rPr>
        <w:t xml:space="preserve">  60  </w:t>
      </w:r>
      <w:r>
        <w:rPr>
          <w:rFonts w:hint="eastAsia" w:ascii="宋体" w:hAnsi="宋体"/>
          <w:color w:val="auto"/>
          <w:szCs w:val="21"/>
          <w:highlight w:val="none"/>
          <w:lang w:eastAsia="zh-CN"/>
        </w:rPr>
        <w:t>日历天内保持响应文件有效，在此有效期内，我方将严格遵守响应文件的承诺，本响应文件对我方具有约束力，并可随时被接受成交。</w:t>
      </w:r>
    </w:p>
    <w:p w14:paraId="4F2208E5">
      <w:pPr>
        <w:pStyle w:val="15"/>
        <w:spacing w:line="420" w:lineRule="exact"/>
        <w:ind w:left="1" w:leftChars="0" w:firstLine="420" w:firstLineChars="200"/>
        <w:rPr>
          <w:rFonts w:ascii="宋体" w:hAnsi="宋体"/>
          <w:color w:val="auto"/>
          <w:szCs w:val="21"/>
          <w:highlight w:val="none"/>
          <w:lang w:eastAsia="zh-CN"/>
        </w:rPr>
      </w:pPr>
      <w:r>
        <w:rPr>
          <w:rFonts w:hint="eastAsia" w:ascii="宋体" w:hAnsi="宋体"/>
          <w:color w:val="auto"/>
          <w:szCs w:val="21"/>
          <w:highlight w:val="none"/>
          <w:lang w:eastAsia="zh-CN"/>
        </w:rPr>
        <w:t>7．除响应文件所提交的资料外，我方同意随时接受贵方的检查、询问，并根据磋商需要补充贵方要求提交的资料。</w:t>
      </w:r>
    </w:p>
    <w:p w14:paraId="106D80E7">
      <w:pPr>
        <w:pStyle w:val="15"/>
        <w:spacing w:line="420" w:lineRule="exact"/>
        <w:ind w:left="1" w:leftChars="0" w:firstLine="420" w:firstLineChars="200"/>
        <w:rPr>
          <w:rFonts w:ascii="宋体" w:hAnsi="宋体"/>
          <w:color w:val="auto"/>
          <w:szCs w:val="21"/>
          <w:highlight w:val="none"/>
          <w:lang w:eastAsia="zh-CN"/>
        </w:rPr>
      </w:pPr>
      <w:r>
        <w:rPr>
          <w:rFonts w:hint="eastAsia" w:ascii="宋体" w:hAnsi="宋体"/>
          <w:color w:val="auto"/>
          <w:szCs w:val="21"/>
          <w:highlight w:val="none"/>
          <w:lang w:eastAsia="zh-CN"/>
        </w:rPr>
        <w:t>8．如果我方成交后，我方没有任何正当理由而拒签合同，同时我方愿意补偿该项工作因我方延误所造成的经济损失。</w:t>
      </w:r>
    </w:p>
    <w:p w14:paraId="34C6B46F">
      <w:pPr>
        <w:pStyle w:val="15"/>
        <w:spacing w:line="420" w:lineRule="exact"/>
        <w:ind w:left="1" w:leftChars="0" w:firstLine="420" w:firstLineChars="200"/>
        <w:rPr>
          <w:rFonts w:ascii="宋体" w:hAnsi="宋体"/>
          <w:color w:val="auto"/>
          <w:szCs w:val="21"/>
          <w:highlight w:val="none"/>
          <w:lang w:eastAsia="zh-CN"/>
        </w:rPr>
      </w:pPr>
      <w:r>
        <w:rPr>
          <w:rFonts w:hint="eastAsia" w:ascii="宋体" w:hAnsi="宋体"/>
          <w:color w:val="auto"/>
          <w:szCs w:val="21"/>
          <w:highlight w:val="none"/>
          <w:lang w:eastAsia="zh-CN"/>
        </w:rPr>
        <w:t>9．我方愿接受合同条款中规定的合同价款计算和调整方式。</w:t>
      </w:r>
    </w:p>
    <w:p w14:paraId="4ECB39F2">
      <w:pPr>
        <w:pStyle w:val="15"/>
        <w:spacing w:line="420" w:lineRule="exact"/>
        <w:ind w:left="1" w:leftChars="0" w:firstLine="420" w:firstLineChars="200"/>
        <w:rPr>
          <w:rFonts w:ascii="宋体" w:hAnsi="宋体"/>
          <w:color w:val="auto"/>
          <w:szCs w:val="21"/>
          <w:highlight w:val="none"/>
          <w:lang w:eastAsia="zh-CN"/>
        </w:rPr>
      </w:pPr>
      <w:r>
        <w:rPr>
          <w:rFonts w:hint="eastAsia" w:ascii="宋体" w:hAnsi="宋体"/>
          <w:color w:val="auto"/>
          <w:szCs w:val="21"/>
          <w:highlight w:val="none"/>
          <w:lang w:eastAsia="zh-CN"/>
        </w:rPr>
        <w:t>10．除非另外达成协议并生效，贵方的成交通知书和本响应文件将成为约束我方的合同文件组成部分。</w:t>
      </w:r>
    </w:p>
    <w:p w14:paraId="0164C401">
      <w:pPr>
        <w:pStyle w:val="15"/>
        <w:spacing w:line="420" w:lineRule="exact"/>
        <w:ind w:left="1" w:leftChars="0" w:firstLine="420" w:firstLineChars="200"/>
        <w:rPr>
          <w:rFonts w:ascii="宋体" w:hAnsi="宋体"/>
          <w:color w:val="auto"/>
          <w:szCs w:val="21"/>
          <w:highlight w:val="none"/>
          <w:lang w:eastAsia="zh-CN"/>
        </w:rPr>
      </w:pPr>
    </w:p>
    <w:p w14:paraId="44CE78C0">
      <w:pPr>
        <w:pStyle w:val="15"/>
        <w:spacing w:line="420" w:lineRule="exact"/>
        <w:ind w:left="1" w:leftChars="0" w:firstLine="420" w:firstLineChars="200"/>
        <w:rPr>
          <w:rFonts w:ascii="宋体" w:hAnsi="宋体"/>
          <w:color w:val="auto"/>
          <w:szCs w:val="21"/>
          <w:highlight w:val="none"/>
          <w:lang w:eastAsia="zh-CN"/>
        </w:rPr>
      </w:pPr>
    </w:p>
    <w:p w14:paraId="4D14DBBC">
      <w:pPr>
        <w:pStyle w:val="15"/>
        <w:spacing w:line="420" w:lineRule="exact"/>
        <w:ind w:left="1" w:leftChars="0" w:firstLine="420" w:firstLineChars="200"/>
        <w:rPr>
          <w:rFonts w:ascii="宋体" w:hAnsi="宋体"/>
          <w:color w:val="auto"/>
          <w:szCs w:val="21"/>
          <w:highlight w:val="none"/>
          <w:lang w:eastAsia="zh-CN"/>
        </w:rPr>
      </w:pPr>
    </w:p>
    <w:p w14:paraId="4E36E9B3">
      <w:pPr>
        <w:pStyle w:val="15"/>
        <w:spacing w:line="420" w:lineRule="exact"/>
        <w:ind w:left="1" w:leftChars="0" w:firstLine="420" w:firstLineChars="200"/>
        <w:rPr>
          <w:rFonts w:ascii="宋体" w:hAnsi="宋体"/>
          <w:color w:val="auto"/>
          <w:szCs w:val="21"/>
          <w:highlight w:val="none"/>
          <w:lang w:eastAsia="zh-CN"/>
        </w:rPr>
      </w:pPr>
      <w:r>
        <w:rPr>
          <w:rFonts w:hint="eastAsia" w:ascii="宋体" w:hAnsi="宋体"/>
          <w:color w:val="auto"/>
          <w:szCs w:val="21"/>
          <w:highlight w:val="none"/>
          <w:lang w:eastAsia="zh-CN"/>
        </w:rPr>
        <w:t>供应商：</w:t>
      </w:r>
      <w:r>
        <w:rPr>
          <w:rFonts w:hint="eastAsia" w:ascii="宋体" w:hAnsi="宋体"/>
          <w:color w:val="auto"/>
          <w:szCs w:val="21"/>
          <w:highlight w:val="none"/>
          <w:u w:val="single"/>
          <w:lang w:eastAsia="zh-CN"/>
        </w:rPr>
        <w:t xml:space="preserve">             </w:t>
      </w:r>
      <w:r>
        <w:rPr>
          <w:rFonts w:hint="eastAsia" w:ascii="宋体" w:hAnsi="宋体"/>
          <w:color w:val="auto"/>
          <w:szCs w:val="21"/>
          <w:highlight w:val="none"/>
          <w:lang w:eastAsia="zh-CN"/>
        </w:rPr>
        <w:t>（</w:t>
      </w:r>
      <w:r>
        <w:rPr>
          <w:rFonts w:hint="eastAsia" w:ascii="宋体" w:hAnsi="宋体" w:cs="宋体"/>
          <w:color w:val="auto"/>
          <w:szCs w:val="21"/>
          <w:highlight w:val="none"/>
          <w:lang w:eastAsia="zh-CN"/>
        </w:rPr>
        <w:t>单位电子签章</w:t>
      </w:r>
      <w:r>
        <w:rPr>
          <w:rFonts w:hint="eastAsia" w:ascii="宋体" w:hAnsi="宋体"/>
          <w:color w:val="auto"/>
          <w:szCs w:val="21"/>
          <w:highlight w:val="none"/>
          <w:lang w:eastAsia="zh-CN"/>
        </w:rPr>
        <w:t>）</w:t>
      </w:r>
    </w:p>
    <w:p w14:paraId="786CECAA">
      <w:pPr>
        <w:pStyle w:val="15"/>
        <w:spacing w:line="420" w:lineRule="exact"/>
        <w:ind w:left="1" w:leftChars="0" w:firstLine="420" w:firstLineChars="200"/>
        <w:rPr>
          <w:rFonts w:ascii="宋体" w:hAnsi="宋体"/>
          <w:color w:val="auto"/>
          <w:szCs w:val="21"/>
          <w:highlight w:val="none"/>
          <w:lang w:eastAsia="zh-CN"/>
        </w:rPr>
      </w:pPr>
      <w:r>
        <w:rPr>
          <w:rFonts w:hint="eastAsia" w:ascii="宋体" w:hAnsi="宋体"/>
          <w:color w:val="auto"/>
          <w:szCs w:val="21"/>
          <w:highlight w:val="none"/>
          <w:lang w:eastAsia="zh-CN"/>
        </w:rPr>
        <w:t>法定代表人或委托代理人：</w:t>
      </w:r>
      <w:r>
        <w:rPr>
          <w:rFonts w:hint="eastAsia" w:ascii="宋体" w:hAnsi="宋体"/>
          <w:color w:val="auto"/>
          <w:szCs w:val="21"/>
          <w:highlight w:val="none"/>
          <w:u w:val="single"/>
          <w:lang w:eastAsia="zh-CN"/>
        </w:rPr>
        <w:t xml:space="preserve">         </w:t>
      </w:r>
      <w:r>
        <w:rPr>
          <w:rFonts w:hint="eastAsia" w:ascii="宋体" w:hAnsi="宋体"/>
          <w:color w:val="auto"/>
          <w:szCs w:val="21"/>
          <w:highlight w:val="none"/>
          <w:lang w:eastAsia="zh-CN"/>
        </w:rPr>
        <w:t>（电子签名或电子签章）</w:t>
      </w:r>
    </w:p>
    <w:p w14:paraId="1F4AEA3D">
      <w:pPr>
        <w:pStyle w:val="15"/>
        <w:spacing w:line="420" w:lineRule="exact"/>
        <w:ind w:left="1" w:leftChars="0" w:firstLine="420" w:firstLineChars="200"/>
        <w:rPr>
          <w:rFonts w:ascii="宋体" w:hAnsi="宋体"/>
          <w:color w:val="auto"/>
          <w:szCs w:val="21"/>
          <w:highlight w:val="none"/>
          <w:lang w:eastAsia="zh-CN"/>
        </w:rPr>
      </w:pPr>
      <w:r>
        <w:rPr>
          <w:rFonts w:hint="eastAsia" w:ascii="宋体" w:hAnsi="宋体"/>
          <w:color w:val="auto"/>
          <w:szCs w:val="21"/>
          <w:highlight w:val="none"/>
          <w:lang w:eastAsia="zh-CN"/>
        </w:rPr>
        <w:t>日期：     年    月    日</w:t>
      </w:r>
    </w:p>
    <w:p w14:paraId="3BD9226F">
      <w:pPr>
        <w:pStyle w:val="10"/>
        <w:numPr>
          <w:ilvl w:val="1"/>
          <w:numId w:val="0"/>
        </w:numPr>
        <w:ind w:left="0" w:leftChars="0" w:firstLine="0" w:firstLineChars="0"/>
        <w:jc w:val="center"/>
        <w:outlineLvl w:val="9"/>
        <w:rPr>
          <w:color w:val="auto"/>
          <w:sz w:val="28"/>
          <w:szCs w:val="28"/>
          <w:highlight w:val="none"/>
          <w:lang w:eastAsia="zh-CN"/>
        </w:rPr>
      </w:pPr>
      <w:bookmarkStart w:id="999" w:name="_Toc16956"/>
      <w:bookmarkStart w:id="1000" w:name="_Toc11398"/>
      <w:bookmarkStart w:id="1001" w:name="_Toc18098"/>
      <w:r>
        <w:rPr>
          <w:rFonts w:hint="eastAsia"/>
          <w:color w:val="auto"/>
          <w:sz w:val="28"/>
          <w:szCs w:val="28"/>
          <w:highlight w:val="none"/>
          <w:lang w:eastAsia="zh-CN"/>
        </w:rPr>
        <w:t xml:space="preserve"> （二）</w:t>
      </w:r>
      <w:bookmarkEnd w:id="995"/>
      <w:bookmarkEnd w:id="996"/>
      <w:r>
        <w:rPr>
          <w:rFonts w:hint="eastAsia"/>
          <w:color w:val="auto"/>
          <w:sz w:val="28"/>
          <w:szCs w:val="28"/>
          <w:highlight w:val="none"/>
          <w:lang w:eastAsia="zh-CN"/>
        </w:rPr>
        <w:t>响应函附录</w:t>
      </w:r>
      <w:bookmarkEnd w:id="997"/>
      <w:bookmarkEnd w:id="998"/>
      <w:bookmarkEnd w:id="999"/>
      <w:bookmarkEnd w:id="1000"/>
      <w:bookmarkEnd w:id="1001"/>
    </w:p>
    <w:tbl>
      <w:tblPr>
        <w:tblStyle w:val="25"/>
        <w:tblW w:w="9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2"/>
        <w:gridCol w:w="2868"/>
        <w:gridCol w:w="3219"/>
      </w:tblGrid>
      <w:tr w14:paraId="683F5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3312" w:type="dxa"/>
            <w:tcBorders>
              <w:top w:val="single" w:color="auto" w:sz="4" w:space="0"/>
              <w:left w:val="single" w:color="auto" w:sz="4" w:space="0"/>
              <w:bottom w:val="single" w:color="auto" w:sz="4" w:space="0"/>
              <w:right w:val="single" w:color="auto" w:sz="4" w:space="0"/>
            </w:tcBorders>
            <w:vAlign w:val="center"/>
          </w:tcPr>
          <w:p w14:paraId="504FD7DB">
            <w:pPr>
              <w:jc w:val="center"/>
              <w:rPr>
                <w:rFonts w:ascii="宋体" w:hAnsi="宋体"/>
                <w:color w:val="auto"/>
                <w:highlight w:val="none"/>
              </w:rPr>
            </w:pPr>
            <w:r>
              <w:rPr>
                <w:rFonts w:hint="eastAsia" w:ascii="宋体" w:hAnsi="宋体"/>
                <w:color w:val="auto"/>
                <w:highlight w:val="none"/>
              </w:rPr>
              <w:t>项目名称</w:t>
            </w:r>
          </w:p>
        </w:tc>
        <w:tc>
          <w:tcPr>
            <w:tcW w:w="6087" w:type="dxa"/>
            <w:gridSpan w:val="2"/>
            <w:tcBorders>
              <w:top w:val="single" w:color="auto" w:sz="4" w:space="0"/>
              <w:left w:val="single" w:color="auto" w:sz="4" w:space="0"/>
              <w:bottom w:val="single" w:color="auto" w:sz="4" w:space="0"/>
              <w:right w:val="single" w:color="auto" w:sz="4" w:space="0"/>
            </w:tcBorders>
            <w:vAlign w:val="center"/>
          </w:tcPr>
          <w:p w14:paraId="53F76529">
            <w:pPr>
              <w:ind w:firstLine="420"/>
              <w:jc w:val="center"/>
              <w:rPr>
                <w:rFonts w:ascii="宋体" w:hAnsi="宋体"/>
                <w:color w:val="auto"/>
                <w:highlight w:val="none"/>
              </w:rPr>
            </w:pPr>
          </w:p>
        </w:tc>
      </w:tr>
      <w:tr w14:paraId="5804B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3312" w:type="dxa"/>
            <w:tcBorders>
              <w:top w:val="single" w:color="auto" w:sz="4" w:space="0"/>
              <w:left w:val="single" w:color="auto" w:sz="4" w:space="0"/>
              <w:bottom w:val="single" w:color="auto" w:sz="4" w:space="0"/>
              <w:right w:val="single" w:color="auto" w:sz="4" w:space="0"/>
            </w:tcBorders>
            <w:vAlign w:val="center"/>
          </w:tcPr>
          <w:p w14:paraId="75C94F9D">
            <w:pPr>
              <w:jc w:val="center"/>
              <w:rPr>
                <w:rFonts w:ascii="宋体" w:hAnsi="宋体"/>
                <w:color w:val="auto"/>
                <w:highlight w:val="none"/>
              </w:rPr>
            </w:pPr>
            <w:r>
              <w:rPr>
                <w:rFonts w:hint="eastAsia" w:ascii="宋体" w:hAnsi="宋体"/>
                <w:color w:val="auto"/>
                <w:highlight w:val="none"/>
              </w:rPr>
              <w:t>供应商</w:t>
            </w:r>
          </w:p>
        </w:tc>
        <w:tc>
          <w:tcPr>
            <w:tcW w:w="6087" w:type="dxa"/>
            <w:gridSpan w:val="2"/>
            <w:tcBorders>
              <w:top w:val="single" w:color="auto" w:sz="4" w:space="0"/>
              <w:left w:val="single" w:color="auto" w:sz="4" w:space="0"/>
              <w:bottom w:val="single" w:color="auto" w:sz="4" w:space="0"/>
              <w:right w:val="single" w:color="auto" w:sz="4" w:space="0"/>
            </w:tcBorders>
            <w:vAlign w:val="center"/>
          </w:tcPr>
          <w:p w14:paraId="1FD52AB6">
            <w:pPr>
              <w:ind w:firstLine="420"/>
              <w:jc w:val="center"/>
              <w:rPr>
                <w:rFonts w:ascii="宋体" w:hAnsi="宋体"/>
                <w:color w:val="auto"/>
                <w:highlight w:val="none"/>
              </w:rPr>
            </w:pPr>
          </w:p>
        </w:tc>
      </w:tr>
      <w:tr w14:paraId="771F2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3312" w:type="dxa"/>
            <w:vMerge w:val="restart"/>
            <w:tcBorders>
              <w:top w:val="single" w:color="auto" w:sz="4" w:space="0"/>
              <w:left w:val="single" w:color="auto" w:sz="4" w:space="0"/>
              <w:right w:val="single" w:color="auto" w:sz="4" w:space="0"/>
            </w:tcBorders>
            <w:vAlign w:val="center"/>
          </w:tcPr>
          <w:p w14:paraId="324356C7">
            <w:pPr>
              <w:spacing w:line="360" w:lineRule="exact"/>
              <w:jc w:val="center"/>
              <w:rPr>
                <w:rFonts w:ascii="宋体" w:hAnsi="宋体"/>
                <w:color w:val="auto"/>
                <w:highlight w:val="none"/>
              </w:rPr>
            </w:pPr>
            <w:r>
              <w:rPr>
                <w:rFonts w:hint="eastAsia" w:ascii="宋体" w:hAnsi="宋体"/>
                <w:color w:val="auto"/>
                <w:highlight w:val="none"/>
              </w:rPr>
              <w:t>投标报价（元）</w:t>
            </w:r>
          </w:p>
        </w:tc>
        <w:tc>
          <w:tcPr>
            <w:tcW w:w="2868" w:type="dxa"/>
            <w:tcBorders>
              <w:top w:val="single" w:color="auto" w:sz="4" w:space="0"/>
              <w:left w:val="single" w:color="auto" w:sz="4" w:space="0"/>
              <w:bottom w:val="single" w:color="auto" w:sz="4" w:space="0"/>
              <w:right w:val="single" w:color="auto" w:sz="4" w:space="0"/>
            </w:tcBorders>
            <w:vAlign w:val="center"/>
          </w:tcPr>
          <w:p w14:paraId="4AE6AECD">
            <w:pPr>
              <w:jc w:val="center"/>
              <w:rPr>
                <w:rFonts w:ascii="宋体" w:hAnsi="宋体"/>
                <w:color w:val="auto"/>
                <w:highlight w:val="none"/>
              </w:rPr>
            </w:pPr>
            <w:r>
              <w:rPr>
                <w:rFonts w:hint="eastAsia" w:ascii="宋体" w:hAnsi="宋体"/>
                <w:color w:val="auto"/>
                <w:highlight w:val="none"/>
              </w:rPr>
              <w:t>（大写）</w:t>
            </w:r>
          </w:p>
        </w:tc>
        <w:tc>
          <w:tcPr>
            <w:tcW w:w="3219" w:type="dxa"/>
            <w:tcBorders>
              <w:top w:val="single" w:color="auto" w:sz="4" w:space="0"/>
              <w:left w:val="single" w:color="auto" w:sz="4" w:space="0"/>
              <w:bottom w:val="single" w:color="auto" w:sz="4" w:space="0"/>
              <w:right w:val="single" w:color="auto" w:sz="4" w:space="0"/>
            </w:tcBorders>
            <w:vAlign w:val="center"/>
          </w:tcPr>
          <w:p w14:paraId="43F70F13">
            <w:pPr>
              <w:jc w:val="center"/>
              <w:rPr>
                <w:rFonts w:ascii="宋体" w:hAnsi="宋体"/>
                <w:color w:val="auto"/>
                <w:highlight w:val="none"/>
              </w:rPr>
            </w:pPr>
            <w:r>
              <w:rPr>
                <w:rFonts w:hint="eastAsia" w:ascii="宋体" w:hAnsi="宋体"/>
                <w:color w:val="auto"/>
                <w:highlight w:val="none"/>
              </w:rPr>
              <w:t>（小写）</w:t>
            </w:r>
          </w:p>
        </w:tc>
      </w:tr>
      <w:tr w14:paraId="2F568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3312" w:type="dxa"/>
            <w:vMerge w:val="continue"/>
            <w:tcBorders>
              <w:left w:val="single" w:color="auto" w:sz="4" w:space="0"/>
              <w:bottom w:val="single" w:color="auto" w:sz="4" w:space="0"/>
              <w:right w:val="single" w:color="auto" w:sz="4" w:space="0"/>
            </w:tcBorders>
            <w:vAlign w:val="center"/>
          </w:tcPr>
          <w:p w14:paraId="038FA836">
            <w:pPr>
              <w:spacing w:line="360" w:lineRule="exact"/>
              <w:ind w:firstLine="420"/>
              <w:jc w:val="center"/>
              <w:rPr>
                <w:rFonts w:ascii="宋体" w:hAnsi="宋体"/>
                <w:color w:val="auto"/>
                <w:highlight w:val="none"/>
              </w:rPr>
            </w:pPr>
          </w:p>
        </w:tc>
        <w:tc>
          <w:tcPr>
            <w:tcW w:w="6087" w:type="dxa"/>
            <w:gridSpan w:val="2"/>
            <w:tcBorders>
              <w:top w:val="single" w:color="auto" w:sz="4" w:space="0"/>
              <w:left w:val="single" w:color="auto" w:sz="4" w:space="0"/>
              <w:bottom w:val="single" w:color="auto" w:sz="4" w:space="0"/>
              <w:right w:val="single" w:color="auto" w:sz="4" w:space="0"/>
            </w:tcBorders>
            <w:vAlign w:val="center"/>
          </w:tcPr>
          <w:p w14:paraId="0DA2A2DC">
            <w:pPr>
              <w:jc w:val="center"/>
              <w:rPr>
                <w:rFonts w:ascii="宋体" w:hAnsi="宋体"/>
                <w:color w:val="auto"/>
                <w:highlight w:val="none"/>
                <w:lang w:eastAsia="zh-CN"/>
              </w:rPr>
            </w:pPr>
            <w:r>
              <w:rPr>
                <w:rFonts w:hint="eastAsia" w:ascii="宋体" w:hAnsi="宋体"/>
                <w:b/>
                <w:bCs/>
                <w:color w:val="auto"/>
                <w:highlight w:val="none"/>
                <w:lang w:eastAsia="zh-CN"/>
              </w:rPr>
              <w:t>（供应商应在此填列第一次报价，但以供应商最后一次的磋商报价为成交价）</w:t>
            </w:r>
          </w:p>
        </w:tc>
      </w:tr>
      <w:tr w14:paraId="5F598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3312" w:type="dxa"/>
            <w:tcBorders>
              <w:top w:val="single" w:color="auto" w:sz="4" w:space="0"/>
              <w:left w:val="single" w:color="auto" w:sz="4" w:space="0"/>
              <w:bottom w:val="single" w:color="auto" w:sz="4" w:space="0"/>
              <w:right w:val="single" w:color="auto" w:sz="4" w:space="0"/>
            </w:tcBorders>
            <w:vAlign w:val="center"/>
          </w:tcPr>
          <w:p w14:paraId="1BD5F8E5">
            <w:pPr>
              <w:jc w:val="center"/>
              <w:rPr>
                <w:rFonts w:ascii="宋体" w:hAnsi="宋体"/>
                <w:color w:val="auto"/>
                <w:highlight w:val="none"/>
              </w:rPr>
            </w:pPr>
            <w:r>
              <w:rPr>
                <w:rFonts w:hint="eastAsia" w:ascii="宋体" w:hAnsi="宋体"/>
                <w:color w:val="auto"/>
                <w:highlight w:val="none"/>
              </w:rPr>
              <w:t>质量要求</w:t>
            </w:r>
          </w:p>
        </w:tc>
        <w:tc>
          <w:tcPr>
            <w:tcW w:w="6087" w:type="dxa"/>
            <w:gridSpan w:val="2"/>
            <w:tcBorders>
              <w:top w:val="single" w:color="auto" w:sz="4" w:space="0"/>
              <w:left w:val="single" w:color="auto" w:sz="4" w:space="0"/>
              <w:bottom w:val="single" w:color="auto" w:sz="4" w:space="0"/>
              <w:right w:val="single" w:color="auto" w:sz="4" w:space="0"/>
            </w:tcBorders>
            <w:vAlign w:val="center"/>
          </w:tcPr>
          <w:p w14:paraId="38471C38">
            <w:pPr>
              <w:ind w:firstLine="420"/>
              <w:jc w:val="center"/>
              <w:rPr>
                <w:rFonts w:ascii="宋体" w:hAnsi="宋体"/>
                <w:color w:val="auto"/>
                <w:highlight w:val="none"/>
              </w:rPr>
            </w:pPr>
          </w:p>
        </w:tc>
      </w:tr>
      <w:tr w14:paraId="53633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3312" w:type="dxa"/>
            <w:tcBorders>
              <w:top w:val="single" w:color="auto" w:sz="4" w:space="0"/>
              <w:left w:val="single" w:color="auto" w:sz="4" w:space="0"/>
              <w:bottom w:val="single" w:color="auto" w:sz="4" w:space="0"/>
              <w:right w:val="single" w:color="auto" w:sz="4" w:space="0"/>
            </w:tcBorders>
            <w:vAlign w:val="center"/>
          </w:tcPr>
          <w:p w14:paraId="2C9D9D1D">
            <w:pPr>
              <w:jc w:val="center"/>
              <w:rPr>
                <w:rFonts w:ascii="宋体" w:hAnsi="宋体" w:eastAsia="宋体"/>
                <w:color w:val="auto"/>
                <w:highlight w:val="none"/>
                <w:lang w:eastAsia="zh-CN"/>
              </w:rPr>
            </w:pPr>
            <w:r>
              <w:rPr>
                <w:rFonts w:hint="eastAsia" w:ascii="宋体" w:hAnsi="宋体"/>
                <w:color w:val="auto"/>
                <w:highlight w:val="none"/>
                <w:lang w:eastAsia="zh-CN"/>
              </w:rPr>
              <w:t>服务期限</w:t>
            </w:r>
          </w:p>
        </w:tc>
        <w:tc>
          <w:tcPr>
            <w:tcW w:w="6087" w:type="dxa"/>
            <w:gridSpan w:val="2"/>
            <w:tcBorders>
              <w:top w:val="single" w:color="auto" w:sz="4" w:space="0"/>
              <w:left w:val="single" w:color="auto" w:sz="4" w:space="0"/>
              <w:bottom w:val="single" w:color="auto" w:sz="4" w:space="0"/>
              <w:right w:val="single" w:color="auto" w:sz="4" w:space="0"/>
            </w:tcBorders>
            <w:vAlign w:val="center"/>
          </w:tcPr>
          <w:p w14:paraId="702AFBA8">
            <w:pPr>
              <w:ind w:firstLine="420"/>
              <w:jc w:val="center"/>
              <w:rPr>
                <w:rFonts w:ascii="宋体" w:hAnsi="宋体"/>
                <w:color w:val="auto"/>
                <w:highlight w:val="none"/>
              </w:rPr>
            </w:pPr>
          </w:p>
        </w:tc>
      </w:tr>
      <w:tr w14:paraId="3180E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3312" w:type="dxa"/>
            <w:tcBorders>
              <w:top w:val="single" w:color="auto" w:sz="4" w:space="0"/>
              <w:left w:val="single" w:color="auto" w:sz="4" w:space="0"/>
              <w:bottom w:val="single" w:color="auto" w:sz="4" w:space="0"/>
              <w:right w:val="single" w:color="auto" w:sz="4" w:space="0"/>
            </w:tcBorders>
            <w:vAlign w:val="center"/>
          </w:tcPr>
          <w:p w14:paraId="365715BC">
            <w:pPr>
              <w:jc w:val="center"/>
              <w:rPr>
                <w:rFonts w:ascii="宋体" w:hAnsi="宋体"/>
                <w:color w:val="auto"/>
                <w:highlight w:val="none"/>
              </w:rPr>
            </w:pPr>
            <w:r>
              <w:rPr>
                <w:rFonts w:hint="eastAsia" w:ascii="宋体" w:hAnsi="宋体"/>
                <w:color w:val="auto"/>
                <w:highlight w:val="none"/>
              </w:rPr>
              <w:t>磋商有效期</w:t>
            </w:r>
          </w:p>
        </w:tc>
        <w:tc>
          <w:tcPr>
            <w:tcW w:w="6087" w:type="dxa"/>
            <w:gridSpan w:val="2"/>
            <w:tcBorders>
              <w:top w:val="single" w:color="auto" w:sz="4" w:space="0"/>
              <w:left w:val="single" w:color="auto" w:sz="4" w:space="0"/>
              <w:bottom w:val="single" w:color="auto" w:sz="4" w:space="0"/>
              <w:right w:val="single" w:color="auto" w:sz="4" w:space="0"/>
            </w:tcBorders>
            <w:vAlign w:val="center"/>
          </w:tcPr>
          <w:p w14:paraId="2E75BDF0">
            <w:pPr>
              <w:ind w:firstLine="420"/>
              <w:jc w:val="center"/>
              <w:rPr>
                <w:rFonts w:ascii="宋体" w:hAnsi="宋体"/>
                <w:color w:val="auto"/>
                <w:highlight w:val="none"/>
              </w:rPr>
            </w:pPr>
          </w:p>
        </w:tc>
      </w:tr>
      <w:tr w14:paraId="4A96C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3312" w:type="dxa"/>
            <w:tcBorders>
              <w:top w:val="single" w:color="auto" w:sz="4" w:space="0"/>
              <w:left w:val="single" w:color="auto" w:sz="4" w:space="0"/>
              <w:bottom w:val="single" w:color="auto" w:sz="4" w:space="0"/>
              <w:right w:val="single" w:color="auto" w:sz="4" w:space="0"/>
            </w:tcBorders>
            <w:vAlign w:val="center"/>
          </w:tcPr>
          <w:p w14:paraId="2306D810">
            <w:pPr>
              <w:jc w:val="center"/>
              <w:rPr>
                <w:rFonts w:ascii="宋体" w:hAnsi="宋体" w:eastAsia="宋体"/>
                <w:color w:val="auto"/>
                <w:highlight w:val="none"/>
                <w:lang w:eastAsia="zh-CN"/>
              </w:rPr>
            </w:pPr>
            <w:r>
              <w:rPr>
                <w:rFonts w:hint="eastAsia" w:ascii="宋体" w:hAnsi="宋体"/>
                <w:color w:val="auto"/>
                <w:highlight w:val="none"/>
                <w:lang w:eastAsia="zh-CN"/>
              </w:rPr>
              <w:t>备注</w:t>
            </w:r>
          </w:p>
        </w:tc>
        <w:tc>
          <w:tcPr>
            <w:tcW w:w="6087" w:type="dxa"/>
            <w:gridSpan w:val="2"/>
            <w:tcBorders>
              <w:top w:val="single" w:color="auto" w:sz="4" w:space="0"/>
              <w:left w:val="single" w:color="auto" w:sz="4" w:space="0"/>
              <w:bottom w:val="single" w:color="auto" w:sz="4" w:space="0"/>
              <w:right w:val="single" w:color="auto" w:sz="4" w:space="0"/>
            </w:tcBorders>
            <w:vAlign w:val="center"/>
          </w:tcPr>
          <w:p w14:paraId="32F8690D">
            <w:pPr>
              <w:ind w:firstLine="420"/>
              <w:jc w:val="center"/>
              <w:rPr>
                <w:rFonts w:ascii="宋体" w:hAnsi="宋体"/>
                <w:color w:val="auto"/>
                <w:highlight w:val="none"/>
              </w:rPr>
            </w:pPr>
          </w:p>
        </w:tc>
      </w:tr>
    </w:tbl>
    <w:p w14:paraId="2F1DBA86">
      <w:pPr>
        <w:ind w:firstLine="420"/>
        <w:rPr>
          <w:rFonts w:ascii="宋体" w:hAnsi="宋体"/>
          <w:color w:val="auto"/>
          <w:highlight w:val="none"/>
        </w:rPr>
      </w:pPr>
    </w:p>
    <w:p w14:paraId="1127A036">
      <w:pPr>
        <w:ind w:firstLine="420"/>
        <w:rPr>
          <w:rFonts w:ascii="宋体" w:hAnsi="宋体"/>
          <w:color w:val="auto"/>
          <w:highlight w:val="none"/>
        </w:rPr>
      </w:pPr>
    </w:p>
    <w:p w14:paraId="59F59E65">
      <w:pPr>
        <w:spacing w:line="360" w:lineRule="auto"/>
        <w:ind w:firstLine="420"/>
        <w:jc w:val="right"/>
        <w:rPr>
          <w:rFonts w:ascii="宋体" w:hAnsi="宋体"/>
          <w:color w:val="auto"/>
          <w:highlight w:val="none"/>
          <w:lang w:eastAsia="zh-CN"/>
        </w:rPr>
      </w:pPr>
      <w:r>
        <w:rPr>
          <w:rFonts w:hint="eastAsia" w:ascii="宋体" w:hAnsi="宋体"/>
          <w:color w:val="auto"/>
          <w:highlight w:val="none"/>
          <w:lang w:eastAsia="zh-CN"/>
        </w:rPr>
        <w:t>供应商法定代表人或其授权委托人(电子签名或</w:t>
      </w:r>
      <w:r>
        <w:rPr>
          <w:rFonts w:hint="eastAsia" w:ascii="宋体" w:hAnsi="宋体" w:cs="宋体"/>
          <w:color w:val="auto"/>
          <w:highlight w:val="none"/>
          <w:lang w:eastAsia="zh-CN"/>
        </w:rPr>
        <w:t>电子签章</w:t>
      </w:r>
      <w:r>
        <w:rPr>
          <w:rFonts w:hint="eastAsia" w:ascii="宋体" w:hAnsi="宋体"/>
          <w:color w:val="auto"/>
          <w:highlight w:val="none"/>
          <w:lang w:eastAsia="zh-CN"/>
        </w:rPr>
        <w:t>)</w:t>
      </w:r>
      <w:r>
        <w:rPr>
          <w:rFonts w:hint="eastAsia" w:ascii="宋体" w:hAnsi="宋体"/>
          <w:color w:val="auto"/>
          <w:highlight w:val="none"/>
          <w:u w:val="single"/>
          <w:lang w:eastAsia="zh-CN"/>
        </w:rPr>
        <w:t xml:space="preserve">                  </w:t>
      </w:r>
    </w:p>
    <w:p w14:paraId="4BA6A6C8">
      <w:pPr>
        <w:spacing w:line="360" w:lineRule="auto"/>
        <w:ind w:firstLine="3360" w:firstLineChars="1600"/>
        <w:jc w:val="right"/>
        <w:rPr>
          <w:rFonts w:ascii="宋体" w:hAnsi="宋体"/>
          <w:color w:val="auto"/>
          <w:highlight w:val="none"/>
          <w:lang w:eastAsia="zh-CN"/>
        </w:rPr>
      </w:pPr>
      <w:r>
        <w:rPr>
          <w:rFonts w:hint="eastAsia" w:ascii="宋体" w:hAnsi="宋体"/>
          <w:color w:val="auto"/>
          <w:highlight w:val="none"/>
          <w:lang w:eastAsia="zh-CN"/>
        </w:rPr>
        <w:t>供应商</w:t>
      </w:r>
      <w:r>
        <w:rPr>
          <w:rFonts w:ascii="宋体" w:hAnsi="宋体"/>
          <w:color w:val="auto"/>
          <w:highlight w:val="none"/>
          <w:lang w:eastAsia="zh-CN"/>
        </w:rPr>
        <w:t>(</w:t>
      </w:r>
      <w:r>
        <w:rPr>
          <w:rFonts w:hint="eastAsia" w:ascii="宋体" w:hAnsi="宋体" w:cs="宋体"/>
          <w:color w:val="auto"/>
          <w:highlight w:val="none"/>
          <w:lang w:eastAsia="zh-CN"/>
        </w:rPr>
        <w:t>单位电子签章</w:t>
      </w:r>
      <w:r>
        <w:rPr>
          <w:rFonts w:ascii="宋体" w:hAnsi="宋体"/>
          <w:color w:val="auto"/>
          <w:highlight w:val="none"/>
          <w:lang w:eastAsia="zh-CN"/>
        </w:rPr>
        <w:t>)</w:t>
      </w:r>
      <w:r>
        <w:rPr>
          <w:rFonts w:hint="eastAsia" w:ascii="宋体" w:hAnsi="宋体"/>
          <w:color w:val="auto"/>
          <w:highlight w:val="none"/>
          <w:lang w:eastAsia="zh-CN"/>
        </w:rPr>
        <w:t>：</w:t>
      </w:r>
      <w:r>
        <w:rPr>
          <w:rFonts w:ascii="宋体" w:hAnsi="宋体"/>
          <w:color w:val="auto"/>
          <w:highlight w:val="none"/>
          <w:lang w:eastAsia="zh-CN"/>
        </w:rPr>
        <w:tab/>
      </w:r>
      <w:r>
        <w:rPr>
          <w:rFonts w:ascii="宋体" w:hAnsi="宋体"/>
          <w:color w:val="auto"/>
          <w:highlight w:val="none"/>
          <w:lang w:eastAsia="zh-CN"/>
        </w:rPr>
        <w:t xml:space="preserve">            </w:t>
      </w:r>
      <w:r>
        <w:rPr>
          <w:rFonts w:hint="eastAsia" w:ascii="宋体" w:hAnsi="宋体"/>
          <w:color w:val="auto"/>
          <w:highlight w:val="none"/>
          <w:lang w:eastAsia="zh-CN"/>
        </w:rPr>
        <w:t xml:space="preserve">      </w:t>
      </w:r>
      <w:r>
        <w:rPr>
          <w:rFonts w:ascii="宋体" w:hAnsi="宋体"/>
          <w:color w:val="auto"/>
          <w:highlight w:val="none"/>
          <w:lang w:eastAsia="zh-CN"/>
        </w:rPr>
        <w:tab/>
      </w:r>
    </w:p>
    <w:p w14:paraId="4CFD30AF">
      <w:pPr>
        <w:spacing w:line="360" w:lineRule="auto"/>
        <w:ind w:firstLine="4620" w:firstLineChars="2200"/>
        <w:jc w:val="right"/>
        <w:rPr>
          <w:rFonts w:ascii="宋体" w:hAnsi="宋体"/>
          <w:color w:val="auto"/>
          <w:highlight w:val="none"/>
          <w:lang w:eastAsia="zh-CN"/>
        </w:rPr>
      </w:pPr>
      <w:r>
        <w:rPr>
          <w:rFonts w:hint="eastAsia" w:ascii="宋体" w:hAnsi="宋体"/>
          <w:color w:val="auto"/>
          <w:highlight w:val="none"/>
          <w:lang w:eastAsia="zh-CN"/>
        </w:rPr>
        <w:t xml:space="preserve">年   月   </w:t>
      </w:r>
      <w:bookmarkStart w:id="1002" w:name="_Toc152042580"/>
      <w:bookmarkStart w:id="1003" w:name="_Toc152045791"/>
      <w:bookmarkStart w:id="1004" w:name="_Toc287367268"/>
      <w:bookmarkStart w:id="1005" w:name="_Toc144974860"/>
      <w:r>
        <w:rPr>
          <w:rFonts w:hint="eastAsia" w:ascii="宋体" w:hAnsi="宋体"/>
          <w:color w:val="auto"/>
          <w:highlight w:val="none"/>
          <w:lang w:eastAsia="zh-CN"/>
        </w:rPr>
        <w:t>日</w:t>
      </w:r>
    </w:p>
    <w:p w14:paraId="788688E2">
      <w:pPr>
        <w:ind w:firstLine="420"/>
        <w:rPr>
          <w:color w:val="auto"/>
          <w:highlight w:val="none"/>
          <w:lang w:eastAsia="zh-CN"/>
        </w:rPr>
      </w:pPr>
    </w:p>
    <w:p w14:paraId="5C77FC27">
      <w:pPr>
        <w:pStyle w:val="33"/>
        <w:ind w:firstLine="562" w:firstLineChars="0"/>
        <w:jc w:val="center"/>
        <w:outlineLvl w:val="9"/>
        <w:rPr>
          <w:rFonts w:ascii="宋体" w:hAnsi="宋体"/>
          <w:b/>
          <w:color w:val="auto"/>
          <w:szCs w:val="28"/>
          <w:highlight w:val="none"/>
          <w:lang w:eastAsia="zh-CN"/>
        </w:rPr>
      </w:pPr>
      <w:bookmarkStart w:id="1006" w:name="_Toc29009"/>
      <w:bookmarkStart w:id="1007" w:name="_Toc466298161"/>
      <w:bookmarkStart w:id="1008" w:name="_Toc2481"/>
      <w:bookmarkStart w:id="1009" w:name="_Toc25853"/>
      <w:bookmarkStart w:id="1010" w:name="_Toc31033"/>
      <w:r>
        <w:rPr>
          <w:rStyle w:val="39"/>
          <w:rFonts w:hint="eastAsia"/>
          <w:b/>
          <w:color w:val="auto"/>
          <w:highlight w:val="none"/>
          <w:lang w:eastAsia="zh-CN"/>
        </w:rPr>
        <w:br w:type="page"/>
      </w:r>
      <w:r>
        <w:rPr>
          <w:rStyle w:val="39"/>
          <w:rFonts w:hint="eastAsia"/>
          <w:b/>
          <w:color w:val="auto"/>
          <w:highlight w:val="none"/>
          <w:lang w:eastAsia="zh-CN"/>
        </w:rPr>
        <w:t>二、</w:t>
      </w:r>
      <w:bookmarkEnd w:id="1002"/>
      <w:bookmarkEnd w:id="1003"/>
      <w:bookmarkEnd w:id="1004"/>
      <w:bookmarkEnd w:id="1005"/>
      <w:r>
        <w:rPr>
          <w:rStyle w:val="39"/>
          <w:rFonts w:hint="eastAsia"/>
          <w:b/>
          <w:color w:val="auto"/>
          <w:highlight w:val="none"/>
          <w:lang w:eastAsia="zh-CN"/>
        </w:rPr>
        <w:t>法定代表人身份证明</w:t>
      </w:r>
      <w:bookmarkEnd w:id="1006"/>
      <w:bookmarkEnd w:id="1007"/>
      <w:bookmarkEnd w:id="1008"/>
      <w:bookmarkEnd w:id="1009"/>
      <w:bookmarkEnd w:id="1010"/>
    </w:p>
    <w:p w14:paraId="607A412C">
      <w:pPr>
        <w:spacing w:line="440" w:lineRule="exact"/>
        <w:ind w:firstLine="420"/>
        <w:jc w:val="center"/>
        <w:rPr>
          <w:rFonts w:ascii="宋体" w:hAnsi="宋体" w:cs="宋体"/>
          <w:color w:val="auto"/>
          <w:highlight w:val="none"/>
          <w:lang w:eastAsia="zh-CN"/>
        </w:rPr>
      </w:pPr>
    </w:p>
    <w:p w14:paraId="6781AAE4">
      <w:pPr>
        <w:spacing w:line="440" w:lineRule="exact"/>
        <w:ind w:firstLine="420"/>
        <w:rPr>
          <w:rFonts w:ascii="宋体" w:hAnsi="宋体" w:cs="宋体"/>
          <w:color w:val="auto"/>
          <w:highlight w:val="none"/>
          <w:lang w:eastAsia="zh-CN"/>
        </w:rPr>
      </w:pPr>
      <w:r>
        <w:rPr>
          <w:rFonts w:hint="eastAsia" w:ascii="宋体" w:hAnsi="宋体" w:cs="宋体"/>
          <w:color w:val="auto"/>
          <w:highlight w:val="none"/>
          <w:lang w:eastAsia="zh-CN"/>
        </w:rPr>
        <w:t>供应商名称：</w:t>
      </w:r>
      <w:r>
        <w:rPr>
          <w:rFonts w:hint="eastAsia" w:ascii="宋体" w:hAnsi="宋体" w:cs="宋体"/>
          <w:color w:val="auto"/>
          <w:highlight w:val="none"/>
          <w:u w:val="single"/>
          <w:lang w:eastAsia="zh-CN"/>
        </w:rPr>
        <w:t xml:space="preserve">                             </w:t>
      </w:r>
      <w:r>
        <w:rPr>
          <w:rFonts w:hint="eastAsia" w:ascii="宋体" w:hAnsi="宋体" w:cs="宋体"/>
          <w:color w:val="auto"/>
          <w:highlight w:val="none"/>
          <w:lang w:eastAsia="zh-CN"/>
        </w:rPr>
        <w:t xml:space="preserve"> </w:t>
      </w:r>
    </w:p>
    <w:p w14:paraId="0A35BDCE">
      <w:pPr>
        <w:spacing w:line="440" w:lineRule="exact"/>
        <w:ind w:firstLine="420"/>
        <w:rPr>
          <w:rFonts w:ascii="宋体" w:hAnsi="宋体" w:cs="宋体"/>
          <w:color w:val="auto"/>
          <w:highlight w:val="none"/>
          <w:lang w:eastAsia="zh-CN"/>
        </w:rPr>
      </w:pPr>
      <w:r>
        <w:rPr>
          <w:rFonts w:hint="eastAsia" w:ascii="宋体" w:hAnsi="宋体" w:cs="宋体"/>
          <w:color w:val="auto"/>
          <w:highlight w:val="none"/>
          <w:lang w:eastAsia="zh-CN"/>
        </w:rPr>
        <w:t>单位性质：</w:t>
      </w:r>
      <w:r>
        <w:rPr>
          <w:rFonts w:hint="eastAsia" w:ascii="宋体" w:hAnsi="宋体" w:cs="宋体"/>
          <w:color w:val="auto"/>
          <w:highlight w:val="none"/>
          <w:u w:val="single"/>
          <w:lang w:eastAsia="zh-CN"/>
        </w:rPr>
        <w:t xml:space="preserve">                               </w:t>
      </w:r>
      <w:r>
        <w:rPr>
          <w:rFonts w:hint="eastAsia" w:ascii="宋体" w:hAnsi="宋体" w:cs="宋体"/>
          <w:color w:val="auto"/>
          <w:highlight w:val="none"/>
          <w:lang w:eastAsia="zh-CN"/>
        </w:rPr>
        <w:t xml:space="preserve"> </w:t>
      </w:r>
    </w:p>
    <w:p w14:paraId="6E5661C4">
      <w:pPr>
        <w:spacing w:line="440" w:lineRule="exact"/>
        <w:ind w:firstLine="420"/>
        <w:rPr>
          <w:rFonts w:ascii="宋体" w:hAnsi="宋体" w:cs="宋体"/>
          <w:color w:val="auto"/>
          <w:highlight w:val="none"/>
          <w:lang w:eastAsia="zh-CN"/>
        </w:rPr>
      </w:pPr>
      <w:r>
        <w:rPr>
          <w:rFonts w:hint="eastAsia" w:ascii="宋体" w:hAnsi="宋体" w:cs="宋体"/>
          <w:color w:val="auto"/>
          <w:highlight w:val="none"/>
          <w:lang w:eastAsia="zh-CN"/>
        </w:rPr>
        <w:t>地址：</w:t>
      </w:r>
      <w:r>
        <w:rPr>
          <w:rFonts w:hint="eastAsia" w:ascii="宋体" w:hAnsi="宋体" w:cs="宋体"/>
          <w:color w:val="auto"/>
          <w:highlight w:val="none"/>
          <w:u w:val="single"/>
          <w:lang w:eastAsia="zh-CN"/>
        </w:rPr>
        <w:t xml:space="preserve">                                   </w:t>
      </w:r>
    </w:p>
    <w:p w14:paraId="1F50332E">
      <w:pPr>
        <w:spacing w:line="440" w:lineRule="exact"/>
        <w:ind w:firstLine="420"/>
        <w:rPr>
          <w:rFonts w:ascii="宋体" w:hAnsi="宋体" w:cs="宋体"/>
          <w:color w:val="auto"/>
          <w:highlight w:val="none"/>
          <w:lang w:eastAsia="zh-CN"/>
        </w:rPr>
      </w:pPr>
      <w:r>
        <w:rPr>
          <w:rFonts w:hint="eastAsia" w:ascii="宋体" w:hAnsi="宋体" w:cs="宋体"/>
          <w:color w:val="auto"/>
          <w:highlight w:val="none"/>
          <w:lang w:eastAsia="zh-CN"/>
        </w:rPr>
        <w:t>成立时间：</w:t>
      </w:r>
      <w:r>
        <w:rPr>
          <w:rFonts w:hint="eastAsia" w:ascii="宋体" w:hAnsi="宋体" w:cs="宋体"/>
          <w:color w:val="auto"/>
          <w:highlight w:val="none"/>
          <w:u w:val="single"/>
          <w:lang w:eastAsia="zh-CN"/>
        </w:rPr>
        <w:t xml:space="preserve">         </w:t>
      </w:r>
      <w:r>
        <w:rPr>
          <w:rFonts w:hint="eastAsia" w:ascii="宋体" w:hAnsi="宋体" w:cs="宋体"/>
          <w:color w:val="auto"/>
          <w:highlight w:val="none"/>
          <w:lang w:eastAsia="zh-CN"/>
        </w:rPr>
        <w:t xml:space="preserve"> 年</w:t>
      </w:r>
      <w:r>
        <w:rPr>
          <w:rFonts w:hint="eastAsia" w:ascii="宋体" w:hAnsi="宋体" w:cs="宋体"/>
          <w:color w:val="auto"/>
          <w:highlight w:val="none"/>
          <w:u w:val="single"/>
          <w:lang w:eastAsia="zh-CN"/>
        </w:rPr>
        <w:t xml:space="preserve">        </w:t>
      </w:r>
      <w:r>
        <w:rPr>
          <w:rFonts w:hint="eastAsia" w:ascii="宋体" w:hAnsi="宋体" w:cs="宋体"/>
          <w:color w:val="auto"/>
          <w:highlight w:val="none"/>
          <w:lang w:eastAsia="zh-CN"/>
        </w:rPr>
        <w:t>月</w:t>
      </w:r>
      <w:r>
        <w:rPr>
          <w:rFonts w:hint="eastAsia" w:ascii="宋体" w:hAnsi="宋体" w:cs="宋体"/>
          <w:color w:val="auto"/>
          <w:highlight w:val="none"/>
          <w:u w:val="single"/>
          <w:lang w:eastAsia="zh-CN"/>
        </w:rPr>
        <w:t xml:space="preserve">        </w:t>
      </w:r>
      <w:r>
        <w:rPr>
          <w:rFonts w:hint="eastAsia" w:ascii="宋体" w:hAnsi="宋体" w:cs="宋体"/>
          <w:color w:val="auto"/>
          <w:highlight w:val="none"/>
          <w:lang w:eastAsia="zh-CN"/>
        </w:rPr>
        <w:t>日</w:t>
      </w:r>
    </w:p>
    <w:p w14:paraId="2E882E2F">
      <w:pPr>
        <w:spacing w:line="440" w:lineRule="exact"/>
        <w:ind w:firstLine="420"/>
        <w:rPr>
          <w:rFonts w:ascii="宋体" w:hAnsi="宋体" w:cs="宋体"/>
          <w:color w:val="auto"/>
          <w:highlight w:val="none"/>
          <w:lang w:eastAsia="zh-CN"/>
        </w:rPr>
      </w:pPr>
      <w:r>
        <w:rPr>
          <w:rFonts w:hint="eastAsia" w:ascii="宋体" w:hAnsi="宋体" w:cs="宋体"/>
          <w:color w:val="auto"/>
          <w:highlight w:val="none"/>
          <w:lang w:eastAsia="zh-CN"/>
        </w:rPr>
        <w:t>经营期限：</w:t>
      </w:r>
      <w:r>
        <w:rPr>
          <w:rFonts w:hint="eastAsia" w:ascii="宋体" w:hAnsi="宋体" w:cs="宋体"/>
          <w:color w:val="auto"/>
          <w:highlight w:val="none"/>
          <w:u w:val="single"/>
          <w:lang w:eastAsia="zh-CN"/>
        </w:rPr>
        <w:t xml:space="preserve">                               </w:t>
      </w:r>
    </w:p>
    <w:p w14:paraId="655728FB">
      <w:pPr>
        <w:spacing w:line="440" w:lineRule="exact"/>
        <w:ind w:firstLine="420"/>
        <w:rPr>
          <w:rFonts w:ascii="宋体" w:hAnsi="宋体" w:cs="宋体"/>
          <w:color w:val="auto"/>
          <w:highlight w:val="none"/>
          <w:lang w:eastAsia="zh-CN"/>
        </w:rPr>
      </w:pPr>
      <w:r>
        <w:rPr>
          <w:rFonts w:hint="eastAsia" w:ascii="宋体" w:hAnsi="宋体" w:cs="宋体"/>
          <w:color w:val="auto"/>
          <w:highlight w:val="none"/>
          <w:lang w:eastAsia="zh-CN"/>
        </w:rPr>
        <w:t>姓名：</w:t>
      </w:r>
      <w:r>
        <w:rPr>
          <w:rFonts w:hint="eastAsia" w:ascii="宋体" w:hAnsi="宋体" w:cs="宋体"/>
          <w:color w:val="auto"/>
          <w:highlight w:val="none"/>
          <w:u w:val="single"/>
          <w:lang w:eastAsia="zh-CN"/>
        </w:rPr>
        <w:t xml:space="preserve">        </w:t>
      </w:r>
      <w:r>
        <w:rPr>
          <w:rFonts w:hint="eastAsia" w:ascii="宋体" w:hAnsi="宋体" w:cs="宋体"/>
          <w:color w:val="auto"/>
          <w:highlight w:val="none"/>
          <w:lang w:eastAsia="zh-CN"/>
        </w:rPr>
        <w:t xml:space="preserve"> 性别：</w:t>
      </w:r>
      <w:r>
        <w:rPr>
          <w:rFonts w:hint="eastAsia" w:ascii="宋体" w:hAnsi="宋体" w:cs="宋体"/>
          <w:color w:val="auto"/>
          <w:highlight w:val="none"/>
          <w:u w:val="single"/>
          <w:lang w:eastAsia="zh-CN"/>
        </w:rPr>
        <w:t xml:space="preserve">         </w:t>
      </w:r>
      <w:r>
        <w:rPr>
          <w:rFonts w:hint="eastAsia" w:ascii="宋体" w:hAnsi="宋体" w:cs="宋体"/>
          <w:color w:val="auto"/>
          <w:highlight w:val="none"/>
          <w:lang w:eastAsia="zh-CN"/>
        </w:rPr>
        <w:t xml:space="preserve"> 年龄：</w:t>
      </w:r>
      <w:r>
        <w:rPr>
          <w:rFonts w:hint="eastAsia" w:ascii="宋体" w:hAnsi="宋体" w:cs="宋体"/>
          <w:color w:val="auto"/>
          <w:highlight w:val="none"/>
          <w:u w:val="single"/>
          <w:lang w:eastAsia="zh-CN"/>
        </w:rPr>
        <w:t xml:space="preserve">        </w:t>
      </w:r>
      <w:r>
        <w:rPr>
          <w:rFonts w:hint="eastAsia" w:ascii="宋体" w:hAnsi="宋体" w:cs="宋体"/>
          <w:color w:val="auto"/>
          <w:highlight w:val="none"/>
          <w:lang w:eastAsia="zh-CN"/>
        </w:rPr>
        <w:t>职务：</w:t>
      </w:r>
      <w:r>
        <w:rPr>
          <w:rFonts w:hint="eastAsia" w:ascii="宋体" w:hAnsi="宋体" w:cs="宋体"/>
          <w:color w:val="auto"/>
          <w:highlight w:val="none"/>
          <w:u w:val="single"/>
          <w:lang w:eastAsia="zh-CN"/>
        </w:rPr>
        <w:t xml:space="preserve">        </w:t>
      </w:r>
    </w:p>
    <w:p w14:paraId="2618579A">
      <w:pPr>
        <w:spacing w:line="440" w:lineRule="exact"/>
        <w:ind w:firstLine="420"/>
        <w:rPr>
          <w:rFonts w:ascii="宋体" w:hAnsi="宋体" w:cs="宋体"/>
          <w:color w:val="auto"/>
          <w:highlight w:val="none"/>
          <w:lang w:eastAsia="zh-CN"/>
        </w:rPr>
      </w:pPr>
      <w:r>
        <w:rPr>
          <w:rFonts w:hint="eastAsia" w:ascii="宋体" w:hAnsi="宋体" w:cs="宋体"/>
          <w:color w:val="auto"/>
          <w:highlight w:val="none"/>
          <w:lang w:eastAsia="zh-CN"/>
        </w:rPr>
        <w:t>系</w:t>
      </w:r>
      <w:r>
        <w:rPr>
          <w:rFonts w:hint="eastAsia" w:ascii="宋体" w:hAnsi="宋体" w:cs="宋体"/>
          <w:color w:val="auto"/>
          <w:highlight w:val="none"/>
          <w:u w:val="single"/>
          <w:lang w:eastAsia="zh-CN"/>
        </w:rPr>
        <w:t xml:space="preserve">                             </w:t>
      </w:r>
      <w:r>
        <w:rPr>
          <w:rFonts w:hint="eastAsia" w:ascii="宋体" w:hAnsi="宋体" w:cs="宋体"/>
          <w:color w:val="auto"/>
          <w:highlight w:val="none"/>
          <w:lang w:eastAsia="zh-CN"/>
        </w:rPr>
        <w:t xml:space="preserve"> （供应商名称）的法定代表人。</w:t>
      </w:r>
    </w:p>
    <w:p w14:paraId="12D99E4B">
      <w:pPr>
        <w:spacing w:line="440" w:lineRule="exact"/>
        <w:ind w:firstLine="420"/>
        <w:rPr>
          <w:rFonts w:ascii="宋体" w:hAnsi="宋体" w:cs="宋体"/>
          <w:color w:val="auto"/>
          <w:highlight w:val="none"/>
          <w:lang w:eastAsia="zh-CN"/>
        </w:rPr>
      </w:pPr>
      <w:r>
        <w:rPr>
          <w:rFonts w:hint="eastAsia" w:ascii="宋体" w:hAnsi="宋体" w:cs="宋体"/>
          <w:color w:val="auto"/>
          <w:highlight w:val="none"/>
          <w:lang w:eastAsia="zh-CN"/>
        </w:rPr>
        <w:t>特此证明。</w:t>
      </w:r>
    </w:p>
    <w:p w14:paraId="4FF212FC">
      <w:pPr>
        <w:spacing w:line="440" w:lineRule="exact"/>
        <w:ind w:firstLine="420"/>
        <w:rPr>
          <w:rFonts w:ascii="宋体" w:hAnsi="宋体" w:cs="宋体"/>
          <w:color w:val="auto"/>
          <w:highlight w:val="none"/>
          <w:lang w:eastAsia="zh-CN"/>
        </w:rPr>
      </w:pPr>
    </w:p>
    <w:p w14:paraId="683D4AA1">
      <w:pPr>
        <w:spacing w:line="440" w:lineRule="exact"/>
        <w:ind w:firstLine="420"/>
        <w:rPr>
          <w:rFonts w:ascii="宋体" w:hAnsi="宋体" w:cs="宋体"/>
          <w:color w:val="auto"/>
          <w:highlight w:val="none"/>
          <w:lang w:eastAsia="zh-CN"/>
        </w:rPr>
      </w:pPr>
    </w:p>
    <w:p w14:paraId="47EDA1B8">
      <w:pPr>
        <w:spacing w:line="440" w:lineRule="exact"/>
        <w:ind w:firstLine="420"/>
        <w:jc w:val="right"/>
        <w:rPr>
          <w:rFonts w:ascii="宋体" w:hAnsi="宋体" w:cs="宋体"/>
          <w:color w:val="auto"/>
          <w:highlight w:val="none"/>
          <w:lang w:eastAsia="zh-CN"/>
        </w:rPr>
      </w:pPr>
      <w:r>
        <w:rPr>
          <w:rFonts w:hint="eastAsia" w:ascii="宋体" w:hAnsi="宋体" w:cs="宋体"/>
          <w:color w:val="auto"/>
          <w:highlight w:val="none"/>
          <w:lang w:eastAsia="zh-CN"/>
        </w:rPr>
        <w:t xml:space="preserve">                          供应商：</w:t>
      </w:r>
      <w:r>
        <w:rPr>
          <w:rFonts w:hint="eastAsia" w:ascii="宋体" w:hAnsi="宋体" w:cs="宋体"/>
          <w:color w:val="auto"/>
          <w:highlight w:val="none"/>
          <w:u w:val="single"/>
          <w:lang w:eastAsia="zh-CN"/>
        </w:rPr>
        <w:t xml:space="preserve">                 </w:t>
      </w:r>
      <w:r>
        <w:rPr>
          <w:rFonts w:hint="eastAsia" w:ascii="宋体" w:hAnsi="宋体" w:cs="宋体"/>
          <w:color w:val="auto"/>
          <w:highlight w:val="none"/>
          <w:lang w:eastAsia="zh-CN"/>
        </w:rPr>
        <w:t>（单位电子签章）</w:t>
      </w:r>
    </w:p>
    <w:p w14:paraId="3A998871">
      <w:pPr>
        <w:spacing w:line="440" w:lineRule="exact"/>
        <w:ind w:firstLine="420"/>
        <w:jc w:val="right"/>
        <w:rPr>
          <w:rFonts w:ascii="宋体" w:hAnsi="宋体" w:cs="宋体"/>
          <w:color w:val="auto"/>
          <w:highlight w:val="none"/>
        </w:rPr>
      </w:pPr>
      <w:r>
        <w:rPr>
          <w:rFonts w:hint="eastAsia" w:ascii="宋体" w:hAnsi="宋体" w:cs="宋体"/>
          <w:color w:val="auto"/>
          <w:highlight w:val="none"/>
          <w:lang w:eastAsia="zh-CN"/>
        </w:rPr>
        <w:t xml:space="preserve">                                   </w:t>
      </w:r>
      <w:r>
        <w:rPr>
          <w:rFonts w:hint="eastAsia" w:ascii="宋体" w:hAnsi="宋体" w:cs="宋体"/>
          <w:color w:val="auto"/>
          <w:highlight w:val="none"/>
          <w:u w:val="single"/>
          <w:lang w:eastAsia="zh-CN"/>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 xml:space="preserve">日 </w:t>
      </w:r>
    </w:p>
    <w:p w14:paraId="6A364DA9">
      <w:pPr>
        <w:spacing w:line="440" w:lineRule="exact"/>
        <w:ind w:firstLine="420"/>
        <w:rPr>
          <w:rFonts w:ascii="宋体" w:hAnsi="宋体" w:cs="宋体"/>
          <w:color w:val="auto"/>
          <w:highlight w:val="none"/>
        </w:rPr>
      </w:pPr>
    </w:p>
    <w:p w14:paraId="48E79E50">
      <w:pPr>
        <w:spacing w:line="440" w:lineRule="exact"/>
        <w:ind w:firstLine="420"/>
        <w:rPr>
          <w:rFonts w:ascii="宋体" w:hAnsi="宋体" w:cs="宋体"/>
          <w:color w:val="auto"/>
          <w:highlight w:val="none"/>
        </w:rPr>
      </w:pP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74E14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9" w:hRule="atLeast"/>
        </w:trPr>
        <w:tc>
          <w:tcPr>
            <w:tcW w:w="8528" w:type="dxa"/>
            <w:vAlign w:val="center"/>
          </w:tcPr>
          <w:p w14:paraId="36DA681E">
            <w:pPr>
              <w:spacing w:line="440" w:lineRule="exact"/>
              <w:ind w:firstLine="420"/>
              <w:jc w:val="center"/>
              <w:rPr>
                <w:rFonts w:ascii="宋体" w:hAnsi="宋体" w:cs="宋体"/>
                <w:color w:val="auto"/>
                <w:highlight w:val="none"/>
                <w:lang w:eastAsia="zh-CN"/>
              </w:rPr>
            </w:pPr>
            <w:r>
              <w:rPr>
                <w:rFonts w:hint="eastAsia" w:ascii="宋体" w:hAnsi="宋体" w:cs="宋体"/>
                <w:color w:val="auto"/>
                <w:highlight w:val="none"/>
                <w:lang w:eastAsia="zh-CN"/>
              </w:rPr>
              <w:t>法定代表人身份证扫描件</w:t>
            </w:r>
          </w:p>
          <w:p w14:paraId="23967405">
            <w:pPr>
              <w:spacing w:line="440" w:lineRule="exact"/>
              <w:ind w:firstLine="420"/>
              <w:jc w:val="center"/>
              <w:rPr>
                <w:rFonts w:ascii="宋体" w:hAnsi="宋体" w:cs="宋体"/>
                <w:color w:val="auto"/>
                <w:highlight w:val="none"/>
                <w:lang w:eastAsia="zh-CN"/>
              </w:rPr>
            </w:pPr>
          </w:p>
        </w:tc>
      </w:tr>
    </w:tbl>
    <w:p w14:paraId="3783EE17">
      <w:pPr>
        <w:spacing w:line="440" w:lineRule="exact"/>
        <w:ind w:firstLine="420"/>
        <w:rPr>
          <w:rFonts w:ascii="宋体" w:hAnsi="宋体" w:cs="宋体"/>
          <w:color w:val="auto"/>
          <w:highlight w:val="none"/>
          <w:lang w:eastAsia="zh-CN"/>
        </w:rPr>
      </w:pPr>
    </w:p>
    <w:p w14:paraId="33D2CDA4">
      <w:pPr>
        <w:spacing w:line="440" w:lineRule="exact"/>
        <w:ind w:firstLine="420"/>
        <w:rPr>
          <w:rFonts w:ascii="宋体" w:hAnsi="宋体" w:cs="宋体"/>
          <w:color w:val="auto"/>
          <w:highlight w:val="none"/>
          <w:lang w:eastAsia="zh-CN"/>
        </w:rPr>
      </w:pPr>
    </w:p>
    <w:p w14:paraId="2EA5B037">
      <w:pPr>
        <w:spacing w:line="440" w:lineRule="exact"/>
        <w:ind w:firstLine="400"/>
        <w:rPr>
          <w:rFonts w:ascii="宋体" w:hAnsi="宋体" w:cs="宋体"/>
          <w:color w:val="auto"/>
          <w:sz w:val="20"/>
          <w:szCs w:val="20"/>
          <w:highlight w:val="none"/>
          <w:lang w:eastAsia="zh-CN"/>
        </w:rPr>
      </w:pPr>
    </w:p>
    <w:p w14:paraId="43D5AB5F">
      <w:pPr>
        <w:spacing w:line="440" w:lineRule="exact"/>
        <w:ind w:firstLine="400"/>
        <w:rPr>
          <w:rFonts w:ascii="宋体" w:hAnsi="宋体" w:cs="宋体"/>
          <w:color w:val="auto"/>
          <w:sz w:val="20"/>
          <w:szCs w:val="20"/>
          <w:highlight w:val="none"/>
          <w:lang w:eastAsia="zh-CN"/>
        </w:rPr>
      </w:pPr>
    </w:p>
    <w:p w14:paraId="4D98D1CB">
      <w:pPr>
        <w:spacing w:line="440" w:lineRule="exact"/>
        <w:ind w:firstLine="400"/>
        <w:rPr>
          <w:rFonts w:ascii="宋体" w:hAnsi="宋体" w:cs="宋体"/>
          <w:color w:val="auto"/>
          <w:sz w:val="20"/>
          <w:szCs w:val="20"/>
          <w:highlight w:val="none"/>
          <w:lang w:eastAsia="zh-CN"/>
        </w:rPr>
      </w:pPr>
    </w:p>
    <w:p w14:paraId="33A83F3D">
      <w:pPr>
        <w:pStyle w:val="10"/>
        <w:jc w:val="center"/>
        <w:outlineLvl w:val="9"/>
        <w:rPr>
          <w:color w:val="auto"/>
          <w:highlight w:val="none"/>
          <w:lang w:eastAsia="zh-CN"/>
        </w:rPr>
      </w:pPr>
      <w:bookmarkStart w:id="1011" w:name="_Toc466298162"/>
      <w:bookmarkStart w:id="1012" w:name="_Toc202941490"/>
      <w:bookmarkStart w:id="1013" w:name="_Toc28161"/>
      <w:bookmarkStart w:id="1014" w:name="_Toc10135"/>
      <w:bookmarkStart w:id="1015" w:name="_Toc26203"/>
      <w:bookmarkStart w:id="1016" w:name="_Toc441791190"/>
      <w:bookmarkStart w:id="1017" w:name="_Toc318989765"/>
      <w:bookmarkStart w:id="1018" w:name="_Toc4123"/>
      <w:r>
        <w:rPr>
          <w:rFonts w:hint="eastAsia"/>
          <w:color w:val="auto"/>
          <w:highlight w:val="none"/>
          <w:lang w:eastAsia="zh-CN"/>
        </w:rPr>
        <w:t>三</w:t>
      </w:r>
      <w:r>
        <w:rPr>
          <w:color w:val="auto"/>
          <w:highlight w:val="none"/>
          <w:lang w:eastAsia="zh-CN"/>
        </w:rPr>
        <w:t>、授权委托书</w:t>
      </w:r>
      <w:bookmarkEnd w:id="1011"/>
      <w:bookmarkEnd w:id="1012"/>
      <w:bookmarkEnd w:id="1013"/>
      <w:bookmarkEnd w:id="1014"/>
      <w:bookmarkEnd w:id="1015"/>
      <w:bookmarkEnd w:id="1016"/>
      <w:bookmarkEnd w:id="1017"/>
      <w:bookmarkEnd w:id="1018"/>
    </w:p>
    <w:p w14:paraId="04D19856">
      <w:pPr>
        <w:topLinePunct/>
        <w:spacing w:line="440" w:lineRule="exact"/>
        <w:ind w:firstLine="420"/>
        <w:rPr>
          <w:rFonts w:ascii="宋体" w:hAnsi="宋体" w:cs="宋体"/>
          <w:color w:val="auto"/>
          <w:highlight w:val="none"/>
          <w:lang w:eastAsia="zh-CN"/>
        </w:rPr>
      </w:pPr>
      <w:r>
        <w:rPr>
          <w:rFonts w:hint="eastAsia" w:ascii="宋体" w:hAnsi="宋体" w:cs="宋体"/>
          <w:color w:val="auto"/>
          <w:highlight w:val="none"/>
          <w:lang w:eastAsia="zh-CN"/>
        </w:rPr>
        <w:t>本人</w:t>
      </w:r>
      <w:r>
        <w:rPr>
          <w:rFonts w:hint="eastAsia" w:ascii="宋体" w:hAnsi="宋体" w:cs="宋体"/>
          <w:color w:val="auto"/>
          <w:highlight w:val="none"/>
          <w:u w:val="single"/>
          <w:lang w:eastAsia="zh-CN"/>
        </w:rPr>
        <w:t xml:space="preserve">       </w:t>
      </w:r>
      <w:r>
        <w:rPr>
          <w:rFonts w:hint="eastAsia" w:ascii="宋体" w:hAnsi="宋体" w:cs="宋体"/>
          <w:color w:val="auto"/>
          <w:highlight w:val="none"/>
          <w:lang w:eastAsia="zh-CN"/>
        </w:rPr>
        <w:t>（姓名）系</w:t>
      </w:r>
      <w:r>
        <w:rPr>
          <w:rFonts w:hint="eastAsia" w:ascii="宋体" w:hAnsi="宋体" w:cs="宋体"/>
          <w:color w:val="auto"/>
          <w:highlight w:val="none"/>
          <w:u w:val="single"/>
          <w:lang w:eastAsia="zh-CN"/>
        </w:rPr>
        <w:t xml:space="preserve">        </w:t>
      </w:r>
      <w:r>
        <w:rPr>
          <w:rFonts w:hint="eastAsia" w:ascii="宋体" w:hAnsi="宋体" w:cs="宋体"/>
          <w:color w:val="auto"/>
          <w:highlight w:val="none"/>
          <w:lang w:eastAsia="zh-CN"/>
        </w:rPr>
        <w:t>（供应商名称）的法定代表人，现委托</w:t>
      </w:r>
      <w:r>
        <w:rPr>
          <w:rFonts w:hint="eastAsia" w:ascii="宋体" w:hAnsi="宋体" w:cs="宋体"/>
          <w:color w:val="auto"/>
          <w:highlight w:val="none"/>
          <w:u w:val="single"/>
          <w:lang w:eastAsia="zh-CN"/>
        </w:rPr>
        <w:t xml:space="preserve">        </w:t>
      </w:r>
      <w:r>
        <w:rPr>
          <w:rFonts w:hint="eastAsia" w:ascii="宋体" w:hAnsi="宋体" w:cs="宋体"/>
          <w:color w:val="auto"/>
          <w:highlight w:val="none"/>
          <w:lang w:eastAsia="zh-CN"/>
        </w:rPr>
        <w:t>（姓名）为我方代理人。代理人根据授权，以我方名义签署、澄清、说明、补正、递交、撤回、修改</w:t>
      </w:r>
      <w:r>
        <w:rPr>
          <w:rFonts w:hint="eastAsia" w:ascii="宋体" w:hAnsi="宋体" w:cs="宋体"/>
          <w:color w:val="auto"/>
          <w:highlight w:val="none"/>
          <w:u w:val="single"/>
          <w:lang w:eastAsia="zh-CN"/>
        </w:rPr>
        <w:t xml:space="preserve">           </w:t>
      </w:r>
      <w:r>
        <w:rPr>
          <w:rFonts w:hint="eastAsia" w:ascii="宋体" w:hAnsi="宋体" w:cs="宋体"/>
          <w:color w:val="auto"/>
          <w:highlight w:val="none"/>
          <w:lang w:eastAsia="zh-CN"/>
        </w:rPr>
        <w:t>（项目名称）响应文件、签订合同和处理有关事宜，其法律后果由我方承担。</w:t>
      </w:r>
    </w:p>
    <w:p w14:paraId="71156025">
      <w:pPr>
        <w:spacing w:line="440" w:lineRule="exact"/>
        <w:ind w:firstLine="420"/>
        <w:rPr>
          <w:rFonts w:ascii="宋体" w:hAnsi="宋体" w:cs="宋体"/>
          <w:color w:val="auto"/>
          <w:highlight w:val="none"/>
          <w:lang w:eastAsia="zh-CN"/>
        </w:rPr>
      </w:pPr>
      <w:r>
        <w:rPr>
          <w:rFonts w:hint="eastAsia" w:ascii="宋体" w:hAnsi="宋体" w:cs="宋体"/>
          <w:color w:val="auto"/>
          <w:highlight w:val="none"/>
          <w:lang w:eastAsia="zh-CN"/>
        </w:rPr>
        <w:t>委托期限：自本委托书签署之日起至磋商有效期期满。</w:t>
      </w:r>
    </w:p>
    <w:p w14:paraId="104A799C">
      <w:pPr>
        <w:spacing w:line="440" w:lineRule="exact"/>
        <w:ind w:firstLine="420"/>
        <w:rPr>
          <w:rFonts w:ascii="宋体" w:hAnsi="宋体" w:cs="宋体"/>
          <w:color w:val="auto"/>
          <w:highlight w:val="none"/>
          <w:lang w:eastAsia="zh-CN"/>
        </w:rPr>
      </w:pPr>
      <w:r>
        <w:rPr>
          <w:rFonts w:hint="eastAsia" w:ascii="宋体" w:hAnsi="宋体" w:cs="宋体"/>
          <w:color w:val="auto"/>
          <w:highlight w:val="none"/>
          <w:lang w:eastAsia="zh-CN"/>
        </w:rPr>
        <w:t>代理人无转委托权。</w:t>
      </w:r>
    </w:p>
    <w:p w14:paraId="1D2AE72F">
      <w:pPr>
        <w:spacing w:line="440" w:lineRule="exact"/>
        <w:ind w:firstLine="420"/>
        <w:rPr>
          <w:rFonts w:ascii="宋体" w:hAnsi="宋体" w:cs="宋体"/>
          <w:color w:val="auto"/>
          <w:highlight w:val="none"/>
          <w:lang w:eastAsia="zh-CN"/>
        </w:rPr>
      </w:pPr>
    </w:p>
    <w:p w14:paraId="786B7815">
      <w:pPr>
        <w:spacing w:line="440" w:lineRule="exact"/>
        <w:ind w:firstLine="420"/>
        <w:rPr>
          <w:rFonts w:ascii="宋体" w:hAnsi="宋体" w:cs="宋体"/>
          <w:color w:val="auto"/>
          <w:highlight w:val="none"/>
          <w:lang w:eastAsia="zh-CN"/>
        </w:rPr>
      </w:pPr>
    </w:p>
    <w:p w14:paraId="6F24A000">
      <w:pPr>
        <w:spacing w:line="440" w:lineRule="exact"/>
        <w:ind w:firstLine="420"/>
        <w:rPr>
          <w:rFonts w:ascii="宋体" w:hAnsi="宋体" w:cs="宋体"/>
          <w:color w:val="auto"/>
          <w:highlight w:val="none"/>
          <w:lang w:eastAsia="zh-CN"/>
        </w:rPr>
      </w:pPr>
    </w:p>
    <w:p w14:paraId="50788C47">
      <w:pPr>
        <w:spacing w:line="440" w:lineRule="exact"/>
        <w:ind w:firstLine="420"/>
        <w:jc w:val="center"/>
        <w:rPr>
          <w:rFonts w:ascii="宋体" w:hAnsi="宋体" w:cs="宋体"/>
          <w:color w:val="auto"/>
          <w:highlight w:val="none"/>
          <w:lang w:eastAsia="zh-CN"/>
        </w:rPr>
      </w:pPr>
      <w:r>
        <w:rPr>
          <w:rFonts w:hint="eastAsia" w:ascii="宋体" w:hAnsi="宋体" w:cs="宋体"/>
          <w:color w:val="auto"/>
          <w:highlight w:val="none"/>
          <w:lang w:eastAsia="zh-CN"/>
        </w:rPr>
        <w:t xml:space="preserve">               供应商：</w:t>
      </w:r>
      <w:r>
        <w:rPr>
          <w:rFonts w:hint="eastAsia" w:ascii="宋体" w:hAnsi="宋体" w:cs="宋体"/>
          <w:color w:val="auto"/>
          <w:highlight w:val="none"/>
          <w:u w:val="single"/>
          <w:lang w:eastAsia="zh-CN"/>
        </w:rPr>
        <w:t xml:space="preserve">                            </w:t>
      </w:r>
      <w:r>
        <w:rPr>
          <w:rFonts w:hint="eastAsia" w:ascii="宋体" w:hAnsi="宋体" w:cs="宋体"/>
          <w:color w:val="auto"/>
          <w:highlight w:val="none"/>
          <w:lang w:eastAsia="zh-CN"/>
        </w:rPr>
        <w:t>（单位电子签章）</w:t>
      </w:r>
    </w:p>
    <w:p w14:paraId="350D8ABB">
      <w:pPr>
        <w:spacing w:line="440" w:lineRule="exact"/>
        <w:ind w:firstLine="420"/>
        <w:jc w:val="center"/>
        <w:rPr>
          <w:rFonts w:ascii="宋体" w:hAnsi="宋体" w:cs="宋体"/>
          <w:color w:val="auto"/>
          <w:highlight w:val="none"/>
          <w:lang w:eastAsia="zh-CN"/>
        </w:rPr>
      </w:pPr>
      <w:r>
        <w:rPr>
          <w:rFonts w:hint="eastAsia" w:ascii="宋体" w:hAnsi="宋体" w:cs="宋体"/>
          <w:color w:val="auto"/>
          <w:highlight w:val="none"/>
          <w:lang w:eastAsia="zh-CN"/>
        </w:rPr>
        <w:t xml:space="preserve">                   法定代表人：</w:t>
      </w:r>
      <w:r>
        <w:rPr>
          <w:rFonts w:hint="eastAsia" w:ascii="宋体" w:hAnsi="宋体" w:cs="宋体"/>
          <w:color w:val="auto"/>
          <w:highlight w:val="none"/>
          <w:u w:val="single"/>
          <w:lang w:eastAsia="zh-CN"/>
        </w:rPr>
        <w:t xml:space="preserve">                   </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u w:val="single"/>
          <w:lang w:eastAsia="zh-CN"/>
        </w:rPr>
        <w:t xml:space="preserve">  </w:t>
      </w:r>
      <w:r>
        <w:rPr>
          <w:rFonts w:hint="eastAsia" w:ascii="宋体" w:hAnsi="宋体" w:cs="宋体"/>
          <w:color w:val="auto"/>
          <w:highlight w:val="none"/>
          <w:lang w:eastAsia="zh-CN"/>
        </w:rPr>
        <w:t>（电子签名或电子签章）</w:t>
      </w:r>
    </w:p>
    <w:p w14:paraId="39E01DD1">
      <w:pPr>
        <w:spacing w:line="440" w:lineRule="exact"/>
        <w:ind w:firstLine="2415" w:firstLineChars="1150"/>
        <w:rPr>
          <w:rFonts w:ascii="宋体" w:hAnsi="宋体" w:cs="宋体"/>
          <w:color w:val="auto"/>
          <w:highlight w:val="none"/>
          <w:lang w:eastAsia="zh-CN"/>
        </w:rPr>
      </w:pPr>
      <w:r>
        <w:rPr>
          <w:rFonts w:hint="eastAsia" w:ascii="宋体" w:hAnsi="宋体" w:cs="宋体"/>
          <w:color w:val="auto"/>
          <w:highlight w:val="none"/>
          <w:lang w:eastAsia="zh-CN"/>
        </w:rPr>
        <w:t>身份证号码：</w:t>
      </w:r>
      <w:r>
        <w:rPr>
          <w:rFonts w:hint="eastAsia" w:ascii="宋体" w:hAnsi="宋体" w:cs="宋体"/>
          <w:color w:val="auto"/>
          <w:highlight w:val="none"/>
          <w:u w:val="single"/>
          <w:lang w:eastAsia="zh-CN"/>
        </w:rPr>
        <w:t xml:space="preserve">                        </w:t>
      </w:r>
    </w:p>
    <w:p w14:paraId="75A83DF3">
      <w:pPr>
        <w:spacing w:line="440" w:lineRule="exact"/>
        <w:ind w:firstLine="420"/>
        <w:jc w:val="center"/>
        <w:rPr>
          <w:rFonts w:ascii="宋体" w:hAnsi="宋体" w:cs="宋体"/>
          <w:color w:val="auto"/>
          <w:highlight w:val="none"/>
          <w:lang w:eastAsia="zh-CN"/>
        </w:rPr>
      </w:pPr>
      <w:r>
        <w:rPr>
          <w:rFonts w:hint="eastAsia" w:ascii="宋体" w:hAnsi="宋体" w:cs="宋体"/>
          <w:color w:val="auto"/>
          <w:highlight w:val="none"/>
          <w:lang w:eastAsia="zh-CN"/>
        </w:rPr>
        <w:t xml:space="preserve">             委托代理人：</w:t>
      </w:r>
      <w:r>
        <w:rPr>
          <w:rFonts w:hint="eastAsia" w:ascii="宋体" w:hAnsi="宋体" w:cs="宋体"/>
          <w:color w:val="auto"/>
          <w:highlight w:val="none"/>
          <w:u w:val="single"/>
          <w:lang w:eastAsia="zh-CN"/>
        </w:rPr>
        <w:t xml:space="preserve">                        </w:t>
      </w:r>
      <w:r>
        <w:rPr>
          <w:rFonts w:hint="eastAsia" w:ascii="宋体" w:hAnsi="宋体" w:cs="宋体"/>
          <w:color w:val="auto"/>
          <w:highlight w:val="none"/>
          <w:lang w:eastAsia="zh-CN"/>
        </w:rPr>
        <w:t>（签字或盖章）</w:t>
      </w:r>
    </w:p>
    <w:p w14:paraId="12F7860D">
      <w:pPr>
        <w:spacing w:line="440" w:lineRule="exact"/>
        <w:ind w:firstLine="2415" w:firstLineChars="1150"/>
        <w:rPr>
          <w:rFonts w:ascii="宋体" w:hAnsi="宋体" w:cs="宋体"/>
          <w:color w:val="auto"/>
          <w:highlight w:val="none"/>
        </w:rPr>
      </w:pPr>
      <w:r>
        <w:rPr>
          <w:rFonts w:hint="eastAsia" w:ascii="宋体" w:hAnsi="宋体" w:cs="宋体"/>
          <w:color w:val="auto"/>
          <w:highlight w:val="none"/>
        </w:rPr>
        <w:t>身份证号码：</w:t>
      </w:r>
      <w:r>
        <w:rPr>
          <w:rFonts w:hint="eastAsia" w:ascii="宋体" w:hAnsi="宋体" w:cs="宋体"/>
          <w:color w:val="auto"/>
          <w:highlight w:val="none"/>
          <w:u w:val="single"/>
        </w:rPr>
        <w:t xml:space="preserve">                  </w:t>
      </w:r>
      <w:r>
        <w:rPr>
          <w:rFonts w:hint="eastAsia" w:ascii="宋体" w:hAnsi="宋体" w:cs="宋体"/>
          <w:color w:val="auto"/>
          <w:highlight w:val="none"/>
          <w:u w:val="single"/>
          <w:lang w:eastAsia="zh-CN"/>
        </w:rPr>
        <w:t xml:space="preserve"> </w:t>
      </w:r>
      <w:r>
        <w:rPr>
          <w:rFonts w:hint="eastAsia" w:ascii="宋体" w:hAnsi="宋体" w:cs="宋体"/>
          <w:color w:val="auto"/>
          <w:highlight w:val="none"/>
          <w:u w:val="single"/>
        </w:rPr>
        <w:t xml:space="preserve">     </w:t>
      </w:r>
    </w:p>
    <w:p w14:paraId="04D36AB2">
      <w:pPr>
        <w:spacing w:line="440" w:lineRule="exact"/>
        <w:ind w:firstLine="420"/>
        <w:jc w:val="right"/>
        <w:rPr>
          <w:rFonts w:ascii="宋体" w:hAnsi="宋体" w:cs="宋体"/>
          <w:color w:val="auto"/>
          <w:highlight w:val="none"/>
        </w:rPr>
      </w:pP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w:t>
      </w:r>
    </w:p>
    <w:p w14:paraId="4D60C409">
      <w:pPr>
        <w:spacing w:line="440" w:lineRule="exact"/>
        <w:ind w:firstLine="420"/>
        <w:rPr>
          <w:rFonts w:ascii="宋体" w:hAnsi="宋体" w:cs="宋体"/>
          <w:color w:val="auto"/>
          <w:highlight w:val="none"/>
        </w:rPr>
      </w:pPr>
    </w:p>
    <w:p w14:paraId="0B10F675">
      <w:pPr>
        <w:pStyle w:val="3"/>
        <w:ind w:firstLine="420"/>
        <w:rPr>
          <w:color w:val="auto"/>
          <w:highlight w:val="none"/>
        </w:rPr>
      </w:pP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78D2E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5" w:hRule="atLeast"/>
        </w:trPr>
        <w:tc>
          <w:tcPr>
            <w:tcW w:w="8528" w:type="dxa"/>
            <w:vAlign w:val="center"/>
          </w:tcPr>
          <w:p w14:paraId="4964882D">
            <w:pPr>
              <w:spacing w:line="440" w:lineRule="exact"/>
              <w:ind w:firstLine="420"/>
              <w:jc w:val="center"/>
              <w:rPr>
                <w:rFonts w:ascii="宋体" w:hAnsi="宋体" w:cs="宋体"/>
                <w:color w:val="auto"/>
                <w:highlight w:val="none"/>
                <w:lang w:eastAsia="zh-CN"/>
              </w:rPr>
            </w:pPr>
            <w:r>
              <w:rPr>
                <w:rFonts w:hint="eastAsia" w:ascii="宋体" w:hAnsi="宋体" w:cs="宋体"/>
                <w:color w:val="auto"/>
                <w:highlight w:val="none"/>
                <w:lang w:eastAsia="zh-CN"/>
              </w:rPr>
              <w:t>委托代理人身份证扫描件</w:t>
            </w:r>
          </w:p>
          <w:p w14:paraId="51ABA8A0">
            <w:pPr>
              <w:spacing w:line="440" w:lineRule="exact"/>
              <w:ind w:firstLine="420"/>
              <w:jc w:val="center"/>
              <w:rPr>
                <w:rFonts w:ascii="宋体" w:hAnsi="宋体" w:cs="宋体"/>
                <w:color w:val="auto"/>
                <w:highlight w:val="none"/>
                <w:lang w:eastAsia="zh-CN"/>
              </w:rPr>
            </w:pPr>
          </w:p>
        </w:tc>
      </w:tr>
    </w:tbl>
    <w:p w14:paraId="616830A1">
      <w:pPr>
        <w:ind w:firstLine="420"/>
        <w:rPr>
          <w:color w:val="auto"/>
          <w:highlight w:val="none"/>
          <w:lang w:eastAsia="zh-CN"/>
        </w:rPr>
      </w:pPr>
    </w:p>
    <w:p w14:paraId="38E54A54">
      <w:pPr>
        <w:pStyle w:val="10"/>
        <w:numPr>
          <w:ilvl w:val="1"/>
          <w:numId w:val="0"/>
        </w:numPr>
        <w:spacing w:line="360" w:lineRule="auto"/>
        <w:ind w:left="0" w:leftChars="0" w:firstLine="0" w:firstLineChars="0"/>
        <w:jc w:val="center"/>
        <w:outlineLvl w:val="9"/>
        <w:rPr>
          <w:rFonts w:cs="宋体"/>
          <w:color w:val="auto"/>
          <w:szCs w:val="28"/>
          <w:highlight w:val="none"/>
          <w:lang w:eastAsia="zh-CN"/>
        </w:rPr>
      </w:pPr>
      <w:bookmarkStart w:id="1019" w:name="_Toc5437"/>
      <w:bookmarkStart w:id="1020" w:name="_Toc475624458"/>
      <w:r>
        <w:rPr>
          <w:rFonts w:cs="宋体"/>
          <w:color w:val="auto"/>
          <w:szCs w:val="28"/>
          <w:highlight w:val="none"/>
          <w:lang w:eastAsia="zh-CN"/>
        </w:rPr>
        <w:br w:type="page"/>
      </w:r>
      <w:bookmarkStart w:id="1021" w:name="_Toc8189"/>
      <w:bookmarkStart w:id="1022" w:name="_Toc24293"/>
      <w:r>
        <w:rPr>
          <w:rFonts w:hint="eastAsia" w:cs="宋体"/>
          <w:color w:val="auto"/>
          <w:szCs w:val="28"/>
          <w:highlight w:val="none"/>
          <w:lang w:eastAsia="zh-CN"/>
        </w:rPr>
        <w:t>四、分项报价表</w:t>
      </w:r>
      <w:bookmarkEnd w:id="1021"/>
      <w:bookmarkEnd w:id="1022"/>
    </w:p>
    <w:p w14:paraId="39B472C3">
      <w:pPr>
        <w:pStyle w:val="4"/>
        <w:rPr>
          <w:rFonts w:hAnsi="宋体"/>
          <w:color w:val="auto"/>
          <w:highlight w:val="none"/>
        </w:rPr>
      </w:pPr>
    </w:p>
    <w:p w14:paraId="6284B78A">
      <w:pPr>
        <w:spacing w:line="312" w:lineRule="auto"/>
        <w:ind w:firstLine="422"/>
        <w:jc w:val="right"/>
        <w:rPr>
          <w:rFonts w:ascii="宋体" w:hAnsi="宋体" w:cs="宋体"/>
          <w:b/>
          <w:color w:val="auto"/>
          <w:highlight w:val="none"/>
          <w:lang w:eastAsia="zh-CN"/>
        </w:rPr>
      </w:pPr>
      <w:r>
        <w:rPr>
          <w:rFonts w:hint="eastAsia" w:ascii="宋体" w:hAnsi="宋体" w:cs="宋体"/>
          <w:b/>
          <w:color w:val="auto"/>
          <w:highlight w:val="none"/>
          <w:lang w:eastAsia="zh-CN"/>
        </w:rPr>
        <w:t>单位：元</w:t>
      </w:r>
    </w:p>
    <w:tbl>
      <w:tblPr>
        <w:tblStyle w:val="25"/>
        <w:tblW w:w="8600" w:type="dxa"/>
        <w:tblInd w:w="0" w:type="dxa"/>
        <w:tblLayout w:type="fixed"/>
        <w:tblCellMar>
          <w:top w:w="15" w:type="dxa"/>
          <w:left w:w="15" w:type="dxa"/>
          <w:bottom w:w="15" w:type="dxa"/>
          <w:right w:w="15" w:type="dxa"/>
        </w:tblCellMar>
      </w:tblPr>
      <w:tblGrid>
        <w:gridCol w:w="743"/>
        <w:gridCol w:w="2158"/>
        <w:gridCol w:w="1100"/>
        <w:gridCol w:w="1070"/>
        <w:gridCol w:w="1060"/>
        <w:gridCol w:w="1480"/>
        <w:gridCol w:w="989"/>
      </w:tblGrid>
      <w:tr w14:paraId="4C7149B0">
        <w:tblPrEx>
          <w:tblCellMar>
            <w:top w:w="15" w:type="dxa"/>
            <w:left w:w="15" w:type="dxa"/>
            <w:bottom w:w="15" w:type="dxa"/>
            <w:right w:w="15" w:type="dxa"/>
          </w:tblCellMar>
        </w:tblPrEx>
        <w:trPr>
          <w:trHeight w:val="1015" w:hRule="atLeast"/>
        </w:trPr>
        <w:tc>
          <w:tcPr>
            <w:tcW w:w="743" w:type="dxa"/>
            <w:tcBorders>
              <w:top w:val="single" w:color="000000" w:sz="4" w:space="0"/>
              <w:left w:val="single" w:color="000000" w:sz="4" w:space="0"/>
              <w:bottom w:val="single" w:color="000000" w:sz="4" w:space="0"/>
              <w:right w:val="single" w:color="000000" w:sz="4" w:space="0"/>
            </w:tcBorders>
            <w:vAlign w:val="center"/>
          </w:tcPr>
          <w:p w14:paraId="43EA5506">
            <w:pPr>
              <w:kinsoku/>
              <w:autoSpaceDE/>
              <w:autoSpaceDN/>
              <w:jc w:val="center"/>
              <w:textAlignment w:val="center"/>
              <w:rPr>
                <w:rFonts w:ascii="宋体" w:hAnsi="宋体" w:eastAsia="宋体" w:cs="宋体"/>
                <w:color w:val="auto"/>
                <w:highlight w:val="none"/>
              </w:rPr>
            </w:pPr>
            <w:r>
              <w:rPr>
                <w:rFonts w:hint="eastAsia" w:ascii="宋体" w:hAnsi="宋体" w:eastAsia="宋体" w:cs="宋体"/>
                <w:color w:val="auto"/>
                <w:highlight w:val="none"/>
                <w:lang w:eastAsia="zh-CN"/>
              </w:rPr>
              <w:t>序号</w:t>
            </w:r>
          </w:p>
        </w:tc>
        <w:tc>
          <w:tcPr>
            <w:tcW w:w="2158" w:type="dxa"/>
            <w:tcBorders>
              <w:top w:val="single" w:color="000000" w:sz="4" w:space="0"/>
              <w:left w:val="single" w:color="000000" w:sz="4" w:space="0"/>
              <w:bottom w:val="single" w:color="000000" w:sz="4" w:space="0"/>
              <w:right w:val="single" w:color="000000" w:sz="4" w:space="0"/>
            </w:tcBorders>
            <w:vAlign w:val="center"/>
          </w:tcPr>
          <w:p w14:paraId="1FD0CFBF">
            <w:pPr>
              <w:kinsoku/>
              <w:autoSpaceDE/>
              <w:autoSpaceDN/>
              <w:jc w:val="center"/>
              <w:textAlignment w:val="center"/>
              <w:rPr>
                <w:rFonts w:ascii="宋体" w:hAnsi="宋体" w:eastAsia="宋体" w:cs="宋体"/>
                <w:color w:val="auto"/>
                <w:highlight w:val="none"/>
              </w:rPr>
            </w:pPr>
            <w:r>
              <w:rPr>
                <w:rFonts w:hint="eastAsia" w:ascii="宋体" w:hAnsi="宋体" w:eastAsia="宋体" w:cs="宋体"/>
                <w:color w:val="auto"/>
                <w:highlight w:val="none"/>
                <w:lang w:eastAsia="zh-CN"/>
              </w:rPr>
              <w:t>项目名称</w:t>
            </w:r>
          </w:p>
        </w:tc>
        <w:tc>
          <w:tcPr>
            <w:tcW w:w="1100" w:type="dxa"/>
            <w:tcBorders>
              <w:top w:val="single" w:color="000000" w:sz="4" w:space="0"/>
              <w:left w:val="single" w:color="000000" w:sz="4" w:space="0"/>
              <w:bottom w:val="single" w:color="000000" w:sz="4" w:space="0"/>
              <w:right w:val="single" w:color="000000" w:sz="4" w:space="0"/>
            </w:tcBorders>
            <w:vAlign w:val="center"/>
          </w:tcPr>
          <w:p w14:paraId="3FD3FD72">
            <w:pPr>
              <w:kinsoku/>
              <w:autoSpaceDE/>
              <w:autoSpaceDN/>
              <w:jc w:val="center"/>
              <w:textAlignment w:val="center"/>
              <w:rPr>
                <w:rFonts w:ascii="宋体" w:hAnsi="宋体" w:eastAsia="宋体" w:cs="宋体"/>
                <w:color w:val="auto"/>
                <w:highlight w:val="none"/>
              </w:rPr>
            </w:pPr>
            <w:r>
              <w:rPr>
                <w:rFonts w:hint="eastAsia" w:ascii="宋体" w:hAnsi="宋体" w:eastAsia="宋体" w:cs="宋体"/>
                <w:color w:val="auto"/>
                <w:highlight w:val="none"/>
                <w:lang w:eastAsia="zh-CN"/>
              </w:rPr>
              <w:t>单位</w:t>
            </w:r>
          </w:p>
        </w:tc>
        <w:tc>
          <w:tcPr>
            <w:tcW w:w="1070" w:type="dxa"/>
            <w:tcBorders>
              <w:top w:val="single" w:color="000000" w:sz="4" w:space="0"/>
              <w:left w:val="single" w:color="000000" w:sz="4" w:space="0"/>
              <w:bottom w:val="single" w:color="000000" w:sz="4" w:space="0"/>
              <w:right w:val="single" w:color="000000" w:sz="4" w:space="0"/>
            </w:tcBorders>
            <w:vAlign w:val="center"/>
          </w:tcPr>
          <w:p w14:paraId="52C82002">
            <w:pPr>
              <w:kinsoku/>
              <w:autoSpaceDE/>
              <w:autoSpaceDN/>
              <w:jc w:val="center"/>
              <w:textAlignment w:val="center"/>
              <w:rPr>
                <w:rFonts w:ascii="宋体" w:hAnsi="宋体" w:eastAsia="宋体" w:cs="宋体"/>
                <w:color w:val="auto"/>
                <w:highlight w:val="none"/>
              </w:rPr>
            </w:pPr>
            <w:r>
              <w:rPr>
                <w:rFonts w:hint="eastAsia" w:ascii="宋体" w:hAnsi="宋体" w:eastAsia="宋体" w:cs="宋体"/>
                <w:color w:val="auto"/>
                <w:highlight w:val="none"/>
                <w:lang w:eastAsia="zh-CN"/>
              </w:rPr>
              <w:t>数量</w:t>
            </w:r>
          </w:p>
        </w:tc>
        <w:tc>
          <w:tcPr>
            <w:tcW w:w="1060" w:type="dxa"/>
            <w:tcBorders>
              <w:top w:val="single" w:color="000000" w:sz="4" w:space="0"/>
              <w:left w:val="single" w:color="000000" w:sz="4" w:space="0"/>
              <w:bottom w:val="single" w:color="000000" w:sz="4" w:space="0"/>
              <w:right w:val="single" w:color="000000" w:sz="4" w:space="0"/>
            </w:tcBorders>
            <w:vAlign w:val="center"/>
          </w:tcPr>
          <w:p w14:paraId="50213BB3">
            <w:pPr>
              <w:kinsoku/>
              <w:autoSpaceDE/>
              <w:autoSpaceDN/>
              <w:jc w:val="center"/>
              <w:textAlignment w:val="center"/>
              <w:rPr>
                <w:rFonts w:ascii="宋体" w:hAnsi="宋体" w:eastAsia="宋体" w:cs="宋体"/>
                <w:color w:val="auto"/>
                <w:highlight w:val="none"/>
              </w:rPr>
            </w:pPr>
            <w:r>
              <w:rPr>
                <w:rFonts w:hint="eastAsia" w:ascii="宋体" w:hAnsi="宋体" w:eastAsia="宋体" w:cs="宋体"/>
                <w:color w:val="auto"/>
                <w:highlight w:val="none"/>
                <w:lang w:eastAsia="zh-CN"/>
              </w:rPr>
              <w:t>单价</w:t>
            </w:r>
          </w:p>
        </w:tc>
        <w:tc>
          <w:tcPr>
            <w:tcW w:w="1480" w:type="dxa"/>
            <w:tcBorders>
              <w:top w:val="single" w:color="000000" w:sz="4" w:space="0"/>
              <w:left w:val="single" w:color="000000" w:sz="4" w:space="0"/>
              <w:bottom w:val="single" w:color="000000" w:sz="4" w:space="0"/>
              <w:right w:val="single" w:color="000000" w:sz="4" w:space="0"/>
            </w:tcBorders>
            <w:vAlign w:val="center"/>
          </w:tcPr>
          <w:p w14:paraId="0AE5ABDE">
            <w:pPr>
              <w:kinsoku/>
              <w:autoSpaceDE/>
              <w:autoSpaceDN/>
              <w:jc w:val="center"/>
              <w:textAlignment w:val="center"/>
              <w:rPr>
                <w:rFonts w:ascii="宋体" w:hAnsi="宋体" w:eastAsia="宋体" w:cs="宋体"/>
                <w:color w:val="auto"/>
                <w:highlight w:val="none"/>
              </w:rPr>
            </w:pPr>
            <w:r>
              <w:rPr>
                <w:rFonts w:hint="eastAsia" w:ascii="宋体" w:hAnsi="宋体" w:eastAsia="宋体" w:cs="宋体"/>
                <w:color w:val="auto"/>
                <w:highlight w:val="none"/>
                <w:lang w:eastAsia="zh-CN"/>
              </w:rPr>
              <w:t>合价</w:t>
            </w:r>
          </w:p>
        </w:tc>
        <w:tc>
          <w:tcPr>
            <w:tcW w:w="989" w:type="dxa"/>
            <w:tcBorders>
              <w:top w:val="single" w:color="000000" w:sz="4" w:space="0"/>
              <w:left w:val="single" w:color="000000" w:sz="4" w:space="0"/>
              <w:bottom w:val="single" w:color="000000" w:sz="4" w:space="0"/>
              <w:right w:val="single" w:color="000000" w:sz="4" w:space="0"/>
            </w:tcBorders>
            <w:vAlign w:val="center"/>
          </w:tcPr>
          <w:p w14:paraId="43848615">
            <w:pPr>
              <w:kinsoku/>
              <w:autoSpaceDE/>
              <w:autoSpaceDN/>
              <w:jc w:val="center"/>
              <w:textAlignment w:val="center"/>
              <w:rPr>
                <w:rFonts w:ascii="??" w:hAnsi="??" w:eastAsia="??" w:cs="??"/>
                <w:color w:val="auto"/>
                <w:highlight w:val="none"/>
              </w:rPr>
            </w:pPr>
            <w:r>
              <w:rPr>
                <w:rFonts w:ascii="??" w:hAnsi="??" w:eastAsia="??" w:cs="??"/>
                <w:color w:val="auto"/>
                <w:highlight w:val="none"/>
                <w:lang w:eastAsia="zh-CN"/>
              </w:rPr>
              <w:t>备注</w:t>
            </w:r>
          </w:p>
        </w:tc>
      </w:tr>
      <w:tr w14:paraId="225FAC7F">
        <w:tblPrEx>
          <w:tblCellMar>
            <w:top w:w="15" w:type="dxa"/>
            <w:left w:w="15" w:type="dxa"/>
            <w:bottom w:w="15" w:type="dxa"/>
            <w:right w:w="15" w:type="dxa"/>
          </w:tblCellMar>
        </w:tblPrEx>
        <w:trPr>
          <w:trHeight w:val="1015" w:hRule="atLeast"/>
        </w:trPr>
        <w:tc>
          <w:tcPr>
            <w:tcW w:w="743" w:type="dxa"/>
            <w:tcBorders>
              <w:top w:val="single" w:color="000000" w:sz="4" w:space="0"/>
              <w:left w:val="single" w:color="000000" w:sz="4" w:space="0"/>
              <w:bottom w:val="single" w:color="000000" w:sz="4" w:space="0"/>
            </w:tcBorders>
            <w:vAlign w:val="center"/>
          </w:tcPr>
          <w:p w14:paraId="4EBFCF01">
            <w:pPr>
              <w:kinsoku/>
              <w:autoSpaceDE/>
              <w:autoSpaceDN/>
              <w:jc w:val="center"/>
              <w:textAlignment w:val="center"/>
              <w:rPr>
                <w:rFonts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2158" w:type="dxa"/>
            <w:tcBorders>
              <w:top w:val="single" w:color="000000" w:sz="4" w:space="0"/>
              <w:left w:val="single" w:color="000000" w:sz="4" w:space="0"/>
              <w:bottom w:val="single" w:color="000000" w:sz="4" w:space="0"/>
            </w:tcBorders>
            <w:vAlign w:val="center"/>
          </w:tcPr>
          <w:p w14:paraId="4A8FB50B">
            <w:pPr>
              <w:kinsoku/>
              <w:autoSpaceDE/>
              <w:autoSpaceDN/>
              <w:jc w:val="center"/>
              <w:textAlignment w:val="center"/>
              <w:rPr>
                <w:rFonts w:ascii="宋体" w:hAnsi="宋体" w:eastAsia="宋体" w:cs="宋体"/>
                <w:color w:val="auto"/>
                <w:highlight w:val="none"/>
              </w:rPr>
            </w:pPr>
          </w:p>
        </w:tc>
        <w:tc>
          <w:tcPr>
            <w:tcW w:w="1100" w:type="dxa"/>
            <w:tcBorders>
              <w:top w:val="single" w:color="000000" w:sz="4" w:space="0"/>
              <w:left w:val="single" w:color="000000" w:sz="4" w:space="0"/>
              <w:bottom w:val="single" w:color="000000" w:sz="4" w:space="0"/>
              <w:right w:val="single" w:color="000000" w:sz="4" w:space="0"/>
            </w:tcBorders>
            <w:vAlign w:val="center"/>
          </w:tcPr>
          <w:p w14:paraId="0D809E81">
            <w:pPr>
              <w:kinsoku/>
              <w:autoSpaceDE/>
              <w:autoSpaceDN/>
              <w:jc w:val="center"/>
              <w:textAlignment w:val="center"/>
              <w:rPr>
                <w:rFonts w:ascii="宋体" w:hAnsi="宋体" w:eastAsia="宋体" w:cs="宋体"/>
                <w:color w:val="auto"/>
                <w:highlight w:val="none"/>
              </w:rPr>
            </w:pPr>
          </w:p>
        </w:tc>
        <w:tc>
          <w:tcPr>
            <w:tcW w:w="1070" w:type="dxa"/>
            <w:tcBorders>
              <w:top w:val="single" w:color="000000" w:sz="4" w:space="0"/>
              <w:left w:val="single" w:color="000000" w:sz="4" w:space="0"/>
              <w:bottom w:val="single" w:color="000000" w:sz="4" w:space="0"/>
              <w:right w:val="single" w:color="000000" w:sz="4" w:space="0"/>
            </w:tcBorders>
            <w:vAlign w:val="center"/>
          </w:tcPr>
          <w:p w14:paraId="3520CE49">
            <w:pPr>
              <w:kinsoku/>
              <w:autoSpaceDE/>
              <w:autoSpaceDN/>
              <w:jc w:val="center"/>
              <w:textAlignment w:val="center"/>
              <w:rPr>
                <w:rFonts w:ascii="宋体" w:hAnsi="宋体" w:eastAsia="宋体" w:cs="宋体"/>
                <w:color w:val="auto"/>
                <w:highlight w:val="none"/>
              </w:rPr>
            </w:pPr>
          </w:p>
        </w:tc>
        <w:tc>
          <w:tcPr>
            <w:tcW w:w="1060" w:type="dxa"/>
            <w:tcBorders>
              <w:top w:val="single" w:color="000000" w:sz="4" w:space="0"/>
              <w:left w:val="single" w:color="000000" w:sz="4" w:space="0"/>
              <w:bottom w:val="single" w:color="000000" w:sz="4" w:space="0"/>
              <w:right w:val="single" w:color="000000" w:sz="4" w:space="0"/>
            </w:tcBorders>
            <w:vAlign w:val="center"/>
          </w:tcPr>
          <w:p w14:paraId="10B87324">
            <w:pPr>
              <w:kinsoku/>
              <w:autoSpaceDE/>
              <w:autoSpaceDN/>
              <w:jc w:val="right"/>
              <w:textAlignment w:val="center"/>
              <w:rPr>
                <w:rFonts w:ascii="宋体" w:hAnsi="宋体" w:eastAsia="宋体" w:cs="宋体"/>
                <w:color w:val="auto"/>
                <w:highlight w:val="none"/>
              </w:rPr>
            </w:pPr>
          </w:p>
        </w:tc>
        <w:tc>
          <w:tcPr>
            <w:tcW w:w="1480" w:type="dxa"/>
            <w:tcBorders>
              <w:top w:val="single" w:color="000000" w:sz="4" w:space="0"/>
              <w:left w:val="single" w:color="000000" w:sz="4" w:space="0"/>
              <w:bottom w:val="single" w:color="000000" w:sz="4" w:space="0"/>
              <w:right w:val="single" w:color="000000" w:sz="4" w:space="0"/>
            </w:tcBorders>
            <w:vAlign w:val="center"/>
          </w:tcPr>
          <w:p w14:paraId="0B7D2DB1">
            <w:pPr>
              <w:kinsoku/>
              <w:autoSpaceDE/>
              <w:autoSpaceDN/>
              <w:jc w:val="right"/>
              <w:textAlignment w:val="center"/>
              <w:rPr>
                <w:rFonts w:ascii="宋体" w:hAnsi="宋体" w:eastAsia="宋体" w:cs="宋体"/>
                <w:color w:val="auto"/>
                <w:highlight w:val="none"/>
              </w:rPr>
            </w:pPr>
          </w:p>
        </w:tc>
        <w:tc>
          <w:tcPr>
            <w:tcW w:w="989" w:type="dxa"/>
            <w:tcBorders>
              <w:top w:val="single" w:color="000000" w:sz="4" w:space="0"/>
              <w:left w:val="single" w:color="000000" w:sz="4" w:space="0"/>
              <w:bottom w:val="single" w:color="000000" w:sz="4" w:space="0"/>
              <w:right w:val="single" w:color="000000" w:sz="4" w:space="0"/>
            </w:tcBorders>
            <w:vAlign w:val="center"/>
          </w:tcPr>
          <w:p w14:paraId="5B0B63B9">
            <w:pPr>
              <w:kinsoku/>
              <w:autoSpaceDE/>
              <w:autoSpaceDN/>
              <w:jc w:val="center"/>
              <w:textAlignment w:val="center"/>
              <w:rPr>
                <w:rFonts w:ascii="宋体" w:hAnsi="宋体" w:eastAsia="宋体" w:cs="宋体"/>
                <w:color w:val="auto"/>
                <w:highlight w:val="none"/>
              </w:rPr>
            </w:pPr>
          </w:p>
        </w:tc>
      </w:tr>
      <w:tr w14:paraId="72B498E6">
        <w:tblPrEx>
          <w:tblCellMar>
            <w:top w:w="15" w:type="dxa"/>
            <w:left w:w="15" w:type="dxa"/>
            <w:bottom w:w="15" w:type="dxa"/>
            <w:right w:w="15" w:type="dxa"/>
          </w:tblCellMar>
        </w:tblPrEx>
        <w:trPr>
          <w:trHeight w:val="1015" w:hRule="atLeast"/>
        </w:trPr>
        <w:tc>
          <w:tcPr>
            <w:tcW w:w="743" w:type="dxa"/>
            <w:tcBorders>
              <w:top w:val="single" w:color="000000" w:sz="4" w:space="0"/>
              <w:left w:val="single" w:color="000000" w:sz="4" w:space="0"/>
              <w:bottom w:val="single" w:color="000000" w:sz="4" w:space="0"/>
            </w:tcBorders>
            <w:vAlign w:val="center"/>
          </w:tcPr>
          <w:p w14:paraId="6596F9CC">
            <w:pPr>
              <w:kinsoku/>
              <w:autoSpaceDE/>
              <w:autoSpaceDN/>
              <w:jc w:val="center"/>
              <w:textAlignment w:val="center"/>
              <w:rPr>
                <w:rFonts w:ascii="宋体" w:hAnsi="宋体" w:eastAsia="宋体" w:cs="宋体"/>
                <w:color w:val="auto"/>
                <w:highlight w:val="none"/>
                <w:lang w:eastAsia="zh-CN"/>
              </w:rPr>
            </w:pPr>
            <w:r>
              <w:rPr>
                <w:rFonts w:hint="eastAsia" w:ascii="宋体" w:hAnsi="宋体" w:eastAsia="宋体" w:cs="宋体"/>
                <w:color w:val="auto"/>
                <w:highlight w:val="none"/>
                <w:lang w:val="en-US" w:eastAsia="zh-CN"/>
              </w:rPr>
              <w:t>2</w:t>
            </w:r>
          </w:p>
        </w:tc>
        <w:tc>
          <w:tcPr>
            <w:tcW w:w="2158" w:type="dxa"/>
            <w:tcBorders>
              <w:top w:val="single" w:color="000000" w:sz="4" w:space="0"/>
              <w:left w:val="single" w:color="000000" w:sz="4" w:space="0"/>
              <w:bottom w:val="single" w:color="000000" w:sz="4" w:space="0"/>
              <w:right w:val="single" w:color="000000" w:sz="4" w:space="0"/>
            </w:tcBorders>
            <w:vAlign w:val="center"/>
          </w:tcPr>
          <w:p w14:paraId="5CE322DA">
            <w:pPr>
              <w:kinsoku/>
              <w:autoSpaceDE/>
              <w:autoSpaceDN/>
              <w:jc w:val="center"/>
              <w:textAlignment w:val="center"/>
              <w:rPr>
                <w:rFonts w:ascii="宋体" w:hAnsi="宋体" w:eastAsia="宋体" w:cs="宋体"/>
                <w:color w:val="auto"/>
                <w:highlight w:val="none"/>
              </w:rPr>
            </w:pPr>
            <w:r>
              <w:rPr>
                <w:rFonts w:hint="eastAsia" w:ascii="宋体" w:hAnsi="宋体" w:eastAsia="宋体" w:cs="宋体"/>
                <w:color w:val="auto"/>
                <w:highlight w:val="none"/>
                <w:lang w:eastAsia="zh-CN"/>
              </w:rPr>
              <w:t>合计</w:t>
            </w:r>
          </w:p>
        </w:tc>
        <w:tc>
          <w:tcPr>
            <w:tcW w:w="1100" w:type="dxa"/>
            <w:tcBorders>
              <w:top w:val="single" w:color="000000" w:sz="4" w:space="0"/>
              <w:left w:val="single" w:color="000000" w:sz="4" w:space="0"/>
              <w:bottom w:val="single" w:color="000000" w:sz="4" w:space="0"/>
              <w:right w:val="single" w:color="000000" w:sz="4" w:space="0"/>
            </w:tcBorders>
            <w:vAlign w:val="center"/>
          </w:tcPr>
          <w:p w14:paraId="376AE0F4">
            <w:pPr>
              <w:kinsoku/>
              <w:autoSpaceDE/>
              <w:autoSpaceDN/>
              <w:jc w:val="center"/>
              <w:rPr>
                <w:rFonts w:ascii="宋体" w:hAnsi="宋体" w:eastAsia="宋体" w:cs="宋体"/>
                <w:color w:val="auto"/>
                <w:highlight w:val="none"/>
              </w:rPr>
            </w:pPr>
          </w:p>
        </w:tc>
        <w:tc>
          <w:tcPr>
            <w:tcW w:w="1070" w:type="dxa"/>
            <w:tcBorders>
              <w:top w:val="single" w:color="000000" w:sz="4" w:space="0"/>
              <w:left w:val="single" w:color="000000" w:sz="4" w:space="0"/>
              <w:bottom w:val="single" w:color="000000" w:sz="4" w:space="0"/>
              <w:right w:val="single" w:color="000000" w:sz="4" w:space="0"/>
            </w:tcBorders>
            <w:vAlign w:val="center"/>
          </w:tcPr>
          <w:p w14:paraId="796AE173">
            <w:pPr>
              <w:kinsoku/>
              <w:autoSpaceDE/>
              <w:autoSpaceDN/>
              <w:jc w:val="center"/>
              <w:rPr>
                <w:rFonts w:ascii="宋体" w:hAnsi="宋体" w:eastAsia="宋体" w:cs="宋体"/>
                <w:color w:val="auto"/>
                <w:highlight w:val="none"/>
              </w:rPr>
            </w:pPr>
          </w:p>
        </w:tc>
        <w:tc>
          <w:tcPr>
            <w:tcW w:w="1060" w:type="dxa"/>
            <w:tcBorders>
              <w:top w:val="single" w:color="000000" w:sz="4" w:space="0"/>
              <w:left w:val="single" w:color="000000" w:sz="4" w:space="0"/>
              <w:bottom w:val="single" w:color="000000" w:sz="4" w:space="0"/>
              <w:right w:val="single" w:color="000000" w:sz="4" w:space="0"/>
            </w:tcBorders>
            <w:vAlign w:val="center"/>
          </w:tcPr>
          <w:p w14:paraId="7C7882CB">
            <w:pPr>
              <w:kinsoku/>
              <w:autoSpaceDE/>
              <w:autoSpaceDN/>
              <w:jc w:val="right"/>
              <w:rPr>
                <w:rFonts w:ascii="宋体" w:hAnsi="宋体" w:eastAsia="宋体" w:cs="宋体"/>
                <w:color w:val="auto"/>
                <w:highlight w:val="none"/>
              </w:rPr>
            </w:pPr>
          </w:p>
        </w:tc>
        <w:tc>
          <w:tcPr>
            <w:tcW w:w="1480" w:type="dxa"/>
            <w:tcBorders>
              <w:top w:val="single" w:color="000000" w:sz="4" w:space="0"/>
              <w:left w:val="single" w:color="000000" w:sz="4" w:space="0"/>
              <w:bottom w:val="single" w:color="000000" w:sz="4" w:space="0"/>
              <w:right w:val="single" w:color="000000" w:sz="4" w:space="0"/>
            </w:tcBorders>
            <w:vAlign w:val="center"/>
          </w:tcPr>
          <w:p w14:paraId="2CBE37C3">
            <w:pPr>
              <w:kinsoku/>
              <w:autoSpaceDE/>
              <w:autoSpaceDN/>
              <w:jc w:val="right"/>
              <w:textAlignment w:val="center"/>
              <w:rPr>
                <w:rFonts w:ascii="宋体" w:hAnsi="宋体" w:eastAsia="宋体" w:cs="宋体"/>
                <w:color w:val="auto"/>
                <w:highlight w:val="none"/>
              </w:rPr>
            </w:pPr>
          </w:p>
        </w:tc>
        <w:tc>
          <w:tcPr>
            <w:tcW w:w="989" w:type="dxa"/>
            <w:tcBorders>
              <w:top w:val="single" w:color="000000" w:sz="4" w:space="0"/>
              <w:left w:val="single" w:color="000000" w:sz="4" w:space="0"/>
              <w:bottom w:val="single" w:color="000000" w:sz="4" w:space="0"/>
              <w:right w:val="single" w:color="000000" w:sz="4" w:space="0"/>
            </w:tcBorders>
            <w:vAlign w:val="center"/>
          </w:tcPr>
          <w:p w14:paraId="22D5937D">
            <w:pPr>
              <w:kinsoku/>
              <w:autoSpaceDE/>
              <w:autoSpaceDN/>
              <w:rPr>
                <w:rFonts w:ascii="宋体" w:hAnsi="宋体" w:eastAsia="宋体" w:cs="宋体"/>
                <w:color w:val="auto"/>
                <w:highlight w:val="none"/>
              </w:rPr>
            </w:pPr>
          </w:p>
        </w:tc>
      </w:tr>
    </w:tbl>
    <w:p w14:paraId="2D0F6C39">
      <w:pPr>
        <w:spacing w:line="336" w:lineRule="auto"/>
        <w:ind w:firstLine="420"/>
        <w:rPr>
          <w:rFonts w:ascii="宋体" w:hAnsi="宋体" w:cs="宋体"/>
          <w:color w:val="auto"/>
          <w:highlight w:val="none"/>
        </w:rPr>
      </w:pPr>
    </w:p>
    <w:p w14:paraId="55C62A7F">
      <w:pPr>
        <w:spacing w:line="336" w:lineRule="auto"/>
        <w:ind w:firstLine="420"/>
        <w:rPr>
          <w:rFonts w:ascii="宋体" w:hAnsi="宋体" w:cs="宋体"/>
          <w:color w:val="auto"/>
          <w:highlight w:val="none"/>
          <w:lang w:eastAsia="zh-CN"/>
        </w:rPr>
      </w:pPr>
      <w:r>
        <w:rPr>
          <w:rFonts w:hint="eastAsia" w:ascii="宋体" w:hAnsi="宋体" w:cs="宋体"/>
          <w:color w:val="auto"/>
          <w:highlight w:val="none"/>
          <w:lang w:eastAsia="zh-CN"/>
        </w:rPr>
        <w:t>注：该表格仅供参考供应商，可根据需要自行扩展。</w:t>
      </w:r>
    </w:p>
    <w:p w14:paraId="1A819C55">
      <w:pPr>
        <w:spacing w:line="312" w:lineRule="auto"/>
        <w:ind w:firstLine="480"/>
        <w:rPr>
          <w:rFonts w:ascii="宋体" w:hAnsi="宋体" w:cs="宋体"/>
          <w:color w:val="auto"/>
          <w:sz w:val="24"/>
          <w:highlight w:val="none"/>
          <w:lang w:eastAsia="zh-CN"/>
        </w:rPr>
      </w:pPr>
    </w:p>
    <w:p w14:paraId="07540D37">
      <w:pPr>
        <w:tabs>
          <w:tab w:val="left" w:pos="1365"/>
        </w:tabs>
        <w:spacing w:line="360" w:lineRule="auto"/>
        <w:ind w:firstLine="315" w:firstLineChars="150"/>
        <w:jc w:val="right"/>
        <w:rPr>
          <w:rFonts w:ascii="宋体" w:hAnsi="宋体" w:cs="宋体"/>
          <w:color w:val="auto"/>
          <w:highlight w:val="none"/>
          <w:lang w:eastAsia="zh-CN"/>
        </w:rPr>
      </w:pPr>
      <w:r>
        <w:rPr>
          <w:rFonts w:hint="eastAsia" w:ascii="宋体" w:hAnsi="宋体" w:cs="宋体"/>
          <w:color w:val="auto"/>
          <w:highlight w:val="none"/>
          <w:lang w:eastAsia="zh-CN"/>
        </w:rPr>
        <w:t xml:space="preserve">供应商（单位电子签章）：                    </w:t>
      </w:r>
    </w:p>
    <w:p w14:paraId="56DB326E">
      <w:pPr>
        <w:tabs>
          <w:tab w:val="left" w:pos="1365"/>
        </w:tabs>
        <w:spacing w:line="360" w:lineRule="auto"/>
        <w:ind w:firstLine="315" w:firstLineChars="150"/>
        <w:jc w:val="right"/>
        <w:rPr>
          <w:rFonts w:ascii="宋体" w:hAnsi="宋体" w:cs="宋体"/>
          <w:color w:val="auto"/>
          <w:highlight w:val="none"/>
          <w:lang w:eastAsia="zh-CN"/>
        </w:rPr>
      </w:pPr>
      <w:r>
        <w:rPr>
          <w:rFonts w:hint="eastAsia" w:ascii="宋体" w:hAnsi="宋体" w:cs="宋体"/>
          <w:color w:val="auto"/>
          <w:highlight w:val="none"/>
          <w:lang w:eastAsia="zh-CN"/>
        </w:rPr>
        <w:t>法定代表人或其委托代理人（电子签名或电子签章）：</w:t>
      </w:r>
    </w:p>
    <w:p w14:paraId="15EC9628">
      <w:pPr>
        <w:spacing w:line="312" w:lineRule="auto"/>
        <w:ind w:firstLine="420"/>
        <w:jc w:val="right"/>
        <w:rPr>
          <w:rFonts w:ascii="宋体" w:hAnsi="宋体" w:cs="宋体"/>
          <w:b/>
          <w:color w:val="auto"/>
          <w:sz w:val="24"/>
          <w:szCs w:val="24"/>
          <w:highlight w:val="none"/>
          <w:lang w:eastAsia="zh-CN"/>
        </w:rPr>
      </w:pPr>
      <w:r>
        <w:rPr>
          <w:rFonts w:hint="eastAsia" w:ascii="宋体" w:hAnsi="宋体" w:cs="宋体"/>
          <w:color w:val="auto"/>
          <w:highlight w:val="none"/>
          <w:lang w:eastAsia="zh-CN"/>
        </w:rPr>
        <w:t>日   期：     年    月    日</w:t>
      </w:r>
    </w:p>
    <w:p w14:paraId="5864AA83">
      <w:pPr>
        <w:pStyle w:val="2"/>
        <w:ind w:firstLine="403" w:firstLineChars="192"/>
        <w:jc w:val="center"/>
        <w:rPr>
          <w:rStyle w:val="39"/>
          <w:color w:val="auto"/>
          <w:highlight w:val="none"/>
          <w:lang w:eastAsia="zh-CN"/>
        </w:rPr>
      </w:pPr>
      <w:bookmarkStart w:id="1023" w:name="_Toc29376"/>
      <w:r>
        <w:rPr>
          <w:rFonts w:hint="eastAsia" w:cs="宋体"/>
          <w:color w:val="auto"/>
          <w:highlight w:val="none"/>
          <w:lang w:eastAsia="zh-CN"/>
        </w:rPr>
        <w:br w:type="page"/>
      </w:r>
      <w:bookmarkEnd w:id="1023"/>
      <w:bookmarkStart w:id="1024" w:name="_Toc31896"/>
      <w:bookmarkStart w:id="1025" w:name="_Toc30930"/>
      <w:r>
        <w:rPr>
          <w:rStyle w:val="39"/>
          <w:rFonts w:hint="eastAsia"/>
          <w:color w:val="auto"/>
          <w:highlight w:val="none"/>
          <w:lang w:eastAsia="zh-CN"/>
        </w:rPr>
        <w:t>五、商务偏差表</w:t>
      </w:r>
      <w:bookmarkEnd w:id="1024"/>
    </w:p>
    <w:bookmarkEnd w:id="1025"/>
    <w:tbl>
      <w:tblPr>
        <w:tblStyle w:val="25"/>
        <w:tblpPr w:leftFromText="180" w:rightFromText="180" w:vertAnchor="text" w:horzAnchor="page" w:tblpX="2096" w:tblpY="404"/>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6"/>
        <w:gridCol w:w="2693"/>
        <w:gridCol w:w="2979"/>
        <w:gridCol w:w="1625"/>
      </w:tblGrid>
      <w:tr w14:paraId="057F4F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exact"/>
        </w:trPr>
        <w:tc>
          <w:tcPr>
            <w:tcW w:w="926" w:type="dxa"/>
            <w:vAlign w:val="center"/>
          </w:tcPr>
          <w:p w14:paraId="38FDDE63">
            <w:pPr>
              <w:pStyle w:val="40"/>
              <w:spacing w:before="72"/>
              <w:ind w:right="223"/>
              <w:jc w:val="center"/>
              <w:rPr>
                <w:rFonts w:hint="default"/>
                <w:bCs/>
                <w:color w:val="auto"/>
                <w:sz w:val="21"/>
                <w:highlight w:val="none"/>
              </w:rPr>
            </w:pPr>
            <w:r>
              <w:rPr>
                <w:rFonts w:cs="宋体"/>
                <w:bCs/>
                <w:color w:val="auto"/>
                <w:sz w:val="21"/>
                <w:highlight w:val="none"/>
              </w:rPr>
              <w:t>序号</w:t>
            </w:r>
          </w:p>
        </w:tc>
        <w:tc>
          <w:tcPr>
            <w:tcW w:w="2693" w:type="dxa"/>
            <w:vAlign w:val="center"/>
          </w:tcPr>
          <w:p w14:paraId="02BEB952">
            <w:pPr>
              <w:pStyle w:val="40"/>
              <w:spacing w:before="72"/>
              <w:ind w:firstLine="420"/>
              <w:jc w:val="both"/>
              <w:rPr>
                <w:rFonts w:hint="default"/>
                <w:bCs/>
                <w:color w:val="auto"/>
                <w:sz w:val="21"/>
                <w:highlight w:val="none"/>
                <w:lang w:eastAsia="zh-CN"/>
              </w:rPr>
            </w:pPr>
            <w:r>
              <w:rPr>
                <w:rFonts w:cs="宋体"/>
                <w:bCs/>
                <w:color w:val="auto"/>
                <w:sz w:val="21"/>
                <w:highlight w:val="none"/>
                <w:lang w:eastAsia="zh-CN"/>
              </w:rPr>
              <w:t>招标文件章节及条款号</w:t>
            </w:r>
          </w:p>
        </w:tc>
        <w:tc>
          <w:tcPr>
            <w:tcW w:w="2979" w:type="dxa"/>
            <w:vAlign w:val="center"/>
          </w:tcPr>
          <w:p w14:paraId="4C3021E3">
            <w:pPr>
              <w:pStyle w:val="40"/>
              <w:spacing w:before="72"/>
              <w:ind w:firstLine="420"/>
              <w:jc w:val="both"/>
              <w:rPr>
                <w:rFonts w:hint="default"/>
                <w:bCs/>
                <w:color w:val="auto"/>
                <w:sz w:val="21"/>
                <w:highlight w:val="none"/>
                <w:lang w:eastAsia="zh-CN"/>
              </w:rPr>
            </w:pPr>
            <w:r>
              <w:rPr>
                <w:rFonts w:cs="宋体"/>
                <w:bCs/>
                <w:color w:val="auto"/>
                <w:sz w:val="21"/>
                <w:highlight w:val="none"/>
                <w:lang w:eastAsia="zh-CN"/>
              </w:rPr>
              <w:t>投标文件章节及条款号</w:t>
            </w:r>
          </w:p>
        </w:tc>
        <w:tc>
          <w:tcPr>
            <w:tcW w:w="1625" w:type="dxa"/>
            <w:vAlign w:val="center"/>
          </w:tcPr>
          <w:p w14:paraId="46FEF515">
            <w:pPr>
              <w:pStyle w:val="40"/>
              <w:spacing w:before="72"/>
              <w:ind w:firstLine="420"/>
              <w:jc w:val="both"/>
              <w:rPr>
                <w:rFonts w:hint="default"/>
                <w:bCs/>
                <w:color w:val="auto"/>
                <w:sz w:val="21"/>
                <w:highlight w:val="none"/>
              </w:rPr>
            </w:pPr>
            <w:r>
              <w:rPr>
                <w:rFonts w:cs="宋体"/>
                <w:bCs/>
                <w:color w:val="auto"/>
                <w:sz w:val="21"/>
                <w:highlight w:val="none"/>
              </w:rPr>
              <w:t>偏差说明</w:t>
            </w:r>
          </w:p>
        </w:tc>
      </w:tr>
      <w:tr w14:paraId="23E77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exact"/>
        </w:trPr>
        <w:tc>
          <w:tcPr>
            <w:tcW w:w="926" w:type="dxa"/>
            <w:vAlign w:val="center"/>
          </w:tcPr>
          <w:p w14:paraId="3B6273FC">
            <w:pPr>
              <w:spacing w:line="312" w:lineRule="auto"/>
              <w:ind w:firstLine="420"/>
              <w:jc w:val="both"/>
              <w:rPr>
                <w:rFonts w:ascii="宋体" w:hAnsi="宋体" w:cs="宋体"/>
                <w:bCs/>
                <w:color w:val="auto"/>
                <w:highlight w:val="none"/>
              </w:rPr>
            </w:pPr>
            <w:r>
              <w:rPr>
                <w:rFonts w:hint="eastAsia" w:ascii="宋体" w:hAnsi="宋体"/>
                <w:color w:val="auto"/>
                <w:highlight w:val="none"/>
              </w:rPr>
              <w:t>1</w:t>
            </w:r>
          </w:p>
        </w:tc>
        <w:tc>
          <w:tcPr>
            <w:tcW w:w="2693" w:type="dxa"/>
            <w:vAlign w:val="center"/>
          </w:tcPr>
          <w:p w14:paraId="761F8A86">
            <w:pPr>
              <w:ind w:firstLine="420"/>
              <w:jc w:val="center"/>
              <w:rPr>
                <w:rFonts w:ascii="宋体" w:hAnsi="宋体" w:cs="宋体"/>
                <w:bCs/>
                <w:color w:val="auto"/>
                <w:highlight w:val="none"/>
              </w:rPr>
            </w:pPr>
          </w:p>
        </w:tc>
        <w:tc>
          <w:tcPr>
            <w:tcW w:w="2979" w:type="dxa"/>
            <w:vAlign w:val="center"/>
          </w:tcPr>
          <w:p w14:paraId="732D3775">
            <w:pPr>
              <w:ind w:firstLine="420"/>
              <w:jc w:val="center"/>
              <w:rPr>
                <w:rFonts w:ascii="宋体" w:hAnsi="宋体" w:cs="宋体"/>
                <w:bCs/>
                <w:color w:val="auto"/>
                <w:highlight w:val="none"/>
              </w:rPr>
            </w:pPr>
          </w:p>
        </w:tc>
        <w:tc>
          <w:tcPr>
            <w:tcW w:w="1625" w:type="dxa"/>
            <w:vAlign w:val="center"/>
          </w:tcPr>
          <w:p w14:paraId="1F476C39">
            <w:pPr>
              <w:ind w:firstLine="420"/>
              <w:jc w:val="center"/>
              <w:rPr>
                <w:rFonts w:ascii="宋体" w:hAnsi="宋体" w:cs="宋体"/>
                <w:bCs/>
                <w:color w:val="auto"/>
                <w:highlight w:val="none"/>
              </w:rPr>
            </w:pPr>
          </w:p>
        </w:tc>
      </w:tr>
      <w:tr w14:paraId="00B1C5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trPr>
        <w:tc>
          <w:tcPr>
            <w:tcW w:w="926" w:type="dxa"/>
            <w:vAlign w:val="center"/>
          </w:tcPr>
          <w:p w14:paraId="7FDC6455">
            <w:pPr>
              <w:spacing w:line="312" w:lineRule="auto"/>
              <w:ind w:firstLine="420"/>
              <w:jc w:val="both"/>
              <w:rPr>
                <w:rFonts w:ascii="宋体" w:hAnsi="宋体" w:cs="宋体"/>
                <w:bCs/>
                <w:color w:val="auto"/>
                <w:highlight w:val="none"/>
              </w:rPr>
            </w:pPr>
            <w:r>
              <w:rPr>
                <w:rFonts w:hint="eastAsia" w:ascii="宋体" w:hAnsi="宋体"/>
                <w:color w:val="auto"/>
                <w:highlight w:val="none"/>
              </w:rPr>
              <w:t>2</w:t>
            </w:r>
          </w:p>
        </w:tc>
        <w:tc>
          <w:tcPr>
            <w:tcW w:w="2693" w:type="dxa"/>
            <w:vAlign w:val="center"/>
          </w:tcPr>
          <w:p w14:paraId="622E2AE8">
            <w:pPr>
              <w:ind w:firstLine="420"/>
              <w:jc w:val="center"/>
              <w:rPr>
                <w:rFonts w:ascii="宋体" w:hAnsi="宋体" w:cs="宋体"/>
                <w:bCs/>
                <w:color w:val="auto"/>
                <w:highlight w:val="none"/>
              </w:rPr>
            </w:pPr>
          </w:p>
        </w:tc>
        <w:tc>
          <w:tcPr>
            <w:tcW w:w="2979" w:type="dxa"/>
            <w:vAlign w:val="center"/>
          </w:tcPr>
          <w:p w14:paraId="41D27F0D">
            <w:pPr>
              <w:ind w:firstLine="420"/>
              <w:jc w:val="center"/>
              <w:rPr>
                <w:rFonts w:ascii="宋体" w:hAnsi="宋体" w:cs="宋体"/>
                <w:bCs/>
                <w:color w:val="auto"/>
                <w:highlight w:val="none"/>
              </w:rPr>
            </w:pPr>
          </w:p>
        </w:tc>
        <w:tc>
          <w:tcPr>
            <w:tcW w:w="1625" w:type="dxa"/>
            <w:vAlign w:val="center"/>
          </w:tcPr>
          <w:p w14:paraId="0DBCC685">
            <w:pPr>
              <w:ind w:firstLine="420"/>
              <w:jc w:val="center"/>
              <w:rPr>
                <w:rFonts w:ascii="宋体" w:hAnsi="宋体" w:cs="宋体"/>
                <w:bCs/>
                <w:color w:val="auto"/>
                <w:highlight w:val="none"/>
              </w:rPr>
            </w:pPr>
          </w:p>
        </w:tc>
      </w:tr>
      <w:tr w14:paraId="7E315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trPr>
        <w:tc>
          <w:tcPr>
            <w:tcW w:w="926" w:type="dxa"/>
            <w:vAlign w:val="center"/>
          </w:tcPr>
          <w:p w14:paraId="19AD5F3D">
            <w:pPr>
              <w:spacing w:line="312" w:lineRule="auto"/>
              <w:ind w:firstLine="420"/>
              <w:jc w:val="both"/>
              <w:rPr>
                <w:rFonts w:ascii="宋体" w:hAnsi="宋体" w:cs="宋体"/>
                <w:bCs/>
                <w:color w:val="auto"/>
                <w:highlight w:val="none"/>
              </w:rPr>
            </w:pPr>
            <w:r>
              <w:rPr>
                <w:rFonts w:hint="eastAsia" w:ascii="宋体" w:hAnsi="宋体"/>
                <w:color w:val="auto"/>
                <w:highlight w:val="none"/>
              </w:rPr>
              <w:t>3</w:t>
            </w:r>
          </w:p>
        </w:tc>
        <w:tc>
          <w:tcPr>
            <w:tcW w:w="2693" w:type="dxa"/>
            <w:vAlign w:val="center"/>
          </w:tcPr>
          <w:p w14:paraId="79E57C0F">
            <w:pPr>
              <w:ind w:firstLine="420"/>
              <w:jc w:val="center"/>
              <w:rPr>
                <w:rFonts w:ascii="宋体" w:hAnsi="宋体" w:cs="宋体"/>
                <w:bCs/>
                <w:color w:val="auto"/>
                <w:highlight w:val="none"/>
              </w:rPr>
            </w:pPr>
          </w:p>
        </w:tc>
        <w:tc>
          <w:tcPr>
            <w:tcW w:w="2979" w:type="dxa"/>
            <w:vAlign w:val="center"/>
          </w:tcPr>
          <w:p w14:paraId="2FC3FFD3">
            <w:pPr>
              <w:ind w:firstLine="420"/>
              <w:jc w:val="center"/>
              <w:rPr>
                <w:rFonts w:ascii="宋体" w:hAnsi="宋体" w:cs="宋体"/>
                <w:bCs/>
                <w:color w:val="auto"/>
                <w:highlight w:val="none"/>
              </w:rPr>
            </w:pPr>
          </w:p>
        </w:tc>
        <w:tc>
          <w:tcPr>
            <w:tcW w:w="1625" w:type="dxa"/>
            <w:vAlign w:val="center"/>
          </w:tcPr>
          <w:p w14:paraId="075A5F84">
            <w:pPr>
              <w:ind w:firstLine="420"/>
              <w:jc w:val="center"/>
              <w:rPr>
                <w:rFonts w:ascii="宋体" w:hAnsi="宋体" w:cs="宋体"/>
                <w:bCs/>
                <w:color w:val="auto"/>
                <w:highlight w:val="none"/>
              </w:rPr>
            </w:pPr>
          </w:p>
        </w:tc>
      </w:tr>
      <w:tr w14:paraId="5F1ADA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trPr>
        <w:tc>
          <w:tcPr>
            <w:tcW w:w="926" w:type="dxa"/>
            <w:vAlign w:val="center"/>
          </w:tcPr>
          <w:p w14:paraId="0ADD9067">
            <w:pPr>
              <w:spacing w:line="312" w:lineRule="auto"/>
              <w:ind w:firstLine="420"/>
              <w:jc w:val="both"/>
              <w:rPr>
                <w:rFonts w:ascii="宋体" w:hAnsi="宋体" w:cs="宋体"/>
                <w:bCs/>
                <w:color w:val="auto"/>
                <w:highlight w:val="none"/>
              </w:rPr>
            </w:pPr>
            <w:r>
              <w:rPr>
                <w:rFonts w:hint="eastAsia" w:ascii="宋体" w:hAnsi="宋体"/>
                <w:color w:val="auto"/>
                <w:highlight w:val="none"/>
              </w:rPr>
              <w:t>4</w:t>
            </w:r>
          </w:p>
        </w:tc>
        <w:tc>
          <w:tcPr>
            <w:tcW w:w="2693" w:type="dxa"/>
            <w:vAlign w:val="center"/>
          </w:tcPr>
          <w:p w14:paraId="51B1D9C9">
            <w:pPr>
              <w:ind w:firstLine="420"/>
              <w:jc w:val="center"/>
              <w:rPr>
                <w:rFonts w:ascii="宋体" w:hAnsi="宋体" w:cs="宋体"/>
                <w:bCs/>
                <w:color w:val="auto"/>
                <w:highlight w:val="none"/>
              </w:rPr>
            </w:pPr>
          </w:p>
        </w:tc>
        <w:tc>
          <w:tcPr>
            <w:tcW w:w="2979" w:type="dxa"/>
            <w:vAlign w:val="center"/>
          </w:tcPr>
          <w:p w14:paraId="336DFBC4">
            <w:pPr>
              <w:ind w:firstLine="420"/>
              <w:jc w:val="center"/>
              <w:rPr>
                <w:rFonts w:ascii="宋体" w:hAnsi="宋体" w:cs="宋体"/>
                <w:bCs/>
                <w:color w:val="auto"/>
                <w:highlight w:val="none"/>
              </w:rPr>
            </w:pPr>
          </w:p>
        </w:tc>
        <w:tc>
          <w:tcPr>
            <w:tcW w:w="1625" w:type="dxa"/>
            <w:vAlign w:val="center"/>
          </w:tcPr>
          <w:p w14:paraId="2A4E82C9">
            <w:pPr>
              <w:ind w:firstLine="420"/>
              <w:jc w:val="center"/>
              <w:rPr>
                <w:rFonts w:ascii="宋体" w:hAnsi="宋体" w:cs="宋体"/>
                <w:bCs/>
                <w:color w:val="auto"/>
                <w:highlight w:val="none"/>
              </w:rPr>
            </w:pPr>
          </w:p>
        </w:tc>
      </w:tr>
      <w:tr w14:paraId="4A96B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trPr>
        <w:tc>
          <w:tcPr>
            <w:tcW w:w="926" w:type="dxa"/>
            <w:vAlign w:val="center"/>
          </w:tcPr>
          <w:p w14:paraId="2BADB498">
            <w:pPr>
              <w:spacing w:line="312" w:lineRule="auto"/>
              <w:ind w:firstLine="420"/>
              <w:jc w:val="both"/>
              <w:rPr>
                <w:rFonts w:ascii="宋体" w:hAnsi="宋体" w:cs="宋体"/>
                <w:bCs/>
                <w:color w:val="auto"/>
                <w:highlight w:val="none"/>
              </w:rPr>
            </w:pPr>
            <w:r>
              <w:rPr>
                <w:rFonts w:hint="eastAsia" w:ascii="宋体" w:hAnsi="宋体"/>
                <w:color w:val="auto"/>
                <w:highlight w:val="none"/>
              </w:rPr>
              <w:t>5</w:t>
            </w:r>
          </w:p>
        </w:tc>
        <w:tc>
          <w:tcPr>
            <w:tcW w:w="2693" w:type="dxa"/>
            <w:vAlign w:val="center"/>
          </w:tcPr>
          <w:p w14:paraId="06B0289F">
            <w:pPr>
              <w:ind w:firstLine="420"/>
              <w:jc w:val="center"/>
              <w:rPr>
                <w:rFonts w:ascii="宋体" w:hAnsi="宋体" w:cs="宋体"/>
                <w:bCs/>
                <w:color w:val="auto"/>
                <w:highlight w:val="none"/>
              </w:rPr>
            </w:pPr>
          </w:p>
        </w:tc>
        <w:tc>
          <w:tcPr>
            <w:tcW w:w="2979" w:type="dxa"/>
            <w:vAlign w:val="center"/>
          </w:tcPr>
          <w:p w14:paraId="54B9B308">
            <w:pPr>
              <w:ind w:firstLine="420"/>
              <w:jc w:val="center"/>
              <w:rPr>
                <w:rFonts w:ascii="宋体" w:hAnsi="宋体" w:cs="宋体"/>
                <w:bCs/>
                <w:color w:val="auto"/>
                <w:highlight w:val="none"/>
              </w:rPr>
            </w:pPr>
          </w:p>
        </w:tc>
        <w:tc>
          <w:tcPr>
            <w:tcW w:w="1625" w:type="dxa"/>
            <w:vAlign w:val="center"/>
          </w:tcPr>
          <w:p w14:paraId="16AE9D02">
            <w:pPr>
              <w:ind w:firstLine="420"/>
              <w:jc w:val="center"/>
              <w:rPr>
                <w:rFonts w:ascii="宋体" w:hAnsi="宋体" w:cs="宋体"/>
                <w:bCs/>
                <w:color w:val="auto"/>
                <w:highlight w:val="none"/>
              </w:rPr>
            </w:pPr>
          </w:p>
        </w:tc>
      </w:tr>
      <w:tr w14:paraId="325402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exact"/>
        </w:trPr>
        <w:tc>
          <w:tcPr>
            <w:tcW w:w="926" w:type="dxa"/>
            <w:vAlign w:val="center"/>
          </w:tcPr>
          <w:p w14:paraId="4001AA6B">
            <w:pPr>
              <w:spacing w:line="312" w:lineRule="auto"/>
              <w:ind w:firstLine="420"/>
              <w:jc w:val="both"/>
              <w:rPr>
                <w:rFonts w:ascii="宋体" w:hAnsi="宋体" w:cs="宋体"/>
                <w:bCs/>
                <w:i/>
                <w:color w:val="auto"/>
                <w:highlight w:val="none"/>
              </w:rPr>
            </w:pPr>
            <w:r>
              <w:rPr>
                <w:rFonts w:hint="eastAsia" w:ascii="宋体" w:hAnsi="宋体"/>
                <w:color w:val="auto"/>
                <w:highlight w:val="none"/>
              </w:rPr>
              <w:t>6</w:t>
            </w:r>
          </w:p>
        </w:tc>
        <w:tc>
          <w:tcPr>
            <w:tcW w:w="2693" w:type="dxa"/>
            <w:vAlign w:val="center"/>
          </w:tcPr>
          <w:p w14:paraId="72224892">
            <w:pPr>
              <w:ind w:firstLine="420"/>
              <w:jc w:val="center"/>
              <w:rPr>
                <w:rFonts w:ascii="宋体" w:hAnsi="宋体" w:cs="宋体"/>
                <w:bCs/>
                <w:color w:val="auto"/>
                <w:highlight w:val="none"/>
              </w:rPr>
            </w:pPr>
          </w:p>
        </w:tc>
        <w:tc>
          <w:tcPr>
            <w:tcW w:w="2979" w:type="dxa"/>
            <w:vAlign w:val="center"/>
          </w:tcPr>
          <w:p w14:paraId="248680EB">
            <w:pPr>
              <w:ind w:firstLine="420"/>
              <w:jc w:val="center"/>
              <w:rPr>
                <w:rFonts w:ascii="宋体" w:hAnsi="宋体" w:cs="宋体"/>
                <w:bCs/>
                <w:color w:val="auto"/>
                <w:highlight w:val="none"/>
              </w:rPr>
            </w:pPr>
          </w:p>
        </w:tc>
        <w:tc>
          <w:tcPr>
            <w:tcW w:w="1625" w:type="dxa"/>
            <w:vAlign w:val="center"/>
          </w:tcPr>
          <w:p w14:paraId="35AF7D05">
            <w:pPr>
              <w:ind w:firstLine="420"/>
              <w:jc w:val="center"/>
              <w:rPr>
                <w:rFonts w:ascii="宋体" w:hAnsi="宋体" w:cs="宋体"/>
                <w:bCs/>
                <w:color w:val="auto"/>
                <w:highlight w:val="none"/>
              </w:rPr>
            </w:pPr>
          </w:p>
        </w:tc>
      </w:tr>
      <w:tr w14:paraId="4C857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exact"/>
        </w:trPr>
        <w:tc>
          <w:tcPr>
            <w:tcW w:w="926" w:type="dxa"/>
            <w:vAlign w:val="center"/>
          </w:tcPr>
          <w:p w14:paraId="3AC2FFCD">
            <w:pPr>
              <w:spacing w:line="312" w:lineRule="auto"/>
              <w:ind w:firstLine="420"/>
              <w:jc w:val="both"/>
              <w:rPr>
                <w:rFonts w:ascii="宋体" w:hAnsi="宋体" w:cs="宋体"/>
                <w:bCs/>
                <w:i/>
                <w:color w:val="auto"/>
                <w:highlight w:val="none"/>
              </w:rPr>
            </w:pPr>
            <w:r>
              <w:rPr>
                <w:rFonts w:ascii="宋体" w:hAnsi="宋体"/>
                <w:color w:val="auto"/>
                <w:highlight w:val="none"/>
              </w:rPr>
              <w:t>…</w:t>
            </w:r>
          </w:p>
        </w:tc>
        <w:tc>
          <w:tcPr>
            <w:tcW w:w="2693" w:type="dxa"/>
            <w:vAlign w:val="center"/>
          </w:tcPr>
          <w:p w14:paraId="4047EF76">
            <w:pPr>
              <w:ind w:firstLine="420"/>
              <w:jc w:val="center"/>
              <w:rPr>
                <w:rFonts w:ascii="宋体" w:hAnsi="宋体" w:cs="宋体"/>
                <w:bCs/>
                <w:color w:val="auto"/>
                <w:highlight w:val="none"/>
              </w:rPr>
            </w:pPr>
          </w:p>
        </w:tc>
        <w:tc>
          <w:tcPr>
            <w:tcW w:w="2979" w:type="dxa"/>
            <w:vAlign w:val="center"/>
          </w:tcPr>
          <w:p w14:paraId="32BF8BDB">
            <w:pPr>
              <w:ind w:firstLine="420"/>
              <w:jc w:val="center"/>
              <w:rPr>
                <w:rFonts w:ascii="宋体" w:hAnsi="宋体" w:cs="宋体"/>
                <w:bCs/>
                <w:color w:val="auto"/>
                <w:highlight w:val="none"/>
              </w:rPr>
            </w:pPr>
          </w:p>
        </w:tc>
        <w:tc>
          <w:tcPr>
            <w:tcW w:w="1625" w:type="dxa"/>
            <w:vAlign w:val="center"/>
          </w:tcPr>
          <w:p w14:paraId="039DF909">
            <w:pPr>
              <w:ind w:firstLine="420"/>
              <w:jc w:val="center"/>
              <w:rPr>
                <w:rFonts w:ascii="宋体" w:hAnsi="宋体" w:cs="宋体"/>
                <w:bCs/>
                <w:color w:val="auto"/>
                <w:highlight w:val="none"/>
              </w:rPr>
            </w:pPr>
          </w:p>
        </w:tc>
      </w:tr>
    </w:tbl>
    <w:p w14:paraId="6FF9AC71">
      <w:pPr>
        <w:pStyle w:val="7"/>
        <w:rPr>
          <w:color w:val="auto"/>
          <w:highlight w:val="none"/>
        </w:rPr>
      </w:pPr>
    </w:p>
    <w:p w14:paraId="3AF018D1">
      <w:pPr>
        <w:pStyle w:val="3"/>
        <w:spacing w:before="1"/>
        <w:ind w:firstLine="80"/>
        <w:rPr>
          <w:rFonts w:ascii="Microsoft JhengHei"/>
          <w:b/>
          <w:color w:val="auto"/>
          <w:sz w:val="4"/>
          <w:highlight w:val="none"/>
        </w:rPr>
      </w:pPr>
    </w:p>
    <w:p w14:paraId="1FC2F6B3">
      <w:pPr>
        <w:pStyle w:val="2"/>
        <w:ind w:firstLine="403" w:firstLineChars="192"/>
        <w:jc w:val="center"/>
        <w:rPr>
          <w:rFonts w:ascii="宋体" w:hAnsi="宋体" w:cs="宋体"/>
          <w:color w:val="auto"/>
          <w:highlight w:val="none"/>
        </w:rPr>
      </w:pPr>
    </w:p>
    <w:p w14:paraId="76E75C91">
      <w:pPr>
        <w:pStyle w:val="2"/>
        <w:ind w:firstLine="403" w:firstLineChars="192"/>
        <w:jc w:val="center"/>
        <w:rPr>
          <w:rFonts w:ascii="宋体" w:hAnsi="宋体" w:cs="宋体"/>
          <w:color w:val="auto"/>
          <w:highlight w:val="none"/>
        </w:rPr>
      </w:pPr>
    </w:p>
    <w:p w14:paraId="61ED3F71">
      <w:pPr>
        <w:pStyle w:val="2"/>
        <w:ind w:firstLine="403" w:firstLineChars="192"/>
        <w:jc w:val="center"/>
        <w:rPr>
          <w:rFonts w:ascii="宋体" w:hAnsi="宋体" w:cs="宋体"/>
          <w:color w:val="auto"/>
          <w:highlight w:val="none"/>
        </w:rPr>
      </w:pPr>
    </w:p>
    <w:p w14:paraId="1EC29CFF">
      <w:pPr>
        <w:pStyle w:val="7"/>
        <w:rPr>
          <w:rFonts w:ascii="宋体" w:hAnsi="宋体" w:cs="宋体"/>
          <w:color w:val="auto"/>
          <w:highlight w:val="none"/>
        </w:rPr>
      </w:pPr>
    </w:p>
    <w:p w14:paraId="531F514D">
      <w:pPr>
        <w:ind w:firstLine="420"/>
        <w:rPr>
          <w:rFonts w:ascii="宋体" w:hAnsi="宋体" w:cs="宋体"/>
          <w:color w:val="auto"/>
          <w:highlight w:val="none"/>
        </w:rPr>
      </w:pPr>
    </w:p>
    <w:p w14:paraId="018EC1FF">
      <w:pPr>
        <w:pStyle w:val="4"/>
        <w:rPr>
          <w:rFonts w:hAnsi="宋体"/>
          <w:color w:val="auto"/>
          <w:sz w:val="21"/>
          <w:szCs w:val="21"/>
          <w:highlight w:val="none"/>
        </w:rPr>
      </w:pPr>
    </w:p>
    <w:p w14:paraId="7D59F1F9">
      <w:pPr>
        <w:pStyle w:val="21"/>
        <w:ind w:firstLine="420"/>
        <w:rPr>
          <w:rFonts w:ascii="宋体" w:hAnsi="宋体" w:cs="宋体"/>
          <w:color w:val="auto"/>
          <w:sz w:val="21"/>
          <w:szCs w:val="21"/>
          <w:highlight w:val="none"/>
        </w:rPr>
      </w:pPr>
    </w:p>
    <w:p w14:paraId="078BEE14">
      <w:pPr>
        <w:pStyle w:val="21"/>
        <w:ind w:firstLine="420"/>
        <w:rPr>
          <w:rFonts w:ascii="宋体" w:hAnsi="宋体" w:cs="宋体"/>
          <w:color w:val="auto"/>
          <w:sz w:val="21"/>
          <w:szCs w:val="21"/>
          <w:highlight w:val="none"/>
        </w:rPr>
      </w:pPr>
    </w:p>
    <w:p w14:paraId="064C63D0">
      <w:pPr>
        <w:pStyle w:val="21"/>
        <w:ind w:firstLine="420"/>
        <w:rPr>
          <w:rFonts w:ascii="宋体" w:hAnsi="宋体" w:cs="宋体"/>
          <w:color w:val="auto"/>
          <w:sz w:val="21"/>
          <w:szCs w:val="21"/>
          <w:highlight w:val="none"/>
        </w:rPr>
      </w:pPr>
    </w:p>
    <w:p w14:paraId="31DE36B2">
      <w:pPr>
        <w:pStyle w:val="2"/>
        <w:ind w:firstLine="403" w:firstLineChars="192"/>
        <w:jc w:val="center"/>
        <w:rPr>
          <w:rFonts w:ascii="宋体" w:hAnsi="宋体" w:cs="宋体"/>
          <w:color w:val="auto"/>
          <w:highlight w:val="none"/>
        </w:rPr>
      </w:pPr>
    </w:p>
    <w:p w14:paraId="456EECEC">
      <w:pPr>
        <w:pStyle w:val="2"/>
        <w:ind w:firstLine="0" w:firstLineChars="0"/>
        <w:rPr>
          <w:rFonts w:ascii="宋体" w:hAnsi="宋体" w:cs="宋体"/>
          <w:color w:val="auto"/>
          <w:highlight w:val="none"/>
        </w:rPr>
      </w:pPr>
    </w:p>
    <w:p w14:paraId="0CD5FF5D">
      <w:pPr>
        <w:pStyle w:val="2"/>
        <w:ind w:firstLine="403" w:firstLineChars="192"/>
        <w:jc w:val="center"/>
        <w:rPr>
          <w:rFonts w:ascii="宋体" w:hAnsi="宋体" w:cs="宋体"/>
          <w:color w:val="auto"/>
          <w:highlight w:val="none"/>
        </w:rPr>
      </w:pPr>
    </w:p>
    <w:p w14:paraId="4BB99788">
      <w:pPr>
        <w:pStyle w:val="2"/>
        <w:ind w:firstLine="403" w:firstLineChars="192"/>
        <w:jc w:val="center"/>
        <w:rPr>
          <w:rFonts w:ascii="宋体" w:hAnsi="宋体" w:cs="宋体"/>
          <w:color w:val="auto"/>
          <w:highlight w:val="none"/>
        </w:rPr>
      </w:pPr>
    </w:p>
    <w:p w14:paraId="1A55E693">
      <w:pPr>
        <w:pStyle w:val="2"/>
        <w:ind w:left="403" w:leftChars="192" w:firstLine="0" w:firstLineChars="0"/>
        <w:jc w:val="center"/>
        <w:rPr>
          <w:rStyle w:val="39"/>
          <w:rFonts w:hint="default" w:eastAsia="宋体" w:cs="Times New Roman"/>
          <w:color w:val="auto"/>
          <w:highlight w:val="none"/>
          <w:lang w:val="en-US" w:eastAsia="zh-CN"/>
        </w:rPr>
      </w:pPr>
      <w:r>
        <w:rPr>
          <w:rFonts w:hint="eastAsia" w:ascii="宋体" w:hAnsi="宋体" w:cs="宋体"/>
          <w:color w:val="auto"/>
          <w:highlight w:val="none"/>
        </w:rPr>
        <w:br w:type="page"/>
      </w:r>
      <w:bookmarkStart w:id="1026" w:name="_Toc29205"/>
      <w:bookmarkStart w:id="1027" w:name="_Toc21976"/>
      <w:r>
        <w:rPr>
          <w:rStyle w:val="39"/>
          <w:rFonts w:hint="eastAsia" w:eastAsia="宋体" w:cs="Times New Roman"/>
          <w:color w:val="auto"/>
          <w:highlight w:val="none"/>
          <w:lang w:eastAsia="zh-CN"/>
        </w:rPr>
        <w:t>六、</w:t>
      </w:r>
      <w:r>
        <w:rPr>
          <w:rStyle w:val="39"/>
          <w:rFonts w:hint="eastAsia" w:eastAsia="宋体" w:cs="Times New Roman"/>
          <w:color w:val="auto"/>
          <w:highlight w:val="none"/>
          <w:lang w:val="en-US" w:eastAsia="zh-CN"/>
        </w:rPr>
        <w:t>采购需求及技术要求承诺函</w:t>
      </w:r>
    </w:p>
    <w:bookmarkEnd w:id="1026"/>
    <w:bookmarkEnd w:id="1027"/>
    <w:p w14:paraId="5C1DB0C8">
      <w:pPr>
        <w:ind w:firstLine="420"/>
        <w:jc w:val="center"/>
        <w:rPr>
          <w:rFonts w:ascii="宋体" w:hAnsi="宋体" w:cs="宋体"/>
          <w:color w:val="auto"/>
          <w:highlight w:val="none"/>
          <w:lang w:eastAsia="zh-CN"/>
        </w:rPr>
      </w:pPr>
      <w:r>
        <w:rPr>
          <w:rFonts w:hint="eastAsia" w:ascii="宋体" w:hAnsi="宋体" w:cs="宋体"/>
          <w:color w:val="auto"/>
          <w:highlight w:val="none"/>
          <w:lang w:eastAsia="zh-CN"/>
        </w:rPr>
        <w:t>（</w:t>
      </w:r>
      <w:r>
        <w:rPr>
          <w:rFonts w:hint="eastAsia" w:ascii="宋体" w:hAnsi="宋体"/>
          <w:b/>
          <w:color w:val="auto"/>
          <w:highlight w:val="none"/>
          <w:lang w:eastAsia="zh-CN"/>
        </w:rPr>
        <w:t>内容参照</w:t>
      </w:r>
      <w:r>
        <w:rPr>
          <w:rFonts w:hint="eastAsia" w:ascii="宋体" w:hAnsi="宋体"/>
          <w:b/>
          <w:color w:val="auto"/>
          <w:highlight w:val="none"/>
          <w:lang w:val="en-US" w:eastAsia="zh-CN"/>
        </w:rPr>
        <w:t>磋商文件第五章</w:t>
      </w:r>
      <w:r>
        <w:rPr>
          <w:rFonts w:hint="eastAsia" w:ascii="宋体" w:hAnsi="宋体"/>
          <w:b/>
          <w:color w:val="auto"/>
          <w:highlight w:val="none"/>
          <w:lang w:eastAsia="zh-CN"/>
        </w:rPr>
        <w:t>，格式由供应商自拟</w:t>
      </w:r>
      <w:r>
        <w:rPr>
          <w:rFonts w:hint="eastAsia" w:ascii="宋体" w:hAnsi="宋体" w:cs="宋体"/>
          <w:color w:val="auto"/>
          <w:highlight w:val="none"/>
          <w:lang w:eastAsia="zh-CN"/>
        </w:rPr>
        <w:t>）</w:t>
      </w:r>
    </w:p>
    <w:p w14:paraId="2A83B2D3">
      <w:pPr>
        <w:ind w:firstLine="420"/>
        <w:jc w:val="center"/>
        <w:rPr>
          <w:rFonts w:ascii="宋体" w:hAnsi="宋体" w:cs="宋体"/>
          <w:color w:val="auto"/>
          <w:highlight w:val="none"/>
          <w:lang w:eastAsia="zh-CN"/>
        </w:rPr>
      </w:pPr>
    </w:p>
    <w:p w14:paraId="3A9A70CD">
      <w:pPr>
        <w:pStyle w:val="2"/>
        <w:ind w:firstLine="210"/>
        <w:rPr>
          <w:rFonts w:ascii="宋体" w:hAnsi="宋体" w:cs="宋体"/>
          <w:color w:val="auto"/>
          <w:highlight w:val="none"/>
          <w:lang w:eastAsia="zh-CN"/>
        </w:rPr>
      </w:pPr>
    </w:p>
    <w:p w14:paraId="3B33F017">
      <w:pPr>
        <w:pStyle w:val="7"/>
        <w:tabs>
          <w:tab w:val="left" w:pos="945"/>
          <w:tab w:val="left" w:pos="1155"/>
        </w:tabs>
        <w:rPr>
          <w:rFonts w:ascii="宋体" w:hAnsi="宋体" w:cs="宋体"/>
          <w:color w:val="auto"/>
          <w:highlight w:val="none"/>
          <w:lang w:eastAsia="zh-CN"/>
        </w:rPr>
      </w:pPr>
    </w:p>
    <w:p w14:paraId="0CCC031D">
      <w:pPr>
        <w:ind w:firstLine="420"/>
        <w:rPr>
          <w:rFonts w:ascii="宋体" w:hAnsi="宋体" w:cs="宋体"/>
          <w:color w:val="auto"/>
          <w:highlight w:val="none"/>
          <w:lang w:eastAsia="zh-CN"/>
        </w:rPr>
      </w:pPr>
    </w:p>
    <w:p w14:paraId="02E91F58">
      <w:pPr>
        <w:pStyle w:val="2"/>
        <w:ind w:firstLine="210"/>
        <w:rPr>
          <w:rFonts w:ascii="宋体" w:hAnsi="宋体" w:cs="宋体"/>
          <w:color w:val="auto"/>
          <w:highlight w:val="none"/>
          <w:lang w:eastAsia="zh-CN"/>
        </w:rPr>
      </w:pPr>
    </w:p>
    <w:p w14:paraId="7F1F7A64">
      <w:pPr>
        <w:pStyle w:val="7"/>
        <w:tabs>
          <w:tab w:val="left" w:pos="945"/>
          <w:tab w:val="left" w:pos="1155"/>
        </w:tabs>
        <w:rPr>
          <w:rFonts w:ascii="宋体" w:hAnsi="宋体" w:cs="宋体"/>
          <w:color w:val="auto"/>
          <w:highlight w:val="none"/>
          <w:lang w:eastAsia="zh-CN"/>
        </w:rPr>
      </w:pPr>
    </w:p>
    <w:p w14:paraId="5B00F806">
      <w:pPr>
        <w:ind w:firstLine="420"/>
        <w:rPr>
          <w:rFonts w:ascii="宋体" w:hAnsi="宋体" w:cs="宋体"/>
          <w:color w:val="auto"/>
          <w:highlight w:val="none"/>
          <w:lang w:eastAsia="zh-CN"/>
        </w:rPr>
      </w:pPr>
    </w:p>
    <w:p w14:paraId="6F5BC671">
      <w:pPr>
        <w:pStyle w:val="2"/>
        <w:ind w:firstLine="210"/>
        <w:rPr>
          <w:rFonts w:ascii="宋体" w:hAnsi="宋体" w:cs="宋体"/>
          <w:color w:val="auto"/>
          <w:highlight w:val="none"/>
          <w:lang w:eastAsia="zh-CN"/>
        </w:rPr>
      </w:pPr>
    </w:p>
    <w:p w14:paraId="6B31C09F">
      <w:pPr>
        <w:pStyle w:val="7"/>
        <w:tabs>
          <w:tab w:val="left" w:pos="945"/>
          <w:tab w:val="left" w:pos="1155"/>
        </w:tabs>
        <w:rPr>
          <w:rFonts w:ascii="宋体" w:hAnsi="宋体" w:cs="宋体"/>
          <w:color w:val="auto"/>
          <w:highlight w:val="none"/>
          <w:lang w:eastAsia="zh-CN"/>
        </w:rPr>
      </w:pPr>
    </w:p>
    <w:p w14:paraId="6E07FE7D">
      <w:pPr>
        <w:ind w:firstLine="420"/>
        <w:rPr>
          <w:rFonts w:ascii="宋体" w:hAnsi="宋体" w:cs="宋体"/>
          <w:color w:val="auto"/>
          <w:highlight w:val="none"/>
          <w:lang w:eastAsia="zh-CN"/>
        </w:rPr>
      </w:pPr>
    </w:p>
    <w:p w14:paraId="4F5BCA5A">
      <w:pPr>
        <w:pStyle w:val="2"/>
        <w:ind w:firstLine="210"/>
        <w:rPr>
          <w:rFonts w:ascii="宋体" w:hAnsi="宋体" w:cs="宋体"/>
          <w:color w:val="auto"/>
          <w:highlight w:val="none"/>
          <w:lang w:eastAsia="zh-CN"/>
        </w:rPr>
      </w:pPr>
    </w:p>
    <w:p w14:paraId="72E710FA">
      <w:pPr>
        <w:pStyle w:val="7"/>
        <w:tabs>
          <w:tab w:val="left" w:pos="945"/>
          <w:tab w:val="left" w:pos="1155"/>
        </w:tabs>
        <w:rPr>
          <w:color w:val="auto"/>
          <w:highlight w:val="none"/>
          <w:lang w:eastAsia="zh-CN"/>
        </w:rPr>
      </w:pPr>
    </w:p>
    <w:p w14:paraId="162CB23C">
      <w:pPr>
        <w:pStyle w:val="7"/>
        <w:tabs>
          <w:tab w:val="left" w:pos="945"/>
          <w:tab w:val="left" w:pos="1155"/>
        </w:tabs>
        <w:ind w:left="840" w:leftChars="400" w:firstLine="0" w:firstLineChars="0"/>
        <w:rPr>
          <w:color w:val="auto"/>
          <w:highlight w:val="none"/>
          <w:lang w:eastAsia="zh-CN"/>
        </w:rPr>
      </w:pPr>
    </w:p>
    <w:p w14:paraId="45E0B4DA">
      <w:pPr>
        <w:pStyle w:val="2"/>
        <w:ind w:firstLine="538" w:firstLineChars="192"/>
        <w:jc w:val="center"/>
        <w:rPr>
          <w:rFonts w:ascii="宋体" w:hAnsi="宋体" w:cs="宋体"/>
          <w:b/>
          <w:color w:val="auto"/>
          <w:sz w:val="28"/>
          <w:szCs w:val="28"/>
          <w:highlight w:val="none"/>
          <w:lang w:eastAsia="zh-CN"/>
        </w:rPr>
      </w:pPr>
    </w:p>
    <w:p w14:paraId="375CC016">
      <w:pPr>
        <w:pStyle w:val="2"/>
        <w:ind w:firstLine="538" w:firstLineChars="192"/>
        <w:jc w:val="center"/>
        <w:rPr>
          <w:rFonts w:ascii="宋体" w:hAnsi="宋体" w:cs="宋体"/>
          <w:b/>
          <w:color w:val="auto"/>
          <w:sz w:val="28"/>
          <w:szCs w:val="28"/>
          <w:highlight w:val="none"/>
          <w:lang w:eastAsia="zh-CN"/>
        </w:rPr>
      </w:pPr>
    </w:p>
    <w:p w14:paraId="6C8C5B3D">
      <w:pPr>
        <w:pStyle w:val="2"/>
        <w:ind w:firstLine="538" w:firstLineChars="192"/>
        <w:jc w:val="center"/>
        <w:rPr>
          <w:rFonts w:ascii="宋体" w:hAnsi="宋体" w:cs="宋体"/>
          <w:b/>
          <w:color w:val="auto"/>
          <w:sz w:val="28"/>
          <w:szCs w:val="28"/>
          <w:highlight w:val="none"/>
          <w:lang w:eastAsia="zh-CN"/>
        </w:rPr>
      </w:pPr>
    </w:p>
    <w:p w14:paraId="33DD0E05">
      <w:pPr>
        <w:pStyle w:val="2"/>
        <w:ind w:firstLine="538" w:firstLineChars="192"/>
        <w:jc w:val="center"/>
        <w:rPr>
          <w:rFonts w:ascii="宋体" w:hAnsi="宋体" w:cs="宋体"/>
          <w:b/>
          <w:color w:val="auto"/>
          <w:sz w:val="28"/>
          <w:szCs w:val="28"/>
          <w:highlight w:val="none"/>
          <w:lang w:eastAsia="zh-CN"/>
        </w:rPr>
      </w:pPr>
    </w:p>
    <w:p w14:paraId="35686E50">
      <w:pPr>
        <w:pStyle w:val="2"/>
        <w:ind w:firstLine="538" w:firstLineChars="192"/>
        <w:jc w:val="center"/>
        <w:rPr>
          <w:rFonts w:ascii="宋体" w:hAnsi="宋体" w:cs="宋体"/>
          <w:b/>
          <w:color w:val="auto"/>
          <w:sz w:val="28"/>
          <w:szCs w:val="28"/>
          <w:highlight w:val="none"/>
          <w:lang w:eastAsia="zh-CN"/>
        </w:rPr>
      </w:pPr>
    </w:p>
    <w:p w14:paraId="527B2900">
      <w:pPr>
        <w:pStyle w:val="2"/>
        <w:ind w:firstLine="538" w:firstLineChars="192"/>
        <w:jc w:val="center"/>
        <w:rPr>
          <w:rFonts w:ascii="宋体" w:hAnsi="宋体" w:cs="宋体"/>
          <w:b/>
          <w:color w:val="auto"/>
          <w:sz w:val="28"/>
          <w:szCs w:val="28"/>
          <w:highlight w:val="none"/>
          <w:lang w:eastAsia="zh-CN"/>
        </w:rPr>
      </w:pPr>
    </w:p>
    <w:p w14:paraId="565BAD8F">
      <w:pPr>
        <w:pStyle w:val="2"/>
        <w:ind w:firstLine="538" w:firstLineChars="192"/>
        <w:jc w:val="center"/>
        <w:rPr>
          <w:rFonts w:ascii="宋体" w:hAnsi="宋体" w:cs="宋体"/>
          <w:b/>
          <w:color w:val="auto"/>
          <w:sz w:val="28"/>
          <w:szCs w:val="28"/>
          <w:highlight w:val="none"/>
          <w:lang w:eastAsia="zh-CN"/>
        </w:rPr>
      </w:pPr>
    </w:p>
    <w:p w14:paraId="5ECECF6D">
      <w:pPr>
        <w:pStyle w:val="2"/>
        <w:ind w:firstLine="538" w:firstLineChars="192"/>
        <w:jc w:val="center"/>
        <w:rPr>
          <w:rFonts w:ascii="宋体" w:hAnsi="宋体" w:cs="宋体"/>
          <w:b/>
          <w:color w:val="auto"/>
          <w:sz w:val="28"/>
          <w:szCs w:val="28"/>
          <w:highlight w:val="none"/>
          <w:lang w:eastAsia="zh-CN"/>
        </w:rPr>
      </w:pPr>
      <w:r>
        <w:rPr>
          <w:rFonts w:ascii="宋体" w:hAnsi="宋体" w:cs="宋体"/>
          <w:b/>
          <w:color w:val="auto"/>
          <w:sz w:val="28"/>
          <w:szCs w:val="28"/>
          <w:highlight w:val="none"/>
          <w:lang w:eastAsia="zh-CN"/>
        </w:rPr>
        <w:br w:type="page"/>
      </w:r>
      <w:bookmarkStart w:id="1028" w:name="_Toc31619"/>
      <w:bookmarkStart w:id="1029" w:name="_Toc25132"/>
    </w:p>
    <w:p w14:paraId="2736ABCD">
      <w:pPr>
        <w:pStyle w:val="2"/>
        <w:numPr>
          <w:ilvl w:val="0"/>
          <w:numId w:val="1"/>
        </w:numPr>
        <w:ind w:firstLine="578" w:firstLineChars="192"/>
        <w:jc w:val="center"/>
        <w:rPr>
          <w:rStyle w:val="39"/>
          <w:rFonts w:hint="eastAsia" w:eastAsia="宋体" w:cs="Times New Roman"/>
          <w:color w:val="auto"/>
          <w:highlight w:val="none"/>
          <w:lang w:eastAsia="zh-CN"/>
        </w:rPr>
      </w:pPr>
      <w:r>
        <w:rPr>
          <w:rStyle w:val="39"/>
          <w:rFonts w:hint="eastAsia" w:eastAsia="宋体" w:cs="Times New Roman"/>
          <w:color w:val="auto"/>
          <w:highlight w:val="none"/>
          <w:lang w:eastAsia="zh-CN"/>
        </w:rPr>
        <w:t>技术服务方案</w:t>
      </w:r>
    </w:p>
    <w:p w14:paraId="6782D2D7">
      <w:pPr>
        <w:ind w:firstLine="420"/>
        <w:jc w:val="center"/>
        <w:rPr>
          <w:rFonts w:ascii="宋体" w:hAnsi="宋体" w:cs="宋体"/>
          <w:color w:val="auto"/>
          <w:highlight w:val="none"/>
          <w:lang w:eastAsia="zh-CN"/>
        </w:rPr>
      </w:pPr>
      <w:r>
        <w:rPr>
          <w:rFonts w:hint="eastAsia" w:ascii="宋体" w:hAnsi="宋体" w:cs="宋体"/>
          <w:color w:val="auto"/>
          <w:highlight w:val="none"/>
          <w:lang w:eastAsia="zh-CN"/>
        </w:rPr>
        <w:t>（</w:t>
      </w:r>
      <w:r>
        <w:rPr>
          <w:rFonts w:hint="eastAsia" w:ascii="宋体" w:hAnsi="宋体"/>
          <w:b/>
          <w:color w:val="auto"/>
          <w:highlight w:val="none"/>
          <w:lang w:eastAsia="zh-CN"/>
        </w:rPr>
        <w:t>内容参照评审办法技术标，格式由供应商自拟</w:t>
      </w:r>
      <w:r>
        <w:rPr>
          <w:rFonts w:hint="eastAsia" w:ascii="宋体" w:hAnsi="宋体" w:cs="宋体"/>
          <w:color w:val="auto"/>
          <w:highlight w:val="none"/>
          <w:lang w:eastAsia="zh-CN"/>
        </w:rPr>
        <w:t>）</w:t>
      </w:r>
    </w:p>
    <w:p w14:paraId="62D8FD33">
      <w:pPr>
        <w:numPr>
          <w:ilvl w:val="0"/>
          <w:numId w:val="0"/>
        </w:numPr>
        <w:rPr>
          <w:highlight w:val="none"/>
          <w:lang w:eastAsia="zh-CN"/>
        </w:rPr>
      </w:pPr>
    </w:p>
    <w:p w14:paraId="242F431F">
      <w:pPr>
        <w:pStyle w:val="2"/>
        <w:ind w:firstLine="538" w:firstLineChars="192"/>
        <w:jc w:val="center"/>
        <w:rPr>
          <w:rFonts w:hint="eastAsia" w:ascii="宋体" w:hAnsi="宋体" w:cs="宋体"/>
          <w:b/>
          <w:color w:val="auto"/>
          <w:sz w:val="28"/>
          <w:szCs w:val="28"/>
          <w:highlight w:val="none"/>
          <w:lang w:val="en-US" w:eastAsia="zh-CN"/>
        </w:rPr>
      </w:pPr>
    </w:p>
    <w:p w14:paraId="6086B1A4">
      <w:pPr>
        <w:pStyle w:val="2"/>
        <w:ind w:firstLine="538" w:firstLineChars="192"/>
        <w:jc w:val="center"/>
        <w:rPr>
          <w:rFonts w:hint="eastAsia" w:ascii="宋体" w:hAnsi="宋体" w:cs="宋体"/>
          <w:b/>
          <w:color w:val="auto"/>
          <w:sz w:val="28"/>
          <w:szCs w:val="28"/>
          <w:highlight w:val="none"/>
          <w:lang w:val="en-US" w:eastAsia="zh-CN"/>
        </w:rPr>
      </w:pPr>
    </w:p>
    <w:p w14:paraId="2FF140EE">
      <w:pPr>
        <w:pStyle w:val="2"/>
        <w:ind w:firstLine="538" w:firstLineChars="192"/>
        <w:jc w:val="center"/>
        <w:rPr>
          <w:rFonts w:hint="eastAsia" w:ascii="宋体" w:hAnsi="宋体" w:cs="宋体"/>
          <w:b/>
          <w:color w:val="auto"/>
          <w:sz w:val="28"/>
          <w:szCs w:val="28"/>
          <w:highlight w:val="none"/>
          <w:lang w:val="en-US" w:eastAsia="zh-CN"/>
        </w:rPr>
      </w:pPr>
    </w:p>
    <w:p w14:paraId="72C1A9BC">
      <w:pPr>
        <w:pStyle w:val="2"/>
        <w:ind w:firstLine="538" w:firstLineChars="192"/>
        <w:jc w:val="center"/>
        <w:rPr>
          <w:rFonts w:hint="eastAsia" w:ascii="宋体" w:hAnsi="宋体" w:cs="宋体"/>
          <w:b/>
          <w:color w:val="auto"/>
          <w:sz w:val="28"/>
          <w:szCs w:val="28"/>
          <w:highlight w:val="none"/>
          <w:lang w:val="en-US" w:eastAsia="zh-CN"/>
        </w:rPr>
      </w:pPr>
    </w:p>
    <w:p w14:paraId="2C05A8B2">
      <w:pPr>
        <w:pStyle w:val="2"/>
        <w:ind w:firstLine="538" w:firstLineChars="192"/>
        <w:jc w:val="center"/>
        <w:rPr>
          <w:rFonts w:hint="eastAsia" w:ascii="宋体" w:hAnsi="宋体" w:cs="宋体"/>
          <w:b/>
          <w:color w:val="auto"/>
          <w:sz w:val="28"/>
          <w:szCs w:val="28"/>
          <w:highlight w:val="none"/>
          <w:lang w:val="en-US" w:eastAsia="zh-CN"/>
        </w:rPr>
      </w:pPr>
    </w:p>
    <w:p w14:paraId="2E35B48A">
      <w:pPr>
        <w:pStyle w:val="2"/>
        <w:ind w:firstLine="538" w:firstLineChars="192"/>
        <w:jc w:val="center"/>
        <w:rPr>
          <w:rFonts w:hint="eastAsia" w:ascii="宋体" w:hAnsi="宋体" w:cs="宋体"/>
          <w:b/>
          <w:color w:val="auto"/>
          <w:sz w:val="28"/>
          <w:szCs w:val="28"/>
          <w:highlight w:val="none"/>
          <w:lang w:val="en-US" w:eastAsia="zh-CN"/>
        </w:rPr>
      </w:pPr>
    </w:p>
    <w:p w14:paraId="05BB4E6A">
      <w:pPr>
        <w:pStyle w:val="2"/>
        <w:ind w:firstLine="538" w:firstLineChars="192"/>
        <w:jc w:val="center"/>
        <w:rPr>
          <w:rFonts w:hint="eastAsia" w:ascii="宋体" w:hAnsi="宋体" w:cs="宋体"/>
          <w:b/>
          <w:color w:val="auto"/>
          <w:sz w:val="28"/>
          <w:szCs w:val="28"/>
          <w:highlight w:val="none"/>
          <w:lang w:val="en-US" w:eastAsia="zh-CN"/>
        </w:rPr>
      </w:pPr>
    </w:p>
    <w:p w14:paraId="7349860A">
      <w:pPr>
        <w:pStyle w:val="2"/>
        <w:ind w:firstLine="538" w:firstLineChars="192"/>
        <w:jc w:val="center"/>
        <w:rPr>
          <w:rFonts w:hint="eastAsia" w:ascii="宋体" w:hAnsi="宋体" w:cs="宋体"/>
          <w:b/>
          <w:color w:val="auto"/>
          <w:sz w:val="28"/>
          <w:szCs w:val="28"/>
          <w:highlight w:val="none"/>
          <w:lang w:val="en-US" w:eastAsia="zh-CN"/>
        </w:rPr>
      </w:pPr>
    </w:p>
    <w:p w14:paraId="56EE369B">
      <w:pPr>
        <w:pStyle w:val="2"/>
        <w:ind w:firstLine="538" w:firstLineChars="192"/>
        <w:jc w:val="center"/>
        <w:rPr>
          <w:rFonts w:hint="eastAsia" w:ascii="宋体" w:hAnsi="宋体" w:cs="宋体"/>
          <w:b/>
          <w:color w:val="auto"/>
          <w:sz w:val="28"/>
          <w:szCs w:val="28"/>
          <w:highlight w:val="none"/>
          <w:lang w:val="en-US" w:eastAsia="zh-CN"/>
        </w:rPr>
      </w:pPr>
    </w:p>
    <w:p w14:paraId="0D4955FA">
      <w:pPr>
        <w:pStyle w:val="2"/>
        <w:ind w:firstLine="538" w:firstLineChars="192"/>
        <w:jc w:val="center"/>
        <w:rPr>
          <w:rFonts w:hint="eastAsia" w:ascii="宋体" w:hAnsi="宋体" w:cs="宋体"/>
          <w:b/>
          <w:color w:val="auto"/>
          <w:sz w:val="28"/>
          <w:szCs w:val="28"/>
          <w:highlight w:val="none"/>
          <w:lang w:val="en-US" w:eastAsia="zh-CN"/>
        </w:rPr>
      </w:pPr>
    </w:p>
    <w:p w14:paraId="1407732C">
      <w:pPr>
        <w:pStyle w:val="2"/>
        <w:ind w:firstLine="538" w:firstLineChars="192"/>
        <w:jc w:val="center"/>
        <w:rPr>
          <w:rFonts w:hint="eastAsia" w:ascii="宋体" w:hAnsi="宋体" w:cs="宋体"/>
          <w:b/>
          <w:color w:val="auto"/>
          <w:sz w:val="28"/>
          <w:szCs w:val="28"/>
          <w:highlight w:val="none"/>
          <w:lang w:val="en-US" w:eastAsia="zh-CN"/>
        </w:rPr>
      </w:pPr>
    </w:p>
    <w:p w14:paraId="526148DD">
      <w:pPr>
        <w:pStyle w:val="2"/>
        <w:ind w:firstLine="538" w:firstLineChars="192"/>
        <w:jc w:val="center"/>
        <w:rPr>
          <w:rFonts w:hint="eastAsia" w:ascii="宋体" w:hAnsi="宋体" w:cs="宋体"/>
          <w:b/>
          <w:color w:val="auto"/>
          <w:sz w:val="28"/>
          <w:szCs w:val="28"/>
          <w:highlight w:val="none"/>
          <w:lang w:val="en-US" w:eastAsia="zh-CN"/>
        </w:rPr>
      </w:pPr>
    </w:p>
    <w:p w14:paraId="743817B0">
      <w:pPr>
        <w:pStyle w:val="2"/>
        <w:ind w:firstLine="538" w:firstLineChars="192"/>
        <w:jc w:val="center"/>
        <w:rPr>
          <w:rFonts w:hint="eastAsia" w:ascii="宋体" w:hAnsi="宋体" w:cs="宋体"/>
          <w:b/>
          <w:color w:val="auto"/>
          <w:sz w:val="28"/>
          <w:szCs w:val="28"/>
          <w:highlight w:val="none"/>
          <w:lang w:val="en-US" w:eastAsia="zh-CN"/>
        </w:rPr>
      </w:pPr>
    </w:p>
    <w:p w14:paraId="38B99D45">
      <w:pPr>
        <w:pStyle w:val="2"/>
        <w:ind w:firstLine="538" w:firstLineChars="192"/>
        <w:jc w:val="center"/>
        <w:rPr>
          <w:rFonts w:hint="eastAsia" w:ascii="宋体" w:hAnsi="宋体" w:cs="宋体"/>
          <w:b/>
          <w:color w:val="auto"/>
          <w:sz w:val="28"/>
          <w:szCs w:val="28"/>
          <w:highlight w:val="none"/>
          <w:lang w:val="en-US" w:eastAsia="zh-CN"/>
        </w:rPr>
      </w:pPr>
    </w:p>
    <w:p w14:paraId="1305F830">
      <w:pPr>
        <w:pStyle w:val="2"/>
        <w:ind w:firstLine="538" w:firstLineChars="192"/>
        <w:jc w:val="center"/>
        <w:rPr>
          <w:rFonts w:hint="eastAsia" w:ascii="宋体" w:hAnsi="宋体" w:cs="宋体"/>
          <w:b/>
          <w:color w:val="auto"/>
          <w:sz w:val="28"/>
          <w:szCs w:val="28"/>
          <w:highlight w:val="none"/>
          <w:lang w:val="en-US" w:eastAsia="zh-CN"/>
        </w:rPr>
      </w:pPr>
    </w:p>
    <w:p w14:paraId="32472C98">
      <w:pPr>
        <w:pStyle w:val="2"/>
        <w:ind w:firstLine="538" w:firstLineChars="192"/>
        <w:jc w:val="center"/>
        <w:rPr>
          <w:rFonts w:hint="eastAsia" w:ascii="宋体" w:hAnsi="宋体" w:cs="宋体"/>
          <w:b/>
          <w:color w:val="auto"/>
          <w:sz w:val="28"/>
          <w:szCs w:val="28"/>
          <w:highlight w:val="none"/>
          <w:lang w:val="en-US" w:eastAsia="zh-CN"/>
        </w:rPr>
      </w:pPr>
    </w:p>
    <w:p w14:paraId="0F90A23F">
      <w:pPr>
        <w:pStyle w:val="2"/>
        <w:ind w:firstLine="538" w:firstLineChars="192"/>
        <w:jc w:val="center"/>
        <w:rPr>
          <w:rFonts w:hint="eastAsia" w:ascii="宋体" w:hAnsi="宋体" w:cs="宋体"/>
          <w:b/>
          <w:color w:val="auto"/>
          <w:sz w:val="28"/>
          <w:szCs w:val="28"/>
          <w:highlight w:val="none"/>
          <w:lang w:val="en-US" w:eastAsia="zh-CN"/>
        </w:rPr>
      </w:pPr>
    </w:p>
    <w:p w14:paraId="3AC1B83F">
      <w:pPr>
        <w:pStyle w:val="2"/>
        <w:ind w:firstLine="538" w:firstLineChars="192"/>
        <w:jc w:val="center"/>
        <w:rPr>
          <w:rFonts w:hint="eastAsia" w:ascii="宋体" w:hAnsi="宋体" w:cs="宋体"/>
          <w:b/>
          <w:color w:val="auto"/>
          <w:sz w:val="28"/>
          <w:szCs w:val="28"/>
          <w:highlight w:val="none"/>
          <w:lang w:val="en-US" w:eastAsia="zh-CN"/>
        </w:rPr>
      </w:pPr>
    </w:p>
    <w:p w14:paraId="12E462D4">
      <w:pPr>
        <w:pStyle w:val="2"/>
        <w:ind w:firstLine="538" w:firstLineChars="192"/>
        <w:jc w:val="center"/>
        <w:rPr>
          <w:rFonts w:hint="eastAsia" w:ascii="宋体" w:hAnsi="宋体" w:cs="宋体"/>
          <w:b/>
          <w:color w:val="auto"/>
          <w:sz w:val="28"/>
          <w:szCs w:val="28"/>
          <w:highlight w:val="none"/>
          <w:lang w:val="en-US" w:eastAsia="zh-CN"/>
        </w:rPr>
      </w:pPr>
    </w:p>
    <w:p w14:paraId="2A5002BE">
      <w:pPr>
        <w:pStyle w:val="2"/>
        <w:ind w:firstLine="538" w:firstLineChars="192"/>
        <w:jc w:val="center"/>
        <w:rPr>
          <w:rFonts w:hint="eastAsia" w:ascii="宋体" w:hAnsi="宋体" w:cs="宋体"/>
          <w:b/>
          <w:color w:val="auto"/>
          <w:sz w:val="28"/>
          <w:szCs w:val="28"/>
          <w:highlight w:val="none"/>
          <w:lang w:val="en-US" w:eastAsia="zh-CN"/>
        </w:rPr>
      </w:pPr>
    </w:p>
    <w:p w14:paraId="7EE58CF1">
      <w:pPr>
        <w:pStyle w:val="2"/>
        <w:ind w:firstLine="538" w:firstLineChars="192"/>
        <w:jc w:val="center"/>
        <w:rPr>
          <w:rFonts w:hint="eastAsia" w:ascii="宋体" w:hAnsi="宋体" w:cs="宋体"/>
          <w:b/>
          <w:color w:val="auto"/>
          <w:sz w:val="28"/>
          <w:szCs w:val="28"/>
          <w:highlight w:val="none"/>
          <w:lang w:val="en-US" w:eastAsia="zh-CN"/>
        </w:rPr>
      </w:pPr>
    </w:p>
    <w:p w14:paraId="0DC21425">
      <w:pPr>
        <w:pStyle w:val="2"/>
        <w:ind w:firstLine="538" w:firstLineChars="192"/>
        <w:jc w:val="center"/>
        <w:rPr>
          <w:rFonts w:hint="eastAsia" w:ascii="宋体" w:hAnsi="宋体" w:cs="宋体"/>
          <w:b/>
          <w:color w:val="auto"/>
          <w:sz w:val="28"/>
          <w:szCs w:val="28"/>
          <w:highlight w:val="none"/>
          <w:lang w:val="en-US" w:eastAsia="zh-CN"/>
        </w:rPr>
      </w:pPr>
    </w:p>
    <w:p w14:paraId="52CBE0B6">
      <w:pPr>
        <w:pStyle w:val="2"/>
        <w:ind w:firstLine="538" w:firstLineChars="192"/>
        <w:jc w:val="center"/>
        <w:rPr>
          <w:rFonts w:hint="eastAsia" w:ascii="宋体" w:hAnsi="宋体" w:cs="宋体"/>
          <w:b/>
          <w:color w:val="auto"/>
          <w:sz w:val="28"/>
          <w:szCs w:val="28"/>
          <w:highlight w:val="none"/>
          <w:lang w:val="en-US" w:eastAsia="zh-CN"/>
        </w:rPr>
      </w:pPr>
    </w:p>
    <w:p w14:paraId="2B4FFF1D">
      <w:pPr>
        <w:pStyle w:val="2"/>
        <w:ind w:firstLine="538" w:firstLineChars="192"/>
        <w:jc w:val="center"/>
        <w:rPr>
          <w:rFonts w:hint="eastAsia" w:ascii="宋体" w:hAnsi="宋体" w:cs="宋体"/>
          <w:b/>
          <w:color w:val="auto"/>
          <w:sz w:val="28"/>
          <w:szCs w:val="28"/>
          <w:highlight w:val="none"/>
          <w:lang w:val="en-US" w:eastAsia="zh-CN"/>
        </w:rPr>
      </w:pPr>
    </w:p>
    <w:p w14:paraId="140BF154">
      <w:pPr>
        <w:pStyle w:val="2"/>
        <w:ind w:firstLine="538" w:firstLineChars="192"/>
        <w:jc w:val="center"/>
        <w:rPr>
          <w:rFonts w:hint="eastAsia" w:ascii="宋体" w:hAnsi="宋体" w:cs="宋体"/>
          <w:b/>
          <w:color w:val="auto"/>
          <w:sz w:val="28"/>
          <w:szCs w:val="28"/>
          <w:highlight w:val="none"/>
          <w:lang w:val="en-US" w:eastAsia="zh-CN"/>
        </w:rPr>
      </w:pPr>
    </w:p>
    <w:p w14:paraId="643F4464">
      <w:pPr>
        <w:pStyle w:val="2"/>
        <w:ind w:firstLine="538" w:firstLineChars="192"/>
        <w:jc w:val="center"/>
        <w:rPr>
          <w:rFonts w:hint="eastAsia" w:ascii="宋体" w:hAnsi="宋体" w:cs="宋体"/>
          <w:b/>
          <w:color w:val="auto"/>
          <w:sz w:val="28"/>
          <w:szCs w:val="28"/>
          <w:highlight w:val="none"/>
          <w:lang w:val="en-US" w:eastAsia="zh-CN"/>
        </w:rPr>
      </w:pPr>
    </w:p>
    <w:p w14:paraId="50ABCC9B">
      <w:pPr>
        <w:pStyle w:val="2"/>
        <w:ind w:firstLine="538" w:firstLineChars="192"/>
        <w:jc w:val="center"/>
        <w:rPr>
          <w:rFonts w:hint="eastAsia" w:ascii="宋体" w:hAnsi="宋体" w:cs="宋体"/>
          <w:b/>
          <w:color w:val="auto"/>
          <w:sz w:val="28"/>
          <w:szCs w:val="28"/>
          <w:highlight w:val="none"/>
          <w:lang w:val="en-US" w:eastAsia="zh-CN"/>
        </w:rPr>
      </w:pPr>
    </w:p>
    <w:p w14:paraId="2FBBD050">
      <w:pPr>
        <w:pStyle w:val="2"/>
        <w:ind w:firstLine="538" w:firstLineChars="192"/>
        <w:jc w:val="center"/>
        <w:rPr>
          <w:rFonts w:hint="eastAsia" w:ascii="宋体" w:hAnsi="宋体" w:cs="宋体"/>
          <w:b/>
          <w:color w:val="auto"/>
          <w:sz w:val="28"/>
          <w:szCs w:val="28"/>
          <w:highlight w:val="none"/>
          <w:lang w:val="en-US" w:eastAsia="zh-CN"/>
        </w:rPr>
      </w:pPr>
    </w:p>
    <w:p w14:paraId="02482B48">
      <w:pPr>
        <w:pStyle w:val="2"/>
        <w:ind w:firstLine="538" w:firstLineChars="192"/>
        <w:jc w:val="center"/>
        <w:rPr>
          <w:rFonts w:hint="eastAsia" w:ascii="宋体" w:hAnsi="宋体" w:cs="宋体"/>
          <w:b/>
          <w:color w:val="auto"/>
          <w:sz w:val="28"/>
          <w:szCs w:val="28"/>
          <w:highlight w:val="none"/>
          <w:lang w:val="en-US" w:eastAsia="zh-CN"/>
        </w:rPr>
      </w:pPr>
    </w:p>
    <w:p w14:paraId="0144D705">
      <w:pPr>
        <w:pStyle w:val="2"/>
        <w:ind w:firstLine="538" w:firstLineChars="192"/>
        <w:jc w:val="center"/>
        <w:rPr>
          <w:rFonts w:hint="eastAsia" w:ascii="宋体" w:hAnsi="宋体" w:cs="宋体"/>
          <w:b/>
          <w:color w:val="auto"/>
          <w:sz w:val="28"/>
          <w:szCs w:val="28"/>
          <w:highlight w:val="none"/>
          <w:lang w:val="en-US" w:eastAsia="zh-CN"/>
        </w:rPr>
      </w:pPr>
    </w:p>
    <w:p w14:paraId="5046E279">
      <w:pPr>
        <w:pStyle w:val="2"/>
        <w:ind w:firstLine="538" w:firstLineChars="192"/>
        <w:jc w:val="center"/>
        <w:rPr>
          <w:rFonts w:hint="eastAsia" w:ascii="宋体" w:hAnsi="宋体" w:cs="宋体"/>
          <w:b/>
          <w:color w:val="auto"/>
          <w:sz w:val="28"/>
          <w:szCs w:val="28"/>
          <w:highlight w:val="none"/>
          <w:lang w:val="en-US" w:eastAsia="zh-CN"/>
        </w:rPr>
      </w:pPr>
    </w:p>
    <w:p w14:paraId="54DD07F6">
      <w:pPr>
        <w:pStyle w:val="2"/>
        <w:ind w:firstLine="538" w:firstLineChars="192"/>
        <w:jc w:val="center"/>
        <w:rPr>
          <w:rFonts w:hint="eastAsia" w:ascii="宋体" w:hAnsi="宋体" w:cs="宋体"/>
          <w:b/>
          <w:color w:val="auto"/>
          <w:sz w:val="28"/>
          <w:szCs w:val="28"/>
          <w:highlight w:val="none"/>
          <w:lang w:val="en-US" w:eastAsia="zh-CN"/>
        </w:rPr>
      </w:pPr>
    </w:p>
    <w:p w14:paraId="7CCBD8C0">
      <w:pPr>
        <w:pStyle w:val="2"/>
        <w:ind w:firstLine="538" w:firstLineChars="192"/>
        <w:jc w:val="center"/>
        <w:rPr>
          <w:rFonts w:hint="eastAsia" w:ascii="宋体" w:hAnsi="宋体" w:cs="宋体"/>
          <w:b/>
          <w:color w:val="auto"/>
          <w:sz w:val="28"/>
          <w:szCs w:val="28"/>
          <w:highlight w:val="none"/>
          <w:lang w:val="en-US" w:eastAsia="zh-CN"/>
        </w:rPr>
      </w:pPr>
    </w:p>
    <w:p w14:paraId="4B322AF9">
      <w:pPr>
        <w:pStyle w:val="2"/>
        <w:ind w:firstLine="538" w:firstLineChars="192"/>
        <w:jc w:val="center"/>
        <w:rPr>
          <w:rFonts w:hint="eastAsia" w:ascii="宋体" w:hAnsi="宋体" w:cs="宋体"/>
          <w:b/>
          <w:color w:val="auto"/>
          <w:sz w:val="28"/>
          <w:szCs w:val="28"/>
          <w:highlight w:val="none"/>
          <w:lang w:val="en-US" w:eastAsia="zh-CN"/>
        </w:rPr>
      </w:pPr>
    </w:p>
    <w:p w14:paraId="4EC7EE8F">
      <w:pPr>
        <w:pStyle w:val="2"/>
        <w:ind w:firstLine="538" w:firstLineChars="192"/>
        <w:jc w:val="center"/>
        <w:rPr>
          <w:rFonts w:hint="eastAsia" w:ascii="宋体" w:hAnsi="宋体" w:cs="宋体"/>
          <w:b/>
          <w:color w:val="auto"/>
          <w:sz w:val="28"/>
          <w:szCs w:val="28"/>
          <w:highlight w:val="none"/>
          <w:lang w:val="en-US" w:eastAsia="zh-CN"/>
        </w:rPr>
      </w:pPr>
    </w:p>
    <w:p w14:paraId="3D30FB52">
      <w:pPr>
        <w:pStyle w:val="2"/>
        <w:ind w:firstLine="538" w:firstLineChars="192"/>
        <w:jc w:val="center"/>
        <w:rPr>
          <w:rStyle w:val="39"/>
          <w:color w:val="auto"/>
          <w:highlight w:val="none"/>
          <w:lang w:eastAsia="zh-CN"/>
        </w:rPr>
      </w:pPr>
      <w:r>
        <w:rPr>
          <w:rFonts w:hint="eastAsia" w:ascii="宋体" w:hAnsi="宋体" w:cs="宋体"/>
          <w:b/>
          <w:color w:val="auto"/>
          <w:sz w:val="28"/>
          <w:szCs w:val="28"/>
          <w:highlight w:val="none"/>
          <w:lang w:val="en-US" w:eastAsia="zh-CN"/>
        </w:rPr>
        <w:t>八</w:t>
      </w:r>
      <w:r>
        <w:rPr>
          <w:rStyle w:val="39"/>
          <w:rFonts w:hint="eastAsia"/>
          <w:color w:val="auto"/>
          <w:highlight w:val="none"/>
          <w:lang w:eastAsia="zh-CN"/>
        </w:rPr>
        <w:t>、服务承诺</w:t>
      </w:r>
    </w:p>
    <w:bookmarkEnd w:id="1028"/>
    <w:bookmarkEnd w:id="1029"/>
    <w:p w14:paraId="04431165">
      <w:pPr>
        <w:ind w:firstLine="420"/>
        <w:jc w:val="center"/>
        <w:rPr>
          <w:rFonts w:ascii="宋体" w:hAnsi="宋体" w:cs="宋体"/>
          <w:color w:val="auto"/>
          <w:highlight w:val="none"/>
          <w:lang w:eastAsia="zh-CN"/>
        </w:rPr>
      </w:pPr>
      <w:r>
        <w:rPr>
          <w:rFonts w:hint="eastAsia" w:ascii="宋体" w:hAnsi="宋体" w:cs="宋体"/>
          <w:color w:val="auto"/>
          <w:highlight w:val="none"/>
          <w:lang w:eastAsia="zh-CN"/>
        </w:rPr>
        <w:t>（</w:t>
      </w:r>
      <w:r>
        <w:rPr>
          <w:rFonts w:hint="eastAsia" w:ascii="宋体" w:hAnsi="宋体"/>
          <w:b/>
          <w:color w:val="auto"/>
          <w:highlight w:val="none"/>
          <w:lang w:eastAsia="zh-CN"/>
        </w:rPr>
        <w:t>内容参照评审办法技术标,格式由供应商自拟</w:t>
      </w:r>
      <w:r>
        <w:rPr>
          <w:rFonts w:hint="eastAsia" w:ascii="宋体" w:hAnsi="宋体" w:cs="宋体"/>
          <w:color w:val="auto"/>
          <w:highlight w:val="none"/>
          <w:lang w:eastAsia="zh-CN"/>
        </w:rPr>
        <w:t>）</w:t>
      </w:r>
    </w:p>
    <w:p w14:paraId="215FC29B">
      <w:pPr>
        <w:pStyle w:val="2"/>
        <w:ind w:firstLine="3362" w:firstLineChars="1200"/>
        <w:rPr>
          <w:b/>
          <w:color w:val="auto"/>
          <w:sz w:val="28"/>
          <w:szCs w:val="28"/>
          <w:highlight w:val="none"/>
          <w:lang w:eastAsia="zh-CN"/>
        </w:rPr>
      </w:pPr>
    </w:p>
    <w:p w14:paraId="74FD8486">
      <w:pPr>
        <w:pStyle w:val="41"/>
        <w:spacing w:line="520" w:lineRule="exact"/>
        <w:ind w:firstLine="480"/>
        <w:rPr>
          <w:rFonts w:ascii="宋体" w:hAnsi="宋体" w:eastAsia="宋体"/>
          <w:bCs/>
          <w:color w:val="auto"/>
          <w:sz w:val="24"/>
          <w:szCs w:val="24"/>
          <w:highlight w:val="none"/>
          <w:lang w:eastAsia="zh-CN"/>
        </w:rPr>
      </w:pPr>
    </w:p>
    <w:p w14:paraId="204E6B2B">
      <w:pPr>
        <w:ind w:firstLine="420"/>
        <w:jc w:val="center"/>
        <w:rPr>
          <w:rFonts w:ascii="Times New Roman" w:hAnsi="Times New Roman"/>
          <w:color w:val="auto"/>
          <w:sz w:val="28"/>
          <w:highlight w:val="none"/>
          <w:lang w:eastAsia="zh-CN"/>
        </w:rPr>
      </w:pPr>
      <w:r>
        <w:rPr>
          <w:color w:val="auto"/>
          <w:highlight w:val="none"/>
          <w:lang w:eastAsia="zh-CN"/>
        </w:rPr>
        <w:br w:type="page"/>
      </w:r>
      <w:bookmarkStart w:id="1030" w:name="_Toc23796"/>
      <w:bookmarkStart w:id="1031" w:name="_Toc26435"/>
      <w:bookmarkStart w:id="1032" w:name="_Toc11835"/>
      <w:r>
        <w:rPr>
          <w:rStyle w:val="39"/>
          <w:rFonts w:hint="eastAsia" w:eastAsia="宋体" w:cs="Times New Roman"/>
          <w:color w:val="auto"/>
          <w:highlight w:val="none"/>
          <w:lang w:val="en-US" w:eastAsia="zh-CN"/>
        </w:rPr>
        <w:t>九</w:t>
      </w:r>
      <w:r>
        <w:rPr>
          <w:rStyle w:val="39"/>
          <w:rFonts w:hint="eastAsia" w:eastAsia="宋体" w:cs="Times New Roman"/>
          <w:color w:val="auto"/>
          <w:highlight w:val="none"/>
          <w:lang w:eastAsia="zh-CN"/>
        </w:rPr>
        <w:t>、资格</w:t>
      </w:r>
      <w:bookmarkEnd w:id="1019"/>
      <w:bookmarkEnd w:id="1020"/>
      <w:r>
        <w:rPr>
          <w:rStyle w:val="39"/>
          <w:rFonts w:hint="eastAsia" w:eastAsia="宋体" w:cs="Times New Roman"/>
          <w:color w:val="auto"/>
          <w:highlight w:val="none"/>
          <w:lang w:eastAsia="zh-CN"/>
        </w:rPr>
        <w:t>证明材料</w:t>
      </w:r>
      <w:bookmarkEnd w:id="1030"/>
      <w:bookmarkEnd w:id="1031"/>
      <w:bookmarkEnd w:id="1032"/>
    </w:p>
    <w:p w14:paraId="239E376A">
      <w:pPr>
        <w:spacing w:beforeLines="100" w:afterLines="50"/>
        <w:ind w:firstLine="422"/>
        <w:rPr>
          <w:rFonts w:ascii="宋体" w:hAnsi="宋体"/>
          <w:b/>
          <w:color w:val="auto"/>
          <w:highlight w:val="none"/>
          <w:lang w:eastAsia="zh-CN"/>
        </w:rPr>
      </w:pPr>
      <w:bookmarkStart w:id="1033" w:name="_Toc456185719"/>
      <w:r>
        <w:rPr>
          <w:rFonts w:hint="eastAsia" w:ascii="宋体" w:hAnsi="宋体"/>
          <w:b/>
          <w:color w:val="auto"/>
          <w:highlight w:val="none"/>
          <w:lang w:eastAsia="zh-CN"/>
        </w:rPr>
        <w:t>1、供应商基本情况表</w:t>
      </w:r>
      <w:bookmarkEnd w:id="1033"/>
    </w:p>
    <w:tbl>
      <w:tblPr>
        <w:tblStyle w:val="25"/>
        <w:tblW w:w="95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3055"/>
        <w:gridCol w:w="1089"/>
        <w:gridCol w:w="2329"/>
      </w:tblGrid>
      <w:tr w14:paraId="5F69D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80" w:type="dxa"/>
            <w:vAlign w:val="center"/>
          </w:tcPr>
          <w:p w14:paraId="5AA37B73">
            <w:pPr>
              <w:spacing w:line="400" w:lineRule="exact"/>
              <w:jc w:val="center"/>
              <w:rPr>
                <w:rFonts w:ascii="宋体" w:hAnsi="宋体" w:cs="宋体"/>
                <w:color w:val="auto"/>
                <w:highlight w:val="none"/>
              </w:rPr>
            </w:pPr>
            <w:r>
              <w:rPr>
                <w:rFonts w:hint="eastAsia" w:ascii="宋体" w:hAnsi="宋体" w:cs="宋体"/>
                <w:color w:val="auto"/>
                <w:highlight w:val="none"/>
              </w:rPr>
              <w:t>供应商</w:t>
            </w:r>
          </w:p>
        </w:tc>
        <w:tc>
          <w:tcPr>
            <w:tcW w:w="7550" w:type="dxa"/>
            <w:gridSpan w:val="4"/>
          </w:tcPr>
          <w:p w14:paraId="4B56C167">
            <w:pPr>
              <w:spacing w:line="400" w:lineRule="exact"/>
              <w:ind w:firstLine="420"/>
              <w:rPr>
                <w:rFonts w:ascii="宋体" w:hAnsi="宋体" w:cs="宋体"/>
                <w:color w:val="auto"/>
                <w:highlight w:val="none"/>
              </w:rPr>
            </w:pPr>
          </w:p>
        </w:tc>
      </w:tr>
      <w:tr w14:paraId="2A996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2188EC8E">
            <w:pPr>
              <w:spacing w:line="400" w:lineRule="exact"/>
              <w:jc w:val="center"/>
              <w:rPr>
                <w:rFonts w:ascii="宋体" w:hAnsi="宋体" w:cs="宋体"/>
                <w:color w:val="auto"/>
                <w:highlight w:val="none"/>
              </w:rPr>
            </w:pPr>
            <w:r>
              <w:rPr>
                <w:rFonts w:hint="eastAsia" w:ascii="宋体" w:hAnsi="宋体" w:cs="宋体"/>
                <w:color w:val="auto"/>
                <w:highlight w:val="none"/>
              </w:rPr>
              <w:t>注册地址</w:t>
            </w:r>
          </w:p>
        </w:tc>
        <w:tc>
          <w:tcPr>
            <w:tcW w:w="4132" w:type="dxa"/>
            <w:gridSpan w:val="2"/>
          </w:tcPr>
          <w:p w14:paraId="2C8C152E">
            <w:pPr>
              <w:spacing w:line="400" w:lineRule="exact"/>
              <w:ind w:firstLine="420"/>
              <w:rPr>
                <w:rFonts w:ascii="宋体" w:hAnsi="宋体" w:cs="宋体"/>
                <w:color w:val="auto"/>
                <w:highlight w:val="none"/>
              </w:rPr>
            </w:pPr>
          </w:p>
        </w:tc>
        <w:tc>
          <w:tcPr>
            <w:tcW w:w="1089" w:type="dxa"/>
          </w:tcPr>
          <w:p w14:paraId="1BE5E9D0">
            <w:pPr>
              <w:spacing w:line="400" w:lineRule="exact"/>
              <w:rPr>
                <w:rFonts w:ascii="宋体" w:hAnsi="宋体" w:cs="宋体"/>
                <w:color w:val="auto"/>
                <w:highlight w:val="none"/>
              </w:rPr>
            </w:pPr>
            <w:r>
              <w:rPr>
                <w:rFonts w:hint="eastAsia" w:ascii="宋体" w:hAnsi="宋体" w:cs="宋体"/>
                <w:color w:val="auto"/>
                <w:highlight w:val="none"/>
              </w:rPr>
              <w:t>邮政编码</w:t>
            </w:r>
          </w:p>
        </w:tc>
        <w:tc>
          <w:tcPr>
            <w:tcW w:w="2329" w:type="dxa"/>
          </w:tcPr>
          <w:p w14:paraId="060BD3EB">
            <w:pPr>
              <w:spacing w:line="400" w:lineRule="exact"/>
              <w:ind w:firstLine="420"/>
              <w:rPr>
                <w:rFonts w:ascii="宋体" w:hAnsi="宋体" w:cs="宋体"/>
                <w:color w:val="auto"/>
                <w:highlight w:val="none"/>
              </w:rPr>
            </w:pPr>
          </w:p>
        </w:tc>
      </w:tr>
      <w:tr w14:paraId="7806B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07DCBE48">
            <w:pPr>
              <w:spacing w:line="400" w:lineRule="exact"/>
              <w:jc w:val="center"/>
              <w:rPr>
                <w:rFonts w:ascii="宋体" w:hAnsi="宋体" w:cs="宋体"/>
                <w:color w:val="auto"/>
                <w:highlight w:val="none"/>
              </w:rPr>
            </w:pPr>
            <w:r>
              <w:rPr>
                <w:rFonts w:hint="eastAsia" w:ascii="宋体" w:hAnsi="宋体" w:cs="宋体"/>
                <w:color w:val="auto"/>
                <w:highlight w:val="none"/>
              </w:rPr>
              <w:t>注册资金</w:t>
            </w:r>
          </w:p>
        </w:tc>
        <w:tc>
          <w:tcPr>
            <w:tcW w:w="4132" w:type="dxa"/>
            <w:gridSpan w:val="2"/>
          </w:tcPr>
          <w:p w14:paraId="5CDFF553">
            <w:pPr>
              <w:spacing w:line="400" w:lineRule="exact"/>
              <w:ind w:firstLine="420"/>
              <w:rPr>
                <w:rFonts w:ascii="宋体" w:hAnsi="宋体" w:cs="宋体"/>
                <w:color w:val="auto"/>
                <w:highlight w:val="none"/>
              </w:rPr>
            </w:pPr>
          </w:p>
        </w:tc>
        <w:tc>
          <w:tcPr>
            <w:tcW w:w="1089" w:type="dxa"/>
          </w:tcPr>
          <w:p w14:paraId="62114B24">
            <w:pPr>
              <w:spacing w:line="400" w:lineRule="exact"/>
              <w:rPr>
                <w:rFonts w:ascii="宋体" w:hAnsi="宋体" w:cs="宋体"/>
                <w:color w:val="auto"/>
                <w:highlight w:val="none"/>
              </w:rPr>
            </w:pPr>
            <w:r>
              <w:rPr>
                <w:rFonts w:hint="eastAsia" w:ascii="宋体" w:hAnsi="宋体" w:cs="宋体"/>
                <w:color w:val="auto"/>
                <w:highlight w:val="none"/>
              </w:rPr>
              <w:t>成立时间</w:t>
            </w:r>
          </w:p>
        </w:tc>
        <w:tc>
          <w:tcPr>
            <w:tcW w:w="2329" w:type="dxa"/>
          </w:tcPr>
          <w:p w14:paraId="3C842FC1">
            <w:pPr>
              <w:spacing w:line="400" w:lineRule="exact"/>
              <w:ind w:firstLine="420"/>
              <w:rPr>
                <w:rFonts w:ascii="宋体" w:hAnsi="宋体" w:cs="宋体"/>
                <w:color w:val="auto"/>
                <w:highlight w:val="none"/>
              </w:rPr>
            </w:pPr>
          </w:p>
        </w:tc>
      </w:tr>
      <w:tr w14:paraId="3460D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Align w:val="center"/>
          </w:tcPr>
          <w:p w14:paraId="2A5F5D0A">
            <w:pPr>
              <w:spacing w:line="400" w:lineRule="exact"/>
              <w:jc w:val="center"/>
              <w:rPr>
                <w:rFonts w:ascii="宋体" w:hAnsi="宋体" w:cs="宋体"/>
                <w:color w:val="auto"/>
                <w:highlight w:val="none"/>
              </w:rPr>
            </w:pPr>
            <w:r>
              <w:rPr>
                <w:rFonts w:hint="eastAsia" w:ascii="宋体" w:hAnsi="宋体" w:cs="宋体"/>
                <w:color w:val="auto"/>
                <w:highlight w:val="none"/>
              </w:rPr>
              <w:t>联系方式</w:t>
            </w:r>
          </w:p>
        </w:tc>
        <w:tc>
          <w:tcPr>
            <w:tcW w:w="1077" w:type="dxa"/>
          </w:tcPr>
          <w:p w14:paraId="0AB61F97">
            <w:pPr>
              <w:spacing w:line="400" w:lineRule="exact"/>
              <w:rPr>
                <w:rFonts w:ascii="宋体" w:hAnsi="宋体" w:cs="宋体"/>
                <w:color w:val="auto"/>
                <w:highlight w:val="none"/>
              </w:rPr>
            </w:pPr>
            <w:r>
              <w:rPr>
                <w:rFonts w:hint="eastAsia" w:ascii="宋体" w:hAnsi="宋体" w:cs="宋体"/>
                <w:color w:val="auto"/>
                <w:highlight w:val="none"/>
              </w:rPr>
              <w:t>联系人</w:t>
            </w:r>
          </w:p>
        </w:tc>
        <w:tc>
          <w:tcPr>
            <w:tcW w:w="3055" w:type="dxa"/>
          </w:tcPr>
          <w:p w14:paraId="19588E9D">
            <w:pPr>
              <w:spacing w:line="400" w:lineRule="exact"/>
              <w:ind w:firstLine="420"/>
              <w:rPr>
                <w:rFonts w:ascii="宋体" w:hAnsi="宋体" w:cs="宋体"/>
                <w:color w:val="auto"/>
                <w:highlight w:val="none"/>
              </w:rPr>
            </w:pPr>
          </w:p>
        </w:tc>
        <w:tc>
          <w:tcPr>
            <w:tcW w:w="1089" w:type="dxa"/>
          </w:tcPr>
          <w:p w14:paraId="799694F3">
            <w:pPr>
              <w:spacing w:line="400" w:lineRule="exact"/>
              <w:rPr>
                <w:rFonts w:ascii="宋体" w:hAnsi="宋体" w:cs="宋体"/>
                <w:color w:val="auto"/>
                <w:highlight w:val="none"/>
              </w:rPr>
            </w:pPr>
            <w:r>
              <w:rPr>
                <w:rFonts w:hint="eastAsia" w:ascii="宋体" w:hAnsi="宋体" w:cs="宋体"/>
                <w:color w:val="auto"/>
                <w:highlight w:val="none"/>
              </w:rPr>
              <w:t>电话</w:t>
            </w:r>
          </w:p>
        </w:tc>
        <w:tc>
          <w:tcPr>
            <w:tcW w:w="2329" w:type="dxa"/>
          </w:tcPr>
          <w:p w14:paraId="57A3C1A2">
            <w:pPr>
              <w:spacing w:line="400" w:lineRule="exact"/>
              <w:ind w:firstLine="420"/>
              <w:rPr>
                <w:rFonts w:ascii="宋体" w:hAnsi="宋体" w:cs="宋体"/>
                <w:color w:val="auto"/>
                <w:highlight w:val="none"/>
              </w:rPr>
            </w:pPr>
          </w:p>
        </w:tc>
      </w:tr>
      <w:tr w14:paraId="689DC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4E31EC91">
            <w:pPr>
              <w:spacing w:line="400" w:lineRule="exact"/>
              <w:jc w:val="center"/>
              <w:rPr>
                <w:rFonts w:ascii="宋体" w:hAnsi="宋体" w:cs="宋体"/>
                <w:color w:val="auto"/>
                <w:highlight w:val="none"/>
              </w:rPr>
            </w:pPr>
            <w:r>
              <w:rPr>
                <w:rFonts w:hint="eastAsia" w:ascii="宋体" w:hAnsi="宋体" w:cs="宋体"/>
                <w:color w:val="auto"/>
                <w:highlight w:val="none"/>
              </w:rPr>
              <w:t>法定代表人</w:t>
            </w:r>
          </w:p>
        </w:tc>
        <w:tc>
          <w:tcPr>
            <w:tcW w:w="1077" w:type="dxa"/>
          </w:tcPr>
          <w:p w14:paraId="509EA6C1">
            <w:pPr>
              <w:spacing w:line="400" w:lineRule="exact"/>
              <w:rPr>
                <w:rFonts w:ascii="宋体" w:hAnsi="宋体" w:cs="宋体"/>
                <w:color w:val="auto"/>
                <w:highlight w:val="none"/>
              </w:rPr>
            </w:pPr>
            <w:r>
              <w:rPr>
                <w:rFonts w:hint="eastAsia" w:ascii="宋体" w:hAnsi="宋体" w:cs="宋体"/>
                <w:color w:val="auto"/>
                <w:highlight w:val="none"/>
              </w:rPr>
              <w:t>姓名</w:t>
            </w:r>
          </w:p>
        </w:tc>
        <w:tc>
          <w:tcPr>
            <w:tcW w:w="3055" w:type="dxa"/>
          </w:tcPr>
          <w:p w14:paraId="1D8706A3">
            <w:pPr>
              <w:spacing w:line="400" w:lineRule="exact"/>
              <w:rPr>
                <w:rFonts w:ascii="宋体" w:hAnsi="宋体" w:cs="宋体"/>
                <w:color w:val="auto"/>
                <w:highlight w:val="none"/>
              </w:rPr>
            </w:pPr>
          </w:p>
        </w:tc>
        <w:tc>
          <w:tcPr>
            <w:tcW w:w="1089" w:type="dxa"/>
          </w:tcPr>
          <w:p w14:paraId="769B3590">
            <w:pPr>
              <w:spacing w:line="400" w:lineRule="exact"/>
              <w:rPr>
                <w:rFonts w:ascii="宋体" w:hAnsi="宋体" w:cs="宋体"/>
                <w:color w:val="auto"/>
                <w:highlight w:val="none"/>
              </w:rPr>
            </w:pPr>
            <w:r>
              <w:rPr>
                <w:rFonts w:hint="eastAsia" w:ascii="宋体" w:hAnsi="宋体" w:cs="宋体"/>
                <w:color w:val="auto"/>
                <w:highlight w:val="none"/>
              </w:rPr>
              <w:t>电话</w:t>
            </w:r>
          </w:p>
        </w:tc>
        <w:tc>
          <w:tcPr>
            <w:tcW w:w="2329" w:type="dxa"/>
          </w:tcPr>
          <w:p w14:paraId="207876C0">
            <w:pPr>
              <w:spacing w:line="400" w:lineRule="exact"/>
              <w:ind w:firstLine="420"/>
              <w:rPr>
                <w:rFonts w:ascii="宋体" w:hAnsi="宋体" w:cs="宋体"/>
                <w:color w:val="auto"/>
                <w:highlight w:val="none"/>
              </w:rPr>
            </w:pPr>
          </w:p>
        </w:tc>
      </w:tr>
      <w:tr w14:paraId="5E348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3B83F5D6">
            <w:pPr>
              <w:spacing w:line="400" w:lineRule="exact"/>
              <w:jc w:val="center"/>
              <w:rPr>
                <w:rFonts w:ascii="宋体" w:hAnsi="宋体" w:cs="宋体"/>
                <w:color w:val="auto"/>
                <w:highlight w:val="none"/>
              </w:rPr>
            </w:pPr>
            <w:r>
              <w:rPr>
                <w:rFonts w:hint="eastAsia" w:ascii="宋体" w:hAnsi="宋体" w:cs="宋体"/>
                <w:color w:val="auto"/>
                <w:highlight w:val="none"/>
              </w:rPr>
              <w:t>基本账户开户银行</w:t>
            </w:r>
          </w:p>
        </w:tc>
        <w:tc>
          <w:tcPr>
            <w:tcW w:w="7550" w:type="dxa"/>
            <w:gridSpan w:val="4"/>
          </w:tcPr>
          <w:p w14:paraId="5DB5B11B">
            <w:pPr>
              <w:spacing w:line="400" w:lineRule="exact"/>
              <w:ind w:firstLine="420"/>
              <w:rPr>
                <w:rFonts w:ascii="宋体" w:hAnsi="宋体" w:cs="宋体"/>
                <w:color w:val="auto"/>
                <w:highlight w:val="none"/>
              </w:rPr>
            </w:pPr>
          </w:p>
        </w:tc>
      </w:tr>
      <w:tr w14:paraId="6117C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675BB8DD">
            <w:pPr>
              <w:spacing w:line="400" w:lineRule="exact"/>
              <w:jc w:val="center"/>
              <w:rPr>
                <w:rFonts w:ascii="宋体" w:hAnsi="宋体" w:cs="宋体"/>
                <w:color w:val="auto"/>
                <w:highlight w:val="none"/>
              </w:rPr>
            </w:pPr>
            <w:r>
              <w:rPr>
                <w:rFonts w:hint="eastAsia" w:ascii="宋体" w:hAnsi="宋体" w:cs="宋体"/>
                <w:color w:val="auto"/>
                <w:highlight w:val="none"/>
              </w:rPr>
              <w:t>基本账户银行账号</w:t>
            </w:r>
          </w:p>
        </w:tc>
        <w:tc>
          <w:tcPr>
            <w:tcW w:w="7550" w:type="dxa"/>
            <w:gridSpan w:val="4"/>
          </w:tcPr>
          <w:p w14:paraId="6E6EA466">
            <w:pPr>
              <w:spacing w:line="400" w:lineRule="exact"/>
              <w:ind w:firstLine="420"/>
              <w:rPr>
                <w:rFonts w:ascii="宋体" w:hAnsi="宋体" w:cs="宋体"/>
                <w:color w:val="auto"/>
                <w:highlight w:val="none"/>
              </w:rPr>
            </w:pPr>
          </w:p>
        </w:tc>
      </w:tr>
      <w:tr w14:paraId="3E8AF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141B26B2">
            <w:pPr>
              <w:spacing w:line="400" w:lineRule="exact"/>
              <w:jc w:val="center"/>
              <w:rPr>
                <w:rFonts w:ascii="宋体" w:hAnsi="宋体" w:cs="宋体"/>
                <w:color w:val="auto"/>
                <w:highlight w:val="none"/>
                <w:lang w:eastAsia="zh-CN"/>
              </w:rPr>
            </w:pPr>
            <w:r>
              <w:rPr>
                <w:rFonts w:hint="eastAsia" w:ascii="宋体" w:hAnsi="宋体" w:cs="宋体"/>
                <w:color w:val="auto"/>
                <w:highlight w:val="none"/>
                <w:lang w:eastAsia="zh-CN"/>
              </w:rPr>
              <w:t>供应商关联企业情况（包括但不限于与供应商法定代表人为同一人或者存在控股、管理关系的不同单位）</w:t>
            </w:r>
          </w:p>
        </w:tc>
        <w:tc>
          <w:tcPr>
            <w:tcW w:w="7550" w:type="dxa"/>
            <w:gridSpan w:val="4"/>
          </w:tcPr>
          <w:p w14:paraId="2710D8FE">
            <w:pPr>
              <w:spacing w:line="400" w:lineRule="exact"/>
              <w:ind w:firstLine="420"/>
              <w:rPr>
                <w:rFonts w:ascii="宋体" w:hAnsi="宋体" w:cs="宋体"/>
                <w:color w:val="auto"/>
                <w:highlight w:val="none"/>
                <w:lang w:eastAsia="zh-CN"/>
              </w:rPr>
            </w:pPr>
          </w:p>
        </w:tc>
      </w:tr>
      <w:tr w14:paraId="16986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1980" w:type="dxa"/>
            <w:vAlign w:val="center"/>
          </w:tcPr>
          <w:p w14:paraId="29436DF2">
            <w:pPr>
              <w:spacing w:line="400" w:lineRule="exact"/>
              <w:jc w:val="center"/>
              <w:rPr>
                <w:rFonts w:ascii="宋体" w:hAnsi="宋体" w:cs="宋体"/>
                <w:color w:val="auto"/>
                <w:highlight w:val="none"/>
              </w:rPr>
            </w:pPr>
            <w:r>
              <w:rPr>
                <w:rFonts w:hint="eastAsia" w:ascii="宋体" w:hAnsi="宋体" w:cs="宋体"/>
                <w:color w:val="auto"/>
                <w:highlight w:val="none"/>
              </w:rPr>
              <w:t>经营范围备注</w:t>
            </w:r>
          </w:p>
        </w:tc>
        <w:tc>
          <w:tcPr>
            <w:tcW w:w="7550" w:type="dxa"/>
            <w:gridSpan w:val="4"/>
          </w:tcPr>
          <w:p w14:paraId="57C57F3B">
            <w:pPr>
              <w:spacing w:line="400" w:lineRule="exact"/>
              <w:ind w:firstLine="420"/>
              <w:rPr>
                <w:rFonts w:ascii="宋体" w:hAnsi="宋体" w:cs="宋体"/>
                <w:color w:val="auto"/>
                <w:highlight w:val="none"/>
              </w:rPr>
            </w:pPr>
          </w:p>
        </w:tc>
      </w:tr>
    </w:tbl>
    <w:p w14:paraId="5ADCA801">
      <w:pPr>
        <w:pStyle w:val="3"/>
        <w:spacing w:line="360" w:lineRule="auto"/>
        <w:ind w:firstLine="420"/>
        <w:rPr>
          <w:rFonts w:ascii="宋体" w:hAnsi="宋体"/>
          <w:color w:val="auto"/>
          <w:highlight w:val="none"/>
        </w:rPr>
      </w:pPr>
    </w:p>
    <w:p w14:paraId="71A1321F">
      <w:pPr>
        <w:pStyle w:val="3"/>
        <w:spacing w:line="360" w:lineRule="auto"/>
        <w:ind w:firstLine="420"/>
        <w:rPr>
          <w:rFonts w:ascii="宋体" w:hAnsi="宋体"/>
          <w:color w:val="auto"/>
          <w:highlight w:val="none"/>
          <w:lang w:eastAsia="zh-CN"/>
        </w:rPr>
      </w:pPr>
      <w:r>
        <w:rPr>
          <w:rFonts w:hint="eastAsia" w:ascii="宋体" w:hAnsi="宋体"/>
          <w:color w:val="auto"/>
          <w:highlight w:val="none"/>
          <w:lang w:eastAsia="zh-CN"/>
        </w:rPr>
        <w:t>注：1.根据供应商须知的要求在本表后附</w:t>
      </w:r>
      <w:r>
        <w:rPr>
          <w:rFonts w:hint="eastAsia" w:ascii="宋体" w:hAnsi="宋体"/>
          <w:b/>
          <w:bCs/>
          <w:color w:val="auto"/>
          <w:highlight w:val="none"/>
          <w:lang w:eastAsia="zh-CN"/>
        </w:rPr>
        <w:t>供应商信用承诺函</w:t>
      </w:r>
      <w:r>
        <w:rPr>
          <w:rFonts w:hint="eastAsia" w:ascii="宋体" w:hAnsi="宋体"/>
          <w:color w:val="auto"/>
          <w:highlight w:val="none"/>
          <w:lang w:eastAsia="zh-CN"/>
        </w:rPr>
        <w:t>。</w:t>
      </w:r>
    </w:p>
    <w:p w14:paraId="78AE613E">
      <w:pPr>
        <w:pStyle w:val="3"/>
        <w:spacing w:line="360" w:lineRule="auto"/>
        <w:ind w:firstLine="420"/>
        <w:rPr>
          <w:rFonts w:ascii="宋体" w:hAnsi="宋体"/>
          <w:color w:val="auto"/>
          <w:highlight w:val="none"/>
          <w:lang w:eastAsia="zh-CN"/>
        </w:rPr>
        <w:sectPr>
          <w:footerReference r:id="rId12" w:type="default"/>
          <w:pgSz w:w="11905" w:h="16838"/>
          <w:pgMar w:top="1440" w:right="1803" w:bottom="1440" w:left="1803" w:header="850" w:footer="850" w:gutter="0"/>
          <w:pgNumType w:fmt="decimal"/>
          <w:cols w:space="720" w:num="1"/>
          <w:docGrid w:type="lines" w:linePitch="411" w:charSpace="0"/>
        </w:sectPr>
      </w:pPr>
      <w:bookmarkStart w:id="1034" w:name="_Toc456185720"/>
      <w:r>
        <w:rPr>
          <w:rFonts w:hint="eastAsia" w:ascii="宋体" w:hAnsi="宋体"/>
          <w:color w:val="auto"/>
          <w:highlight w:val="none"/>
          <w:lang w:eastAsia="zh-CN"/>
        </w:rPr>
        <w:t xml:space="preserve"> </w:t>
      </w:r>
      <w:r>
        <w:rPr>
          <w:rFonts w:hint="eastAsia" w:ascii="宋体" w:hAnsi="宋体"/>
          <w:b/>
          <w:bCs/>
          <w:color w:val="auto"/>
          <w:highlight w:val="none"/>
          <w:lang w:eastAsia="zh-CN"/>
        </w:rPr>
        <w:t xml:space="preserve">   2.本项目的特定资格要求（如有）：需提供相应的证明材料</w:t>
      </w:r>
    </w:p>
    <w:bookmarkEnd w:id="1034"/>
    <w:p w14:paraId="3AC53EF2">
      <w:pPr>
        <w:spacing w:line="360" w:lineRule="auto"/>
        <w:jc w:val="center"/>
        <w:rPr>
          <w:rFonts w:ascii="宋体" w:hAnsi="宋体" w:cs="宋体"/>
          <w:color w:val="auto"/>
          <w:highlight w:val="none"/>
          <w:lang w:eastAsia="zh-CN"/>
        </w:rPr>
      </w:pPr>
      <w:bookmarkStart w:id="1035" w:name="_Toc25111"/>
      <w:bookmarkStart w:id="1036" w:name="_Toc19770"/>
      <w:r>
        <w:rPr>
          <w:rStyle w:val="39"/>
          <w:rFonts w:hint="eastAsia"/>
          <w:color w:val="auto"/>
          <w:highlight w:val="none"/>
          <w:lang w:eastAsia="zh-CN"/>
        </w:rPr>
        <w:t>十、中小企业声明函（服务）</w:t>
      </w:r>
      <w:bookmarkEnd w:id="1035"/>
      <w:bookmarkEnd w:id="1036"/>
    </w:p>
    <w:p w14:paraId="419CAEAC">
      <w:pPr>
        <w:spacing w:line="360" w:lineRule="auto"/>
        <w:ind w:firstLine="420" w:firstLineChars="200"/>
        <w:rPr>
          <w:rFonts w:ascii="宋体" w:hAnsi="宋体"/>
          <w:color w:val="auto"/>
          <w:highlight w:val="none"/>
        </w:rPr>
      </w:pPr>
      <w:r>
        <w:rPr>
          <w:rFonts w:hint="eastAsia" w:ascii="宋体" w:hAnsi="宋体"/>
          <w:color w:val="auto"/>
          <w:highlight w:val="none"/>
          <w:lang w:eastAsia="zh-CN"/>
        </w:rPr>
        <w:t>本公司郑重声明，根据《政府采购促进中小企业发展管理办法》（财库﹝2020﹞46号）的规定，本公司参加</w:t>
      </w:r>
      <w:r>
        <w:rPr>
          <w:rFonts w:hint="eastAsia" w:ascii="宋体" w:hAnsi="宋体"/>
          <w:color w:val="auto"/>
          <w:highlight w:val="none"/>
          <w:u w:val="single"/>
          <w:lang w:eastAsia="zh-CN"/>
        </w:rPr>
        <w:t xml:space="preserve">          </w:t>
      </w:r>
      <w:r>
        <w:rPr>
          <w:rFonts w:hint="eastAsia" w:ascii="宋体" w:hAnsi="宋体"/>
          <w:color w:val="auto"/>
          <w:highlight w:val="none"/>
          <w:lang w:eastAsia="zh-CN"/>
        </w:rPr>
        <w:t>（采购人名称）的</w:t>
      </w:r>
      <w:r>
        <w:rPr>
          <w:rFonts w:hint="eastAsia" w:ascii="宋体" w:hAnsi="宋体"/>
          <w:color w:val="auto"/>
          <w:highlight w:val="none"/>
          <w:u w:val="single"/>
          <w:lang w:eastAsia="zh-CN"/>
        </w:rPr>
        <w:t xml:space="preserve">            </w:t>
      </w:r>
      <w:r>
        <w:rPr>
          <w:rFonts w:hint="eastAsia" w:ascii="宋体" w:hAnsi="宋体"/>
          <w:color w:val="auto"/>
          <w:highlight w:val="none"/>
          <w:lang w:eastAsia="zh-CN"/>
        </w:rPr>
        <w:t>（项目名称）采购活动，服务全部由符合政策要求的中小企业承接。</w:t>
      </w:r>
      <w:r>
        <w:rPr>
          <w:rFonts w:hint="eastAsia" w:ascii="宋体" w:hAnsi="宋体"/>
          <w:color w:val="auto"/>
          <w:highlight w:val="none"/>
        </w:rPr>
        <w:t>相关企业的具体情况如下 ：</w:t>
      </w:r>
    </w:p>
    <w:p w14:paraId="28996C2E">
      <w:pPr>
        <w:numPr>
          <w:ilvl w:val="0"/>
          <w:numId w:val="2"/>
        </w:numPr>
        <w:spacing w:line="360" w:lineRule="auto"/>
        <w:ind w:firstLine="420" w:firstLineChars="200"/>
        <w:rPr>
          <w:rFonts w:ascii="宋体" w:hAnsi="宋体"/>
          <w:color w:val="auto"/>
          <w:highlight w:val="none"/>
          <w:lang w:eastAsia="zh-CN"/>
        </w:rPr>
      </w:pPr>
      <w:r>
        <w:rPr>
          <w:rFonts w:hint="eastAsia" w:ascii="宋体" w:hAnsi="宋体"/>
          <w:color w:val="auto"/>
          <w:highlight w:val="none"/>
          <w:u w:val="single"/>
          <w:lang w:eastAsia="zh-CN"/>
        </w:rPr>
        <w:t xml:space="preserve">         </w:t>
      </w:r>
      <w:r>
        <w:rPr>
          <w:rFonts w:hint="eastAsia" w:ascii="宋体" w:hAnsi="宋体"/>
          <w:color w:val="auto"/>
          <w:highlight w:val="none"/>
          <w:lang w:eastAsia="zh-CN"/>
        </w:rPr>
        <w:t>（标的名称），属于</w:t>
      </w:r>
      <w:r>
        <w:rPr>
          <w:rFonts w:hint="eastAsia" w:ascii="宋体" w:hAnsi="宋体"/>
          <w:color w:val="auto"/>
          <w:highlight w:val="none"/>
          <w:u w:val="single"/>
          <w:lang w:eastAsia="zh-CN"/>
        </w:rPr>
        <w:t xml:space="preserve">          </w:t>
      </w:r>
      <w:r>
        <w:rPr>
          <w:rFonts w:hint="eastAsia" w:ascii="宋体" w:hAnsi="宋体"/>
          <w:color w:val="auto"/>
          <w:highlight w:val="none"/>
          <w:lang w:eastAsia="zh-CN"/>
        </w:rPr>
        <w:t>（磋商文件中明确的所属行业）行业；承接企业为</w:t>
      </w:r>
      <w:r>
        <w:rPr>
          <w:rFonts w:hint="eastAsia" w:ascii="宋体" w:hAnsi="宋体"/>
          <w:color w:val="auto"/>
          <w:highlight w:val="none"/>
          <w:u w:val="single"/>
          <w:lang w:eastAsia="zh-CN"/>
        </w:rPr>
        <w:t xml:space="preserve">         </w:t>
      </w:r>
      <w:r>
        <w:rPr>
          <w:rFonts w:hint="eastAsia" w:ascii="宋体" w:hAnsi="宋体"/>
          <w:color w:val="auto"/>
          <w:highlight w:val="none"/>
          <w:lang w:eastAsia="zh-CN"/>
        </w:rPr>
        <w:t>（企业名称），从业人员</w:t>
      </w:r>
      <w:r>
        <w:rPr>
          <w:rFonts w:hint="eastAsia" w:ascii="宋体" w:hAnsi="宋体"/>
          <w:color w:val="auto"/>
          <w:highlight w:val="none"/>
          <w:u w:val="single"/>
          <w:lang w:eastAsia="zh-CN"/>
        </w:rPr>
        <w:t xml:space="preserve">      </w:t>
      </w:r>
      <w:r>
        <w:rPr>
          <w:rFonts w:hint="eastAsia" w:ascii="宋体" w:hAnsi="宋体"/>
          <w:color w:val="auto"/>
          <w:highlight w:val="none"/>
          <w:lang w:eastAsia="zh-CN"/>
        </w:rPr>
        <w:t>人 ， 营业收入为</w:t>
      </w:r>
      <w:r>
        <w:rPr>
          <w:rFonts w:hint="eastAsia" w:ascii="宋体" w:hAnsi="宋体"/>
          <w:color w:val="auto"/>
          <w:highlight w:val="none"/>
          <w:u w:val="single"/>
          <w:lang w:eastAsia="zh-CN"/>
        </w:rPr>
        <w:t xml:space="preserve">      </w:t>
      </w:r>
      <w:r>
        <w:rPr>
          <w:rFonts w:hint="eastAsia" w:ascii="宋体" w:hAnsi="宋体"/>
          <w:color w:val="auto"/>
          <w:highlight w:val="none"/>
          <w:lang w:eastAsia="zh-CN"/>
        </w:rPr>
        <w:t>万元 ，资产总额为</w:t>
      </w:r>
      <w:r>
        <w:rPr>
          <w:rFonts w:hint="eastAsia" w:ascii="宋体" w:hAnsi="宋体"/>
          <w:color w:val="auto"/>
          <w:highlight w:val="none"/>
          <w:u w:val="single"/>
          <w:lang w:eastAsia="zh-CN"/>
        </w:rPr>
        <w:t xml:space="preserve">      </w:t>
      </w:r>
      <w:r>
        <w:rPr>
          <w:rFonts w:hint="eastAsia" w:ascii="宋体" w:hAnsi="宋体"/>
          <w:color w:val="auto"/>
          <w:highlight w:val="none"/>
          <w:lang w:eastAsia="zh-CN"/>
        </w:rPr>
        <w:t>万元 ，属于</w:t>
      </w:r>
      <w:r>
        <w:rPr>
          <w:rFonts w:hint="eastAsia" w:ascii="宋体" w:hAnsi="宋体"/>
          <w:color w:val="auto"/>
          <w:highlight w:val="none"/>
          <w:u w:val="single"/>
          <w:lang w:eastAsia="zh-CN"/>
        </w:rPr>
        <w:t xml:space="preserve">         </w:t>
      </w:r>
      <w:r>
        <w:rPr>
          <w:rFonts w:hint="eastAsia" w:ascii="宋体" w:hAnsi="宋体"/>
          <w:color w:val="auto"/>
          <w:highlight w:val="none"/>
          <w:lang w:eastAsia="zh-CN"/>
        </w:rPr>
        <w:t>（中型企业、小型企业、微型企业）；</w:t>
      </w:r>
    </w:p>
    <w:p w14:paraId="67A5EFEF">
      <w:pPr>
        <w:spacing w:line="360" w:lineRule="auto"/>
        <w:ind w:firstLine="420" w:firstLineChars="200"/>
        <w:rPr>
          <w:rFonts w:ascii="宋体" w:hAnsi="宋体"/>
          <w:color w:val="auto"/>
          <w:highlight w:val="none"/>
          <w:lang w:eastAsia="zh-CN"/>
        </w:rPr>
      </w:pPr>
      <w:r>
        <w:rPr>
          <w:rFonts w:hint="eastAsia" w:ascii="宋体" w:hAnsi="宋体"/>
          <w:color w:val="auto"/>
          <w:highlight w:val="none"/>
          <w:lang w:eastAsia="zh-CN"/>
        </w:rPr>
        <w:t>……</w:t>
      </w:r>
    </w:p>
    <w:p w14:paraId="73EC1F98">
      <w:pPr>
        <w:spacing w:line="360" w:lineRule="auto"/>
        <w:ind w:firstLine="420" w:firstLineChars="200"/>
        <w:rPr>
          <w:rFonts w:ascii="宋体" w:hAnsi="宋体"/>
          <w:color w:val="auto"/>
          <w:highlight w:val="none"/>
          <w:lang w:eastAsia="zh-CN"/>
        </w:rPr>
      </w:pPr>
      <w:r>
        <w:rPr>
          <w:rFonts w:hint="eastAsia" w:ascii="宋体" w:hAnsi="宋体"/>
          <w:color w:val="auto"/>
          <w:highlight w:val="none"/>
          <w:lang w:eastAsia="zh-CN"/>
        </w:rPr>
        <w:t>以上企业，不属于大企业的分支机构，不存在控股股东为大企业的情形，也不存在与大企业的负责人为同一人的情形 。</w:t>
      </w:r>
    </w:p>
    <w:p w14:paraId="2BB46591">
      <w:pPr>
        <w:spacing w:line="360" w:lineRule="auto"/>
        <w:ind w:firstLine="420" w:firstLineChars="200"/>
        <w:rPr>
          <w:rFonts w:ascii="宋体" w:hAnsi="宋体"/>
          <w:color w:val="auto"/>
          <w:highlight w:val="none"/>
          <w:lang w:eastAsia="zh-CN"/>
        </w:rPr>
      </w:pPr>
      <w:r>
        <w:rPr>
          <w:rFonts w:hint="eastAsia" w:ascii="宋体" w:hAnsi="宋体"/>
          <w:color w:val="auto"/>
          <w:highlight w:val="none"/>
          <w:lang w:eastAsia="zh-CN"/>
        </w:rPr>
        <w:t>本企业对上述声明内容的真实性负责。如有虚假，将依法承担相应责任。</w:t>
      </w:r>
    </w:p>
    <w:p w14:paraId="63EB3DDD">
      <w:pPr>
        <w:spacing w:line="360" w:lineRule="auto"/>
        <w:ind w:firstLine="420" w:firstLineChars="200"/>
        <w:jc w:val="right"/>
        <w:rPr>
          <w:rFonts w:ascii="宋体" w:hAnsi="宋体"/>
          <w:color w:val="auto"/>
          <w:highlight w:val="none"/>
          <w:lang w:eastAsia="zh-CN"/>
        </w:rPr>
      </w:pPr>
    </w:p>
    <w:p w14:paraId="2B221018">
      <w:pPr>
        <w:spacing w:line="360" w:lineRule="auto"/>
        <w:ind w:firstLine="420" w:firstLineChars="200"/>
        <w:jc w:val="right"/>
        <w:rPr>
          <w:rFonts w:ascii="宋体" w:hAnsi="宋体"/>
          <w:color w:val="auto"/>
          <w:highlight w:val="none"/>
          <w:lang w:eastAsia="zh-CN"/>
        </w:rPr>
      </w:pPr>
    </w:p>
    <w:p w14:paraId="3A591B23">
      <w:pPr>
        <w:wordWrap w:val="0"/>
        <w:spacing w:line="360" w:lineRule="auto"/>
        <w:ind w:firstLine="420" w:firstLineChars="200"/>
        <w:jc w:val="right"/>
        <w:rPr>
          <w:rFonts w:ascii="宋体" w:hAnsi="宋体"/>
          <w:color w:val="auto"/>
          <w:highlight w:val="none"/>
          <w:u w:val="single"/>
          <w:lang w:eastAsia="zh-CN"/>
        </w:rPr>
      </w:pPr>
      <w:r>
        <w:rPr>
          <w:rFonts w:hint="eastAsia" w:ascii="宋体" w:hAnsi="宋体"/>
          <w:color w:val="auto"/>
          <w:highlight w:val="none"/>
          <w:lang w:eastAsia="zh-CN"/>
        </w:rPr>
        <w:t>企业名称：</w:t>
      </w:r>
      <w:r>
        <w:rPr>
          <w:rFonts w:hint="eastAsia" w:ascii="宋体" w:hAnsi="宋体"/>
          <w:color w:val="auto"/>
          <w:highlight w:val="none"/>
          <w:u w:val="single"/>
          <w:lang w:eastAsia="zh-CN"/>
        </w:rPr>
        <w:t xml:space="preserve">                 </w:t>
      </w:r>
      <w:r>
        <w:rPr>
          <w:rFonts w:hint="eastAsia" w:ascii="宋体" w:hAnsi="宋体"/>
          <w:color w:val="auto"/>
          <w:highlight w:val="none"/>
          <w:lang w:eastAsia="zh-CN"/>
        </w:rPr>
        <w:t>（单位</w:t>
      </w:r>
      <w:r>
        <w:rPr>
          <w:rFonts w:hint="eastAsia" w:ascii="宋体" w:hAnsi="宋体" w:cs="宋体"/>
          <w:color w:val="auto"/>
          <w:highlight w:val="none"/>
          <w:lang w:eastAsia="zh-CN"/>
        </w:rPr>
        <w:t>电子签章</w:t>
      </w:r>
      <w:r>
        <w:rPr>
          <w:rFonts w:hint="eastAsia" w:ascii="宋体" w:hAnsi="宋体"/>
          <w:color w:val="auto"/>
          <w:highlight w:val="none"/>
          <w:lang w:eastAsia="zh-CN"/>
        </w:rPr>
        <w:t>）</w:t>
      </w:r>
    </w:p>
    <w:p w14:paraId="0FF5E8ED">
      <w:pPr>
        <w:spacing w:line="480" w:lineRule="auto"/>
        <w:ind w:firstLine="420" w:firstLineChars="200"/>
        <w:jc w:val="right"/>
        <w:rPr>
          <w:rFonts w:ascii="宋体" w:hAnsi="宋体"/>
          <w:color w:val="auto"/>
          <w:highlight w:val="none"/>
          <w:lang w:eastAsia="zh-CN"/>
        </w:rPr>
      </w:pPr>
      <w:r>
        <w:rPr>
          <w:rFonts w:hint="eastAsia" w:ascii="宋体" w:hAnsi="宋体"/>
          <w:color w:val="auto"/>
          <w:highlight w:val="none"/>
          <w:lang w:eastAsia="zh-CN"/>
        </w:rPr>
        <w:t>日期：</w:t>
      </w:r>
      <w:r>
        <w:rPr>
          <w:rFonts w:hint="eastAsia" w:ascii="宋体" w:hAnsi="宋体"/>
          <w:color w:val="auto"/>
          <w:highlight w:val="none"/>
          <w:u w:val="single"/>
          <w:lang w:eastAsia="zh-CN"/>
        </w:rPr>
        <w:t xml:space="preserve">      </w:t>
      </w:r>
      <w:r>
        <w:rPr>
          <w:rFonts w:hint="eastAsia" w:ascii="宋体" w:hAnsi="宋体"/>
          <w:color w:val="auto"/>
          <w:highlight w:val="none"/>
          <w:lang w:eastAsia="zh-CN"/>
        </w:rPr>
        <w:t>年</w:t>
      </w:r>
      <w:r>
        <w:rPr>
          <w:rFonts w:hint="eastAsia" w:ascii="宋体" w:hAnsi="宋体"/>
          <w:color w:val="auto"/>
          <w:highlight w:val="none"/>
          <w:u w:val="single"/>
          <w:lang w:eastAsia="zh-CN"/>
        </w:rPr>
        <w:t xml:space="preserve">      </w:t>
      </w:r>
      <w:r>
        <w:rPr>
          <w:rFonts w:hint="eastAsia" w:ascii="宋体" w:hAnsi="宋体"/>
          <w:color w:val="auto"/>
          <w:highlight w:val="none"/>
          <w:lang w:eastAsia="zh-CN"/>
        </w:rPr>
        <w:t>月</w:t>
      </w:r>
      <w:r>
        <w:rPr>
          <w:rFonts w:hint="eastAsia" w:ascii="宋体" w:hAnsi="宋体"/>
          <w:color w:val="auto"/>
          <w:highlight w:val="none"/>
          <w:u w:val="single"/>
          <w:lang w:eastAsia="zh-CN"/>
        </w:rPr>
        <w:t xml:space="preserve">     </w:t>
      </w:r>
      <w:r>
        <w:rPr>
          <w:rFonts w:hint="eastAsia" w:ascii="宋体" w:hAnsi="宋体"/>
          <w:color w:val="auto"/>
          <w:highlight w:val="none"/>
          <w:lang w:eastAsia="zh-CN"/>
        </w:rPr>
        <w:t>日</w:t>
      </w:r>
    </w:p>
    <w:p w14:paraId="53FA4FBE">
      <w:pPr>
        <w:pStyle w:val="3"/>
        <w:rPr>
          <w:rFonts w:ascii="宋体" w:hAnsi="宋体"/>
          <w:color w:val="auto"/>
          <w:highlight w:val="none"/>
          <w:lang w:eastAsia="zh-CN"/>
        </w:rPr>
      </w:pPr>
    </w:p>
    <w:p w14:paraId="1FA772A8">
      <w:pPr>
        <w:rPr>
          <w:rFonts w:ascii="宋体" w:hAnsi="宋体"/>
          <w:color w:val="auto"/>
          <w:highlight w:val="none"/>
          <w:lang w:eastAsia="zh-CN"/>
        </w:rPr>
      </w:pPr>
    </w:p>
    <w:p w14:paraId="23EE791C">
      <w:pPr>
        <w:pStyle w:val="3"/>
        <w:spacing w:line="360" w:lineRule="auto"/>
        <w:rPr>
          <w:color w:val="auto"/>
          <w:highlight w:val="none"/>
          <w:lang w:eastAsia="zh-CN"/>
        </w:rPr>
      </w:pPr>
      <w:r>
        <w:rPr>
          <w:rFonts w:hint="eastAsia" w:ascii="宋体" w:hAnsi="宋体"/>
          <w:color w:val="auto"/>
          <w:highlight w:val="none"/>
          <w:lang w:eastAsia="zh-CN"/>
        </w:rPr>
        <w:t>注：从业人员、营业收入、资产总额填报上一年度数据，无上一年度数据的新成立企业可不填报。</w:t>
      </w:r>
    </w:p>
    <w:p w14:paraId="191B6C84">
      <w:pPr>
        <w:pStyle w:val="24"/>
        <w:widowControl w:val="0"/>
        <w:spacing w:beforeAutospacing="0" w:afterAutospacing="0" w:line="546" w:lineRule="exact"/>
        <w:jc w:val="both"/>
        <w:rPr>
          <w:b/>
          <w:bCs/>
          <w:color w:val="auto"/>
          <w:sz w:val="21"/>
          <w:szCs w:val="21"/>
          <w:highlight w:val="none"/>
          <w:lang w:eastAsia="zh-CN"/>
        </w:rPr>
      </w:pPr>
      <w:r>
        <w:rPr>
          <w:rFonts w:hint="eastAsia"/>
          <w:b/>
          <w:bCs/>
          <w:color w:val="auto"/>
          <w:sz w:val="21"/>
          <w:szCs w:val="21"/>
          <w:highlight w:val="none"/>
          <w:lang w:eastAsia="zh-CN"/>
        </w:rPr>
        <w:t>本采购项目中采购标的所属行业：其他未列明行业。</w:t>
      </w:r>
    </w:p>
    <w:p w14:paraId="7794B4B5">
      <w:pPr>
        <w:pStyle w:val="24"/>
        <w:widowControl w:val="0"/>
        <w:spacing w:beforeAutospacing="0" w:afterAutospacing="0" w:line="546" w:lineRule="exact"/>
        <w:jc w:val="both"/>
        <w:rPr>
          <w:b/>
          <w:bCs/>
          <w:color w:val="auto"/>
          <w:kern w:val="2"/>
          <w:highlight w:val="none"/>
          <w:lang w:eastAsia="zh-CN"/>
        </w:rPr>
      </w:pPr>
      <w:r>
        <w:rPr>
          <w:rFonts w:hint="eastAsia"/>
          <w:b/>
          <w:bCs/>
          <w:color w:val="auto"/>
          <w:sz w:val="21"/>
          <w:szCs w:val="21"/>
          <w:highlight w:val="none"/>
          <w:lang w:eastAsia="zh-CN"/>
        </w:rPr>
        <w:br w:type="page"/>
      </w:r>
      <w:r>
        <w:rPr>
          <w:rFonts w:hint="eastAsia" w:eastAsia="宋体"/>
          <w:color w:val="auto"/>
          <w:highlight w:val="none"/>
          <w:lang w:eastAsia="zh-CN"/>
        </w:rPr>
        <w:drawing>
          <wp:anchor distT="0" distB="0" distL="114300" distR="114300" simplePos="0" relativeHeight="251659264" behindDoc="0" locked="0" layoutInCell="1" allowOverlap="1">
            <wp:simplePos x="0" y="0"/>
            <wp:positionH relativeFrom="column">
              <wp:posOffset>-189865</wp:posOffset>
            </wp:positionH>
            <wp:positionV relativeFrom="paragraph">
              <wp:posOffset>63500</wp:posOffset>
            </wp:positionV>
            <wp:extent cx="5879465" cy="7776845"/>
            <wp:effectExtent l="0" t="0" r="6985" b="14605"/>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4" cstate="print"/>
                    <a:stretch>
                      <a:fillRect/>
                    </a:stretch>
                  </pic:blipFill>
                  <pic:spPr>
                    <a:xfrm>
                      <a:off x="0" y="0"/>
                      <a:ext cx="5879465" cy="7776845"/>
                    </a:xfrm>
                    <a:prstGeom prst="rect">
                      <a:avLst/>
                    </a:prstGeom>
                    <a:noFill/>
                    <a:ln>
                      <a:noFill/>
                    </a:ln>
                  </pic:spPr>
                </pic:pic>
              </a:graphicData>
            </a:graphic>
          </wp:anchor>
        </w:drawing>
      </w:r>
    </w:p>
    <w:p w14:paraId="2B047E63">
      <w:pPr>
        <w:spacing w:line="360" w:lineRule="auto"/>
        <w:rPr>
          <w:rFonts w:ascii="宋体" w:hAnsi="宋体" w:eastAsia="宋体" w:cs="宋体"/>
          <w:color w:val="auto"/>
          <w:sz w:val="24"/>
          <w:szCs w:val="24"/>
          <w:highlight w:val="none"/>
          <w:lang w:eastAsia="zh-CN"/>
        </w:rPr>
      </w:pPr>
    </w:p>
    <w:p w14:paraId="36A6E654">
      <w:pPr>
        <w:pStyle w:val="2"/>
        <w:ind w:firstLine="210"/>
        <w:rPr>
          <w:color w:val="auto"/>
          <w:highlight w:val="none"/>
          <w:lang w:eastAsia="zh-CN"/>
        </w:rPr>
      </w:pPr>
    </w:p>
    <w:p w14:paraId="61E94443">
      <w:pPr>
        <w:widowControl w:val="0"/>
        <w:kinsoku/>
        <w:adjustRightInd/>
        <w:spacing w:after="120" w:line="400" w:lineRule="exact"/>
        <w:jc w:val="both"/>
        <w:textAlignment w:val="auto"/>
        <w:rPr>
          <w:rFonts w:ascii="Times New Roman" w:hAnsi="Times New Roman" w:eastAsia="宋体" w:cs="Times New Roman"/>
          <w:color w:val="auto"/>
          <w:kern w:val="2"/>
          <w:sz w:val="32"/>
          <w:szCs w:val="24"/>
          <w:highlight w:val="none"/>
          <w:lang w:eastAsia="zh-CN"/>
        </w:rPr>
      </w:pPr>
      <w:r>
        <w:rPr>
          <w:rFonts w:hint="eastAsia" w:ascii="宋体" w:hAnsi="宋体" w:eastAsia="宋体" w:cs="宋体"/>
          <w:color w:val="auto"/>
          <w:highlight w:val="none"/>
          <w:lang w:eastAsia="zh-CN"/>
        </w:rPr>
        <w:drawing>
          <wp:anchor distT="0" distB="0" distL="114300" distR="114300" simplePos="0" relativeHeight="251660288" behindDoc="0" locked="0" layoutInCell="1" allowOverlap="1">
            <wp:simplePos x="0" y="0"/>
            <wp:positionH relativeFrom="column">
              <wp:posOffset>125095</wp:posOffset>
            </wp:positionH>
            <wp:positionV relativeFrom="paragraph">
              <wp:posOffset>-19685</wp:posOffset>
            </wp:positionV>
            <wp:extent cx="5245100" cy="6876415"/>
            <wp:effectExtent l="0" t="0" r="12700" b="635"/>
            <wp:wrapSquare wrapText="bothSides"/>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5" cstate="print"/>
                    <a:stretch>
                      <a:fillRect/>
                    </a:stretch>
                  </pic:blipFill>
                  <pic:spPr>
                    <a:xfrm>
                      <a:off x="0" y="0"/>
                      <a:ext cx="5245100" cy="6876415"/>
                    </a:xfrm>
                    <a:prstGeom prst="rect">
                      <a:avLst/>
                    </a:prstGeom>
                    <a:noFill/>
                    <a:ln>
                      <a:noFill/>
                    </a:ln>
                  </pic:spPr>
                </pic:pic>
              </a:graphicData>
            </a:graphic>
          </wp:anchor>
        </w:drawing>
      </w:r>
    </w:p>
    <w:p w14:paraId="2416D662">
      <w:pPr>
        <w:pStyle w:val="24"/>
        <w:widowControl w:val="0"/>
        <w:spacing w:beforeAutospacing="0" w:afterAutospacing="0" w:line="546" w:lineRule="exact"/>
        <w:jc w:val="both"/>
        <w:rPr>
          <w:b/>
          <w:bCs/>
          <w:color w:val="auto"/>
          <w:sz w:val="21"/>
          <w:szCs w:val="21"/>
          <w:highlight w:val="none"/>
          <w:lang w:eastAsia="zh-CN"/>
        </w:rPr>
      </w:pPr>
    </w:p>
    <w:p w14:paraId="7A7DF394">
      <w:pPr>
        <w:rPr>
          <w:rFonts w:ascii="宋体" w:hAnsi="宋体" w:cs="宋体"/>
          <w:color w:val="auto"/>
          <w:highlight w:val="none"/>
          <w:lang w:eastAsia="zh-CN"/>
        </w:rPr>
      </w:pPr>
    </w:p>
    <w:p w14:paraId="7A6FFE08">
      <w:pPr>
        <w:spacing w:line="360" w:lineRule="auto"/>
        <w:ind w:firstLine="562"/>
        <w:jc w:val="center"/>
        <w:rPr>
          <w:rFonts w:hint="eastAsia" w:asciiTheme="minorEastAsia" w:hAnsiTheme="minorEastAsia" w:eastAsiaTheme="minorEastAsia" w:cstheme="minorEastAsia"/>
          <w:color w:val="auto"/>
          <w:spacing w:val="0"/>
          <w:w w:val="100"/>
          <w:kern w:val="0"/>
          <w:sz w:val="24"/>
          <w:szCs w:val="24"/>
          <w:highlight w:val="none"/>
        </w:rPr>
      </w:pPr>
      <w:r>
        <w:rPr>
          <w:rFonts w:ascii="宋体" w:hAnsi="宋体" w:cs="宋体"/>
          <w:b/>
          <w:bCs/>
          <w:color w:val="auto"/>
          <w:sz w:val="28"/>
          <w:szCs w:val="28"/>
          <w:highlight w:val="none"/>
          <w:lang w:eastAsia="zh-CN"/>
        </w:rPr>
        <w:br w:type="page"/>
      </w:r>
      <w:bookmarkStart w:id="1037" w:name="_Toc23242"/>
      <w:bookmarkStart w:id="1038" w:name="_Toc29886"/>
      <w:r>
        <w:rPr>
          <w:rStyle w:val="39"/>
          <w:rFonts w:hint="eastAsia"/>
          <w:color w:val="auto"/>
          <w:highlight w:val="none"/>
          <w:lang w:eastAsia="zh-CN"/>
        </w:rPr>
        <w:t>十</w:t>
      </w:r>
      <w:r>
        <w:rPr>
          <w:rStyle w:val="39"/>
          <w:rFonts w:hint="eastAsia"/>
          <w:color w:val="auto"/>
          <w:highlight w:val="none"/>
          <w:lang w:val="en-US" w:eastAsia="zh-CN"/>
        </w:rPr>
        <w:t>一</w:t>
      </w:r>
      <w:r>
        <w:rPr>
          <w:rStyle w:val="39"/>
          <w:rFonts w:hint="eastAsia"/>
          <w:color w:val="auto"/>
          <w:highlight w:val="none"/>
          <w:lang w:eastAsia="zh-CN"/>
        </w:rPr>
        <w:t>、</w:t>
      </w:r>
      <w:bookmarkEnd w:id="1037"/>
      <w:bookmarkEnd w:id="1038"/>
      <w:bookmarkStart w:id="1039" w:name="_Toc603"/>
      <w:r>
        <w:rPr>
          <w:rStyle w:val="39"/>
          <w:rFonts w:hint="eastAsia" w:asciiTheme="minorEastAsia" w:hAnsiTheme="minorEastAsia" w:eastAsiaTheme="minorEastAsia" w:cstheme="minorEastAsia"/>
          <w:color w:val="auto"/>
          <w:spacing w:val="0"/>
          <w:w w:val="100"/>
          <w:sz w:val="24"/>
          <w:szCs w:val="24"/>
          <w:highlight w:val="none"/>
        </w:rPr>
        <w:t>残疾人福利性单位声明函</w:t>
      </w:r>
      <w:r>
        <w:rPr>
          <w:rStyle w:val="39"/>
          <w:rFonts w:hint="eastAsia" w:asciiTheme="minorEastAsia" w:hAnsiTheme="minorEastAsia" w:eastAsiaTheme="minorEastAsia" w:cstheme="minorEastAsia"/>
          <w:color w:val="auto"/>
          <w:spacing w:val="0"/>
          <w:w w:val="100"/>
          <w:sz w:val="24"/>
          <w:szCs w:val="24"/>
          <w:highlight w:val="none"/>
          <w:lang w:eastAsia="zh-CN"/>
        </w:rPr>
        <w:t>（</w:t>
      </w:r>
      <w:r>
        <w:rPr>
          <w:rStyle w:val="39"/>
          <w:rFonts w:hint="eastAsia" w:asciiTheme="minorEastAsia" w:hAnsiTheme="minorEastAsia" w:eastAsiaTheme="minorEastAsia" w:cstheme="minorEastAsia"/>
          <w:color w:val="auto"/>
          <w:spacing w:val="0"/>
          <w:w w:val="100"/>
          <w:sz w:val="24"/>
          <w:szCs w:val="24"/>
          <w:highlight w:val="none"/>
          <w:lang w:val="en-US" w:eastAsia="zh-CN"/>
        </w:rPr>
        <w:t>如有</w:t>
      </w:r>
      <w:r>
        <w:rPr>
          <w:rStyle w:val="39"/>
          <w:rFonts w:hint="eastAsia" w:asciiTheme="minorEastAsia" w:hAnsiTheme="minorEastAsia" w:eastAsiaTheme="minorEastAsia" w:cstheme="minorEastAsia"/>
          <w:color w:val="auto"/>
          <w:spacing w:val="0"/>
          <w:w w:val="100"/>
          <w:sz w:val="24"/>
          <w:szCs w:val="24"/>
          <w:highlight w:val="none"/>
          <w:lang w:eastAsia="zh-CN"/>
        </w:rPr>
        <w:t>）</w:t>
      </w:r>
      <w:bookmarkEnd w:id="1039"/>
    </w:p>
    <w:p w14:paraId="706BEA54">
      <w:pPr>
        <w:spacing w:line="360" w:lineRule="auto"/>
        <w:ind w:firstLine="420"/>
        <w:jc w:val="center"/>
        <w:rPr>
          <w:rFonts w:hint="eastAsia" w:asciiTheme="minorEastAsia" w:hAnsiTheme="minorEastAsia" w:eastAsiaTheme="minorEastAsia" w:cstheme="minorEastAsia"/>
          <w:color w:val="auto"/>
          <w:spacing w:val="0"/>
          <w:w w:val="100"/>
          <w:sz w:val="24"/>
          <w:szCs w:val="24"/>
          <w:highlight w:val="none"/>
        </w:rPr>
      </w:pPr>
      <w:r>
        <w:rPr>
          <w:rFonts w:hint="eastAsia" w:asciiTheme="minorEastAsia" w:hAnsiTheme="minorEastAsia" w:eastAsiaTheme="minorEastAsia" w:cstheme="minorEastAsia"/>
          <w:color w:val="auto"/>
          <w:spacing w:val="0"/>
          <w:w w:val="100"/>
          <w:sz w:val="24"/>
          <w:szCs w:val="24"/>
          <w:highlight w:val="none"/>
        </w:rPr>
        <w:t>（属于残疾人福利企业的填写</w:t>
      </w:r>
      <w:r>
        <w:rPr>
          <w:rFonts w:hint="eastAsia" w:asciiTheme="minorEastAsia" w:hAnsiTheme="minorEastAsia" w:eastAsiaTheme="minorEastAsia" w:cstheme="minorEastAsia"/>
          <w:color w:val="auto"/>
          <w:spacing w:val="0"/>
          <w:w w:val="100"/>
          <w:sz w:val="24"/>
          <w:szCs w:val="24"/>
          <w:highlight w:val="none"/>
          <w:lang w:eastAsia="zh-CN"/>
        </w:rPr>
        <w:t>，</w:t>
      </w:r>
      <w:r>
        <w:rPr>
          <w:rFonts w:hint="eastAsia" w:asciiTheme="minorEastAsia" w:hAnsiTheme="minorEastAsia" w:eastAsiaTheme="minorEastAsia" w:cstheme="minorEastAsia"/>
          <w:color w:val="auto"/>
          <w:spacing w:val="0"/>
          <w:w w:val="100"/>
          <w:sz w:val="24"/>
          <w:szCs w:val="24"/>
          <w:highlight w:val="none"/>
        </w:rPr>
        <w:t>不属于的无需填写此项内容）</w:t>
      </w:r>
    </w:p>
    <w:p w14:paraId="41C29468">
      <w:pPr>
        <w:pStyle w:val="42"/>
        <w:ind w:firstLine="420"/>
        <w:rPr>
          <w:rFonts w:hint="eastAsia" w:asciiTheme="minorEastAsia" w:hAnsiTheme="minorEastAsia" w:eastAsiaTheme="minorEastAsia" w:cstheme="minorEastAsia"/>
          <w:color w:val="auto"/>
          <w:spacing w:val="0"/>
          <w:w w:val="100"/>
          <w:sz w:val="24"/>
          <w:szCs w:val="24"/>
          <w:highlight w:val="none"/>
        </w:rPr>
      </w:pPr>
    </w:p>
    <w:p w14:paraId="011684F0">
      <w:pPr>
        <w:spacing w:line="360" w:lineRule="auto"/>
        <w:ind w:firstLine="420"/>
        <w:rPr>
          <w:rFonts w:hint="eastAsia" w:asciiTheme="minorEastAsia" w:hAnsiTheme="minorEastAsia" w:eastAsiaTheme="minorEastAsia" w:cstheme="minorEastAsia"/>
          <w:snapToGrid w:val="0"/>
          <w:color w:val="auto"/>
          <w:spacing w:val="0"/>
          <w:w w:val="100"/>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0"/>
          <w:w w:val="100"/>
          <w:kern w:val="0"/>
          <w:sz w:val="24"/>
          <w:szCs w:val="24"/>
          <w:highlight w:val="none"/>
          <w:lang w:val="en-US" w:eastAsia="en-US" w:bidi="ar-SA"/>
        </w:rPr>
        <w:t>本单位郑重声明，根据《财政部 民政部 中国残疾人联合会关于促进残疾人就业政府采购政策的通知》(财库(2017) 141号)的规定，本单位为符合条件的残疾人福利性单位，且本单位参加</w:t>
      </w:r>
      <w:r>
        <w:rPr>
          <w:rFonts w:hint="eastAsia" w:asciiTheme="minorEastAsia" w:hAnsiTheme="minorEastAsia" w:eastAsiaTheme="minorEastAsia" w:cstheme="minorEastAsia"/>
          <w:snapToGrid w:val="0"/>
          <w:color w:val="auto"/>
          <w:spacing w:val="0"/>
          <w:w w:val="100"/>
          <w:kern w:val="0"/>
          <w:sz w:val="24"/>
          <w:szCs w:val="24"/>
          <w:highlight w:val="none"/>
          <w:u w:val="single"/>
          <w:lang w:val="en-US" w:eastAsia="zh-CN" w:bidi="ar-SA"/>
        </w:rPr>
        <w:t xml:space="preserve">      </w:t>
      </w:r>
      <w:r>
        <w:rPr>
          <w:rFonts w:hint="eastAsia" w:asciiTheme="minorEastAsia" w:hAnsiTheme="minorEastAsia" w:eastAsiaTheme="minorEastAsia" w:cstheme="minorEastAsia"/>
          <w:snapToGrid w:val="0"/>
          <w:color w:val="auto"/>
          <w:spacing w:val="0"/>
          <w:w w:val="100"/>
          <w:kern w:val="0"/>
          <w:sz w:val="24"/>
          <w:szCs w:val="24"/>
          <w:highlight w:val="none"/>
          <w:lang w:val="en-US" w:eastAsia="en-US" w:bidi="ar-SA"/>
        </w:rPr>
        <w:t>单位的</w:t>
      </w:r>
      <w:r>
        <w:rPr>
          <w:rFonts w:hint="eastAsia" w:asciiTheme="minorEastAsia" w:hAnsiTheme="minorEastAsia" w:eastAsiaTheme="minorEastAsia" w:cstheme="minorEastAsia"/>
          <w:snapToGrid w:val="0"/>
          <w:color w:val="auto"/>
          <w:spacing w:val="0"/>
          <w:w w:val="100"/>
          <w:kern w:val="0"/>
          <w:sz w:val="24"/>
          <w:szCs w:val="24"/>
          <w:highlight w:val="none"/>
          <w:u w:val="single"/>
          <w:lang w:val="en-US" w:eastAsia="zh-CN" w:bidi="ar-SA"/>
        </w:rPr>
        <w:t xml:space="preserve">      </w:t>
      </w:r>
      <w:r>
        <w:rPr>
          <w:rFonts w:hint="eastAsia" w:asciiTheme="minorEastAsia" w:hAnsiTheme="minorEastAsia" w:eastAsiaTheme="minorEastAsia" w:cstheme="minorEastAsia"/>
          <w:snapToGrid w:val="0"/>
          <w:color w:val="auto"/>
          <w:spacing w:val="0"/>
          <w:w w:val="100"/>
          <w:kern w:val="0"/>
          <w:sz w:val="24"/>
          <w:szCs w:val="24"/>
          <w:highlight w:val="none"/>
          <w:lang w:val="en-US" w:eastAsia="en-US" w:bidi="ar-SA"/>
        </w:rPr>
        <w:t>项目采购活动提供本单位的服务。</w:t>
      </w:r>
    </w:p>
    <w:p w14:paraId="257316E4">
      <w:pPr>
        <w:spacing w:line="360" w:lineRule="auto"/>
        <w:ind w:firstLine="420"/>
        <w:rPr>
          <w:rFonts w:hint="eastAsia" w:asciiTheme="minorEastAsia" w:hAnsiTheme="minorEastAsia" w:eastAsiaTheme="minorEastAsia" w:cstheme="minorEastAsia"/>
          <w:color w:val="auto"/>
          <w:spacing w:val="0"/>
          <w:w w:val="100"/>
          <w:sz w:val="24"/>
          <w:szCs w:val="24"/>
          <w:highlight w:val="none"/>
        </w:rPr>
      </w:pPr>
      <w:r>
        <w:rPr>
          <w:rFonts w:hint="eastAsia" w:ascii="宋体" w:hAnsi="宋体" w:cs="Times New Roman"/>
          <w:bCs/>
          <w:color w:val="auto"/>
          <w:spacing w:val="6"/>
          <w:kern w:val="2"/>
          <w:sz w:val="24"/>
          <w:szCs w:val="24"/>
          <w:highlight w:val="none"/>
          <w:lang w:eastAsia="zh-CN"/>
        </w:rPr>
        <w:t>本单位对上述声明的真实性负责。如有虚假，将依法承担相应责任。</w:t>
      </w:r>
    </w:p>
    <w:p w14:paraId="0E763F91">
      <w:pPr>
        <w:spacing w:line="360" w:lineRule="auto"/>
        <w:ind w:firstLine="420"/>
        <w:rPr>
          <w:rFonts w:hint="eastAsia" w:asciiTheme="minorEastAsia" w:hAnsiTheme="minorEastAsia" w:eastAsiaTheme="minorEastAsia" w:cstheme="minorEastAsia"/>
          <w:color w:val="auto"/>
          <w:spacing w:val="0"/>
          <w:w w:val="100"/>
          <w:sz w:val="24"/>
          <w:szCs w:val="24"/>
          <w:highlight w:val="none"/>
        </w:rPr>
      </w:pPr>
    </w:p>
    <w:p w14:paraId="2EC34BF5">
      <w:pPr>
        <w:spacing w:line="360" w:lineRule="auto"/>
        <w:ind w:firstLine="420"/>
        <w:rPr>
          <w:rFonts w:hint="eastAsia" w:asciiTheme="minorEastAsia" w:hAnsiTheme="minorEastAsia" w:eastAsiaTheme="minorEastAsia" w:cstheme="minorEastAsia"/>
          <w:color w:val="auto"/>
          <w:spacing w:val="0"/>
          <w:w w:val="100"/>
          <w:sz w:val="24"/>
          <w:szCs w:val="24"/>
          <w:highlight w:val="none"/>
        </w:rPr>
      </w:pPr>
    </w:p>
    <w:p w14:paraId="11F6900A">
      <w:pPr>
        <w:spacing w:line="360" w:lineRule="auto"/>
        <w:ind w:firstLine="420"/>
        <w:rPr>
          <w:rFonts w:hint="eastAsia" w:asciiTheme="minorEastAsia" w:hAnsiTheme="minorEastAsia" w:eastAsiaTheme="minorEastAsia" w:cstheme="minorEastAsia"/>
          <w:color w:val="auto"/>
          <w:spacing w:val="0"/>
          <w:w w:val="100"/>
          <w:sz w:val="24"/>
          <w:szCs w:val="24"/>
          <w:highlight w:val="none"/>
        </w:rPr>
      </w:pPr>
    </w:p>
    <w:p w14:paraId="2A173DDE">
      <w:pPr>
        <w:spacing w:line="360" w:lineRule="auto"/>
        <w:ind w:firstLine="420"/>
        <w:rPr>
          <w:rFonts w:hint="eastAsia" w:asciiTheme="minorEastAsia" w:hAnsiTheme="minorEastAsia" w:eastAsiaTheme="minorEastAsia" w:cstheme="minorEastAsia"/>
          <w:color w:val="auto"/>
          <w:spacing w:val="0"/>
          <w:w w:val="100"/>
          <w:sz w:val="24"/>
          <w:szCs w:val="24"/>
          <w:highlight w:val="none"/>
        </w:rPr>
      </w:pPr>
    </w:p>
    <w:p w14:paraId="3DF1ACFE">
      <w:pPr>
        <w:spacing w:line="360" w:lineRule="auto"/>
        <w:ind w:firstLine="420"/>
        <w:rPr>
          <w:rFonts w:hint="eastAsia" w:asciiTheme="minorEastAsia" w:hAnsiTheme="minorEastAsia" w:eastAsiaTheme="minorEastAsia" w:cstheme="minorEastAsia"/>
          <w:color w:val="auto"/>
          <w:spacing w:val="0"/>
          <w:w w:val="100"/>
          <w:sz w:val="24"/>
          <w:szCs w:val="24"/>
          <w:highlight w:val="none"/>
        </w:rPr>
      </w:pPr>
      <w:r>
        <w:rPr>
          <w:rFonts w:hint="eastAsia" w:asciiTheme="minorEastAsia" w:hAnsiTheme="minorEastAsia" w:eastAsiaTheme="minorEastAsia" w:cstheme="minorEastAsia"/>
          <w:color w:val="auto"/>
          <w:spacing w:val="0"/>
          <w:w w:val="100"/>
          <w:sz w:val="24"/>
          <w:szCs w:val="24"/>
          <w:highlight w:val="none"/>
        </w:rPr>
        <w:t>供应商名称（单位电子签章）：</w:t>
      </w:r>
    </w:p>
    <w:p w14:paraId="2D4FDFE0">
      <w:pPr>
        <w:spacing w:line="360" w:lineRule="auto"/>
        <w:ind w:firstLine="420"/>
        <w:rPr>
          <w:rFonts w:hint="eastAsia" w:asciiTheme="minorEastAsia" w:hAnsiTheme="minorEastAsia" w:eastAsiaTheme="minorEastAsia" w:cstheme="minorEastAsia"/>
          <w:color w:val="auto"/>
          <w:spacing w:val="0"/>
          <w:w w:val="100"/>
          <w:sz w:val="24"/>
          <w:szCs w:val="24"/>
          <w:highlight w:val="none"/>
        </w:rPr>
      </w:pPr>
      <w:r>
        <w:rPr>
          <w:rFonts w:hint="eastAsia" w:asciiTheme="minorEastAsia" w:hAnsiTheme="minorEastAsia" w:eastAsiaTheme="minorEastAsia" w:cstheme="minorEastAsia"/>
          <w:color w:val="auto"/>
          <w:spacing w:val="0"/>
          <w:w w:val="100"/>
          <w:sz w:val="24"/>
          <w:szCs w:val="24"/>
          <w:highlight w:val="none"/>
        </w:rPr>
        <w:t>日期：</w:t>
      </w:r>
    </w:p>
    <w:p w14:paraId="6CFB2AB2">
      <w:pPr>
        <w:spacing w:line="360" w:lineRule="auto"/>
        <w:ind w:firstLine="420"/>
        <w:rPr>
          <w:rFonts w:ascii="宋体" w:hAnsi="宋体" w:cs="宋体"/>
          <w:color w:val="auto"/>
          <w:highlight w:val="none"/>
          <w:lang w:eastAsia="zh-CN"/>
        </w:rPr>
      </w:pPr>
    </w:p>
    <w:p w14:paraId="48FC32D5">
      <w:pPr>
        <w:ind w:firstLine="422"/>
        <w:rPr>
          <w:rFonts w:ascii="宋体" w:hAnsi="宋体" w:cs="宋体"/>
          <w:b/>
          <w:color w:val="auto"/>
          <w:highlight w:val="none"/>
          <w:lang w:eastAsia="zh-CN"/>
        </w:rPr>
      </w:pPr>
    </w:p>
    <w:p w14:paraId="1E733919">
      <w:pPr>
        <w:pStyle w:val="4"/>
        <w:rPr>
          <w:rFonts w:hAnsi="宋体"/>
          <w:b/>
          <w:color w:val="auto"/>
          <w:kern w:val="2"/>
          <w:sz w:val="21"/>
          <w:szCs w:val="21"/>
          <w:highlight w:val="none"/>
        </w:rPr>
      </w:pPr>
    </w:p>
    <w:p w14:paraId="633A92D8">
      <w:pPr>
        <w:pStyle w:val="21"/>
        <w:ind w:firstLine="422"/>
        <w:rPr>
          <w:rFonts w:ascii="宋体" w:hAnsi="宋体" w:cs="宋体"/>
          <w:b/>
          <w:color w:val="auto"/>
          <w:sz w:val="21"/>
          <w:szCs w:val="21"/>
          <w:highlight w:val="none"/>
          <w:lang w:eastAsia="zh-CN"/>
        </w:rPr>
      </w:pPr>
    </w:p>
    <w:p w14:paraId="646504E3">
      <w:pPr>
        <w:pStyle w:val="21"/>
        <w:ind w:firstLine="422"/>
        <w:rPr>
          <w:rFonts w:ascii="宋体" w:hAnsi="宋体" w:cs="宋体"/>
          <w:b/>
          <w:color w:val="auto"/>
          <w:sz w:val="21"/>
          <w:szCs w:val="21"/>
          <w:highlight w:val="none"/>
          <w:lang w:eastAsia="zh-CN"/>
        </w:rPr>
      </w:pPr>
    </w:p>
    <w:p w14:paraId="731EF7E8">
      <w:pPr>
        <w:pStyle w:val="21"/>
        <w:ind w:firstLine="422"/>
        <w:rPr>
          <w:rFonts w:ascii="宋体" w:hAnsi="宋体" w:cs="宋体"/>
          <w:b/>
          <w:color w:val="auto"/>
          <w:sz w:val="21"/>
          <w:szCs w:val="21"/>
          <w:highlight w:val="none"/>
          <w:lang w:eastAsia="zh-CN"/>
        </w:rPr>
      </w:pPr>
    </w:p>
    <w:p w14:paraId="13EE68CB">
      <w:pPr>
        <w:pStyle w:val="21"/>
        <w:ind w:firstLine="422"/>
        <w:rPr>
          <w:rFonts w:ascii="宋体" w:hAnsi="宋体" w:cs="宋体"/>
          <w:b/>
          <w:color w:val="auto"/>
          <w:sz w:val="21"/>
          <w:szCs w:val="21"/>
          <w:highlight w:val="none"/>
          <w:lang w:eastAsia="zh-CN"/>
        </w:rPr>
      </w:pPr>
    </w:p>
    <w:p w14:paraId="3BB6C3BE">
      <w:pPr>
        <w:pStyle w:val="21"/>
        <w:ind w:firstLine="422"/>
        <w:rPr>
          <w:rFonts w:ascii="宋体" w:hAnsi="宋体" w:cs="宋体"/>
          <w:b/>
          <w:color w:val="auto"/>
          <w:sz w:val="21"/>
          <w:szCs w:val="21"/>
          <w:highlight w:val="none"/>
          <w:lang w:eastAsia="zh-CN"/>
        </w:rPr>
      </w:pPr>
    </w:p>
    <w:p w14:paraId="53AE6FC2">
      <w:pPr>
        <w:pStyle w:val="21"/>
        <w:ind w:firstLine="422"/>
        <w:rPr>
          <w:rFonts w:ascii="宋体" w:hAnsi="宋体" w:cs="宋体"/>
          <w:b/>
          <w:color w:val="auto"/>
          <w:sz w:val="21"/>
          <w:szCs w:val="21"/>
          <w:highlight w:val="none"/>
          <w:lang w:eastAsia="zh-CN"/>
        </w:rPr>
      </w:pPr>
    </w:p>
    <w:p w14:paraId="067E0CE5">
      <w:pPr>
        <w:pStyle w:val="21"/>
        <w:ind w:firstLine="422"/>
        <w:rPr>
          <w:rFonts w:ascii="宋体" w:hAnsi="宋体" w:cs="宋体"/>
          <w:b/>
          <w:color w:val="auto"/>
          <w:sz w:val="21"/>
          <w:szCs w:val="21"/>
          <w:highlight w:val="none"/>
          <w:lang w:eastAsia="zh-CN"/>
        </w:rPr>
      </w:pPr>
    </w:p>
    <w:p w14:paraId="74FE8E6C">
      <w:pPr>
        <w:pStyle w:val="21"/>
        <w:ind w:firstLine="422"/>
        <w:rPr>
          <w:rFonts w:ascii="宋体" w:hAnsi="宋体" w:cs="宋体"/>
          <w:b/>
          <w:color w:val="auto"/>
          <w:sz w:val="21"/>
          <w:szCs w:val="21"/>
          <w:highlight w:val="none"/>
          <w:lang w:eastAsia="zh-CN"/>
        </w:rPr>
      </w:pPr>
    </w:p>
    <w:p w14:paraId="1E2ACF9C">
      <w:pPr>
        <w:pStyle w:val="21"/>
        <w:rPr>
          <w:rFonts w:ascii="宋体" w:hAnsi="宋体" w:cs="宋体"/>
          <w:b/>
          <w:color w:val="auto"/>
          <w:sz w:val="21"/>
          <w:szCs w:val="21"/>
          <w:highlight w:val="none"/>
          <w:lang w:eastAsia="zh-CN"/>
        </w:rPr>
      </w:pPr>
    </w:p>
    <w:p w14:paraId="205BEE86">
      <w:pPr>
        <w:pStyle w:val="10"/>
        <w:jc w:val="center"/>
        <w:outlineLvl w:val="9"/>
        <w:rPr>
          <w:color w:val="auto"/>
          <w:highlight w:val="none"/>
          <w:lang w:eastAsia="zh-CN"/>
        </w:rPr>
      </w:pPr>
      <w:bookmarkStart w:id="1040" w:name="_Toc3857"/>
      <w:bookmarkStart w:id="1041" w:name="_Toc606"/>
      <w:r>
        <w:rPr>
          <w:rFonts w:hint="eastAsia"/>
          <w:color w:val="auto"/>
          <w:highlight w:val="none"/>
          <w:lang w:eastAsia="zh-CN"/>
        </w:rPr>
        <w:t>十</w:t>
      </w:r>
      <w:r>
        <w:rPr>
          <w:rFonts w:hint="eastAsia"/>
          <w:color w:val="auto"/>
          <w:highlight w:val="none"/>
          <w:lang w:val="en-US" w:eastAsia="zh-CN"/>
        </w:rPr>
        <w:t>二</w:t>
      </w:r>
      <w:r>
        <w:rPr>
          <w:rFonts w:hint="eastAsia"/>
          <w:color w:val="auto"/>
          <w:highlight w:val="none"/>
          <w:lang w:eastAsia="zh-CN"/>
        </w:rPr>
        <w:t>、监狱企业证明文件（如有）</w:t>
      </w:r>
      <w:bookmarkEnd w:id="1040"/>
      <w:bookmarkEnd w:id="1041"/>
    </w:p>
    <w:p w14:paraId="0AD597F6">
      <w:pPr>
        <w:spacing w:line="360" w:lineRule="auto"/>
        <w:ind w:firstLine="420"/>
        <w:rPr>
          <w:rFonts w:ascii="宋体" w:hAnsi="宋体" w:cs="宋体"/>
          <w:color w:val="auto"/>
          <w:highlight w:val="none"/>
          <w:lang w:eastAsia="zh-CN"/>
        </w:rPr>
      </w:pPr>
      <w:r>
        <w:rPr>
          <w:rFonts w:hint="eastAsia" w:ascii="宋体" w:hAnsi="宋体" w:cs="宋体"/>
          <w:color w:val="auto"/>
          <w:highlight w:val="none"/>
          <w:lang w:eastAsia="zh-CN"/>
        </w:rPr>
        <w:t>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6%的价格扣除，但必须提供由省级以上监狱管理局、戒毒管理局（含新疆生产建设兵团）出具的属于监狱企业的证明文件，否则评审时不予价格扣除优惠。</w:t>
      </w:r>
    </w:p>
    <w:p w14:paraId="60CF24BA">
      <w:pPr>
        <w:spacing w:line="360" w:lineRule="auto"/>
        <w:ind w:firstLine="420"/>
        <w:jc w:val="center"/>
        <w:rPr>
          <w:rFonts w:ascii="宋体" w:hAnsi="宋体" w:cs="宋体"/>
          <w:color w:val="auto"/>
          <w:highlight w:val="none"/>
          <w:lang w:eastAsia="zh-CN"/>
        </w:rPr>
      </w:pPr>
    </w:p>
    <w:p w14:paraId="7F231DF2">
      <w:pPr>
        <w:spacing w:line="360" w:lineRule="auto"/>
        <w:ind w:firstLine="420"/>
        <w:jc w:val="center"/>
        <w:rPr>
          <w:rFonts w:ascii="宋体" w:hAnsi="宋体" w:cs="宋体"/>
          <w:color w:val="auto"/>
          <w:highlight w:val="none"/>
          <w:lang w:eastAsia="zh-CN"/>
        </w:rPr>
      </w:pPr>
    </w:p>
    <w:p w14:paraId="0D30C34F">
      <w:pPr>
        <w:spacing w:line="360" w:lineRule="auto"/>
        <w:ind w:firstLine="420"/>
        <w:rPr>
          <w:rFonts w:ascii="宋体" w:hAnsi="宋体" w:cs="宋体"/>
          <w:color w:val="auto"/>
          <w:highlight w:val="none"/>
          <w:lang w:eastAsia="zh-CN"/>
        </w:rPr>
      </w:pPr>
      <w:r>
        <w:rPr>
          <w:rFonts w:hint="eastAsia" w:ascii="宋体" w:hAnsi="宋体" w:cs="宋体"/>
          <w:color w:val="auto"/>
          <w:highlight w:val="none"/>
          <w:lang w:eastAsia="zh-CN"/>
        </w:rPr>
        <w:t>注：在投标文件中附扫描件。</w:t>
      </w:r>
    </w:p>
    <w:p w14:paraId="64188A24">
      <w:pPr>
        <w:ind w:firstLine="420"/>
        <w:rPr>
          <w:color w:val="auto"/>
          <w:highlight w:val="none"/>
          <w:lang w:eastAsia="zh-CN"/>
        </w:rPr>
      </w:pPr>
    </w:p>
    <w:p w14:paraId="0E0D1BC3">
      <w:pPr>
        <w:pStyle w:val="2"/>
        <w:ind w:firstLine="210"/>
        <w:rPr>
          <w:rFonts w:ascii="宋体" w:hAnsi="宋体" w:cs="宋体"/>
          <w:color w:val="auto"/>
          <w:highlight w:val="none"/>
          <w:lang w:eastAsia="zh-CN"/>
        </w:rPr>
      </w:pPr>
    </w:p>
    <w:p w14:paraId="16FCA316">
      <w:pPr>
        <w:pStyle w:val="9"/>
        <w:outlineLvl w:val="9"/>
        <w:rPr>
          <w:rFonts w:ascii="宋体" w:hAnsi="宋体" w:cs="宋体"/>
          <w:color w:val="auto"/>
          <w:sz w:val="28"/>
          <w:szCs w:val="28"/>
          <w:highlight w:val="none"/>
          <w:lang w:eastAsia="zh-CN"/>
        </w:rPr>
      </w:pPr>
      <w:r>
        <w:rPr>
          <w:rFonts w:ascii="宋体" w:hAnsi="宋体" w:cs="宋体"/>
          <w:color w:val="auto"/>
          <w:sz w:val="28"/>
          <w:szCs w:val="28"/>
          <w:highlight w:val="none"/>
          <w:lang w:eastAsia="zh-CN"/>
        </w:rPr>
        <w:br w:type="page"/>
      </w:r>
      <w:bookmarkStart w:id="1042" w:name="_Toc30261"/>
      <w:bookmarkStart w:id="1043" w:name="_Toc6280"/>
      <w:r>
        <w:rPr>
          <w:rStyle w:val="39"/>
          <w:rFonts w:hint="eastAsia"/>
          <w:b/>
          <w:color w:val="auto"/>
          <w:highlight w:val="none"/>
          <w:lang w:eastAsia="zh-CN"/>
        </w:rPr>
        <w:t>十</w:t>
      </w:r>
      <w:r>
        <w:rPr>
          <w:rStyle w:val="39"/>
          <w:rFonts w:hint="eastAsia"/>
          <w:b/>
          <w:color w:val="auto"/>
          <w:highlight w:val="none"/>
          <w:lang w:val="en-US" w:eastAsia="zh-CN"/>
        </w:rPr>
        <w:t>三</w:t>
      </w:r>
      <w:r>
        <w:rPr>
          <w:rStyle w:val="39"/>
          <w:rFonts w:hint="eastAsia"/>
          <w:b/>
          <w:color w:val="auto"/>
          <w:highlight w:val="none"/>
          <w:lang w:eastAsia="zh-CN"/>
        </w:rPr>
        <w:t>、反商业贿赂承诺书</w:t>
      </w:r>
      <w:bookmarkEnd w:id="1042"/>
      <w:bookmarkEnd w:id="1043"/>
    </w:p>
    <w:p w14:paraId="128B453F">
      <w:pPr>
        <w:ind w:firstLine="420"/>
        <w:rPr>
          <w:color w:val="auto"/>
          <w:highlight w:val="none"/>
          <w:lang w:eastAsia="zh-CN"/>
        </w:rPr>
      </w:pPr>
    </w:p>
    <w:p w14:paraId="4FF4B7B1">
      <w:pPr>
        <w:spacing w:line="360" w:lineRule="auto"/>
        <w:ind w:firstLine="630" w:firstLineChars="300"/>
        <w:rPr>
          <w:rFonts w:ascii="宋体" w:hAnsi="宋体" w:cs="宋体"/>
          <w:color w:val="auto"/>
          <w:highlight w:val="none"/>
          <w:lang w:val="zh-CN" w:eastAsia="zh-CN"/>
        </w:rPr>
      </w:pPr>
      <w:r>
        <w:rPr>
          <w:rFonts w:hint="eastAsia" w:ascii="宋体" w:hAnsi="宋体" w:cs="宋体"/>
          <w:color w:val="auto"/>
          <w:highlight w:val="none"/>
          <w:lang w:val="zh-CN" w:eastAsia="zh-CN"/>
        </w:rPr>
        <w:t>我方承诺：</w:t>
      </w:r>
    </w:p>
    <w:p w14:paraId="031B38FE">
      <w:pPr>
        <w:spacing w:line="360" w:lineRule="auto"/>
        <w:ind w:firstLine="630" w:firstLineChars="300"/>
        <w:rPr>
          <w:rFonts w:ascii="宋体" w:hAnsi="宋体" w:cs="宋体"/>
          <w:color w:val="auto"/>
          <w:highlight w:val="none"/>
          <w:lang w:val="zh-CN" w:eastAsia="zh-CN"/>
        </w:rPr>
      </w:pPr>
      <w:r>
        <w:rPr>
          <w:rFonts w:hint="eastAsia" w:ascii="宋体" w:hAnsi="宋体" w:cs="宋体"/>
          <w:color w:val="auto"/>
          <w:highlight w:val="none"/>
          <w:lang w:val="zh-CN" w:eastAsia="zh-CN"/>
        </w:rPr>
        <w:t>在</w:t>
      </w:r>
      <w:r>
        <w:rPr>
          <w:rFonts w:hint="eastAsia" w:ascii="宋体" w:hAnsi="宋体" w:cs="宋体"/>
          <w:color w:val="auto"/>
          <w:highlight w:val="none"/>
          <w:u w:val="single"/>
          <w:lang w:eastAsia="zh-CN"/>
        </w:rPr>
        <w:t xml:space="preserve">                    </w:t>
      </w:r>
      <w:r>
        <w:rPr>
          <w:rFonts w:hint="eastAsia" w:ascii="宋体" w:hAnsi="宋体" w:cs="宋体"/>
          <w:color w:val="auto"/>
          <w:highlight w:val="none"/>
          <w:u w:val="single"/>
          <w:lang w:val="zh-CN" w:eastAsia="zh-CN"/>
        </w:rPr>
        <w:t>（项目名称）</w:t>
      </w:r>
      <w:r>
        <w:rPr>
          <w:rFonts w:hint="eastAsia" w:ascii="宋体" w:hAnsi="宋体" w:cs="宋体"/>
          <w:color w:val="auto"/>
          <w:highlight w:val="none"/>
          <w:u w:val="single"/>
          <w:lang w:eastAsia="zh-CN"/>
        </w:rPr>
        <w:t xml:space="preserve">  </w:t>
      </w:r>
      <w:r>
        <w:rPr>
          <w:rFonts w:hint="eastAsia" w:ascii="宋体" w:hAnsi="宋体" w:cs="宋体"/>
          <w:color w:val="auto"/>
          <w:highlight w:val="none"/>
          <w:u w:val="single"/>
          <w:lang w:val="zh-CN" w:eastAsia="zh-CN"/>
        </w:rPr>
        <w:t>（项目编号：  ）</w:t>
      </w:r>
      <w:r>
        <w:rPr>
          <w:rFonts w:hint="eastAsia" w:ascii="宋体" w:hAnsi="宋体" w:cs="宋体"/>
          <w:color w:val="auto"/>
          <w:highlight w:val="none"/>
          <w:lang w:val="zh-CN" w:eastAsia="zh-CN"/>
        </w:rPr>
        <w:t>投标活动中，我方保证做到：</w:t>
      </w:r>
    </w:p>
    <w:p w14:paraId="3CE7AB20">
      <w:pPr>
        <w:spacing w:line="360" w:lineRule="auto"/>
        <w:ind w:firstLine="630" w:firstLineChars="300"/>
        <w:rPr>
          <w:rFonts w:ascii="宋体" w:hAnsi="宋体" w:cs="宋体"/>
          <w:color w:val="auto"/>
          <w:highlight w:val="none"/>
          <w:lang w:val="zh-CN" w:eastAsia="zh-CN"/>
        </w:rPr>
      </w:pPr>
      <w:r>
        <w:rPr>
          <w:rFonts w:hint="eastAsia" w:ascii="宋体" w:hAnsi="宋体" w:cs="宋体"/>
          <w:color w:val="auto"/>
          <w:highlight w:val="none"/>
          <w:lang w:val="zh-CN" w:eastAsia="zh-CN"/>
        </w:rPr>
        <w:t>一、公平竞争参加本次公开采购活动。</w:t>
      </w:r>
    </w:p>
    <w:p w14:paraId="504653E3">
      <w:pPr>
        <w:spacing w:line="360" w:lineRule="auto"/>
        <w:ind w:firstLine="630" w:firstLineChars="300"/>
        <w:rPr>
          <w:rFonts w:ascii="宋体" w:hAnsi="宋体" w:cs="宋体"/>
          <w:color w:val="auto"/>
          <w:highlight w:val="none"/>
          <w:lang w:val="zh-CN" w:eastAsia="zh-CN"/>
        </w:rPr>
      </w:pPr>
      <w:r>
        <w:rPr>
          <w:rFonts w:hint="eastAsia" w:ascii="宋体" w:hAnsi="宋体" w:cs="宋体"/>
          <w:color w:val="auto"/>
          <w:highlight w:val="none"/>
          <w:lang w:val="zh-CN" w:eastAsia="zh-CN"/>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2262B9D7">
      <w:pPr>
        <w:spacing w:line="360" w:lineRule="auto"/>
        <w:ind w:firstLine="630" w:firstLineChars="300"/>
        <w:rPr>
          <w:rFonts w:ascii="宋体" w:hAnsi="宋体" w:cs="宋体"/>
          <w:color w:val="auto"/>
          <w:highlight w:val="none"/>
          <w:lang w:val="zh-CN" w:eastAsia="zh-CN"/>
        </w:rPr>
      </w:pPr>
      <w:r>
        <w:rPr>
          <w:rFonts w:hint="eastAsia" w:ascii="宋体" w:hAnsi="宋体" w:cs="宋体"/>
          <w:color w:val="auto"/>
          <w:highlight w:val="none"/>
          <w:lang w:val="zh-CN" w:eastAsia="zh-CN"/>
        </w:rPr>
        <w:t>三、若出现上述行为，我方及参与投标的工作人员愿意接受按照国家法律法规等有关规定给予的处罚。</w:t>
      </w:r>
    </w:p>
    <w:p w14:paraId="2774781D">
      <w:pPr>
        <w:spacing w:line="360" w:lineRule="auto"/>
        <w:ind w:left="645" w:leftChars="0" w:firstLine="420" w:firstLineChars="0"/>
        <w:outlineLvl w:val="9"/>
        <w:rPr>
          <w:rFonts w:ascii="宋体" w:hAnsi="宋体" w:cs="宋体"/>
          <w:color w:val="auto"/>
          <w:highlight w:val="none"/>
          <w:lang w:eastAsia="zh-CN"/>
        </w:rPr>
      </w:pPr>
      <w:bookmarkStart w:id="1044" w:name="_Toc22435"/>
      <w:bookmarkStart w:id="1045" w:name="_Toc30283"/>
      <w:r>
        <w:rPr>
          <w:rFonts w:hint="eastAsia" w:ascii="宋体" w:hAnsi="宋体" w:cs="宋体"/>
          <w:color w:val="auto"/>
          <w:highlight w:val="none"/>
          <w:lang w:eastAsia="zh-CN"/>
        </w:rPr>
        <w:br w:type="textWrapping"/>
      </w:r>
      <w:r>
        <w:rPr>
          <w:rFonts w:hint="eastAsia" w:ascii="宋体" w:hAnsi="宋体" w:cs="宋体"/>
          <w:color w:val="auto"/>
          <w:highlight w:val="none"/>
          <w:lang w:eastAsia="zh-CN"/>
        </w:rPr>
        <w:br w:type="textWrapping"/>
      </w:r>
      <w:r>
        <w:rPr>
          <w:rFonts w:hint="eastAsia" w:ascii="宋体" w:hAnsi="宋体" w:cs="宋体"/>
          <w:color w:val="auto"/>
          <w:highlight w:val="none"/>
          <w:lang w:eastAsia="zh-CN"/>
        </w:rPr>
        <w:br w:type="textWrapping"/>
      </w:r>
      <w:r>
        <w:rPr>
          <w:rFonts w:hint="eastAsia" w:ascii="宋体" w:hAnsi="宋体" w:cs="宋体"/>
          <w:color w:val="auto"/>
          <w:highlight w:val="none"/>
          <w:lang w:eastAsia="zh-CN"/>
        </w:rPr>
        <w:t>供应商（单位电子签章）：</w:t>
      </w:r>
      <w:bookmarkEnd w:id="1044"/>
      <w:bookmarkEnd w:id="1045"/>
      <w:r>
        <w:rPr>
          <w:rFonts w:hint="eastAsia" w:ascii="宋体" w:hAnsi="宋体" w:cs="宋体"/>
          <w:color w:val="auto"/>
          <w:highlight w:val="none"/>
          <w:lang w:eastAsia="zh-CN"/>
        </w:rPr>
        <w:t>　</w:t>
      </w:r>
    </w:p>
    <w:p w14:paraId="208D9E80">
      <w:pPr>
        <w:spacing w:line="360" w:lineRule="auto"/>
        <w:ind w:left="630" w:leftChars="300" w:firstLine="0" w:firstLineChars="0"/>
        <w:outlineLvl w:val="9"/>
        <w:rPr>
          <w:rFonts w:ascii="宋体" w:hAnsi="宋体" w:cs="宋体"/>
          <w:color w:val="auto"/>
          <w:highlight w:val="none"/>
          <w:lang w:eastAsia="zh-CN"/>
        </w:rPr>
      </w:pPr>
      <w:bookmarkStart w:id="1046" w:name="_Toc824"/>
      <w:bookmarkStart w:id="1047" w:name="_Toc26480"/>
      <w:r>
        <w:rPr>
          <w:rFonts w:hint="eastAsia" w:ascii="宋体" w:hAnsi="宋体" w:cs="宋体"/>
          <w:color w:val="auto"/>
          <w:highlight w:val="none"/>
          <w:lang w:eastAsia="zh-CN"/>
        </w:rPr>
        <w:br w:type="textWrapping"/>
      </w:r>
      <w:r>
        <w:rPr>
          <w:rFonts w:hint="eastAsia" w:ascii="宋体" w:hAnsi="宋体" w:cs="宋体"/>
          <w:color w:val="auto"/>
          <w:highlight w:val="none"/>
          <w:lang w:eastAsia="zh-CN"/>
        </w:rPr>
        <w:t>法定代表人或授权代表（电子签名或电子签章）：</w:t>
      </w:r>
      <w:bookmarkEnd w:id="1046"/>
      <w:bookmarkEnd w:id="1047"/>
    </w:p>
    <w:p w14:paraId="17CCF41E">
      <w:pPr>
        <w:spacing w:line="360" w:lineRule="auto"/>
        <w:ind w:left="645" w:leftChars="0" w:firstLine="420" w:firstLineChars="0"/>
        <w:outlineLvl w:val="9"/>
        <w:rPr>
          <w:rFonts w:ascii="宋体" w:hAnsi="宋体" w:cs="宋体"/>
          <w:color w:val="auto"/>
          <w:highlight w:val="none"/>
        </w:rPr>
      </w:pPr>
      <w:bookmarkStart w:id="1048" w:name="_Toc29482"/>
      <w:bookmarkStart w:id="1049" w:name="_Toc5000"/>
      <w:r>
        <w:rPr>
          <w:rFonts w:hint="eastAsia" w:ascii="宋体" w:hAnsi="宋体" w:cs="宋体"/>
          <w:color w:val="auto"/>
          <w:highlight w:val="none"/>
        </w:rPr>
        <w:br w:type="textWrapping"/>
      </w:r>
      <w:r>
        <w:rPr>
          <w:rFonts w:hint="eastAsia" w:ascii="宋体" w:hAnsi="宋体" w:cs="宋体"/>
          <w:color w:val="auto"/>
          <w:highlight w:val="none"/>
        </w:rPr>
        <w:t>日期：    年　　月　　日</w:t>
      </w:r>
      <w:bookmarkEnd w:id="1048"/>
      <w:bookmarkEnd w:id="1049"/>
    </w:p>
    <w:p w14:paraId="72A818E7">
      <w:pPr>
        <w:pStyle w:val="10"/>
        <w:jc w:val="center"/>
        <w:outlineLvl w:val="9"/>
        <w:rPr>
          <w:rFonts w:hint="eastAsia"/>
          <w:color w:val="auto"/>
          <w:highlight w:val="none"/>
        </w:rPr>
        <w:sectPr>
          <w:pgSz w:w="11900" w:h="16840"/>
          <w:pgMar w:top="1350" w:right="1785" w:bottom="0" w:left="1785" w:header="0" w:footer="0" w:gutter="0"/>
          <w:pgNumType w:fmt="decimal"/>
          <w:cols w:space="720" w:num="1"/>
        </w:sectPr>
      </w:pPr>
      <w:bookmarkStart w:id="1050" w:name="_Toc24929"/>
      <w:bookmarkStart w:id="1051" w:name="_Toc30511"/>
    </w:p>
    <w:p w14:paraId="3F065F4B">
      <w:pPr>
        <w:pStyle w:val="10"/>
        <w:jc w:val="center"/>
        <w:outlineLvl w:val="9"/>
        <w:rPr>
          <w:color w:val="auto"/>
          <w:highlight w:val="none"/>
        </w:rPr>
      </w:pPr>
      <w:r>
        <w:rPr>
          <w:rFonts w:hint="eastAsia"/>
          <w:color w:val="auto"/>
          <w:highlight w:val="none"/>
        </w:rPr>
        <w:t>十</w:t>
      </w:r>
      <w:r>
        <w:rPr>
          <w:rFonts w:hint="eastAsia"/>
          <w:color w:val="auto"/>
          <w:highlight w:val="none"/>
          <w:lang w:val="en-US" w:eastAsia="zh-CN"/>
        </w:rPr>
        <w:t>四</w:t>
      </w:r>
      <w:r>
        <w:rPr>
          <w:rFonts w:hint="eastAsia"/>
          <w:color w:val="auto"/>
          <w:highlight w:val="none"/>
        </w:rPr>
        <w:t>、其他材料</w:t>
      </w:r>
      <w:bookmarkEnd w:id="1050"/>
      <w:bookmarkEnd w:id="1051"/>
    </w:p>
    <w:p w14:paraId="5E466E18">
      <w:pPr>
        <w:jc w:val="center"/>
        <w:rPr>
          <w:rFonts w:ascii="宋体" w:hAnsi="宋体" w:cs="宋体"/>
          <w:color w:val="auto"/>
          <w:highlight w:val="none"/>
          <w:lang w:eastAsia="zh-CN"/>
        </w:rPr>
      </w:pPr>
      <w:r>
        <w:rPr>
          <w:rFonts w:hint="eastAsia" w:ascii="宋体" w:hAnsi="宋体" w:cs="宋体"/>
          <w:b/>
          <w:color w:val="auto"/>
          <w:highlight w:val="none"/>
          <w:lang w:eastAsia="zh-CN"/>
        </w:rPr>
        <w:t>（1）供应商认为需要的其他资料</w:t>
      </w:r>
    </w:p>
    <w:p w14:paraId="510E00C8">
      <w:pPr>
        <w:widowControl w:val="0"/>
        <w:kinsoku/>
        <w:autoSpaceDE/>
        <w:autoSpaceDN/>
        <w:spacing w:line="360" w:lineRule="auto"/>
        <w:jc w:val="center"/>
        <w:textAlignment w:val="auto"/>
        <w:rPr>
          <w:rFonts w:ascii="宋体" w:hAnsi="宋体" w:cs="宋体"/>
          <w:color w:val="auto"/>
          <w:highlight w:val="none"/>
          <w:lang w:eastAsia="zh-CN"/>
        </w:rPr>
      </w:pPr>
      <w:r>
        <w:rPr>
          <w:rFonts w:hint="eastAsia" w:ascii="宋体" w:hAnsi="宋体" w:cs="宋体"/>
          <w:color w:val="auto"/>
          <w:highlight w:val="none"/>
          <w:lang w:eastAsia="zh-CN"/>
        </w:rPr>
        <w:t>（包括但不限于以下内容）</w:t>
      </w:r>
    </w:p>
    <w:p w14:paraId="6AE13D4E">
      <w:pPr>
        <w:widowControl w:val="0"/>
        <w:kinsoku/>
        <w:autoSpaceDE/>
        <w:autoSpaceDN/>
        <w:spacing w:line="360" w:lineRule="auto"/>
        <w:jc w:val="both"/>
        <w:textAlignment w:val="auto"/>
        <w:rPr>
          <w:rFonts w:ascii="宋体" w:hAnsi="宋体" w:cs="宋体"/>
          <w:color w:val="auto"/>
          <w:highlight w:val="none"/>
          <w:lang w:eastAsia="zh-CN"/>
        </w:rPr>
      </w:pPr>
      <w:r>
        <w:rPr>
          <w:rFonts w:hint="eastAsia" w:ascii="宋体" w:hAnsi="宋体" w:cs="宋体"/>
          <w:color w:val="auto"/>
          <w:highlight w:val="none"/>
          <w:lang w:eastAsia="zh-CN"/>
        </w:rPr>
        <w:t>1、业绩</w:t>
      </w:r>
    </w:p>
    <w:p w14:paraId="4153758A">
      <w:pPr>
        <w:pStyle w:val="16"/>
        <w:widowControl w:val="0"/>
        <w:kinsoku/>
        <w:autoSpaceDE/>
        <w:autoSpaceDN/>
        <w:spacing w:after="0" w:line="360" w:lineRule="auto"/>
        <w:ind w:left="0" w:leftChars="0"/>
        <w:jc w:val="both"/>
        <w:textAlignment w:val="auto"/>
        <w:rPr>
          <w:color w:val="auto"/>
          <w:highlight w:val="none"/>
          <w:lang w:eastAsia="zh-CN"/>
        </w:rPr>
      </w:pPr>
      <w:r>
        <w:rPr>
          <w:rFonts w:hint="eastAsia"/>
          <w:color w:val="auto"/>
          <w:highlight w:val="none"/>
          <w:lang w:eastAsia="zh-CN"/>
        </w:rPr>
        <w:t>2、人员配置</w:t>
      </w:r>
    </w:p>
    <w:p w14:paraId="4D29EBC1">
      <w:pPr>
        <w:pStyle w:val="16"/>
        <w:widowControl w:val="0"/>
        <w:kinsoku/>
        <w:autoSpaceDE/>
        <w:autoSpaceDN/>
        <w:spacing w:after="0" w:line="360" w:lineRule="auto"/>
        <w:ind w:left="0" w:leftChars="0"/>
        <w:jc w:val="both"/>
        <w:textAlignment w:val="auto"/>
        <w:rPr>
          <w:color w:val="auto"/>
          <w:highlight w:val="none"/>
          <w:lang w:eastAsia="zh-CN"/>
        </w:rPr>
      </w:pPr>
      <w:r>
        <w:rPr>
          <w:rFonts w:hint="eastAsia"/>
          <w:color w:val="auto"/>
          <w:highlight w:val="none"/>
          <w:lang w:eastAsia="zh-CN"/>
        </w:rPr>
        <w:t>3、企业荣誉</w:t>
      </w:r>
    </w:p>
    <w:p w14:paraId="2C3CD7D6">
      <w:pPr>
        <w:widowControl w:val="0"/>
        <w:kinsoku/>
        <w:autoSpaceDE/>
        <w:autoSpaceDN/>
        <w:spacing w:line="360" w:lineRule="auto"/>
        <w:jc w:val="both"/>
        <w:textAlignment w:val="auto"/>
        <w:rPr>
          <w:rFonts w:ascii="宋体" w:hAnsi="宋体" w:cs="宋体"/>
          <w:color w:val="auto"/>
          <w:highlight w:val="none"/>
          <w:lang w:eastAsia="zh-CN"/>
        </w:rPr>
      </w:pPr>
      <w:r>
        <w:rPr>
          <w:rFonts w:hint="eastAsia" w:ascii="宋体" w:hAnsi="宋体" w:cs="宋体"/>
          <w:color w:val="auto"/>
          <w:highlight w:val="none"/>
          <w:lang w:eastAsia="zh-CN"/>
        </w:rPr>
        <w:t>4、供应商认为其他必要的资料</w:t>
      </w:r>
    </w:p>
    <w:p w14:paraId="0BD6FD8E">
      <w:pPr>
        <w:widowControl w:val="0"/>
        <w:kinsoku/>
        <w:autoSpaceDE/>
        <w:autoSpaceDN/>
        <w:spacing w:line="360" w:lineRule="auto"/>
        <w:jc w:val="both"/>
        <w:textAlignment w:val="auto"/>
        <w:rPr>
          <w:rFonts w:ascii="宋体" w:hAnsi="宋体" w:cs="宋体"/>
          <w:color w:val="auto"/>
          <w:highlight w:val="none"/>
          <w:lang w:eastAsia="zh-CN"/>
        </w:rPr>
      </w:pPr>
      <w:r>
        <w:rPr>
          <w:rFonts w:hint="eastAsia" w:ascii="宋体" w:hAnsi="宋体" w:cs="宋体"/>
          <w:color w:val="auto"/>
          <w:highlight w:val="none"/>
          <w:lang w:eastAsia="zh-CN"/>
        </w:rPr>
        <w:br w:type="page"/>
      </w:r>
      <w:r>
        <w:rPr>
          <w:rFonts w:hint="eastAsia" w:ascii="宋体" w:hAnsi="宋体" w:cs="宋体"/>
          <w:color w:val="auto"/>
          <w:highlight w:val="none"/>
          <w:lang w:eastAsia="zh-CN"/>
        </w:rPr>
        <w:t>附件（1）</w:t>
      </w:r>
    </w:p>
    <w:p w14:paraId="55BCB0E1">
      <w:pPr>
        <w:pStyle w:val="10"/>
        <w:numPr>
          <w:ilvl w:val="1"/>
          <w:numId w:val="0"/>
        </w:numPr>
        <w:ind w:left="0" w:leftChars="0" w:firstLine="0" w:firstLineChars="0"/>
        <w:jc w:val="center"/>
        <w:outlineLvl w:val="9"/>
        <w:rPr>
          <w:rFonts w:eastAsia="宋体"/>
          <w:color w:val="auto"/>
          <w:sz w:val="28"/>
          <w:szCs w:val="28"/>
          <w:highlight w:val="none"/>
          <w:lang w:eastAsia="zh-CN"/>
        </w:rPr>
      </w:pPr>
      <w:r>
        <w:rPr>
          <w:rFonts w:hint="eastAsia"/>
          <w:color w:val="auto"/>
          <w:sz w:val="28"/>
          <w:szCs w:val="28"/>
          <w:highlight w:val="none"/>
          <w:lang w:eastAsia="zh-CN"/>
        </w:rPr>
        <w:t xml:space="preserve"> 二次报价表</w:t>
      </w:r>
    </w:p>
    <w:tbl>
      <w:tblPr>
        <w:tblStyle w:val="25"/>
        <w:tblW w:w="9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2"/>
        <w:gridCol w:w="2868"/>
        <w:gridCol w:w="3219"/>
      </w:tblGrid>
      <w:tr w14:paraId="7DB7B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3312" w:type="dxa"/>
            <w:tcBorders>
              <w:top w:val="single" w:color="auto" w:sz="4" w:space="0"/>
              <w:left w:val="single" w:color="auto" w:sz="4" w:space="0"/>
              <w:bottom w:val="single" w:color="auto" w:sz="4" w:space="0"/>
              <w:right w:val="single" w:color="auto" w:sz="4" w:space="0"/>
            </w:tcBorders>
            <w:vAlign w:val="center"/>
          </w:tcPr>
          <w:p w14:paraId="6B4BDBA5">
            <w:pPr>
              <w:jc w:val="center"/>
              <w:rPr>
                <w:rFonts w:ascii="宋体" w:hAnsi="宋体"/>
                <w:color w:val="auto"/>
                <w:highlight w:val="none"/>
              </w:rPr>
            </w:pPr>
            <w:r>
              <w:rPr>
                <w:rFonts w:hint="eastAsia" w:ascii="宋体" w:hAnsi="宋体"/>
                <w:color w:val="auto"/>
                <w:highlight w:val="none"/>
              </w:rPr>
              <w:t>项目名称</w:t>
            </w:r>
          </w:p>
        </w:tc>
        <w:tc>
          <w:tcPr>
            <w:tcW w:w="6087" w:type="dxa"/>
            <w:gridSpan w:val="2"/>
            <w:tcBorders>
              <w:top w:val="single" w:color="auto" w:sz="4" w:space="0"/>
              <w:left w:val="single" w:color="auto" w:sz="4" w:space="0"/>
              <w:bottom w:val="single" w:color="auto" w:sz="4" w:space="0"/>
              <w:right w:val="single" w:color="auto" w:sz="4" w:space="0"/>
            </w:tcBorders>
            <w:vAlign w:val="center"/>
          </w:tcPr>
          <w:p w14:paraId="7BC55382">
            <w:pPr>
              <w:ind w:firstLine="420"/>
              <w:jc w:val="center"/>
              <w:rPr>
                <w:rFonts w:ascii="宋体" w:hAnsi="宋体"/>
                <w:color w:val="auto"/>
                <w:highlight w:val="none"/>
              </w:rPr>
            </w:pPr>
          </w:p>
        </w:tc>
      </w:tr>
      <w:tr w14:paraId="725FB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3312" w:type="dxa"/>
            <w:tcBorders>
              <w:top w:val="single" w:color="auto" w:sz="4" w:space="0"/>
              <w:left w:val="single" w:color="auto" w:sz="4" w:space="0"/>
              <w:bottom w:val="single" w:color="auto" w:sz="4" w:space="0"/>
              <w:right w:val="single" w:color="auto" w:sz="4" w:space="0"/>
            </w:tcBorders>
            <w:vAlign w:val="center"/>
          </w:tcPr>
          <w:p w14:paraId="53864148">
            <w:pPr>
              <w:jc w:val="center"/>
              <w:rPr>
                <w:rFonts w:ascii="宋体" w:hAnsi="宋体"/>
                <w:color w:val="auto"/>
                <w:highlight w:val="none"/>
              </w:rPr>
            </w:pPr>
            <w:r>
              <w:rPr>
                <w:rFonts w:hint="eastAsia" w:ascii="宋体" w:hAnsi="宋体"/>
                <w:color w:val="auto"/>
                <w:highlight w:val="none"/>
              </w:rPr>
              <w:t>供应商</w:t>
            </w:r>
          </w:p>
        </w:tc>
        <w:tc>
          <w:tcPr>
            <w:tcW w:w="6087" w:type="dxa"/>
            <w:gridSpan w:val="2"/>
            <w:tcBorders>
              <w:top w:val="single" w:color="auto" w:sz="4" w:space="0"/>
              <w:left w:val="single" w:color="auto" w:sz="4" w:space="0"/>
              <w:bottom w:val="single" w:color="auto" w:sz="4" w:space="0"/>
              <w:right w:val="single" w:color="auto" w:sz="4" w:space="0"/>
            </w:tcBorders>
            <w:vAlign w:val="center"/>
          </w:tcPr>
          <w:p w14:paraId="336D8AF8">
            <w:pPr>
              <w:ind w:firstLine="420"/>
              <w:jc w:val="center"/>
              <w:rPr>
                <w:rFonts w:ascii="宋体" w:hAnsi="宋体"/>
                <w:color w:val="auto"/>
                <w:highlight w:val="none"/>
              </w:rPr>
            </w:pPr>
          </w:p>
        </w:tc>
      </w:tr>
      <w:tr w14:paraId="69849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3312" w:type="dxa"/>
            <w:vMerge w:val="restart"/>
            <w:tcBorders>
              <w:top w:val="single" w:color="auto" w:sz="4" w:space="0"/>
              <w:left w:val="single" w:color="auto" w:sz="4" w:space="0"/>
              <w:right w:val="single" w:color="auto" w:sz="4" w:space="0"/>
            </w:tcBorders>
            <w:vAlign w:val="center"/>
          </w:tcPr>
          <w:p w14:paraId="00C12705">
            <w:pPr>
              <w:spacing w:line="360" w:lineRule="exact"/>
              <w:jc w:val="center"/>
              <w:rPr>
                <w:rFonts w:ascii="宋体" w:hAnsi="宋体"/>
                <w:color w:val="auto"/>
                <w:highlight w:val="none"/>
              </w:rPr>
            </w:pPr>
            <w:r>
              <w:rPr>
                <w:rFonts w:hint="eastAsia" w:ascii="宋体" w:hAnsi="宋体"/>
                <w:color w:val="auto"/>
                <w:highlight w:val="none"/>
              </w:rPr>
              <w:t>投标报价（元）</w:t>
            </w:r>
          </w:p>
        </w:tc>
        <w:tc>
          <w:tcPr>
            <w:tcW w:w="2868" w:type="dxa"/>
            <w:tcBorders>
              <w:top w:val="single" w:color="auto" w:sz="4" w:space="0"/>
              <w:left w:val="single" w:color="auto" w:sz="4" w:space="0"/>
              <w:bottom w:val="single" w:color="auto" w:sz="4" w:space="0"/>
              <w:right w:val="single" w:color="auto" w:sz="4" w:space="0"/>
            </w:tcBorders>
            <w:vAlign w:val="center"/>
          </w:tcPr>
          <w:p w14:paraId="05749458">
            <w:pPr>
              <w:jc w:val="center"/>
              <w:rPr>
                <w:rFonts w:ascii="宋体" w:hAnsi="宋体"/>
                <w:color w:val="auto"/>
                <w:highlight w:val="none"/>
              </w:rPr>
            </w:pPr>
            <w:r>
              <w:rPr>
                <w:rFonts w:hint="eastAsia" w:ascii="宋体" w:hAnsi="宋体"/>
                <w:color w:val="auto"/>
                <w:highlight w:val="none"/>
              </w:rPr>
              <w:t>（大写）</w:t>
            </w:r>
          </w:p>
        </w:tc>
        <w:tc>
          <w:tcPr>
            <w:tcW w:w="3219" w:type="dxa"/>
            <w:tcBorders>
              <w:top w:val="single" w:color="auto" w:sz="4" w:space="0"/>
              <w:left w:val="single" w:color="auto" w:sz="4" w:space="0"/>
              <w:bottom w:val="single" w:color="auto" w:sz="4" w:space="0"/>
              <w:right w:val="single" w:color="auto" w:sz="4" w:space="0"/>
            </w:tcBorders>
            <w:vAlign w:val="center"/>
          </w:tcPr>
          <w:p w14:paraId="48378ABE">
            <w:pPr>
              <w:jc w:val="center"/>
              <w:rPr>
                <w:rFonts w:ascii="宋体" w:hAnsi="宋体"/>
                <w:color w:val="auto"/>
                <w:highlight w:val="none"/>
              </w:rPr>
            </w:pPr>
            <w:r>
              <w:rPr>
                <w:rFonts w:hint="eastAsia" w:ascii="宋体" w:hAnsi="宋体"/>
                <w:color w:val="auto"/>
                <w:highlight w:val="none"/>
              </w:rPr>
              <w:t>（小写）</w:t>
            </w:r>
          </w:p>
        </w:tc>
      </w:tr>
      <w:tr w14:paraId="06B98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3312" w:type="dxa"/>
            <w:vMerge w:val="continue"/>
            <w:tcBorders>
              <w:left w:val="single" w:color="auto" w:sz="4" w:space="0"/>
              <w:bottom w:val="single" w:color="auto" w:sz="4" w:space="0"/>
              <w:right w:val="single" w:color="auto" w:sz="4" w:space="0"/>
            </w:tcBorders>
            <w:vAlign w:val="center"/>
          </w:tcPr>
          <w:p w14:paraId="5EFFDC0C">
            <w:pPr>
              <w:spacing w:line="360" w:lineRule="exact"/>
              <w:ind w:firstLine="420"/>
              <w:jc w:val="center"/>
              <w:rPr>
                <w:rFonts w:ascii="宋体" w:hAnsi="宋体"/>
                <w:color w:val="auto"/>
                <w:highlight w:val="none"/>
              </w:rPr>
            </w:pPr>
          </w:p>
        </w:tc>
        <w:tc>
          <w:tcPr>
            <w:tcW w:w="6087" w:type="dxa"/>
            <w:gridSpan w:val="2"/>
            <w:tcBorders>
              <w:top w:val="single" w:color="auto" w:sz="4" w:space="0"/>
              <w:left w:val="single" w:color="auto" w:sz="4" w:space="0"/>
              <w:bottom w:val="single" w:color="auto" w:sz="4" w:space="0"/>
              <w:right w:val="single" w:color="auto" w:sz="4" w:space="0"/>
            </w:tcBorders>
            <w:vAlign w:val="center"/>
          </w:tcPr>
          <w:p w14:paraId="4CB1F18B">
            <w:pPr>
              <w:jc w:val="center"/>
              <w:rPr>
                <w:rFonts w:ascii="宋体" w:hAnsi="宋体"/>
                <w:color w:val="auto"/>
                <w:highlight w:val="none"/>
                <w:lang w:eastAsia="zh-CN"/>
              </w:rPr>
            </w:pPr>
            <w:r>
              <w:rPr>
                <w:rFonts w:hint="eastAsia" w:ascii="宋体" w:hAnsi="宋体"/>
                <w:b/>
                <w:bCs/>
                <w:color w:val="auto"/>
                <w:sz w:val="16"/>
                <w:szCs w:val="16"/>
                <w:highlight w:val="none"/>
                <w:lang w:eastAsia="zh-CN"/>
              </w:rPr>
              <w:t>（供应商在此填列第二次报价，以供应商第二次的报价为成交价，本表在第二次报价时上传至系统附件）</w:t>
            </w:r>
          </w:p>
        </w:tc>
      </w:tr>
      <w:tr w14:paraId="08738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3312" w:type="dxa"/>
            <w:tcBorders>
              <w:top w:val="single" w:color="auto" w:sz="4" w:space="0"/>
              <w:left w:val="single" w:color="auto" w:sz="4" w:space="0"/>
              <w:bottom w:val="single" w:color="auto" w:sz="4" w:space="0"/>
              <w:right w:val="single" w:color="auto" w:sz="4" w:space="0"/>
            </w:tcBorders>
            <w:vAlign w:val="center"/>
          </w:tcPr>
          <w:p w14:paraId="039B6B44">
            <w:pPr>
              <w:jc w:val="center"/>
              <w:rPr>
                <w:rFonts w:ascii="宋体" w:hAnsi="宋体"/>
                <w:color w:val="auto"/>
                <w:highlight w:val="none"/>
              </w:rPr>
            </w:pPr>
            <w:r>
              <w:rPr>
                <w:rFonts w:hint="eastAsia" w:ascii="宋体" w:hAnsi="宋体"/>
                <w:color w:val="auto"/>
                <w:highlight w:val="none"/>
              </w:rPr>
              <w:t>质量要求</w:t>
            </w:r>
          </w:p>
        </w:tc>
        <w:tc>
          <w:tcPr>
            <w:tcW w:w="6087" w:type="dxa"/>
            <w:gridSpan w:val="2"/>
            <w:tcBorders>
              <w:top w:val="single" w:color="auto" w:sz="4" w:space="0"/>
              <w:left w:val="single" w:color="auto" w:sz="4" w:space="0"/>
              <w:bottom w:val="single" w:color="auto" w:sz="4" w:space="0"/>
              <w:right w:val="single" w:color="auto" w:sz="4" w:space="0"/>
            </w:tcBorders>
            <w:vAlign w:val="center"/>
          </w:tcPr>
          <w:p w14:paraId="1CA5B637">
            <w:pPr>
              <w:ind w:firstLine="420"/>
              <w:jc w:val="center"/>
              <w:rPr>
                <w:rFonts w:ascii="宋体" w:hAnsi="宋体"/>
                <w:color w:val="auto"/>
                <w:highlight w:val="none"/>
              </w:rPr>
            </w:pPr>
          </w:p>
        </w:tc>
      </w:tr>
      <w:tr w14:paraId="5AC95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3312" w:type="dxa"/>
            <w:tcBorders>
              <w:top w:val="single" w:color="auto" w:sz="4" w:space="0"/>
              <w:left w:val="single" w:color="auto" w:sz="4" w:space="0"/>
              <w:bottom w:val="single" w:color="auto" w:sz="4" w:space="0"/>
              <w:right w:val="single" w:color="auto" w:sz="4" w:space="0"/>
            </w:tcBorders>
            <w:vAlign w:val="center"/>
          </w:tcPr>
          <w:p w14:paraId="5F612C36">
            <w:pPr>
              <w:jc w:val="center"/>
              <w:rPr>
                <w:rFonts w:ascii="宋体" w:hAnsi="宋体" w:eastAsia="宋体"/>
                <w:color w:val="auto"/>
                <w:highlight w:val="none"/>
                <w:lang w:eastAsia="zh-CN"/>
              </w:rPr>
            </w:pPr>
            <w:r>
              <w:rPr>
                <w:rFonts w:hint="eastAsia" w:ascii="宋体" w:hAnsi="宋体"/>
                <w:color w:val="auto"/>
                <w:highlight w:val="none"/>
                <w:lang w:eastAsia="zh-CN"/>
              </w:rPr>
              <w:t>服务期限</w:t>
            </w:r>
          </w:p>
        </w:tc>
        <w:tc>
          <w:tcPr>
            <w:tcW w:w="6087" w:type="dxa"/>
            <w:gridSpan w:val="2"/>
            <w:tcBorders>
              <w:top w:val="single" w:color="auto" w:sz="4" w:space="0"/>
              <w:left w:val="single" w:color="auto" w:sz="4" w:space="0"/>
              <w:bottom w:val="single" w:color="auto" w:sz="4" w:space="0"/>
              <w:right w:val="single" w:color="auto" w:sz="4" w:space="0"/>
            </w:tcBorders>
            <w:vAlign w:val="center"/>
          </w:tcPr>
          <w:p w14:paraId="1F0B3780">
            <w:pPr>
              <w:ind w:firstLine="420"/>
              <w:jc w:val="center"/>
              <w:rPr>
                <w:rFonts w:ascii="宋体" w:hAnsi="宋体"/>
                <w:color w:val="auto"/>
                <w:highlight w:val="none"/>
              </w:rPr>
            </w:pPr>
          </w:p>
        </w:tc>
      </w:tr>
      <w:tr w14:paraId="6A903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3312" w:type="dxa"/>
            <w:tcBorders>
              <w:top w:val="single" w:color="auto" w:sz="4" w:space="0"/>
              <w:left w:val="single" w:color="auto" w:sz="4" w:space="0"/>
              <w:bottom w:val="single" w:color="auto" w:sz="4" w:space="0"/>
              <w:right w:val="single" w:color="auto" w:sz="4" w:space="0"/>
            </w:tcBorders>
            <w:vAlign w:val="center"/>
          </w:tcPr>
          <w:p w14:paraId="726D90F5">
            <w:pPr>
              <w:jc w:val="center"/>
              <w:rPr>
                <w:rFonts w:ascii="宋体" w:hAnsi="宋体"/>
                <w:color w:val="auto"/>
                <w:highlight w:val="none"/>
              </w:rPr>
            </w:pPr>
            <w:r>
              <w:rPr>
                <w:rFonts w:hint="eastAsia" w:ascii="宋体" w:hAnsi="宋体"/>
                <w:color w:val="auto"/>
                <w:highlight w:val="none"/>
              </w:rPr>
              <w:t>磋商有效期</w:t>
            </w:r>
          </w:p>
        </w:tc>
        <w:tc>
          <w:tcPr>
            <w:tcW w:w="6087" w:type="dxa"/>
            <w:gridSpan w:val="2"/>
            <w:tcBorders>
              <w:top w:val="single" w:color="auto" w:sz="4" w:space="0"/>
              <w:left w:val="single" w:color="auto" w:sz="4" w:space="0"/>
              <w:bottom w:val="single" w:color="auto" w:sz="4" w:space="0"/>
              <w:right w:val="single" w:color="auto" w:sz="4" w:space="0"/>
            </w:tcBorders>
            <w:vAlign w:val="center"/>
          </w:tcPr>
          <w:p w14:paraId="74A5B918">
            <w:pPr>
              <w:ind w:firstLine="420"/>
              <w:jc w:val="center"/>
              <w:rPr>
                <w:rFonts w:ascii="宋体" w:hAnsi="宋体"/>
                <w:color w:val="auto"/>
                <w:highlight w:val="none"/>
              </w:rPr>
            </w:pPr>
          </w:p>
        </w:tc>
      </w:tr>
      <w:tr w14:paraId="7624D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3312" w:type="dxa"/>
            <w:tcBorders>
              <w:top w:val="single" w:color="auto" w:sz="4" w:space="0"/>
              <w:left w:val="single" w:color="auto" w:sz="4" w:space="0"/>
              <w:bottom w:val="single" w:color="auto" w:sz="4" w:space="0"/>
              <w:right w:val="single" w:color="auto" w:sz="4" w:space="0"/>
            </w:tcBorders>
            <w:vAlign w:val="center"/>
          </w:tcPr>
          <w:p w14:paraId="6DEF43C8">
            <w:pPr>
              <w:jc w:val="center"/>
              <w:rPr>
                <w:rFonts w:ascii="宋体" w:hAnsi="宋体" w:eastAsia="宋体"/>
                <w:color w:val="auto"/>
                <w:highlight w:val="none"/>
                <w:lang w:eastAsia="zh-CN"/>
              </w:rPr>
            </w:pPr>
            <w:r>
              <w:rPr>
                <w:rFonts w:hint="eastAsia" w:ascii="宋体" w:hAnsi="宋体"/>
                <w:color w:val="auto"/>
                <w:highlight w:val="none"/>
                <w:lang w:eastAsia="zh-CN"/>
              </w:rPr>
              <w:t>备注</w:t>
            </w:r>
          </w:p>
        </w:tc>
        <w:tc>
          <w:tcPr>
            <w:tcW w:w="6087" w:type="dxa"/>
            <w:gridSpan w:val="2"/>
            <w:tcBorders>
              <w:top w:val="single" w:color="auto" w:sz="4" w:space="0"/>
              <w:left w:val="single" w:color="auto" w:sz="4" w:space="0"/>
              <w:bottom w:val="single" w:color="auto" w:sz="4" w:space="0"/>
              <w:right w:val="single" w:color="auto" w:sz="4" w:space="0"/>
            </w:tcBorders>
            <w:vAlign w:val="center"/>
          </w:tcPr>
          <w:p w14:paraId="794A59C1">
            <w:pPr>
              <w:ind w:firstLine="420"/>
              <w:jc w:val="center"/>
              <w:rPr>
                <w:rFonts w:ascii="宋体" w:hAnsi="宋体"/>
                <w:color w:val="auto"/>
                <w:highlight w:val="none"/>
              </w:rPr>
            </w:pPr>
          </w:p>
        </w:tc>
      </w:tr>
    </w:tbl>
    <w:p w14:paraId="72E4A381">
      <w:pPr>
        <w:ind w:firstLine="420"/>
        <w:rPr>
          <w:rFonts w:ascii="宋体" w:hAnsi="宋体"/>
          <w:color w:val="auto"/>
          <w:highlight w:val="none"/>
        </w:rPr>
      </w:pPr>
    </w:p>
    <w:p w14:paraId="7D7849C4">
      <w:pPr>
        <w:ind w:firstLine="420"/>
        <w:rPr>
          <w:rFonts w:ascii="宋体" w:hAnsi="宋体"/>
          <w:color w:val="auto"/>
          <w:highlight w:val="none"/>
        </w:rPr>
      </w:pPr>
    </w:p>
    <w:p w14:paraId="2CE325A0">
      <w:pPr>
        <w:spacing w:line="360" w:lineRule="auto"/>
        <w:ind w:firstLine="420"/>
        <w:jc w:val="right"/>
        <w:rPr>
          <w:rFonts w:ascii="宋体" w:hAnsi="宋体"/>
          <w:color w:val="auto"/>
          <w:highlight w:val="none"/>
          <w:lang w:eastAsia="zh-CN"/>
        </w:rPr>
      </w:pPr>
      <w:r>
        <w:rPr>
          <w:rFonts w:hint="eastAsia" w:ascii="宋体" w:hAnsi="宋体"/>
          <w:color w:val="auto"/>
          <w:highlight w:val="none"/>
          <w:lang w:eastAsia="zh-CN"/>
        </w:rPr>
        <w:t xml:space="preserve"> 供应商法定代表人或其授权委托人(电子签名或</w:t>
      </w:r>
      <w:r>
        <w:rPr>
          <w:rFonts w:hint="eastAsia" w:ascii="宋体" w:hAnsi="宋体" w:cs="宋体"/>
          <w:color w:val="auto"/>
          <w:highlight w:val="none"/>
          <w:lang w:eastAsia="zh-CN"/>
        </w:rPr>
        <w:t>电子签章</w:t>
      </w:r>
      <w:r>
        <w:rPr>
          <w:rFonts w:hint="eastAsia" w:ascii="宋体" w:hAnsi="宋体"/>
          <w:color w:val="auto"/>
          <w:highlight w:val="none"/>
          <w:lang w:eastAsia="zh-CN"/>
        </w:rPr>
        <w:t>)</w:t>
      </w:r>
      <w:r>
        <w:rPr>
          <w:rFonts w:hint="eastAsia" w:ascii="宋体" w:hAnsi="宋体"/>
          <w:color w:val="auto"/>
          <w:highlight w:val="none"/>
          <w:u w:val="single"/>
          <w:lang w:eastAsia="zh-CN"/>
        </w:rPr>
        <w:t xml:space="preserve">                  </w:t>
      </w:r>
    </w:p>
    <w:p w14:paraId="71244690">
      <w:pPr>
        <w:spacing w:line="360" w:lineRule="auto"/>
        <w:ind w:firstLine="3360" w:firstLineChars="1600"/>
        <w:jc w:val="right"/>
        <w:rPr>
          <w:rFonts w:ascii="宋体" w:hAnsi="宋体"/>
          <w:color w:val="auto"/>
          <w:highlight w:val="none"/>
          <w:lang w:eastAsia="zh-CN"/>
        </w:rPr>
      </w:pPr>
      <w:r>
        <w:rPr>
          <w:rFonts w:hint="eastAsia" w:ascii="宋体" w:hAnsi="宋体"/>
          <w:color w:val="auto"/>
          <w:highlight w:val="none"/>
          <w:lang w:eastAsia="zh-CN"/>
        </w:rPr>
        <w:t xml:space="preserve">  供应商</w:t>
      </w:r>
      <w:r>
        <w:rPr>
          <w:rFonts w:ascii="宋体" w:hAnsi="宋体"/>
          <w:color w:val="auto"/>
          <w:highlight w:val="none"/>
          <w:lang w:eastAsia="zh-CN"/>
        </w:rPr>
        <w:t>(</w:t>
      </w:r>
      <w:r>
        <w:rPr>
          <w:rFonts w:hint="eastAsia" w:ascii="宋体" w:hAnsi="宋体" w:cs="宋体"/>
          <w:color w:val="auto"/>
          <w:highlight w:val="none"/>
          <w:lang w:eastAsia="zh-CN"/>
        </w:rPr>
        <w:t>单位电子签章</w:t>
      </w:r>
      <w:r>
        <w:rPr>
          <w:rFonts w:ascii="宋体" w:hAnsi="宋体"/>
          <w:color w:val="auto"/>
          <w:highlight w:val="none"/>
          <w:lang w:eastAsia="zh-CN"/>
        </w:rPr>
        <w:t>)</w:t>
      </w:r>
      <w:r>
        <w:rPr>
          <w:rFonts w:hint="eastAsia" w:ascii="宋体" w:hAnsi="宋体"/>
          <w:color w:val="auto"/>
          <w:highlight w:val="none"/>
          <w:lang w:eastAsia="zh-CN"/>
        </w:rPr>
        <w:t>：</w:t>
      </w:r>
      <w:r>
        <w:rPr>
          <w:rFonts w:ascii="宋体" w:hAnsi="宋体"/>
          <w:color w:val="auto"/>
          <w:highlight w:val="none"/>
          <w:lang w:eastAsia="zh-CN"/>
        </w:rPr>
        <w:tab/>
      </w:r>
      <w:r>
        <w:rPr>
          <w:rFonts w:ascii="宋体" w:hAnsi="宋体"/>
          <w:color w:val="auto"/>
          <w:highlight w:val="none"/>
          <w:lang w:eastAsia="zh-CN"/>
        </w:rPr>
        <w:t xml:space="preserve">            </w:t>
      </w:r>
      <w:r>
        <w:rPr>
          <w:rFonts w:hint="eastAsia" w:ascii="宋体" w:hAnsi="宋体"/>
          <w:color w:val="auto"/>
          <w:highlight w:val="none"/>
          <w:lang w:eastAsia="zh-CN"/>
        </w:rPr>
        <w:t xml:space="preserve">     </w:t>
      </w:r>
    </w:p>
    <w:p w14:paraId="64BA6A05">
      <w:pPr>
        <w:spacing w:line="360" w:lineRule="auto"/>
        <w:ind w:firstLine="3360" w:firstLineChars="1600"/>
        <w:jc w:val="center"/>
        <w:rPr>
          <w:rFonts w:ascii="宋体" w:hAnsi="宋体" w:cs="宋体"/>
          <w:color w:val="auto"/>
          <w:highlight w:val="none"/>
          <w:lang w:eastAsia="zh-CN"/>
        </w:rPr>
      </w:pPr>
      <w:r>
        <w:rPr>
          <w:rFonts w:hint="eastAsia" w:ascii="宋体" w:hAnsi="宋体"/>
          <w:color w:val="auto"/>
          <w:highlight w:val="none"/>
          <w:lang w:eastAsia="zh-CN"/>
        </w:rPr>
        <w:t xml:space="preserve">           </w:t>
      </w:r>
      <w:r>
        <w:rPr>
          <w:rFonts w:hint="eastAsia" w:ascii="宋体" w:hAnsi="宋体"/>
          <w:color w:val="auto"/>
          <w:highlight w:val="none"/>
        </w:rPr>
        <w:t>年   月   日</w:t>
      </w:r>
    </w:p>
    <w:p w14:paraId="6D867A59">
      <w:pPr>
        <w:ind w:firstLine="422"/>
        <w:jc w:val="center"/>
        <w:rPr>
          <w:rFonts w:ascii="宋体" w:hAnsi="宋体" w:cs="宋体"/>
          <w:b/>
          <w:bCs/>
          <w:color w:val="auto"/>
          <w:highlight w:val="none"/>
        </w:rPr>
      </w:pPr>
    </w:p>
    <w:p w14:paraId="485B8D6A">
      <w:pPr>
        <w:ind w:firstLine="422"/>
        <w:jc w:val="center"/>
        <w:rPr>
          <w:rFonts w:ascii="宋体" w:hAnsi="宋体" w:cs="宋体"/>
          <w:b/>
          <w:bCs/>
          <w:color w:val="auto"/>
          <w:highlight w:val="none"/>
        </w:rPr>
      </w:pPr>
    </w:p>
    <w:p w14:paraId="2AFDD440">
      <w:pPr>
        <w:ind w:firstLine="422"/>
        <w:jc w:val="center"/>
        <w:rPr>
          <w:rFonts w:ascii="宋体" w:hAnsi="宋体" w:cs="宋体"/>
          <w:b/>
          <w:bCs/>
          <w:color w:val="auto"/>
          <w:highlight w:val="none"/>
        </w:rPr>
      </w:pPr>
    </w:p>
    <w:p w14:paraId="639FF637">
      <w:pPr>
        <w:pStyle w:val="2"/>
        <w:ind w:firstLine="211"/>
        <w:rPr>
          <w:rFonts w:ascii="宋体" w:hAnsi="宋体" w:cs="宋体"/>
          <w:b/>
          <w:bCs/>
          <w:color w:val="auto"/>
          <w:highlight w:val="none"/>
        </w:rPr>
      </w:pPr>
    </w:p>
    <w:p w14:paraId="50E3BBC7">
      <w:pPr>
        <w:pStyle w:val="7"/>
        <w:tabs>
          <w:tab w:val="left" w:pos="945"/>
          <w:tab w:val="left" w:pos="1155"/>
        </w:tabs>
        <w:ind w:firstLine="422"/>
        <w:rPr>
          <w:rFonts w:ascii="宋体" w:hAnsi="宋体" w:cs="宋体"/>
          <w:b/>
          <w:bCs/>
          <w:color w:val="auto"/>
          <w:highlight w:val="none"/>
        </w:rPr>
      </w:pPr>
    </w:p>
    <w:p w14:paraId="6EC2C41D">
      <w:pPr>
        <w:ind w:firstLine="422"/>
        <w:rPr>
          <w:rFonts w:ascii="宋体" w:hAnsi="宋体" w:cs="宋体"/>
          <w:b/>
          <w:bCs/>
          <w:color w:val="auto"/>
          <w:highlight w:val="none"/>
        </w:rPr>
      </w:pPr>
    </w:p>
    <w:p w14:paraId="05B3C6E3">
      <w:pPr>
        <w:pStyle w:val="2"/>
        <w:ind w:firstLine="211"/>
        <w:rPr>
          <w:rFonts w:ascii="宋体" w:hAnsi="宋体" w:cs="宋体"/>
          <w:b/>
          <w:bCs/>
          <w:color w:val="auto"/>
          <w:highlight w:val="none"/>
        </w:rPr>
      </w:pPr>
    </w:p>
    <w:p w14:paraId="622B7D8C">
      <w:pPr>
        <w:pStyle w:val="7"/>
        <w:tabs>
          <w:tab w:val="left" w:pos="945"/>
          <w:tab w:val="left" w:pos="1155"/>
        </w:tabs>
        <w:ind w:firstLine="422"/>
        <w:rPr>
          <w:rFonts w:ascii="宋体" w:hAnsi="宋体" w:cs="宋体"/>
          <w:b/>
          <w:bCs/>
          <w:color w:val="auto"/>
          <w:highlight w:val="none"/>
        </w:rPr>
      </w:pPr>
    </w:p>
    <w:p w14:paraId="597B1EAC">
      <w:pPr>
        <w:ind w:firstLine="422"/>
        <w:rPr>
          <w:rFonts w:ascii="宋体" w:hAnsi="宋体" w:cs="宋体"/>
          <w:b/>
          <w:bCs/>
          <w:color w:val="auto"/>
          <w:highlight w:val="none"/>
        </w:rPr>
      </w:pPr>
    </w:p>
    <w:p w14:paraId="6C9D74A7">
      <w:pPr>
        <w:pStyle w:val="2"/>
        <w:ind w:firstLine="211"/>
        <w:rPr>
          <w:rFonts w:ascii="宋体" w:hAnsi="宋体" w:cs="宋体"/>
          <w:b/>
          <w:bCs/>
          <w:color w:val="auto"/>
          <w:highlight w:val="none"/>
        </w:rPr>
      </w:pPr>
    </w:p>
    <w:p w14:paraId="6112F3DC">
      <w:pPr>
        <w:pStyle w:val="7"/>
        <w:tabs>
          <w:tab w:val="left" w:pos="945"/>
          <w:tab w:val="left" w:pos="1155"/>
        </w:tabs>
        <w:ind w:firstLine="422"/>
        <w:rPr>
          <w:rFonts w:ascii="宋体" w:hAnsi="宋体" w:cs="宋体"/>
          <w:b/>
          <w:bCs/>
          <w:color w:val="auto"/>
          <w:highlight w:val="none"/>
        </w:rPr>
      </w:pPr>
    </w:p>
    <w:p w14:paraId="504D473D">
      <w:pPr>
        <w:ind w:firstLine="422"/>
        <w:rPr>
          <w:rFonts w:ascii="宋体" w:hAnsi="宋体" w:cs="宋体"/>
          <w:b/>
          <w:bCs/>
          <w:color w:val="auto"/>
          <w:highlight w:val="none"/>
        </w:rPr>
      </w:pPr>
    </w:p>
    <w:p w14:paraId="3171DF36">
      <w:pPr>
        <w:pStyle w:val="7"/>
        <w:tabs>
          <w:tab w:val="left" w:pos="945"/>
          <w:tab w:val="left" w:pos="1155"/>
        </w:tabs>
        <w:ind w:left="0" w:leftChars="0" w:firstLine="0" w:firstLineChars="0"/>
        <w:rPr>
          <w:rFonts w:ascii="宋体" w:hAnsi="宋体" w:cs="宋体"/>
          <w:b/>
          <w:bCs/>
          <w:color w:val="auto"/>
          <w:highlight w:val="none"/>
        </w:rPr>
      </w:pPr>
    </w:p>
    <w:sectPr>
      <w:pgSz w:w="11900" w:h="16840"/>
      <w:pgMar w:top="1350" w:right="1785" w:bottom="0" w:left="1785" w:header="0" w:footer="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7A"/>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Microsoft JhengHe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3B376">
    <w:pPr>
      <w:pStyle w:val="1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747673C4">
                          <w:pPr>
                            <w:pStyle w:val="17"/>
                          </w:pP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DS/LYV5wEAAMcD&#10;AAAOAAAAAAAAAAEAIAAAAB4BAABkcnMvZTJvRG9jLnhtbFBLBQYAAAAABgAGAFkBAAB3BQAAAAA=&#10;">
              <v:fill on="f" focussize="0,0"/>
              <v:stroke on="f"/>
              <v:imagedata o:title=""/>
              <o:lock v:ext="edit" aspectratio="f"/>
              <v:textbox inset="0mm,0mm,0mm,0mm" style="mso-fit-shape-to-text:t;">
                <w:txbxContent>
                  <w:p w14:paraId="747673C4">
                    <w:pPr>
                      <w:pStyle w:val="17"/>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334ED">
    <w:pPr>
      <w:spacing w:before="72" w:line="177" w:lineRule="auto"/>
      <w:ind w:left="4817"/>
      <w:rPr>
        <w:rFonts w:ascii="Times New Roman" w:hAnsi="Times New Roman" w:eastAsia="Times New Roman" w:cs="Times New Roman"/>
        <w:sz w:val="18"/>
        <w:szCs w:val="18"/>
      </w:rPr>
    </w:pPr>
    <w:r>
      <w:rPr>
        <w:sz w:val="18"/>
      </w:rPr>
      <mc:AlternateContent>
        <mc:Choice Requires="wps">
          <w:drawing>
            <wp:anchor distT="0" distB="0" distL="0" distR="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1765039">
                          <w:pPr>
                            <w:pStyle w:val="17"/>
                          </w:pPr>
                          <w:r>
                            <w:fldChar w:fldCharType="begin"/>
                          </w:r>
                          <w:r>
                            <w:instrText xml:space="preserve"> PAGE  \* MERGEFORMAT </w:instrText>
                          </w:r>
                          <w:r>
                            <w:fldChar w:fldCharType="separate"/>
                          </w:r>
                          <w:r>
                            <w:t>7</w:t>
                          </w:r>
                          <w:r>
                            <w:fldChar w:fldCharType="end"/>
                          </w:r>
                        </w:p>
                      </w:txbxContent>
                    </wps:txbx>
                    <wps:bodyPr vert="horz" wrap="none" lIns="0" tIns="0" rIns="0" bIns="0" anchor="t" upright="0">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5dblS0AAAAAUBAAAPAAAAAAAAAAEAIAAAACIAAABkcnMvZG93&#10;bnJldi54bWxQSwECFAAUAAAACACHTuJARA8kTc8BAACbAwAADgAAAAAAAAABACAAAAAfAQAAZHJz&#10;L2Uyb0RvYy54bWxQSwUGAAAAAAYABgBZAQAAYAUAAAAA&#10;">
              <v:fill on="f" focussize="0,0"/>
              <v:stroke on="f"/>
              <v:imagedata o:title=""/>
              <o:lock v:ext="edit" aspectratio="f"/>
              <v:textbox inset="0mm,0mm,0mm,0mm" style="mso-fit-shape-to-text:t;">
                <w:txbxContent>
                  <w:p w14:paraId="21765039">
                    <w:pPr>
                      <w:pStyle w:val="17"/>
                    </w:pPr>
                    <w:r>
                      <w:fldChar w:fldCharType="begin"/>
                    </w:r>
                    <w:r>
                      <w:instrText xml:space="preserve"> PAGE  \* MERGEFORMAT </w:instrText>
                    </w:r>
                    <w:r>
                      <w:fldChar w:fldCharType="separate"/>
                    </w:r>
                    <w:r>
                      <w:t>7</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FFFA5">
    <w:pPr>
      <w:spacing w:before="72" w:line="177" w:lineRule="auto"/>
      <w:ind w:left="4817"/>
      <w:rPr>
        <w:rFonts w:ascii="Times New Roman" w:hAnsi="Times New Roman" w:eastAsia="Times New Roman" w:cs="Times New Roman"/>
        <w:sz w:val="18"/>
        <w:szCs w:val="18"/>
      </w:rPr>
    </w:pPr>
    <w:r>
      <w:rPr>
        <w:sz w:val="18"/>
      </w:rPr>
      <mc:AlternateContent>
        <mc:Choice Requires="wps">
          <w:drawing>
            <wp:anchor distT="0" distB="0" distL="0" distR="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0"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CD8597F">
                          <w:pPr>
                            <w:pStyle w:val="17"/>
                          </w:pPr>
                          <w:r>
                            <w:fldChar w:fldCharType="begin"/>
                          </w:r>
                          <w:r>
                            <w:instrText xml:space="preserve"> PAGE  \* MERGEFORMAT </w:instrText>
                          </w:r>
                          <w:r>
                            <w:fldChar w:fldCharType="separate"/>
                          </w:r>
                          <w:r>
                            <w:t>7</w:t>
                          </w:r>
                          <w:r>
                            <w:fldChar w:fldCharType="end"/>
                          </w:r>
                        </w:p>
                      </w:txbxContent>
                    </wps:txbx>
                    <wps:bodyPr vert="horz" wrap="none" lIns="0" tIns="0" rIns="0" bIns="0" anchor="t" upright="0">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uXW5UtAAAAAFAQAADwAAAAAAAAABACAAAAAiAAAAZHJzL2Rv&#10;d25yZXYueG1sUEsBAhQAFAAAAAgAh07iQMURK6nQAQAAngMAAA4AAAAAAAAAAQAgAAAAHwEAAGRy&#10;cy9lMm9Eb2MueG1sUEsFBgAAAAAGAAYAWQEAAGEFAAAAAA==&#10;">
              <v:fill on="f" focussize="0,0"/>
              <v:stroke on="f"/>
              <v:imagedata o:title=""/>
              <o:lock v:ext="edit" aspectratio="f"/>
              <v:textbox inset="0mm,0mm,0mm,0mm" style="mso-fit-shape-to-text:t;">
                <w:txbxContent>
                  <w:p w14:paraId="3CD8597F">
                    <w:pPr>
                      <w:pStyle w:val="17"/>
                    </w:pPr>
                    <w:r>
                      <w:fldChar w:fldCharType="begin"/>
                    </w:r>
                    <w:r>
                      <w:instrText xml:space="preserve"> PAGE  \* MERGEFORMAT </w:instrText>
                    </w:r>
                    <w:r>
                      <w:fldChar w:fldCharType="separate"/>
                    </w:r>
                    <w:r>
                      <w:t>7</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3BF98">
    <w:pPr>
      <w:spacing w:line="169" w:lineRule="auto"/>
      <w:ind w:left="4325"/>
      <w:rPr>
        <w:rFonts w:ascii="Calibri" w:hAnsi="Calibri" w:eastAsia="Calibri" w:cs="Calibri"/>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621B6DE5">
                          <w:pPr>
                            <w:pStyle w:val="17"/>
                          </w:pPr>
                          <w:r>
                            <w:fldChar w:fldCharType="begin"/>
                          </w:r>
                          <w:r>
                            <w:instrText xml:space="preserve"> PAGE  \* MERGEFORMAT </w:instrText>
                          </w:r>
                          <w:r>
                            <w:fldChar w:fldCharType="separate"/>
                          </w:r>
                          <w:r>
                            <w:t>3</w:t>
                          </w:r>
                          <w:r>
                            <w:fldChar w:fldCharType="end"/>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lNLUG5wEAAMcD&#10;AAAOAAAAAAAAAAEAIAAAAB4BAABkcnMvZTJvRG9jLnhtbFBLBQYAAAAABgAGAFkBAAB3BQAAAAA=&#10;">
              <v:fill on="f" focussize="0,0"/>
              <v:stroke on="f"/>
              <v:imagedata o:title=""/>
              <o:lock v:ext="edit" aspectratio="f"/>
              <v:textbox inset="0mm,0mm,0mm,0mm" style="mso-fit-shape-to-text:t;">
                <w:txbxContent>
                  <w:p w14:paraId="621B6DE5">
                    <w:pPr>
                      <w:pStyle w:val="1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C88D1">
    <w:pPr>
      <w:spacing w:line="169" w:lineRule="auto"/>
      <w:ind w:left="4328"/>
      <w:rPr>
        <w:rFonts w:ascii="Calibri" w:hAnsi="Calibri" w:eastAsia="Calibri" w:cs="Calibri"/>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2424EF98">
                          <w:pPr>
                            <w:pStyle w:val="17"/>
                          </w:pPr>
                          <w:r>
                            <w:fldChar w:fldCharType="begin"/>
                          </w:r>
                          <w:r>
                            <w:instrText xml:space="preserve"> PAGE  \* MERGEFORMAT </w:instrText>
                          </w:r>
                          <w:r>
                            <w:fldChar w:fldCharType="separate"/>
                          </w:r>
                          <w:r>
                            <w:t>28</w:t>
                          </w:r>
                          <w:r>
                            <w:fldChar w:fldCharType="end"/>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AEkNyy5wEAAMcD&#10;AAAOAAAAAAAAAAEAIAAAAB4BAABkcnMvZTJvRG9jLnhtbFBLBQYAAAAABgAGAFkBAAB3BQAAAAA=&#10;">
              <v:fill on="f" focussize="0,0"/>
              <v:stroke on="f"/>
              <v:imagedata o:title=""/>
              <o:lock v:ext="edit" aspectratio="f"/>
              <v:textbox inset="0mm,0mm,0mm,0mm" style="mso-fit-shape-to-text:t;">
                <w:txbxContent>
                  <w:p w14:paraId="2424EF98">
                    <w:pPr>
                      <w:pStyle w:val="17"/>
                    </w:pPr>
                    <w:r>
                      <w:fldChar w:fldCharType="begin"/>
                    </w:r>
                    <w:r>
                      <w:instrText xml:space="preserve"> PAGE  \* MERGEFORMAT </w:instrText>
                    </w:r>
                    <w:r>
                      <w:fldChar w:fldCharType="separate"/>
                    </w:r>
                    <w:r>
                      <w:t>28</w:t>
                    </w:r>
                    <w: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615E99F">
                          <w:pPr>
                            <w:pStyle w:val="1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4ufaQ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bi59pDgCAABxBAAADgAAAAAAAAABACAAAAAfAQAAZHJzL2Uyb0RvYy54&#10;bWxQSwUGAAAAAAYABgBZAQAAyQUAAAAA&#10;">
              <v:fill on="f" focussize="0,0"/>
              <v:stroke on="f" weight="0.5pt"/>
              <v:imagedata o:title=""/>
              <o:lock v:ext="edit" aspectratio="f"/>
              <v:textbox inset="0mm,0mm,0mm,0mm" style="mso-fit-shape-to-text:t;">
                <w:txbxContent>
                  <w:p w14:paraId="4615E99F">
                    <w:pPr>
                      <w:pStyle w:val="17"/>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047B0">
    <w:pPr>
      <w:spacing w:line="169" w:lineRule="auto"/>
      <w:ind w:left="4314"/>
      <w:rPr>
        <w:rFonts w:ascii="Calibri" w:hAnsi="Calibri" w:eastAsia="Calibri" w:cs="Calibri"/>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42BBA5B7">
                          <w:pPr>
                            <w:pStyle w:val="17"/>
                          </w:pPr>
                          <w:r>
                            <w:fldChar w:fldCharType="begin"/>
                          </w:r>
                          <w:r>
                            <w:instrText xml:space="preserve"> PAGE  \* MERGEFORMAT </w:instrText>
                          </w:r>
                          <w:r>
                            <w:fldChar w:fldCharType="separate"/>
                          </w:r>
                          <w:r>
                            <w:t>29</w:t>
                          </w:r>
                          <w:r>
                            <w:fldChar w:fldCharType="end"/>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xsE+A5wEAAMcD&#10;AAAOAAAAAAAAAAEAIAAAAB4BAABkcnMvZTJvRG9jLnhtbFBLBQYAAAAABgAGAFkBAAB3BQAAAAA=&#10;">
              <v:fill on="f" focussize="0,0"/>
              <v:stroke on="f"/>
              <v:imagedata o:title=""/>
              <o:lock v:ext="edit" aspectratio="f"/>
              <v:textbox inset="0mm,0mm,0mm,0mm" style="mso-fit-shape-to-text:t;">
                <w:txbxContent>
                  <w:p w14:paraId="42BBA5B7">
                    <w:pPr>
                      <w:pStyle w:val="17"/>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D00FA">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1EF5A3CB">
                          <w:pPr>
                            <w:pStyle w:val="17"/>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ql5uc8AAAAFAQAADwAA&#10;AAAAAAABACAAAAAiAAAAZHJzL2Rvd25yZXYueG1sUEsBAhQAFAAAAAgAh07iQClJz2vmAQAAxwMA&#10;AA4AAAAAAAAAAQAgAAAAHgEAAGRycy9lMm9Eb2MueG1sUEsFBgAAAAAGAAYAWQEAAHYFAAAAAA==&#10;">
              <v:fill on="f" focussize="0,0"/>
              <v:stroke on="f"/>
              <v:imagedata o:title=""/>
              <o:lock v:ext="edit" aspectratio="f"/>
              <v:textbox inset="0mm,0mm,0mm,0mm" style="mso-fit-shape-to-text:t;">
                <w:txbxContent>
                  <w:p w14:paraId="1EF5A3CB">
                    <w:pPr>
                      <w:pStyle w:val="17"/>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F8E83CC">
                          <w:pPr>
                            <w:pStyle w:val="17"/>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fill on="f" focussize="0,0"/>
              <v:stroke on="f"/>
              <v:imagedata o:title=""/>
              <o:lock v:ext="edit" aspectratio="f"/>
              <v:textbox inset="0mm,0mm,0mm,0mm" style="mso-fit-shape-to-text:t;">
                <w:txbxContent>
                  <w:p w14:paraId="4F8E83CC">
                    <w:pPr>
                      <w:pStyle w:val="17"/>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4919C">
    <w:pPr>
      <w:pStyle w:val="18"/>
      <w:jc w:val="left"/>
      <w:rPr>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CB6F0">
    <w:pPr>
      <w:tabs>
        <w:tab w:val="left" w:pos="1440"/>
      </w:tabs>
      <w:spacing w:before="18" w:line="181" w:lineRule="auto"/>
      <w:ind w:left="480"/>
      <w:rPr>
        <w:rFonts w:ascii="仿宋" w:hAnsi="仿宋" w:eastAsia="仿宋" w:cs="仿宋"/>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DA997">
    <w:pPr>
      <w:pStyle w:val="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732D83"/>
    <w:multiLevelType w:val="singleLevel"/>
    <w:tmpl w:val="F6732D83"/>
    <w:lvl w:ilvl="0" w:tentative="0">
      <w:start w:val="1"/>
      <w:numFmt w:val="decimal"/>
      <w:suff w:val="space"/>
      <w:lvlText w:val="%1."/>
      <w:lvlJc w:val="left"/>
    </w:lvl>
  </w:abstractNum>
  <w:abstractNum w:abstractNumId="1">
    <w:nsid w:val="59282788"/>
    <w:multiLevelType w:val="singleLevel"/>
    <w:tmpl w:val="59282788"/>
    <w:lvl w:ilvl="0" w:tentative="0">
      <w:start w:val="7"/>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characterSpacingControl w:val="doNotCompress"/>
  <w:hdrShapeDefaults>
    <o:shapelayout v:ext="edit">
      <o:idmap v:ext="edit" data="2"/>
    </o:shapelayout>
  </w:hdrShapeDefaults>
  <w:compat>
    <w:spaceForUL/>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CA6"/>
    <w:rsid w:val="00062BF6"/>
    <w:rsid w:val="000C1260"/>
    <w:rsid w:val="001A047E"/>
    <w:rsid w:val="002C3494"/>
    <w:rsid w:val="0037029D"/>
    <w:rsid w:val="003766DE"/>
    <w:rsid w:val="0042540F"/>
    <w:rsid w:val="00516A6A"/>
    <w:rsid w:val="005668EE"/>
    <w:rsid w:val="005712A7"/>
    <w:rsid w:val="005B7627"/>
    <w:rsid w:val="005F75C4"/>
    <w:rsid w:val="0060717E"/>
    <w:rsid w:val="006619AA"/>
    <w:rsid w:val="006C5CA6"/>
    <w:rsid w:val="0071466C"/>
    <w:rsid w:val="0076128F"/>
    <w:rsid w:val="00821951"/>
    <w:rsid w:val="00880433"/>
    <w:rsid w:val="008B0F5A"/>
    <w:rsid w:val="008C411A"/>
    <w:rsid w:val="00A02770"/>
    <w:rsid w:val="00A50AD2"/>
    <w:rsid w:val="00A56D22"/>
    <w:rsid w:val="00AC4AC8"/>
    <w:rsid w:val="00B006B9"/>
    <w:rsid w:val="00CE112E"/>
    <w:rsid w:val="00CE1408"/>
    <w:rsid w:val="00D608BB"/>
    <w:rsid w:val="00EF68D9"/>
    <w:rsid w:val="00F10421"/>
    <w:rsid w:val="00F111AE"/>
    <w:rsid w:val="00F305E1"/>
    <w:rsid w:val="00F86148"/>
    <w:rsid w:val="00FB4594"/>
    <w:rsid w:val="01B25216"/>
    <w:rsid w:val="01FB12E1"/>
    <w:rsid w:val="02315D47"/>
    <w:rsid w:val="025F51AA"/>
    <w:rsid w:val="0265537F"/>
    <w:rsid w:val="06C63DFD"/>
    <w:rsid w:val="07CD4764"/>
    <w:rsid w:val="0A081A83"/>
    <w:rsid w:val="0A8266DE"/>
    <w:rsid w:val="0BCB5921"/>
    <w:rsid w:val="0BFC4523"/>
    <w:rsid w:val="0C8C5494"/>
    <w:rsid w:val="0D3761E1"/>
    <w:rsid w:val="0E1965E0"/>
    <w:rsid w:val="0E2944D7"/>
    <w:rsid w:val="0F676AA3"/>
    <w:rsid w:val="0FC73DD0"/>
    <w:rsid w:val="124036BE"/>
    <w:rsid w:val="127012E3"/>
    <w:rsid w:val="13BC5DB8"/>
    <w:rsid w:val="173F2DD7"/>
    <w:rsid w:val="17600C81"/>
    <w:rsid w:val="1A395FBE"/>
    <w:rsid w:val="1AC01660"/>
    <w:rsid w:val="1B2F599A"/>
    <w:rsid w:val="1B4805CB"/>
    <w:rsid w:val="1C5A0BF0"/>
    <w:rsid w:val="1D30218A"/>
    <w:rsid w:val="1E1E3095"/>
    <w:rsid w:val="1EC2350C"/>
    <w:rsid w:val="200E50DC"/>
    <w:rsid w:val="2063142A"/>
    <w:rsid w:val="21F030D1"/>
    <w:rsid w:val="238216FA"/>
    <w:rsid w:val="24030E99"/>
    <w:rsid w:val="24C76AF4"/>
    <w:rsid w:val="250B1B77"/>
    <w:rsid w:val="255107FC"/>
    <w:rsid w:val="2CFA40A3"/>
    <w:rsid w:val="2D717998"/>
    <w:rsid w:val="2F3C7955"/>
    <w:rsid w:val="2FD129FD"/>
    <w:rsid w:val="30907F59"/>
    <w:rsid w:val="317923C7"/>
    <w:rsid w:val="31E07844"/>
    <w:rsid w:val="348C566B"/>
    <w:rsid w:val="34D16D92"/>
    <w:rsid w:val="35A27F55"/>
    <w:rsid w:val="36C959D3"/>
    <w:rsid w:val="37A8687B"/>
    <w:rsid w:val="37C93D50"/>
    <w:rsid w:val="38BB027E"/>
    <w:rsid w:val="391018F3"/>
    <w:rsid w:val="393C513E"/>
    <w:rsid w:val="3B371B0C"/>
    <w:rsid w:val="3CEA63B8"/>
    <w:rsid w:val="3E4531BA"/>
    <w:rsid w:val="3EAB228D"/>
    <w:rsid w:val="3F0C6562"/>
    <w:rsid w:val="3F4D34B9"/>
    <w:rsid w:val="40550B11"/>
    <w:rsid w:val="42770800"/>
    <w:rsid w:val="42770F78"/>
    <w:rsid w:val="43A36B06"/>
    <w:rsid w:val="4406384C"/>
    <w:rsid w:val="442B6E43"/>
    <w:rsid w:val="44D42D6E"/>
    <w:rsid w:val="472A1618"/>
    <w:rsid w:val="479B690B"/>
    <w:rsid w:val="48792A01"/>
    <w:rsid w:val="48AA3158"/>
    <w:rsid w:val="4B6C3B2B"/>
    <w:rsid w:val="4D580A9E"/>
    <w:rsid w:val="4DB647AF"/>
    <w:rsid w:val="4E087C42"/>
    <w:rsid w:val="4EF21A9A"/>
    <w:rsid w:val="4EF24D42"/>
    <w:rsid w:val="4F021BCA"/>
    <w:rsid w:val="4F2B3A73"/>
    <w:rsid w:val="4FDD720B"/>
    <w:rsid w:val="50CA6347"/>
    <w:rsid w:val="518C2131"/>
    <w:rsid w:val="52210B4A"/>
    <w:rsid w:val="54105DF7"/>
    <w:rsid w:val="54613DA6"/>
    <w:rsid w:val="577E726B"/>
    <w:rsid w:val="585F7968"/>
    <w:rsid w:val="59CF169E"/>
    <w:rsid w:val="5C880F1C"/>
    <w:rsid w:val="5CB73052"/>
    <w:rsid w:val="5D316D2B"/>
    <w:rsid w:val="60CB71F9"/>
    <w:rsid w:val="61C86B4F"/>
    <w:rsid w:val="624E3350"/>
    <w:rsid w:val="65546A82"/>
    <w:rsid w:val="66670C8A"/>
    <w:rsid w:val="67751EFD"/>
    <w:rsid w:val="683101B8"/>
    <w:rsid w:val="687A0412"/>
    <w:rsid w:val="691E2F08"/>
    <w:rsid w:val="6B3C7DBA"/>
    <w:rsid w:val="6B67287A"/>
    <w:rsid w:val="6B9D6CD1"/>
    <w:rsid w:val="6D6316BC"/>
    <w:rsid w:val="6D91688C"/>
    <w:rsid w:val="6DE470C3"/>
    <w:rsid w:val="6E413771"/>
    <w:rsid w:val="6EEB7E63"/>
    <w:rsid w:val="6FFE19B1"/>
    <w:rsid w:val="70B2333D"/>
    <w:rsid w:val="7145658E"/>
    <w:rsid w:val="724813A4"/>
    <w:rsid w:val="73A55C63"/>
    <w:rsid w:val="76637392"/>
    <w:rsid w:val="78324A1E"/>
    <w:rsid w:val="79B05998"/>
    <w:rsid w:val="7A24281E"/>
    <w:rsid w:val="7F8C79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9">
    <w:name w:val="heading 1"/>
    <w:basedOn w:val="1"/>
    <w:next w:val="1"/>
    <w:link w:val="29"/>
    <w:qFormat/>
    <w:uiPriority w:val="0"/>
    <w:pPr>
      <w:keepNext/>
      <w:jc w:val="center"/>
      <w:outlineLvl w:val="0"/>
    </w:pPr>
    <w:rPr>
      <w:b/>
      <w:bCs/>
      <w:sz w:val="32"/>
    </w:rPr>
  </w:style>
  <w:style w:type="paragraph" w:styleId="10">
    <w:name w:val="heading 2"/>
    <w:basedOn w:val="1"/>
    <w:next w:val="1"/>
    <w:link w:val="39"/>
    <w:qFormat/>
    <w:uiPriority w:val="0"/>
    <w:pPr>
      <w:keepNext/>
      <w:keepLines/>
      <w:spacing w:line="460" w:lineRule="exact"/>
      <w:outlineLvl w:val="1"/>
    </w:pPr>
    <w:rPr>
      <w:rFonts w:ascii="宋体" w:hAnsi="宋体"/>
      <w:b/>
      <w:sz w:val="30"/>
      <w:szCs w:val="30"/>
    </w:rPr>
  </w:style>
  <w:style w:type="paragraph" w:styleId="11">
    <w:name w:val="heading 3"/>
    <w:basedOn w:val="1"/>
    <w:next w:val="1"/>
    <w:qFormat/>
    <w:uiPriority w:val="0"/>
    <w:pPr>
      <w:keepNext/>
      <w:keepLines/>
      <w:spacing w:line="460" w:lineRule="exact"/>
      <w:outlineLvl w:val="2"/>
    </w:pPr>
    <w:rPr>
      <w:b/>
      <w:sz w:val="24"/>
    </w:rPr>
  </w:style>
  <w:style w:type="paragraph" w:styleId="12">
    <w:name w:val="heading 4"/>
    <w:basedOn w:val="1"/>
    <w:next w:val="1"/>
    <w:qFormat/>
    <w:uiPriority w:val="1"/>
    <w:pPr>
      <w:spacing w:before="1"/>
      <w:outlineLvl w:val="3"/>
    </w:pPr>
    <w:rPr>
      <w:b/>
      <w:bCs/>
      <w:sz w:val="28"/>
      <w:szCs w:val="28"/>
      <w:u w:val="single" w:color="000000"/>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7"/>
    <w:qFormat/>
    <w:uiPriority w:val="0"/>
    <w:pPr>
      <w:ind w:firstLine="420" w:firstLineChars="100"/>
    </w:pPr>
  </w:style>
  <w:style w:type="paragraph" w:styleId="3">
    <w:name w:val="Body Text"/>
    <w:basedOn w:val="1"/>
    <w:next w:val="4"/>
    <w:semiHidden/>
    <w:qFormat/>
    <w:uiPriority w:val="0"/>
  </w:style>
  <w:style w:type="paragraph" w:customStyle="1" w:styleId="4">
    <w:name w:val="Default"/>
    <w:basedOn w:val="5"/>
    <w:next w:val="6"/>
    <w:qFormat/>
    <w:uiPriority w:val="0"/>
    <w:pPr>
      <w:widowControl w:val="0"/>
    </w:pPr>
    <w:rPr>
      <w:rFonts w:cs="宋体"/>
      <w:sz w:val="24"/>
      <w:szCs w:val="24"/>
      <w:lang w:eastAsia="zh-CN"/>
    </w:rPr>
  </w:style>
  <w:style w:type="paragraph" w:styleId="5">
    <w:name w:val="Plain Text"/>
    <w:basedOn w:val="1"/>
    <w:next w:val="3"/>
    <w:qFormat/>
    <w:uiPriority w:val="0"/>
    <w:rPr>
      <w:rFonts w:ascii="宋体" w:hAnsi="Courier New"/>
      <w:szCs w:val="20"/>
    </w:rPr>
  </w:style>
  <w:style w:type="paragraph" w:styleId="6">
    <w:name w:val="table of figures"/>
    <w:basedOn w:val="1"/>
    <w:next w:val="1"/>
    <w:qFormat/>
    <w:uiPriority w:val="0"/>
    <w:pPr>
      <w:widowControl w:val="0"/>
      <w:spacing w:line="360" w:lineRule="auto"/>
      <w:ind w:left="840" w:leftChars="200" w:hanging="420" w:hangingChars="200"/>
      <w:jc w:val="both"/>
    </w:pPr>
    <w:rPr>
      <w:rFonts w:ascii="Arial" w:hAnsi="Arial" w:eastAsia="宋体" w:cs="宋体"/>
      <w:kern w:val="2"/>
      <w:szCs w:val="20"/>
      <w:lang w:eastAsia="zh-CN" w:bidi="ar-SA"/>
    </w:rPr>
  </w:style>
  <w:style w:type="paragraph" w:styleId="7">
    <w:name w:val="Body Text First Indent 2"/>
    <w:basedOn w:val="8"/>
    <w:next w:val="1"/>
    <w:qFormat/>
    <w:uiPriority w:val="0"/>
    <w:pPr>
      <w:spacing w:line="240" w:lineRule="auto"/>
      <w:ind w:left="420" w:leftChars="200" w:firstLine="420" w:firstLineChars="200"/>
    </w:pPr>
  </w:style>
  <w:style w:type="paragraph" w:styleId="8">
    <w:name w:val="Body Text Indent"/>
    <w:basedOn w:val="1"/>
    <w:qFormat/>
    <w:uiPriority w:val="0"/>
    <w:pPr>
      <w:spacing w:line="312" w:lineRule="auto"/>
      <w:ind w:firstLine="735" w:firstLineChars="245"/>
    </w:pPr>
  </w:style>
  <w:style w:type="paragraph" w:styleId="13">
    <w:name w:val="annotation text"/>
    <w:basedOn w:val="1"/>
    <w:qFormat/>
    <w:uiPriority w:val="99"/>
  </w:style>
  <w:style w:type="paragraph" w:styleId="14">
    <w:name w:val="Body Text 3"/>
    <w:basedOn w:val="1"/>
    <w:qFormat/>
    <w:uiPriority w:val="0"/>
    <w:rPr>
      <w:rFonts w:hAnsi="Times New Roman"/>
      <w:sz w:val="24"/>
      <w:szCs w:val="20"/>
    </w:rPr>
  </w:style>
  <w:style w:type="paragraph" w:styleId="15">
    <w:name w:val="List 2"/>
    <w:basedOn w:val="1"/>
    <w:qFormat/>
    <w:uiPriority w:val="0"/>
    <w:pPr>
      <w:ind w:left="100" w:leftChars="200" w:hanging="200" w:hangingChars="200"/>
    </w:pPr>
    <w:rPr>
      <w:szCs w:val="24"/>
    </w:rPr>
  </w:style>
  <w:style w:type="paragraph" w:styleId="16">
    <w:name w:val="Body Text Indent 2"/>
    <w:basedOn w:val="1"/>
    <w:qFormat/>
    <w:uiPriority w:val="0"/>
    <w:pPr>
      <w:spacing w:after="120" w:line="480" w:lineRule="auto"/>
      <w:ind w:left="420" w:leftChars="200"/>
    </w:pPr>
  </w:style>
  <w:style w:type="paragraph" w:styleId="17">
    <w:name w:val="footer"/>
    <w:basedOn w:val="1"/>
    <w:unhideWhenUsed/>
    <w:qFormat/>
    <w:uiPriority w:val="99"/>
    <w:pPr>
      <w:tabs>
        <w:tab w:val="center" w:pos="4153"/>
        <w:tab w:val="right" w:pos="8306"/>
      </w:tabs>
      <w:spacing w:line="240" w:lineRule="atLeast"/>
    </w:pPr>
    <w:rPr>
      <w:sz w:val="18"/>
      <w:szCs w:val="18"/>
    </w:rPr>
  </w:style>
  <w:style w:type="paragraph" w:styleId="18">
    <w:name w:val="header"/>
    <w:basedOn w:val="1"/>
    <w:unhideWhenUsed/>
    <w:qFormat/>
    <w:uiPriority w:val="99"/>
    <w:pPr>
      <w:pBdr>
        <w:bottom w:val="single" w:color="auto" w:sz="6" w:space="1"/>
      </w:pBdr>
      <w:tabs>
        <w:tab w:val="center" w:pos="4153"/>
        <w:tab w:val="right" w:pos="8306"/>
      </w:tabs>
      <w:spacing w:line="240" w:lineRule="atLeast"/>
      <w:jc w:val="center"/>
    </w:pPr>
    <w:rPr>
      <w:sz w:val="18"/>
      <w:szCs w:val="18"/>
    </w:rPr>
  </w:style>
  <w:style w:type="paragraph" w:styleId="19">
    <w:name w:val="Signature"/>
    <w:basedOn w:val="1"/>
    <w:qFormat/>
    <w:uiPriority w:val="0"/>
    <w:pPr>
      <w:ind w:left="2100" w:leftChars="2100"/>
    </w:pPr>
  </w:style>
  <w:style w:type="paragraph" w:styleId="20">
    <w:name w:val="toc 1"/>
    <w:basedOn w:val="1"/>
    <w:next w:val="1"/>
    <w:qFormat/>
    <w:uiPriority w:val="39"/>
  </w:style>
  <w:style w:type="paragraph" w:styleId="21">
    <w:name w:val="footnote text"/>
    <w:basedOn w:val="1"/>
    <w:qFormat/>
    <w:uiPriority w:val="0"/>
    <w:rPr>
      <w:sz w:val="18"/>
      <w:szCs w:val="18"/>
    </w:rPr>
  </w:style>
  <w:style w:type="paragraph" w:styleId="22">
    <w:name w:val="toc 2"/>
    <w:basedOn w:val="1"/>
    <w:next w:val="1"/>
    <w:qFormat/>
    <w:uiPriority w:val="39"/>
    <w:pPr>
      <w:spacing w:line="276" w:lineRule="auto"/>
      <w:ind w:left="220"/>
    </w:pPr>
    <w:rPr>
      <w:rFonts w:ascii="Calibri" w:hAnsi="Calibri"/>
      <w:sz w:val="22"/>
    </w:rPr>
  </w:style>
  <w:style w:type="paragraph" w:styleId="23">
    <w:name w:val="Body Text 2"/>
    <w:basedOn w:val="1"/>
    <w:next w:val="3"/>
    <w:qFormat/>
    <w:uiPriority w:val="0"/>
    <w:pPr>
      <w:spacing w:after="120" w:line="480" w:lineRule="auto"/>
    </w:pPr>
  </w:style>
  <w:style w:type="paragraph" w:styleId="24">
    <w:name w:val="Normal (Web)"/>
    <w:basedOn w:val="1"/>
    <w:qFormat/>
    <w:uiPriority w:val="99"/>
    <w:pPr>
      <w:spacing w:beforeAutospacing="1" w:afterAutospacing="1"/>
    </w:pPr>
    <w:rPr>
      <w:rFonts w:ascii="宋体" w:hAnsi="宋体" w:cs="宋体"/>
      <w:sz w:val="24"/>
      <w:szCs w:val="24"/>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
    <w:name w:val="Table Normal"/>
    <w:semiHidden/>
    <w:unhideWhenUsed/>
    <w:qFormat/>
    <w:uiPriority w:val="0"/>
    <w:tblPr>
      <w:tblCellMar>
        <w:top w:w="0" w:type="dxa"/>
        <w:left w:w="0" w:type="dxa"/>
        <w:bottom w:w="0" w:type="dxa"/>
        <w:right w:w="0" w:type="dxa"/>
      </w:tblCellMar>
    </w:tblPr>
  </w:style>
  <w:style w:type="character" w:customStyle="1" w:styleId="29">
    <w:name w:val="标题 1 Char"/>
    <w:link w:val="9"/>
    <w:qFormat/>
    <w:uiPriority w:val="0"/>
    <w:rPr>
      <w:b/>
      <w:bCs/>
      <w:color w:val="000000"/>
      <w:sz w:val="32"/>
    </w:rPr>
  </w:style>
  <w:style w:type="paragraph" w:customStyle="1" w:styleId="30">
    <w:name w:val="BodyText1I2"/>
    <w:basedOn w:val="31"/>
    <w:next w:val="32"/>
    <w:qFormat/>
    <w:uiPriority w:val="0"/>
    <w:pPr>
      <w:ind w:firstLine="420"/>
    </w:pPr>
    <w:rPr>
      <w:rFonts w:ascii="Calibri" w:hAnsi="Calibri" w:eastAsia="楷体_GB2312"/>
      <w:kern w:val="44"/>
      <w:sz w:val="44"/>
    </w:rPr>
  </w:style>
  <w:style w:type="paragraph" w:customStyle="1" w:styleId="31">
    <w:name w:val="BodyTextIndent"/>
    <w:basedOn w:val="1"/>
    <w:qFormat/>
    <w:uiPriority w:val="0"/>
    <w:pPr>
      <w:spacing w:after="120"/>
      <w:ind w:left="420" w:leftChars="200"/>
    </w:pPr>
    <w:rPr>
      <w:rFonts w:ascii="Times New Roman" w:hAnsi="Times New Roman"/>
      <w:sz w:val="20"/>
    </w:rPr>
  </w:style>
  <w:style w:type="paragraph" w:customStyle="1" w:styleId="32">
    <w:name w:val="UserStyle_136"/>
    <w:basedOn w:val="1"/>
    <w:next w:val="1"/>
    <w:qFormat/>
    <w:uiPriority w:val="0"/>
    <w:pPr>
      <w:spacing w:after="120" w:line="320" w:lineRule="atLeast"/>
    </w:pPr>
  </w:style>
  <w:style w:type="paragraph" w:customStyle="1" w:styleId="33">
    <w:name w:val="样式 标题 2 + Times New Roman 四号 非加粗 段前: 5 磅 段后: 0 磅 行距: 固定值 20..."/>
    <w:basedOn w:val="10"/>
    <w:qFormat/>
    <w:uiPriority w:val="0"/>
    <w:pPr>
      <w:spacing w:line="400" w:lineRule="exact"/>
    </w:pPr>
    <w:rPr>
      <w:rFonts w:ascii="Times New Roman" w:hAnsi="Times New Roman" w:cs="宋体"/>
      <w:b w:val="0"/>
      <w:sz w:val="28"/>
      <w:szCs w:val="20"/>
    </w:rPr>
  </w:style>
  <w:style w:type="paragraph" w:styleId="34">
    <w:name w:val="List Paragraph"/>
    <w:basedOn w:val="1"/>
    <w:qFormat/>
    <w:uiPriority w:val="0"/>
    <w:pPr>
      <w:ind w:firstLine="420"/>
    </w:pPr>
    <w:rPr>
      <w:szCs w:val="24"/>
    </w:rPr>
  </w:style>
  <w:style w:type="paragraph" w:customStyle="1" w:styleId="35">
    <w:name w:val="*正文_1"/>
    <w:basedOn w:val="36"/>
    <w:next w:val="36"/>
    <w:qFormat/>
    <w:uiPriority w:val="0"/>
    <w:pPr>
      <w:widowControl/>
      <w:ind w:firstLine="482"/>
    </w:pPr>
    <w:rPr>
      <w:rFonts w:ascii="微软雅黑" w:hAnsi="微软雅黑" w:eastAsia="微软雅黑"/>
      <w:kern w:val="0"/>
      <w:szCs w:val="20"/>
    </w:rPr>
  </w:style>
  <w:style w:type="paragraph" w:customStyle="1" w:styleId="36">
    <w:name w:val="正文_1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样式 标题 3 + (中文) 黑体 小四 非加粗 段前: 7.8 磅 段后: 0 磅 行距: 固定值 20 磅"/>
    <w:basedOn w:val="11"/>
    <w:qFormat/>
    <w:uiPriority w:val="0"/>
    <w:pPr>
      <w:spacing w:line="400" w:lineRule="exact"/>
    </w:pPr>
    <w:rPr>
      <w:rFonts w:eastAsia="黑体" w:cs="宋体"/>
      <w:b w:val="0"/>
      <w:szCs w:val="20"/>
    </w:rPr>
  </w:style>
  <w:style w:type="paragraph" w:customStyle="1" w:styleId="38">
    <w:name w:val="Table Text"/>
    <w:basedOn w:val="1"/>
    <w:semiHidden/>
    <w:qFormat/>
    <w:uiPriority w:val="0"/>
    <w:rPr>
      <w:rFonts w:ascii="宋体" w:hAnsi="宋体" w:eastAsia="宋体" w:cs="宋体"/>
      <w:sz w:val="24"/>
      <w:szCs w:val="24"/>
    </w:rPr>
  </w:style>
  <w:style w:type="character" w:customStyle="1" w:styleId="39">
    <w:name w:val="标题 2 Char"/>
    <w:basedOn w:val="27"/>
    <w:link w:val="10"/>
    <w:qFormat/>
    <w:uiPriority w:val="0"/>
    <w:rPr>
      <w:rFonts w:ascii="宋体" w:hAnsi="宋体"/>
      <w:b/>
      <w:sz w:val="30"/>
      <w:szCs w:val="30"/>
    </w:rPr>
  </w:style>
  <w:style w:type="paragraph" w:customStyle="1" w:styleId="40">
    <w:name w:val="Table Paragraph"/>
    <w:basedOn w:val="1"/>
    <w:qFormat/>
    <w:uiPriority w:val="0"/>
    <w:rPr>
      <w:rFonts w:hint="eastAsia" w:ascii="宋体" w:hAnsi="宋体" w:eastAsia="宋体" w:cs="Times New Roman"/>
      <w:sz w:val="22"/>
    </w:rPr>
  </w:style>
  <w:style w:type="paragraph" w:customStyle="1" w:styleId="41">
    <w:name w:val="文档正文"/>
    <w:basedOn w:val="1"/>
    <w:qFormat/>
    <w:uiPriority w:val="0"/>
    <w:pPr>
      <w:spacing w:line="480" w:lineRule="atLeast"/>
      <w:ind w:firstLine="567"/>
    </w:pPr>
    <w:rPr>
      <w:rFonts w:ascii="仿宋_GB2312" w:eastAsia="仿宋_GB2312"/>
      <w:sz w:val="28"/>
    </w:rPr>
  </w:style>
  <w:style w:type="paragraph" w:customStyle="1" w:styleId="42">
    <w:name w:val="无间隔1"/>
    <w:basedOn w:val="1"/>
    <w:qFormat/>
    <w:uiPriority w:val="1"/>
    <w:pPr>
      <w:spacing w:line="400" w:lineRule="exact"/>
    </w:pPr>
  </w:style>
  <w:style w:type="paragraph" w:customStyle="1" w:styleId="43">
    <w:name w:val="正文文本1"/>
    <w:basedOn w:val="1"/>
    <w:qFormat/>
    <w:uiPriority w:val="0"/>
    <w:pPr>
      <w:adjustRightInd/>
      <w:textAlignment w:val="auto"/>
    </w:pPr>
    <w:rPr>
      <w:rFonts w:ascii="宋体" w:hAnsi="宋体" w:eastAsia="宋体" w:cs="Times New Roman"/>
      <w:snapToGrid/>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843245-F55E-47A7-BF40-5DDAEBDF4CF5}">
  <ds:schemaRefs/>
</ds:datastoreItem>
</file>

<file path=docProps/app.xml><?xml version="1.0" encoding="utf-8"?>
<Properties xmlns="http://schemas.openxmlformats.org/officeDocument/2006/extended-properties" xmlns:vt="http://schemas.openxmlformats.org/officeDocument/2006/docPropsVTypes">
  <Template>Normal</Template>
  <Pages>48</Pages>
  <Words>364</Words>
  <Characters>399</Characters>
  <Lines>218</Lines>
  <Paragraphs>61</Paragraphs>
  <TotalTime>31</TotalTime>
  <ScaleCrop>false</ScaleCrop>
  <LinksUpToDate>false</LinksUpToDate>
  <CharactersWithSpaces>448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2025-04-09T08:45:00Z</dcterms:created>
  <dc:creator>Administrator</dc:creator>
  <cp:lastModifiedBy>汤猛</cp:lastModifiedBy>
  <cp:lastPrinted>2025-06-17T03:35:00Z</cp:lastPrinted>
  <dcterms:modified xsi:type="dcterms:W3CDTF">2025-09-16T10:09:32Z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2025-04-09T08:45:34Z</vt:filetime>
  </property>
  <property fmtid="{D5CDD505-2E9C-101B-9397-08002B2CF9AE}" pid="4" name="UsrData">
    <vt:lpwstr>67f5c32ddbff1c001f765702wl</vt:lpwstr>
  </property>
  <property fmtid="{D5CDD505-2E9C-101B-9397-08002B2CF9AE}" pid="5" name="KSOTemplateDocerSaveRecord">
    <vt:lpwstr>eyJoZGlkIjoiNjc1MWQyN2M4ZjJkMjk3ZDg4ODA1NzljMjBjN2ExYjUiLCJ1c2VySWQiOiIyNzUyMTEzNTUifQ==</vt:lpwstr>
  </property>
  <property fmtid="{D5CDD505-2E9C-101B-9397-08002B2CF9AE}" pid="6" name="KSOProductBuildVer">
    <vt:lpwstr>2052-12.1.0.22529</vt:lpwstr>
  </property>
  <property fmtid="{D5CDD505-2E9C-101B-9397-08002B2CF9AE}" pid="7" name="ICV">
    <vt:lpwstr>E6D440FD5BF34A188D27820D54EE5088_13</vt:lpwstr>
  </property>
</Properties>
</file>