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E865AC">
      <w:pPr>
        <w:rPr>
          <w:rFonts w:hint="default" w:eastAsia="宋体"/>
          <w:highlight w:val="none"/>
          <w:lang w:val="en-US" w:eastAsia="zh-CN"/>
        </w:rPr>
      </w:pPr>
      <w:r>
        <w:rPr>
          <w:rFonts w:hint="eastAsia"/>
          <w:highlight w:val="none"/>
          <w:lang w:val="en-US" w:eastAsia="zh-CN"/>
        </w:rPr>
        <w:t xml:space="preserve">  </w:t>
      </w:r>
    </w:p>
    <w:p w14:paraId="4B85287A">
      <w:pPr>
        <w:pStyle w:val="34"/>
        <w:jc w:val="center"/>
        <w:rPr>
          <w:rFonts w:hint="eastAsia" w:hAnsi="宋体"/>
          <w:b/>
          <w:sz w:val="48"/>
          <w:szCs w:val="48"/>
          <w:highlight w:val="none"/>
          <w:lang w:val="en-US" w:eastAsia="zh-CN"/>
        </w:rPr>
      </w:pPr>
    </w:p>
    <w:p w14:paraId="5AB1E69A">
      <w:pPr>
        <w:pStyle w:val="38"/>
        <w:jc w:val="center"/>
        <w:rPr>
          <w:rFonts w:hint="eastAsia" w:ascii="宋体" w:hAnsi="宋体"/>
          <w:b/>
          <w:sz w:val="40"/>
          <w:szCs w:val="40"/>
          <w:highlight w:val="none"/>
          <w:lang w:val="en-US" w:eastAsia="zh-CN"/>
        </w:rPr>
      </w:pPr>
      <w:r>
        <w:rPr>
          <w:rFonts w:hint="eastAsia" w:hAnsi="宋体"/>
          <w:b/>
          <w:bCs/>
          <w:color w:val="000000" w:themeColor="text1"/>
          <w:sz w:val="44"/>
          <w:szCs w:val="44"/>
          <w:highlight w:val="none"/>
          <w:lang w:val="en-US" w:eastAsia="zh-CN"/>
          <w14:textFill>
            <w14:solidFill>
              <w14:schemeClr w14:val="tx1"/>
            </w14:solidFill>
          </w14:textFill>
        </w:rPr>
        <w:t>民权县庄子镇人民政府民权县庄子镇老年人体育健身园项目二次</w:t>
      </w:r>
    </w:p>
    <w:p w14:paraId="645925EA">
      <w:pPr>
        <w:pStyle w:val="38"/>
        <w:rPr>
          <w:rFonts w:hint="eastAsia" w:ascii="宋体" w:hAnsi="宋体"/>
          <w:b/>
          <w:sz w:val="40"/>
          <w:szCs w:val="40"/>
          <w:highlight w:val="none"/>
          <w:lang w:val="en-US" w:eastAsia="zh-CN"/>
        </w:rPr>
      </w:pPr>
    </w:p>
    <w:p w14:paraId="687235DB">
      <w:pPr>
        <w:pStyle w:val="38"/>
        <w:rPr>
          <w:rFonts w:hint="eastAsia" w:ascii="宋体" w:hAnsi="宋体"/>
          <w:b/>
          <w:sz w:val="40"/>
          <w:szCs w:val="40"/>
          <w:highlight w:val="none"/>
          <w:lang w:val="en-US" w:eastAsia="zh-CN"/>
        </w:rPr>
      </w:pPr>
    </w:p>
    <w:p w14:paraId="6B761928">
      <w:pPr>
        <w:pStyle w:val="38"/>
        <w:rPr>
          <w:rFonts w:hint="eastAsia" w:ascii="宋体" w:hAnsi="宋体"/>
          <w:b/>
          <w:sz w:val="40"/>
          <w:szCs w:val="40"/>
          <w:highlight w:val="none"/>
          <w:lang w:val="en-US" w:eastAsia="zh-CN"/>
        </w:rPr>
      </w:pPr>
    </w:p>
    <w:p w14:paraId="356600A4">
      <w:pPr>
        <w:pStyle w:val="38"/>
        <w:rPr>
          <w:rFonts w:hint="eastAsia" w:ascii="宋体" w:hAnsi="宋体"/>
          <w:b/>
          <w:sz w:val="40"/>
          <w:szCs w:val="40"/>
          <w:highlight w:val="none"/>
          <w:lang w:val="en-US" w:eastAsia="zh-CN"/>
        </w:rPr>
      </w:pPr>
    </w:p>
    <w:p w14:paraId="39A90A79">
      <w:pPr>
        <w:jc w:val="center"/>
        <w:rPr>
          <w:rFonts w:hint="eastAsia" w:ascii="宋体" w:hAnsi="宋体"/>
          <w:b/>
          <w:sz w:val="48"/>
          <w:szCs w:val="48"/>
          <w:highlight w:val="none"/>
          <w:lang w:val="en-US" w:eastAsia="zh-CN"/>
        </w:rPr>
      </w:pPr>
      <w:r>
        <w:rPr>
          <w:rFonts w:hint="eastAsia" w:ascii="宋体" w:hAnsi="宋体"/>
          <w:b/>
          <w:sz w:val="48"/>
          <w:szCs w:val="48"/>
          <w:highlight w:val="none"/>
          <w:lang w:val="en-US" w:eastAsia="zh-CN"/>
        </w:rPr>
        <w:t>竞争性谈判文件</w:t>
      </w:r>
    </w:p>
    <w:p w14:paraId="0FDF66F3">
      <w:pPr>
        <w:jc w:val="center"/>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采购</w:t>
      </w:r>
      <w:r>
        <w:rPr>
          <w:rFonts w:hint="eastAsia" w:ascii="宋体" w:hAnsi="宋体" w:eastAsia="宋体" w:cs="宋体"/>
          <w:kern w:val="0"/>
          <w:sz w:val="28"/>
          <w:szCs w:val="28"/>
          <w:highlight w:val="none"/>
          <w:lang w:val="en-US" w:eastAsia="zh-CN"/>
        </w:rPr>
        <w:t>编号：民财采竞</w:t>
      </w:r>
      <w:r>
        <w:rPr>
          <w:rFonts w:hint="eastAsia" w:ascii="宋体" w:hAnsi="宋体" w:cs="宋体"/>
          <w:kern w:val="0"/>
          <w:sz w:val="28"/>
          <w:szCs w:val="28"/>
          <w:highlight w:val="none"/>
          <w:lang w:val="en-US" w:eastAsia="zh-CN"/>
        </w:rPr>
        <w:t>-2025-7</w:t>
      </w:r>
    </w:p>
    <w:p w14:paraId="04E776B8">
      <w:pPr>
        <w:ind w:firstLine="3080" w:firstLineChars="1100"/>
        <w:jc w:val="both"/>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招标编号：商政采〔202</w:t>
      </w:r>
      <w:r>
        <w:rPr>
          <w:rFonts w:hint="eastAsia" w:ascii="宋体" w:hAnsi="宋体" w:cs="宋体"/>
          <w:kern w:val="0"/>
          <w:sz w:val="28"/>
          <w:szCs w:val="28"/>
          <w:highlight w:val="none"/>
          <w:lang w:val="en-US" w:eastAsia="zh-CN"/>
        </w:rPr>
        <w:t>5</w:t>
      </w:r>
      <w:r>
        <w:rPr>
          <w:rFonts w:hint="eastAsia" w:ascii="宋体" w:hAnsi="宋体" w:eastAsia="宋体" w:cs="宋体"/>
          <w:kern w:val="0"/>
          <w:sz w:val="28"/>
          <w:szCs w:val="28"/>
          <w:highlight w:val="none"/>
          <w:lang w:val="en-US" w:eastAsia="zh-CN"/>
        </w:rPr>
        <w:t>〕</w:t>
      </w:r>
      <w:r>
        <w:rPr>
          <w:rFonts w:hint="eastAsia" w:ascii="宋体" w:hAnsi="宋体" w:cs="宋体"/>
          <w:kern w:val="0"/>
          <w:sz w:val="28"/>
          <w:szCs w:val="28"/>
          <w:highlight w:val="none"/>
          <w:lang w:val="en-US" w:eastAsia="zh-CN"/>
        </w:rPr>
        <w:t>701</w:t>
      </w:r>
      <w:r>
        <w:rPr>
          <w:rFonts w:hint="eastAsia" w:ascii="宋体" w:hAnsi="宋体" w:eastAsia="宋体" w:cs="宋体"/>
          <w:kern w:val="0"/>
          <w:sz w:val="28"/>
          <w:szCs w:val="28"/>
          <w:highlight w:val="none"/>
          <w:lang w:val="en-US" w:eastAsia="zh-CN"/>
        </w:rPr>
        <w:t>号</w:t>
      </w:r>
    </w:p>
    <w:p w14:paraId="75FE8502">
      <w:pPr>
        <w:rPr>
          <w:b/>
          <w:sz w:val="32"/>
          <w:szCs w:val="32"/>
          <w:highlight w:val="none"/>
        </w:rPr>
      </w:pPr>
    </w:p>
    <w:p w14:paraId="0E9CC41E">
      <w:pPr>
        <w:ind w:firstLine="1100" w:firstLineChars="250"/>
        <w:rPr>
          <w:rFonts w:hint="eastAsia" w:ascii="宋体"/>
          <w:sz w:val="44"/>
          <w:szCs w:val="44"/>
          <w:highlight w:val="none"/>
          <w:lang w:val="en-US" w:eastAsia="zh-CN"/>
        </w:rPr>
      </w:pPr>
      <w:r>
        <w:rPr>
          <w:rFonts w:hint="eastAsia" w:ascii="宋体"/>
          <w:sz w:val="44"/>
          <w:szCs w:val="44"/>
          <w:highlight w:val="none"/>
          <w:lang w:val="en-US" w:eastAsia="zh-CN"/>
        </w:rPr>
        <w:t xml:space="preserve">           </w:t>
      </w:r>
    </w:p>
    <w:p w14:paraId="1EC92288">
      <w:pPr>
        <w:pStyle w:val="38"/>
        <w:rPr>
          <w:rFonts w:hint="eastAsia" w:ascii="宋体"/>
          <w:sz w:val="44"/>
          <w:szCs w:val="44"/>
          <w:highlight w:val="none"/>
        </w:rPr>
      </w:pPr>
    </w:p>
    <w:p w14:paraId="59CF77F4">
      <w:pPr>
        <w:pStyle w:val="38"/>
        <w:rPr>
          <w:rFonts w:hint="eastAsia" w:ascii="宋体"/>
          <w:sz w:val="44"/>
          <w:szCs w:val="44"/>
          <w:highlight w:val="none"/>
        </w:rPr>
      </w:pPr>
    </w:p>
    <w:p w14:paraId="4215F7BE">
      <w:pPr>
        <w:pStyle w:val="38"/>
        <w:rPr>
          <w:rFonts w:hint="eastAsia" w:ascii="宋体"/>
          <w:sz w:val="44"/>
          <w:szCs w:val="44"/>
          <w:highlight w:val="none"/>
        </w:rPr>
      </w:pPr>
    </w:p>
    <w:p w14:paraId="01595F1E">
      <w:pPr>
        <w:pStyle w:val="38"/>
        <w:rPr>
          <w:rFonts w:hint="eastAsia" w:ascii="宋体"/>
          <w:sz w:val="44"/>
          <w:szCs w:val="44"/>
          <w:highlight w:val="none"/>
        </w:rPr>
      </w:pPr>
    </w:p>
    <w:p w14:paraId="6905A764">
      <w:pPr>
        <w:pStyle w:val="38"/>
        <w:rPr>
          <w:rFonts w:hint="eastAsia" w:ascii="宋体"/>
          <w:sz w:val="44"/>
          <w:szCs w:val="44"/>
          <w:highlight w:val="none"/>
        </w:rPr>
      </w:pPr>
    </w:p>
    <w:p w14:paraId="5B3493F4">
      <w:pPr>
        <w:ind w:firstLine="2100" w:firstLineChars="700"/>
        <w:rPr>
          <w:rFonts w:hint="eastAsia"/>
          <w:sz w:val="30"/>
          <w:szCs w:val="30"/>
          <w:highlight w:val="none"/>
        </w:rPr>
      </w:pPr>
      <w:r>
        <w:rPr>
          <w:rFonts w:hint="eastAsia"/>
          <w:sz w:val="30"/>
          <w:szCs w:val="30"/>
          <w:highlight w:val="none"/>
        </w:rPr>
        <w:t>采</w:t>
      </w:r>
      <w:r>
        <w:rPr>
          <w:rFonts w:hint="eastAsia"/>
          <w:sz w:val="30"/>
          <w:szCs w:val="30"/>
          <w:highlight w:val="none"/>
          <w:lang w:val="en-US" w:eastAsia="zh-CN"/>
        </w:rPr>
        <w:t xml:space="preserve">  </w:t>
      </w:r>
      <w:r>
        <w:rPr>
          <w:rFonts w:hint="eastAsia"/>
          <w:sz w:val="30"/>
          <w:szCs w:val="30"/>
          <w:highlight w:val="none"/>
        </w:rPr>
        <w:t>购</w:t>
      </w:r>
      <w:r>
        <w:rPr>
          <w:rFonts w:hint="eastAsia"/>
          <w:sz w:val="30"/>
          <w:szCs w:val="30"/>
          <w:highlight w:val="none"/>
          <w:lang w:val="en-US" w:eastAsia="zh-CN"/>
        </w:rPr>
        <w:t xml:space="preserve">  </w:t>
      </w:r>
      <w:r>
        <w:rPr>
          <w:rFonts w:hint="eastAsia"/>
          <w:sz w:val="30"/>
          <w:szCs w:val="30"/>
          <w:highlight w:val="none"/>
        </w:rPr>
        <w:t>人</w:t>
      </w:r>
      <w:r>
        <w:rPr>
          <w:rFonts w:hint="eastAsia"/>
          <w:sz w:val="30"/>
          <w:szCs w:val="30"/>
          <w:highlight w:val="none"/>
          <w:lang w:val="en-US" w:eastAsia="zh-CN"/>
        </w:rPr>
        <w:t xml:space="preserve">  </w:t>
      </w:r>
      <w:r>
        <w:rPr>
          <w:rFonts w:hint="eastAsia"/>
          <w:sz w:val="30"/>
          <w:szCs w:val="30"/>
          <w:highlight w:val="none"/>
        </w:rPr>
        <w:t>：</w:t>
      </w:r>
      <w:r>
        <w:rPr>
          <w:rFonts w:hint="eastAsia"/>
          <w:sz w:val="30"/>
          <w:szCs w:val="30"/>
          <w:highlight w:val="none"/>
          <w:lang w:val="en-US" w:eastAsia="zh-CN"/>
        </w:rPr>
        <w:t>民权县庄子镇人民政府</w:t>
      </w:r>
    </w:p>
    <w:p w14:paraId="7B6D0FDB">
      <w:pPr>
        <w:ind w:firstLine="2100" w:firstLineChars="700"/>
        <w:rPr>
          <w:rFonts w:hint="eastAsia" w:eastAsia="宋体"/>
          <w:sz w:val="30"/>
          <w:szCs w:val="30"/>
          <w:highlight w:val="none"/>
          <w:lang w:eastAsia="zh-CN"/>
        </w:rPr>
      </w:pPr>
      <w:r>
        <w:rPr>
          <w:rFonts w:hint="eastAsia"/>
          <w:sz w:val="30"/>
          <w:szCs w:val="30"/>
          <w:highlight w:val="none"/>
        </w:rPr>
        <w:t>招标代理机构：</w:t>
      </w:r>
      <w:r>
        <w:rPr>
          <w:rFonts w:hint="eastAsia"/>
          <w:sz w:val="30"/>
          <w:szCs w:val="30"/>
          <w:highlight w:val="none"/>
          <w:lang w:val="en-US" w:eastAsia="zh-CN"/>
        </w:rPr>
        <w:t>河南哲胜工程管理有限公司</w:t>
      </w:r>
    </w:p>
    <w:p w14:paraId="399847F1">
      <w:pPr>
        <w:ind w:firstLine="2100" w:firstLineChars="700"/>
        <w:rPr>
          <w:rFonts w:hint="eastAsia"/>
          <w:sz w:val="30"/>
          <w:szCs w:val="30"/>
          <w:highlight w:val="none"/>
        </w:rPr>
      </w:pPr>
      <w:r>
        <w:rPr>
          <w:rFonts w:hint="eastAsia"/>
          <w:sz w:val="30"/>
          <w:szCs w:val="30"/>
          <w:highlight w:val="none"/>
        </w:rPr>
        <w:t>日</w:t>
      </w:r>
      <w:r>
        <w:rPr>
          <w:rFonts w:hint="eastAsia"/>
          <w:sz w:val="30"/>
          <w:szCs w:val="30"/>
          <w:highlight w:val="none"/>
          <w:lang w:val="en-US" w:eastAsia="zh-CN"/>
        </w:rPr>
        <w:t xml:space="preserve">      </w:t>
      </w:r>
      <w:r>
        <w:rPr>
          <w:rFonts w:hint="eastAsia"/>
          <w:sz w:val="30"/>
          <w:szCs w:val="30"/>
          <w:highlight w:val="none"/>
        </w:rPr>
        <w:t>期</w:t>
      </w:r>
      <w:r>
        <w:rPr>
          <w:rFonts w:hint="eastAsia"/>
          <w:sz w:val="30"/>
          <w:szCs w:val="30"/>
          <w:highlight w:val="none"/>
          <w:lang w:val="en-US" w:eastAsia="zh-CN"/>
        </w:rPr>
        <w:t xml:space="preserve">  </w:t>
      </w:r>
      <w:r>
        <w:rPr>
          <w:rFonts w:hint="eastAsia"/>
          <w:sz w:val="30"/>
          <w:szCs w:val="30"/>
          <w:highlight w:val="none"/>
        </w:rPr>
        <w:t>：二〇二</w:t>
      </w:r>
      <w:r>
        <w:rPr>
          <w:rFonts w:hint="eastAsia"/>
          <w:sz w:val="30"/>
          <w:szCs w:val="30"/>
          <w:highlight w:val="none"/>
          <w:lang w:eastAsia="zh-CN"/>
        </w:rPr>
        <w:t>五</w:t>
      </w:r>
      <w:r>
        <w:rPr>
          <w:rFonts w:hint="eastAsia"/>
          <w:sz w:val="30"/>
          <w:szCs w:val="30"/>
          <w:highlight w:val="none"/>
        </w:rPr>
        <w:t>年</w:t>
      </w:r>
      <w:r>
        <w:rPr>
          <w:rFonts w:hint="eastAsia"/>
          <w:sz w:val="30"/>
          <w:szCs w:val="30"/>
          <w:highlight w:val="none"/>
          <w:lang w:eastAsia="zh-CN"/>
        </w:rPr>
        <w:t>十一</w:t>
      </w:r>
      <w:r>
        <w:rPr>
          <w:rFonts w:hint="eastAsia"/>
          <w:sz w:val="30"/>
          <w:szCs w:val="30"/>
          <w:highlight w:val="none"/>
        </w:rPr>
        <w:t>月</w:t>
      </w:r>
    </w:p>
    <w:p w14:paraId="55796D3D">
      <w:pPr>
        <w:sectPr>
          <w:footerReference r:id="rId4" w:type="first"/>
          <w:footerReference r:id="rId3" w:type="default"/>
          <w:pgSz w:w="11906" w:h="16838"/>
          <w:pgMar w:top="1247" w:right="1134" w:bottom="1247" w:left="1134" w:header="851" w:footer="567" w:gutter="0"/>
          <w:pgBorders w:display="notFirstPage">
            <w:top w:val="none" w:sz="0" w:space="0"/>
            <w:left w:val="none" w:sz="0" w:space="0"/>
            <w:bottom w:val="none" w:sz="0" w:space="0"/>
            <w:right w:val="none" w:sz="0" w:space="0"/>
          </w:pgBorders>
          <w:pgNumType w:fmt="numberInDash" w:start="0"/>
          <w:cols w:space="720" w:num="1"/>
          <w:titlePg/>
          <w:docGrid w:type="lines" w:linePitch="312" w:charSpace="0"/>
        </w:sectPr>
      </w:pPr>
    </w:p>
    <w:p w14:paraId="744D25F4">
      <w:pPr>
        <w:bidi w:val="0"/>
        <w:rPr>
          <w:highlight w:val="none"/>
        </w:rPr>
      </w:pPr>
    </w:p>
    <w:p w14:paraId="46ADE9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sz w:val="30"/>
          <w:szCs w:val="30"/>
          <w:highlight w:val="none"/>
        </w:rPr>
      </w:pPr>
      <w:r>
        <w:rPr>
          <w:rFonts w:hint="eastAsia"/>
          <w:b/>
          <w:sz w:val="30"/>
          <w:szCs w:val="30"/>
          <w:highlight w:val="none"/>
        </w:rPr>
        <w:t>目   录</w:t>
      </w:r>
    </w:p>
    <w:p w14:paraId="79B7DAA0">
      <w:pPr>
        <w:pStyle w:val="21"/>
        <w:keepNext w:val="0"/>
        <w:keepLines w:val="0"/>
        <w:pageBreakBefore w:val="0"/>
        <w:widowControl w:val="0"/>
        <w:tabs>
          <w:tab w:val="right" w:leader="dot" w:pos="8833"/>
        </w:tabs>
        <w:kinsoku/>
        <w:wordWrap/>
        <w:overflowPunct/>
        <w:topLinePunct w:val="0"/>
        <w:autoSpaceDE/>
        <w:autoSpaceDN/>
        <w:bidi w:val="0"/>
        <w:adjustRightInd/>
        <w:snapToGrid/>
        <w:spacing w:line="360" w:lineRule="auto"/>
        <w:ind w:left="0" w:leftChars="0" w:firstLine="0" w:firstLineChars="0"/>
        <w:textAlignment w:val="auto"/>
        <w:rPr>
          <w:sz w:val="28"/>
          <w:szCs w:val="28"/>
          <w:highlight w:val="none"/>
        </w:rPr>
      </w:pPr>
      <w:r>
        <w:rPr>
          <w:sz w:val="32"/>
          <w:szCs w:val="32"/>
          <w:highlight w:val="none"/>
        </w:rPr>
        <w:fldChar w:fldCharType="begin"/>
      </w:r>
      <w:r>
        <w:rPr>
          <w:sz w:val="32"/>
          <w:szCs w:val="32"/>
          <w:highlight w:val="none"/>
        </w:rPr>
        <w:instrText xml:space="preserve">TOC \o "1-3" \h \u </w:instrText>
      </w:r>
      <w:r>
        <w:rPr>
          <w:sz w:val="32"/>
          <w:szCs w:val="32"/>
          <w:highlight w:val="none"/>
        </w:rPr>
        <w:fldChar w:fldCharType="separate"/>
      </w:r>
      <w:r>
        <w:rPr>
          <w:sz w:val="28"/>
          <w:szCs w:val="28"/>
          <w:highlight w:val="none"/>
        </w:rPr>
        <w:fldChar w:fldCharType="begin"/>
      </w:r>
      <w:r>
        <w:rPr>
          <w:sz w:val="28"/>
          <w:szCs w:val="28"/>
          <w:highlight w:val="none"/>
        </w:rPr>
        <w:instrText xml:space="preserve"> HYPERLINK \l _Toc24812 </w:instrText>
      </w:r>
      <w:r>
        <w:rPr>
          <w:sz w:val="28"/>
          <w:szCs w:val="28"/>
          <w:highlight w:val="none"/>
        </w:rPr>
        <w:fldChar w:fldCharType="separate"/>
      </w:r>
      <w:r>
        <w:rPr>
          <w:rFonts w:hint="eastAsia"/>
          <w:sz w:val="28"/>
          <w:szCs w:val="28"/>
          <w:highlight w:val="none"/>
          <w:lang w:val="en-US" w:eastAsia="zh-CN"/>
        </w:rPr>
        <w:t>第一章竞争性谈判公告</w:t>
      </w:r>
      <w:r>
        <w:rPr>
          <w:sz w:val="28"/>
          <w:szCs w:val="28"/>
          <w:highlight w:val="none"/>
        </w:rPr>
        <w:tab/>
      </w:r>
      <w:r>
        <w:rPr>
          <w:sz w:val="28"/>
          <w:szCs w:val="28"/>
          <w:highlight w:val="none"/>
        </w:rPr>
        <w:fldChar w:fldCharType="begin"/>
      </w:r>
      <w:r>
        <w:rPr>
          <w:sz w:val="28"/>
          <w:szCs w:val="28"/>
          <w:highlight w:val="none"/>
        </w:rPr>
        <w:instrText xml:space="preserve"> PAGEREF _Toc24812 \h </w:instrText>
      </w:r>
      <w:r>
        <w:rPr>
          <w:sz w:val="28"/>
          <w:szCs w:val="28"/>
          <w:highlight w:val="none"/>
        </w:rPr>
        <w:fldChar w:fldCharType="separate"/>
      </w:r>
      <w:r>
        <w:rPr>
          <w:sz w:val="28"/>
          <w:szCs w:val="28"/>
          <w:highlight w:val="none"/>
        </w:rPr>
        <w:t>- 2 -</w:t>
      </w:r>
      <w:r>
        <w:rPr>
          <w:sz w:val="28"/>
          <w:szCs w:val="28"/>
          <w:highlight w:val="none"/>
        </w:rPr>
        <w:fldChar w:fldCharType="end"/>
      </w:r>
      <w:r>
        <w:rPr>
          <w:sz w:val="28"/>
          <w:szCs w:val="28"/>
          <w:highlight w:val="none"/>
        </w:rPr>
        <w:fldChar w:fldCharType="end"/>
      </w:r>
    </w:p>
    <w:p w14:paraId="5EF836F2">
      <w:pPr>
        <w:pStyle w:val="19"/>
        <w:keepNext w:val="0"/>
        <w:keepLines w:val="0"/>
        <w:pageBreakBefore w:val="0"/>
        <w:widowControl w:val="0"/>
        <w:tabs>
          <w:tab w:val="right" w:leader="dot" w:pos="8833"/>
        </w:tabs>
        <w:kinsoku/>
        <w:wordWrap/>
        <w:overflowPunct/>
        <w:topLinePunct w:val="0"/>
        <w:autoSpaceDE/>
        <w:autoSpaceDN/>
        <w:bidi w:val="0"/>
        <w:adjustRightInd/>
        <w:snapToGrid/>
        <w:spacing w:line="36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_Toc18733 </w:instrText>
      </w:r>
      <w:r>
        <w:rPr>
          <w:sz w:val="28"/>
          <w:szCs w:val="28"/>
          <w:highlight w:val="none"/>
        </w:rPr>
        <w:fldChar w:fldCharType="separate"/>
      </w:r>
      <w:r>
        <w:rPr>
          <w:rFonts w:hint="eastAsia"/>
          <w:sz w:val="28"/>
          <w:szCs w:val="28"/>
          <w:highlight w:val="none"/>
        </w:rPr>
        <w:t>第</w:t>
      </w:r>
      <w:r>
        <w:rPr>
          <w:rFonts w:hint="eastAsia"/>
          <w:sz w:val="28"/>
          <w:szCs w:val="28"/>
          <w:highlight w:val="none"/>
          <w:lang w:eastAsia="zh-CN"/>
        </w:rPr>
        <w:t>二</w:t>
      </w:r>
      <w:r>
        <w:rPr>
          <w:rFonts w:hint="eastAsia"/>
          <w:sz w:val="28"/>
          <w:szCs w:val="28"/>
          <w:highlight w:val="none"/>
        </w:rPr>
        <w:t>章 谈判人须知</w:t>
      </w:r>
      <w:r>
        <w:rPr>
          <w:sz w:val="28"/>
          <w:szCs w:val="28"/>
          <w:highlight w:val="none"/>
        </w:rPr>
        <w:tab/>
      </w:r>
      <w:r>
        <w:rPr>
          <w:sz w:val="28"/>
          <w:szCs w:val="28"/>
          <w:highlight w:val="none"/>
        </w:rPr>
        <w:fldChar w:fldCharType="begin"/>
      </w:r>
      <w:r>
        <w:rPr>
          <w:sz w:val="28"/>
          <w:szCs w:val="28"/>
          <w:highlight w:val="none"/>
        </w:rPr>
        <w:instrText xml:space="preserve"> PAGEREF _Toc18733 \h </w:instrText>
      </w:r>
      <w:r>
        <w:rPr>
          <w:sz w:val="28"/>
          <w:szCs w:val="28"/>
          <w:highlight w:val="none"/>
        </w:rPr>
        <w:fldChar w:fldCharType="separate"/>
      </w:r>
      <w:r>
        <w:rPr>
          <w:sz w:val="28"/>
          <w:szCs w:val="28"/>
          <w:highlight w:val="none"/>
        </w:rPr>
        <w:t>- 6 -</w:t>
      </w:r>
      <w:r>
        <w:rPr>
          <w:sz w:val="28"/>
          <w:szCs w:val="28"/>
          <w:highlight w:val="none"/>
        </w:rPr>
        <w:fldChar w:fldCharType="end"/>
      </w:r>
      <w:r>
        <w:rPr>
          <w:sz w:val="28"/>
          <w:szCs w:val="28"/>
          <w:highlight w:val="none"/>
        </w:rPr>
        <w:fldChar w:fldCharType="end"/>
      </w:r>
    </w:p>
    <w:p w14:paraId="41F37918">
      <w:pPr>
        <w:pStyle w:val="21"/>
        <w:keepNext w:val="0"/>
        <w:keepLines w:val="0"/>
        <w:pageBreakBefore w:val="0"/>
        <w:widowControl w:val="0"/>
        <w:tabs>
          <w:tab w:val="right" w:leader="dot" w:pos="8833"/>
        </w:tabs>
        <w:kinsoku/>
        <w:wordWrap/>
        <w:overflowPunct/>
        <w:topLinePunct w:val="0"/>
        <w:autoSpaceDE/>
        <w:autoSpaceDN/>
        <w:bidi w:val="0"/>
        <w:adjustRightInd/>
        <w:snapToGrid/>
        <w:spacing w:line="360" w:lineRule="auto"/>
        <w:ind w:left="0" w:leftChars="0" w:firstLine="0" w:firstLineChars="0"/>
        <w:textAlignment w:val="auto"/>
        <w:rPr>
          <w:sz w:val="28"/>
          <w:szCs w:val="28"/>
          <w:highlight w:val="none"/>
        </w:rPr>
      </w:pPr>
      <w:r>
        <w:rPr>
          <w:sz w:val="28"/>
          <w:szCs w:val="28"/>
          <w:highlight w:val="none"/>
        </w:rPr>
        <w:fldChar w:fldCharType="begin"/>
      </w:r>
      <w:r>
        <w:rPr>
          <w:sz w:val="28"/>
          <w:szCs w:val="28"/>
          <w:highlight w:val="none"/>
        </w:rPr>
        <w:instrText xml:space="preserve"> HYPERLINK \l _Toc6819 </w:instrText>
      </w:r>
      <w:r>
        <w:rPr>
          <w:sz w:val="28"/>
          <w:szCs w:val="28"/>
          <w:highlight w:val="none"/>
        </w:rPr>
        <w:fldChar w:fldCharType="separate"/>
      </w:r>
      <w:r>
        <w:rPr>
          <w:rFonts w:hint="eastAsia"/>
          <w:sz w:val="28"/>
          <w:szCs w:val="28"/>
          <w:highlight w:val="none"/>
        </w:rPr>
        <w:t>第三章</w:t>
      </w:r>
      <w:r>
        <w:rPr>
          <w:sz w:val="28"/>
          <w:szCs w:val="28"/>
          <w:highlight w:val="none"/>
        </w:rPr>
        <w:t xml:space="preserve">  </w:t>
      </w:r>
      <w:r>
        <w:rPr>
          <w:rFonts w:hint="eastAsia"/>
          <w:sz w:val="28"/>
          <w:szCs w:val="28"/>
          <w:highlight w:val="none"/>
        </w:rPr>
        <w:t>评标办法</w:t>
      </w:r>
      <w:r>
        <w:rPr>
          <w:sz w:val="28"/>
          <w:szCs w:val="28"/>
          <w:highlight w:val="none"/>
        </w:rPr>
        <w:tab/>
      </w:r>
      <w:r>
        <w:rPr>
          <w:sz w:val="28"/>
          <w:szCs w:val="28"/>
          <w:highlight w:val="none"/>
        </w:rPr>
        <w:fldChar w:fldCharType="begin"/>
      </w:r>
      <w:r>
        <w:rPr>
          <w:sz w:val="28"/>
          <w:szCs w:val="28"/>
          <w:highlight w:val="none"/>
        </w:rPr>
        <w:instrText xml:space="preserve"> PAGEREF _Toc6819 \h </w:instrText>
      </w:r>
      <w:r>
        <w:rPr>
          <w:sz w:val="28"/>
          <w:szCs w:val="28"/>
          <w:highlight w:val="none"/>
        </w:rPr>
        <w:fldChar w:fldCharType="separate"/>
      </w:r>
      <w:r>
        <w:rPr>
          <w:sz w:val="28"/>
          <w:szCs w:val="28"/>
          <w:highlight w:val="none"/>
        </w:rPr>
        <w:t>- 17 -</w:t>
      </w:r>
      <w:r>
        <w:rPr>
          <w:sz w:val="28"/>
          <w:szCs w:val="28"/>
          <w:highlight w:val="none"/>
        </w:rPr>
        <w:fldChar w:fldCharType="end"/>
      </w:r>
      <w:r>
        <w:rPr>
          <w:sz w:val="28"/>
          <w:szCs w:val="28"/>
          <w:highlight w:val="none"/>
        </w:rPr>
        <w:fldChar w:fldCharType="end"/>
      </w:r>
    </w:p>
    <w:p w14:paraId="4B0B3DB6">
      <w:pPr>
        <w:pStyle w:val="19"/>
        <w:keepNext w:val="0"/>
        <w:keepLines w:val="0"/>
        <w:pageBreakBefore w:val="0"/>
        <w:widowControl w:val="0"/>
        <w:tabs>
          <w:tab w:val="right" w:leader="dot" w:pos="8833"/>
        </w:tabs>
        <w:kinsoku/>
        <w:wordWrap/>
        <w:overflowPunct/>
        <w:topLinePunct w:val="0"/>
        <w:autoSpaceDE/>
        <w:autoSpaceDN/>
        <w:bidi w:val="0"/>
        <w:adjustRightInd/>
        <w:snapToGrid/>
        <w:spacing w:line="360" w:lineRule="auto"/>
        <w:textAlignment w:val="auto"/>
        <w:rPr>
          <w:rFonts w:hint="eastAsia" w:eastAsia="宋体"/>
          <w:sz w:val="28"/>
          <w:szCs w:val="28"/>
          <w:highlight w:val="none"/>
          <w:lang w:val="en-US" w:eastAsia="zh-CN"/>
        </w:rPr>
      </w:pPr>
      <w:r>
        <w:rPr>
          <w:sz w:val="28"/>
          <w:szCs w:val="28"/>
          <w:highlight w:val="none"/>
        </w:rPr>
        <w:fldChar w:fldCharType="begin"/>
      </w:r>
      <w:r>
        <w:rPr>
          <w:sz w:val="28"/>
          <w:szCs w:val="28"/>
          <w:highlight w:val="none"/>
        </w:rPr>
        <w:instrText xml:space="preserve"> HYPERLINK \l _Toc24447 </w:instrText>
      </w:r>
      <w:r>
        <w:rPr>
          <w:sz w:val="28"/>
          <w:szCs w:val="28"/>
          <w:highlight w:val="none"/>
        </w:rPr>
        <w:fldChar w:fldCharType="separate"/>
      </w:r>
      <w:r>
        <w:rPr>
          <w:rFonts w:hint="eastAsia"/>
          <w:sz w:val="28"/>
          <w:szCs w:val="28"/>
          <w:highlight w:val="none"/>
          <w:lang w:val="en-US" w:eastAsia="zh-CN"/>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_Toc6819 \h </w:instrText>
      </w:r>
      <w:r>
        <w:rPr>
          <w:sz w:val="28"/>
          <w:szCs w:val="28"/>
          <w:highlight w:val="none"/>
        </w:rPr>
        <w:fldChar w:fldCharType="separate"/>
      </w:r>
      <w:r>
        <w:rPr>
          <w:sz w:val="28"/>
          <w:szCs w:val="28"/>
          <w:highlight w:val="none"/>
        </w:rPr>
        <w:t xml:space="preserve">- </w:t>
      </w:r>
      <w:r>
        <w:rPr>
          <w:rFonts w:hint="eastAsia"/>
          <w:sz w:val="28"/>
          <w:szCs w:val="28"/>
          <w:highlight w:val="none"/>
          <w:lang w:val="en-US" w:eastAsia="zh-CN"/>
        </w:rPr>
        <w:t>23</w:t>
      </w:r>
      <w:r>
        <w:rPr>
          <w:sz w:val="28"/>
          <w:szCs w:val="28"/>
          <w:highlight w:val="none"/>
        </w:rPr>
        <w:t>-</w:t>
      </w:r>
      <w:r>
        <w:rPr>
          <w:sz w:val="28"/>
          <w:szCs w:val="28"/>
          <w:highlight w:val="none"/>
        </w:rPr>
        <w:fldChar w:fldCharType="end"/>
      </w:r>
      <w:r>
        <w:rPr>
          <w:sz w:val="28"/>
          <w:szCs w:val="28"/>
          <w:highlight w:val="none"/>
        </w:rPr>
        <w:fldChar w:fldCharType="end"/>
      </w:r>
    </w:p>
    <w:p w14:paraId="0B85FE3C">
      <w:pPr>
        <w:pStyle w:val="19"/>
        <w:keepNext w:val="0"/>
        <w:keepLines w:val="0"/>
        <w:pageBreakBefore w:val="0"/>
        <w:widowControl w:val="0"/>
        <w:tabs>
          <w:tab w:val="right" w:leader="dot" w:pos="8833"/>
        </w:tabs>
        <w:kinsoku/>
        <w:wordWrap/>
        <w:overflowPunct/>
        <w:topLinePunct w:val="0"/>
        <w:autoSpaceDE/>
        <w:autoSpaceDN/>
        <w:bidi w:val="0"/>
        <w:adjustRightInd/>
        <w:snapToGrid/>
        <w:spacing w:line="360"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_Toc27551 </w:instrText>
      </w:r>
      <w:r>
        <w:rPr>
          <w:sz w:val="28"/>
          <w:szCs w:val="28"/>
          <w:highlight w:val="none"/>
        </w:rPr>
        <w:fldChar w:fldCharType="separate"/>
      </w:r>
      <w:r>
        <w:rPr>
          <w:rFonts w:hint="eastAsia"/>
          <w:sz w:val="28"/>
          <w:szCs w:val="28"/>
          <w:highlight w:val="none"/>
        </w:rPr>
        <w:t>第</w:t>
      </w:r>
      <w:r>
        <w:rPr>
          <w:rFonts w:hint="eastAsia"/>
          <w:sz w:val="28"/>
          <w:szCs w:val="28"/>
          <w:highlight w:val="none"/>
          <w:lang w:eastAsia="zh-CN"/>
        </w:rPr>
        <w:t>五</w:t>
      </w:r>
      <w:r>
        <w:rPr>
          <w:rFonts w:hint="eastAsia"/>
          <w:sz w:val="28"/>
          <w:szCs w:val="28"/>
          <w:highlight w:val="none"/>
        </w:rPr>
        <w:t>章 合同条款</w:t>
      </w:r>
      <w:r>
        <w:rPr>
          <w:sz w:val="28"/>
          <w:szCs w:val="28"/>
          <w:highlight w:val="none"/>
        </w:rPr>
        <w:tab/>
      </w:r>
      <w:r>
        <w:rPr>
          <w:sz w:val="28"/>
          <w:szCs w:val="28"/>
          <w:highlight w:val="none"/>
        </w:rPr>
        <w:fldChar w:fldCharType="begin"/>
      </w:r>
      <w:r>
        <w:rPr>
          <w:sz w:val="28"/>
          <w:szCs w:val="28"/>
          <w:highlight w:val="none"/>
        </w:rPr>
        <w:instrText xml:space="preserve"> PAGEREF _Toc6819 \h </w:instrText>
      </w:r>
      <w:r>
        <w:rPr>
          <w:sz w:val="28"/>
          <w:szCs w:val="28"/>
          <w:highlight w:val="none"/>
        </w:rPr>
        <w:fldChar w:fldCharType="separate"/>
      </w:r>
      <w:r>
        <w:rPr>
          <w:sz w:val="28"/>
          <w:szCs w:val="28"/>
          <w:highlight w:val="none"/>
        </w:rPr>
        <w:t xml:space="preserve">- </w:t>
      </w:r>
      <w:r>
        <w:rPr>
          <w:rFonts w:hint="eastAsia"/>
          <w:sz w:val="28"/>
          <w:szCs w:val="28"/>
          <w:highlight w:val="none"/>
          <w:lang w:val="en-US" w:eastAsia="zh-CN"/>
        </w:rPr>
        <w:t>25</w:t>
      </w:r>
      <w:r>
        <w:rPr>
          <w:sz w:val="28"/>
          <w:szCs w:val="28"/>
          <w:highlight w:val="none"/>
        </w:rPr>
        <w:t xml:space="preserve"> -</w:t>
      </w:r>
      <w:r>
        <w:rPr>
          <w:sz w:val="28"/>
          <w:szCs w:val="28"/>
          <w:highlight w:val="none"/>
        </w:rPr>
        <w:fldChar w:fldCharType="end"/>
      </w:r>
      <w:r>
        <w:rPr>
          <w:sz w:val="28"/>
          <w:szCs w:val="28"/>
          <w:highlight w:val="none"/>
        </w:rPr>
        <w:fldChar w:fldCharType="end"/>
      </w:r>
    </w:p>
    <w:p w14:paraId="400DD1BE">
      <w:pPr>
        <w:pStyle w:val="19"/>
        <w:keepNext w:val="0"/>
        <w:keepLines w:val="0"/>
        <w:pageBreakBefore w:val="0"/>
        <w:widowControl w:val="0"/>
        <w:tabs>
          <w:tab w:val="right" w:leader="dot" w:pos="8833"/>
        </w:tabs>
        <w:kinsoku/>
        <w:wordWrap/>
        <w:overflowPunct/>
        <w:topLinePunct w:val="0"/>
        <w:autoSpaceDE/>
        <w:autoSpaceDN/>
        <w:bidi w:val="0"/>
        <w:adjustRightInd/>
        <w:snapToGrid/>
        <w:spacing w:line="360" w:lineRule="auto"/>
        <w:textAlignment w:val="auto"/>
        <w:rPr>
          <w:highlight w:val="none"/>
        </w:rPr>
      </w:pPr>
      <w:r>
        <w:rPr>
          <w:sz w:val="28"/>
          <w:szCs w:val="28"/>
          <w:highlight w:val="none"/>
        </w:rPr>
        <w:fldChar w:fldCharType="begin"/>
      </w:r>
      <w:r>
        <w:rPr>
          <w:sz w:val="28"/>
          <w:szCs w:val="28"/>
          <w:highlight w:val="none"/>
        </w:rPr>
        <w:instrText xml:space="preserve"> HYPERLINK \l _Toc20477 </w:instrText>
      </w:r>
      <w:r>
        <w:rPr>
          <w:sz w:val="28"/>
          <w:szCs w:val="28"/>
          <w:highlight w:val="none"/>
        </w:rPr>
        <w:fldChar w:fldCharType="separate"/>
      </w:r>
      <w:r>
        <w:rPr>
          <w:rFonts w:hint="eastAsia"/>
          <w:sz w:val="28"/>
          <w:szCs w:val="28"/>
          <w:highlight w:val="none"/>
          <w:lang w:eastAsia="zh-CN"/>
        </w:rPr>
        <w:t>第六章</w:t>
      </w:r>
      <w:r>
        <w:rPr>
          <w:rFonts w:hint="eastAsia"/>
          <w:sz w:val="28"/>
          <w:szCs w:val="28"/>
          <w:highlight w:val="none"/>
          <w:lang w:val="en-US" w:eastAsia="zh-CN"/>
        </w:rPr>
        <w:t xml:space="preserve"> </w:t>
      </w:r>
      <w:r>
        <w:rPr>
          <w:rFonts w:hint="eastAsia"/>
          <w:sz w:val="28"/>
          <w:szCs w:val="28"/>
          <w:highlight w:val="none"/>
        </w:rPr>
        <w:t>谈判</w:t>
      </w:r>
      <w:r>
        <w:rPr>
          <w:rFonts w:hint="eastAsia"/>
          <w:sz w:val="28"/>
          <w:szCs w:val="28"/>
          <w:highlight w:val="none"/>
          <w:lang w:eastAsia="zh-CN"/>
        </w:rPr>
        <w:t>响应文件</w:t>
      </w:r>
      <w:r>
        <w:rPr>
          <w:rFonts w:hint="eastAsia"/>
          <w:sz w:val="28"/>
          <w:szCs w:val="28"/>
          <w:highlight w:val="none"/>
        </w:rPr>
        <w:t>格式</w:t>
      </w:r>
      <w:r>
        <w:rPr>
          <w:sz w:val="28"/>
          <w:szCs w:val="28"/>
          <w:highlight w:val="none"/>
        </w:rPr>
        <w:tab/>
      </w:r>
      <w:r>
        <w:rPr>
          <w:sz w:val="28"/>
          <w:szCs w:val="28"/>
          <w:highlight w:val="none"/>
        </w:rPr>
        <w:fldChar w:fldCharType="begin"/>
      </w:r>
      <w:r>
        <w:rPr>
          <w:sz w:val="28"/>
          <w:szCs w:val="28"/>
          <w:highlight w:val="none"/>
        </w:rPr>
        <w:instrText xml:space="preserve"> PAGEREF _Toc6819 \h </w:instrText>
      </w:r>
      <w:r>
        <w:rPr>
          <w:sz w:val="28"/>
          <w:szCs w:val="28"/>
          <w:highlight w:val="none"/>
        </w:rPr>
        <w:fldChar w:fldCharType="separate"/>
      </w:r>
      <w:r>
        <w:rPr>
          <w:sz w:val="28"/>
          <w:szCs w:val="28"/>
          <w:highlight w:val="none"/>
        </w:rPr>
        <w:t xml:space="preserve">- </w:t>
      </w:r>
      <w:r>
        <w:rPr>
          <w:rFonts w:hint="eastAsia"/>
          <w:sz w:val="28"/>
          <w:szCs w:val="28"/>
          <w:highlight w:val="none"/>
          <w:lang w:val="en-US" w:eastAsia="zh-CN"/>
        </w:rPr>
        <w:t>28</w:t>
      </w:r>
      <w:r>
        <w:rPr>
          <w:sz w:val="28"/>
          <w:szCs w:val="28"/>
          <w:highlight w:val="none"/>
        </w:rPr>
        <w:t xml:space="preserve"> -</w:t>
      </w:r>
      <w:r>
        <w:rPr>
          <w:sz w:val="28"/>
          <w:szCs w:val="28"/>
          <w:highlight w:val="none"/>
        </w:rPr>
        <w:fldChar w:fldCharType="end"/>
      </w:r>
      <w:r>
        <w:rPr>
          <w:sz w:val="28"/>
          <w:szCs w:val="28"/>
          <w:highlight w:val="none"/>
        </w:rPr>
        <w:fldChar w:fldCharType="end"/>
      </w:r>
    </w:p>
    <w:p w14:paraId="447686F9">
      <w:pPr>
        <w:pStyle w:val="21"/>
        <w:tabs>
          <w:tab w:val="right" w:leader="dot" w:pos="8833"/>
        </w:tabs>
        <w:rPr>
          <w:highlight w:val="none"/>
        </w:rPr>
      </w:pPr>
    </w:p>
    <w:p w14:paraId="679625B1">
      <w:pPr>
        <w:ind w:firstLine="525" w:firstLineChars="250"/>
        <w:rPr>
          <w:sz w:val="32"/>
          <w:szCs w:val="32"/>
          <w:highlight w:val="none"/>
        </w:rPr>
      </w:pPr>
      <w:r>
        <w:rPr>
          <w:szCs w:val="32"/>
          <w:highlight w:val="none"/>
        </w:rPr>
        <w:fldChar w:fldCharType="end"/>
      </w:r>
    </w:p>
    <w:p w14:paraId="6F8AF048">
      <w:pPr>
        <w:bidi w:val="0"/>
        <w:rPr>
          <w:highlight w:val="none"/>
        </w:rPr>
      </w:pPr>
    </w:p>
    <w:p w14:paraId="50FEE1B7">
      <w:pPr>
        <w:rPr>
          <w:sz w:val="32"/>
          <w:szCs w:val="32"/>
          <w:highlight w:val="none"/>
        </w:rPr>
      </w:pPr>
    </w:p>
    <w:p w14:paraId="5FC03FE6">
      <w:pPr>
        <w:bidi w:val="0"/>
        <w:rPr>
          <w:highlight w:val="none"/>
        </w:rPr>
      </w:pPr>
    </w:p>
    <w:p w14:paraId="08126388">
      <w:pPr>
        <w:rPr>
          <w:highlight w:val="none"/>
        </w:rPr>
      </w:pPr>
    </w:p>
    <w:p w14:paraId="2EAFB7A0">
      <w:pPr>
        <w:ind w:firstLine="800" w:firstLineChars="250"/>
        <w:rPr>
          <w:sz w:val="32"/>
          <w:szCs w:val="32"/>
          <w:highlight w:val="none"/>
        </w:rPr>
      </w:pPr>
    </w:p>
    <w:p w14:paraId="7F6377BF">
      <w:pPr>
        <w:spacing w:line="360" w:lineRule="auto"/>
        <w:rPr>
          <w:sz w:val="32"/>
          <w:szCs w:val="32"/>
          <w:highlight w:val="none"/>
        </w:rPr>
      </w:pPr>
    </w:p>
    <w:p w14:paraId="25C9B009">
      <w:pPr>
        <w:pStyle w:val="38"/>
        <w:rPr>
          <w:sz w:val="32"/>
          <w:szCs w:val="32"/>
          <w:highlight w:val="none"/>
        </w:rPr>
      </w:pPr>
    </w:p>
    <w:p w14:paraId="0EB7E83E">
      <w:pPr>
        <w:pStyle w:val="38"/>
        <w:rPr>
          <w:sz w:val="32"/>
          <w:szCs w:val="32"/>
          <w:highlight w:val="none"/>
        </w:rPr>
      </w:pPr>
    </w:p>
    <w:p w14:paraId="18F195D3">
      <w:pPr>
        <w:pStyle w:val="38"/>
        <w:rPr>
          <w:sz w:val="32"/>
          <w:szCs w:val="32"/>
          <w:highlight w:val="none"/>
        </w:rPr>
      </w:pPr>
    </w:p>
    <w:p w14:paraId="3595C377">
      <w:pPr>
        <w:pStyle w:val="38"/>
        <w:rPr>
          <w:sz w:val="32"/>
          <w:szCs w:val="32"/>
          <w:highlight w:val="none"/>
        </w:rPr>
      </w:pPr>
    </w:p>
    <w:p w14:paraId="7E0F9201">
      <w:pPr>
        <w:pStyle w:val="38"/>
        <w:rPr>
          <w:sz w:val="32"/>
          <w:szCs w:val="32"/>
          <w:highlight w:val="none"/>
        </w:rPr>
      </w:pPr>
    </w:p>
    <w:p w14:paraId="06F6E8F2">
      <w:pPr>
        <w:pStyle w:val="38"/>
        <w:rPr>
          <w:sz w:val="32"/>
          <w:szCs w:val="32"/>
          <w:highlight w:val="none"/>
        </w:rPr>
      </w:pPr>
    </w:p>
    <w:p w14:paraId="70489482">
      <w:pPr>
        <w:pStyle w:val="38"/>
        <w:rPr>
          <w:sz w:val="32"/>
          <w:szCs w:val="32"/>
          <w:highlight w:val="none"/>
        </w:rPr>
      </w:pPr>
    </w:p>
    <w:p w14:paraId="4735B27A">
      <w:pPr>
        <w:pStyle w:val="38"/>
        <w:rPr>
          <w:sz w:val="32"/>
          <w:szCs w:val="32"/>
          <w:highlight w:val="none"/>
        </w:rPr>
      </w:pPr>
    </w:p>
    <w:p w14:paraId="1EA6C1B1">
      <w:pPr>
        <w:bidi w:val="0"/>
        <w:rPr>
          <w:rFonts w:hint="eastAsia"/>
          <w:lang w:val="en-US" w:eastAsia="zh-CN"/>
        </w:rPr>
      </w:pPr>
      <w:bookmarkStart w:id="0" w:name="_Toc24812"/>
      <w:bookmarkStart w:id="1" w:name="_Toc352679655"/>
      <w:bookmarkStart w:id="2" w:name="_Toc2474"/>
    </w:p>
    <w:p w14:paraId="3EBA5F43">
      <w:pPr>
        <w:pStyle w:val="7"/>
        <w:bidi w:val="0"/>
        <w:jc w:val="center"/>
        <w:rPr>
          <w:rFonts w:hint="eastAsia"/>
          <w:highlight w:val="none"/>
          <w:lang w:val="en-US" w:eastAsia="zh-CN"/>
        </w:rPr>
      </w:pPr>
      <w:r>
        <w:rPr>
          <w:rFonts w:hint="eastAsia"/>
          <w:highlight w:val="none"/>
          <w:lang w:val="en-US" w:eastAsia="zh-CN"/>
        </w:rPr>
        <w:t>第一章竞争性谈判公告</w:t>
      </w:r>
      <w:bookmarkEnd w:id="0"/>
    </w:p>
    <w:p w14:paraId="11229240">
      <w:pPr>
        <w:rPr>
          <w:color w:val="000000"/>
          <w:highlight w:val="none"/>
        </w:rPr>
      </w:pPr>
    </w:p>
    <w:p w14:paraId="1332BC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项目概况</w:t>
      </w:r>
    </w:p>
    <w:p w14:paraId="567760A1">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sz w:val="24"/>
          <w:szCs w:val="24"/>
          <w:highlight w:val="none"/>
          <w:u w:val="single"/>
          <w:lang w:val="en-US" w:eastAsia="zh-CN"/>
        </w:rPr>
        <w:t>民权县庄子镇人民政府民权县庄子镇老年人体育健身园项目二次</w:t>
      </w:r>
      <w:r>
        <w:rPr>
          <w:rFonts w:hint="eastAsia" w:ascii="宋体" w:hAnsi="宋体" w:eastAsia="宋体" w:cs="宋体"/>
          <w:color w:val="000000"/>
          <w:sz w:val="24"/>
          <w:szCs w:val="24"/>
          <w:highlight w:val="none"/>
        </w:rPr>
        <w:t>的潜在供应商</w:t>
      </w:r>
      <w:r>
        <w:rPr>
          <w:rFonts w:hint="eastAsia" w:ascii="宋体" w:hAnsi="宋体" w:eastAsia="宋体" w:cs="宋体"/>
          <w:bCs/>
          <w:color w:val="000000"/>
          <w:sz w:val="24"/>
          <w:szCs w:val="24"/>
          <w:highlight w:val="none"/>
        </w:rPr>
        <w:t>应</w:t>
      </w:r>
      <w:r>
        <w:rPr>
          <w:rFonts w:hint="eastAsia" w:ascii="宋体" w:hAnsi="宋体" w:eastAsia="宋体" w:cs="宋体"/>
          <w:bCs/>
          <w:color w:val="000000"/>
          <w:sz w:val="24"/>
          <w:szCs w:val="24"/>
          <w:highlight w:val="none"/>
          <w:lang w:eastAsia="zh-CN"/>
        </w:rPr>
        <w:t>在</w:t>
      </w:r>
      <w:r>
        <w:rPr>
          <w:rFonts w:hint="eastAsia" w:ascii="宋体" w:hAnsi="宋体" w:eastAsia="宋体" w:cs="宋体"/>
          <w:bCs/>
          <w:color w:val="000000"/>
          <w:sz w:val="24"/>
          <w:szCs w:val="24"/>
          <w:highlight w:val="none"/>
          <w:u w:val="single"/>
        </w:rPr>
        <w:t>规定时间内凭 CA 密钥登录</w:t>
      </w:r>
      <w:r>
        <w:rPr>
          <w:rFonts w:hint="eastAsia" w:ascii="宋体" w:hAnsi="宋体" w:eastAsia="宋体" w:cs="宋体"/>
          <w:bCs/>
          <w:color w:val="000000"/>
          <w:sz w:val="24"/>
          <w:szCs w:val="24"/>
          <w:highlight w:val="none"/>
          <w:u w:val="single"/>
          <w:lang w:eastAsia="zh-CN"/>
        </w:rPr>
        <w:t>商丘市公</w:t>
      </w:r>
      <w:r>
        <w:rPr>
          <w:rFonts w:hint="eastAsia" w:ascii="宋体" w:hAnsi="宋体" w:eastAsia="宋体" w:cs="宋体"/>
          <w:bCs/>
          <w:color w:val="000000" w:themeColor="text1"/>
          <w:sz w:val="24"/>
          <w:szCs w:val="24"/>
          <w:highlight w:val="none"/>
          <w:u w:val="single"/>
          <w:lang w:eastAsia="zh-CN"/>
          <w14:textFill>
            <w14:solidFill>
              <w14:schemeClr w14:val="tx1"/>
            </w14:solidFill>
          </w14:textFill>
        </w:rPr>
        <w:t>共资源交易平台（http:// ggzyjy.shangqiu.gov.cn）</w:t>
      </w:r>
      <w:r>
        <w:rPr>
          <w:rFonts w:hint="eastAsia" w:ascii="宋体" w:hAnsi="宋体" w:eastAsia="宋体" w:cs="宋体"/>
          <w:color w:val="000000" w:themeColor="text1"/>
          <w:sz w:val="24"/>
          <w:szCs w:val="24"/>
          <w:highlight w:val="none"/>
          <w14:textFill>
            <w14:solidFill>
              <w14:schemeClr w14:val="tx1"/>
            </w14:solidFill>
          </w14:textFill>
        </w:rPr>
        <w:t>获取采购文件，并于</w:t>
      </w:r>
      <w:r>
        <w:rPr>
          <w:rFonts w:hint="eastAsia" w:ascii="宋体" w:hAnsi="宋体" w:cs="宋体"/>
          <w:color w:val="000000" w:themeColor="text1"/>
          <w:sz w:val="24"/>
          <w:szCs w:val="24"/>
          <w:highlight w:val="none"/>
          <w:u w:val="single"/>
          <w:lang w:val="en-US" w:eastAsia="zh-CN"/>
          <w14:textFill>
            <w14:solidFill>
              <w14:schemeClr w14:val="tx1"/>
            </w14:solidFill>
          </w14:textFill>
        </w:rPr>
        <w:t>2025</w:t>
      </w:r>
      <w:r>
        <w:rPr>
          <w:rFonts w:hint="eastAsia" w:ascii="宋体" w:hAnsi="宋体" w:eastAsia="宋体" w:cs="宋体"/>
          <w:bCs/>
          <w:color w:val="000000" w:themeColor="text1"/>
          <w:sz w:val="24"/>
          <w:szCs w:val="24"/>
          <w:highlight w:val="none"/>
          <w:u w:val="none"/>
          <w14:textFill>
            <w14:solidFill>
              <w14:schemeClr w14:val="tx1"/>
            </w14:solidFill>
          </w14:textFill>
        </w:rPr>
        <w:t>年</w:t>
      </w:r>
      <w:r>
        <w:rPr>
          <w:rFonts w:hint="eastAsia" w:ascii="宋体" w:hAnsi="宋体" w:cs="宋体"/>
          <w:bCs/>
          <w:color w:val="000000" w:themeColor="text1"/>
          <w:sz w:val="24"/>
          <w:szCs w:val="24"/>
          <w:highlight w:val="none"/>
          <w:u w:val="none"/>
          <w:lang w:val="en-US" w:eastAsia="zh-CN"/>
          <w14:textFill>
            <w14:solidFill>
              <w14:schemeClr w14:val="tx1"/>
            </w14:solidFill>
          </w14:textFill>
        </w:rPr>
        <w:t xml:space="preserve"> 11 </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 xml:space="preserve"> 12 </w:t>
      </w:r>
      <w:r>
        <w:rPr>
          <w:rFonts w:hint="eastAsia" w:ascii="宋体" w:hAnsi="宋体" w:eastAsia="宋体" w:cs="宋体"/>
          <w:bCs/>
          <w:color w:val="auto"/>
          <w:sz w:val="24"/>
          <w:szCs w:val="24"/>
          <w:highlight w:val="none"/>
          <w:u w:val="none"/>
        </w:rPr>
        <w:t>日</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000000" w:themeColor="text1"/>
          <w:sz w:val="24"/>
          <w:szCs w:val="24"/>
          <w:highlight w:val="none"/>
          <w14:textFill>
            <w14:solidFill>
              <w14:schemeClr w14:val="tx1"/>
            </w14:solidFill>
          </w14:textFill>
        </w:rPr>
        <w:t>（北京时间）前提交响应文件</w:t>
      </w:r>
      <w:r>
        <w:rPr>
          <w:rFonts w:hint="eastAsia" w:ascii="宋体" w:hAnsi="宋体" w:eastAsia="宋体" w:cs="宋体"/>
          <w:color w:val="000000" w:themeColor="text1"/>
          <w:sz w:val="24"/>
          <w:szCs w:val="24"/>
          <w:highlight w:val="none"/>
          <w14:textFill>
            <w14:solidFill>
              <w14:schemeClr w14:val="tx1"/>
            </w14:solidFill>
          </w14:textFill>
        </w:rPr>
        <w:t>。</w:t>
      </w:r>
    </w:p>
    <w:p w14:paraId="6CC203B0">
      <w:pPr>
        <w:jc w:val="left"/>
        <w:rPr>
          <w:rFonts w:hint="eastAsia"/>
          <w:color w:val="000000" w:themeColor="text1"/>
          <w:highlight w:val="none"/>
          <w:lang w:val="en-US" w:eastAsia="zh-CN"/>
          <w14:textFill>
            <w14:solidFill>
              <w14:schemeClr w14:val="tx1"/>
            </w14:solidFill>
          </w14:textFill>
        </w:rPr>
      </w:pPr>
    </w:p>
    <w:p w14:paraId="5DFAD263">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bookmarkStart w:id="3" w:name="_Toc35393629"/>
      <w:bookmarkStart w:id="4" w:name="_Toc28359012"/>
      <w:bookmarkStart w:id="5" w:name="_Toc28359089"/>
      <w:bookmarkStart w:id="6" w:name="_Toc27691"/>
      <w:bookmarkStart w:id="7" w:name="_Toc35393798"/>
      <w:r>
        <w:rPr>
          <w:rFonts w:hint="eastAsia" w:ascii="宋体" w:hAnsi="宋体" w:eastAsia="宋体" w:cs="宋体"/>
          <w:b/>
          <w:bCs w:val="0"/>
          <w:color w:val="000000" w:themeColor="text1"/>
          <w:sz w:val="24"/>
          <w:szCs w:val="24"/>
          <w:highlight w:val="none"/>
          <w14:textFill>
            <w14:solidFill>
              <w14:schemeClr w14:val="tx1"/>
            </w14:solidFill>
          </w14:textFill>
        </w:rPr>
        <w:t>一、项目基本情况</w:t>
      </w:r>
      <w:bookmarkEnd w:id="3"/>
      <w:bookmarkEnd w:id="4"/>
      <w:bookmarkEnd w:id="5"/>
      <w:bookmarkEnd w:id="6"/>
      <w:bookmarkEnd w:id="7"/>
    </w:p>
    <w:p w14:paraId="454B45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项目编号：</w:t>
      </w:r>
      <w:r>
        <w:rPr>
          <w:rFonts w:hint="eastAsia" w:ascii="宋体" w:hAnsi="宋体" w:eastAsia="宋体" w:cs="宋体"/>
          <w:color w:val="000000" w:themeColor="text1"/>
          <w:sz w:val="24"/>
          <w:szCs w:val="24"/>
          <w:highlight w:val="none"/>
          <w:lang w:val="en-US" w:eastAsia="zh-CN"/>
          <w14:textFill>
            <w14:solidFill>
              <w14:schemeClr w14:val="tx1"/>
            </w14:solidFill>
          </w14:textFill>
        </w:rPr>
        <w:t>民财采竞-202</w:t>
      </w:r>
      <w:r>
        <w:rPr>
          <w:rFonts w:hint="eastAsia" w:ascii="宋体" w:hAnsi="宋体" w:cs="宋体"/>
          <w:color w:val="000000" w:themeColor="text1"/>
          <w:sz w:val="24"/>
          <w:szCs w:val="24"/>
          <w:highlight w:val="none"/>
          <w:lang w:val="en-US" w:eastAsia="zh-CN"/>
          <w14:textFill>
            <w14:solidFill>
              <w14:schemeClr w14:val="tx1"/>
            </w14:solidFill>
          </w14:textFill>
        </w:rPr>
        <w:t>5-7</w:t>
      </w:r>
    </w:p>
    <w:p w14:paraId="2FB6FDBA">
      <w:pPr>
        <w:pStyle w:val="37"/>
        <w:ind w:firstLine="720" w:firstLineChars="300"/>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招标编号：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商政采〔202</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701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号</w:t>
      </w:r>
    </w:p>
    <w:p w14:paraId="26978E15">
      <w:pPr>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TW" w:eastAsia="zh-CN"/>
          <w14:textFill>
            <w14:solidFill>
              <w14:schemeClr w14:val="tx1"/>
            </w14:solidFill>
          </w14:textFill>
        </w:rPr>
        <w:t>项目名称：民权县庄子镇人民政府民权县庄子镇老年</w:t>
      </w:r>
      <w:r>
        <w:rPr>
          <w:rFonts w:hint="eastAsia" w:ascii="宋体" w:hAnsi="宋体" w:cs="宋体"/>
          <w:color w:val="000000" w:themeColor="text1"/>
          <w:sz w:val="24"/>
          <w:szCs w:val="24"/>
          <w:highlight w:val="none"/>
          <w:lang w:val="zh-TW" w:eastAsia="zh-CN"/>
          <w14:textFill>
            <w14:solidFill>
              <w14:schemeClr w14:val="tx1"/>
            </w14:solidFill>
          </w14:textFill>
        </w:rPr>
        <w:t>人</w:t>
      </w:r>
      <w:r>
        <w:rPr>
          <w:rFonts w:hint="eastAsia" w:ascii="宋体" w:hAnsi="宋体" w:eastAsia="宋体" w:cs="宋体"/>
          <w:color w:val="000000" w:themeColor="text1"/>
          <w:sz w:val="24"/>
          <w:szCs w:val="24"/>
          <w:highlight w:val="none"/>
          <w:lang w:val="zh-TW" w:eastAsia="zh-CN"/>
          <w14:textFill>
            <w14:solidFill>
              <w14:schemeClr w14:val="tx1"/>
            </w14:solidFill>
          </w14:textFill>
        </w:rPr>
        <w:t>体育健身园项目</w:t>
      </w:r>
      <w:r>
        <w:rPr>
          <w:rFonts w:hint="eastAsia" w:ascii="宋体" w:hAnsi="宋体" w:cs="宋体"/>
          <w:color w:val="000000" w:themeColor="text1"/>
          <w:sz w:val="24"/>
          <w:szCs w:val="24"/>
          <w:highlight w:val="none"/>
          <w:lang w:val="zh-TW" w:eastAsia="zh-CN"/>
          <w14:textFill>
            <w14:solidFill>
              <w14:schemeClr w14:val="tx1"/>
            </w14:solidFill>
          </w14:textFill>
        </w:rPr>
        <w:t>二次</w:t>
      </w:r>
    </w:p>
    <w:p w14:paraId="19D4516B">
      <w:pPr>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采购方式：竞争性</w:t>
      </w:r>
      <w:r>
        <w:rPr>
          <w:rFonts w:hint="eastAsia" w:ascii="宋体" w:hAnsi="宋体"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C29C39A">
      <w:pPr>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预算金额：</w:t>
      </w:r>
      <w:r>
        <w:rPr>
          <w:rFonts w:hint="eastAsia" w:ascii="宋体" w:hAnsi="宋体" w:cs="宋体"/>
          <w:color w:val="auto"/>
          <w:sz w:val="24"/>
          <w:szCs w:val="24"/>
          <w:highlight w:val="none"/>
          <w:lang w:val="en-US" w:eastAsia="zh-CN"/>
        </w:rPr>
        <w:t>1489850.28</w:t>
      </w:r>
      <w:r>
        <w:rPr>
          <w:rFonts w:hint="eastAsia" w:ascii="宋体" w:hAnsi="宋体" w:eastAsia="宋体" w:cs="宋体"/>
          <w:color w:val="000000" w:themeColor="text1"/>
          <w:sz w:val="24"/>
          <w:szCs w:val="24"/>
          <w:highlight w:val="none"/>
          <w:lang w:val="en-US" w:eastAsia="zh-CN"/>
          <w14:textFill>
            <w14:solidFill>
              <w14:schemeClr w14:val="tx1"/>
            </w14:solidFill>
          </w14:textFill>
        </w:rPr>
        <w:t>元</w:t>
      </w:r>
    </w:p>
    <w:p w14:paraId="0AEC3F5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最高限价（如有）：</w:t>
      </w:r>
    </w:p>
    <w:tbl>
      <w:tblPr>
        <w:tblStyle w:val="23"/>
        <w:tblW w:w="891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605"/>
        <w:gridCol w:w="1815"/>
        <w:gridCol w:w="1770"/>
      </w:tblGrid>
      <w:tr w14:paraId="468D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77EB46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序号</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1393E36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标</w:t>
            </w:r>
            <w:r>
              <w:rPr>
                <w:rFonts w:hint="eastAsia" w:ascii="宋体" w:hAnsi="宋体" w:cs="宋体"/>
                <w:color w:val="000000"/>
                <w:sz w:val="24"/>
                <w:szCs w:val="24"/>
                <w:highlight w:val="none"/>
                <w:vertAlign w:val="baseline"/>
                <w:lang w:eastAsia="zh-CN"/>
              </w:rPr>
              <w:t>包</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7860F00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预算价（元）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0FCB9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vertAlign w:val="baseline"/>
                <w:lang w:eastAsia="zh-CN"/>
              </w:rPr>
            </w:pPr>
            <w:r>
              <w:rPr>
                <w:rFonts w:hint="eastAsia" w:ascii="宋体" w:hAnsi="宋体" w:eastAsia="宋体" w:cs="宋体"/>
                <w:color w:val="000000"/>
                <w:sz w:val="24"/>
                <w:szCs w:val="24"/>
                <w:highlight w:val="none"/>
                <w:vertAlign w:val="baseline"/>
                <w:lang w:eastAsia="zh-CN"/>
              </w:rPr>
              <w:t>最高限价（元）</w:t>
            </w:r>
          </w:p>
        </w:tc>
      </w:tr>
      <w:tr w14:paraId="5182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A139AB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w:t>
            </w:r>
          </w:p>
        </w:tc>
        <w:tc>
          <w:tcPr>
            <w:tcW w:w="4605" w:type="dxa"/>
            <w:tcBorders>
              <w:top w:val="single" w:color="auto" w:sz="4" w:space="0"/>
              <w:left w:val="single" w:color="auto" w:sz="4" w:space="0"/>
              <w:bottom w:val="single" w:color="auto" w:sz="4" w:space="0"/>
              <w:right w:val="single" w:color="auto" w:sz="4" w:space="0"/>
            </w:tcBorders>
            <w:noWrap w:val="0"/>
            <w:vAlign w:val="center"/>
          </w:tcPr>
          <w:p w14:paraId="7CD39560">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rPr>
            </w:pPr>
            <w:r>
              <w:rPr>
                <w:rFonts w:hint="eastAsia" w:ascii="宋体" w:hAnsi="宋体" w:cs="宋体"/>
                <w:color w:val="000000"/>
                <w:sz w:val="24"/>
                <w:szCs w:val="24"/>
                <w:highlight w:val="none"/>
                <w:vertAlign w:val="baseline"/>
                <w:lang w:val="en-US" w:eastAsia="zh-CN"/>
              </w:rPr>
              <w:t>民权县庄子镇人民政府民权县庄子镇老年人体育健身园项目二次第一标段（包）</w:t>
            </w:r>
          </w:p>
        </w:tc>
        <w:tc>
          <w:tcPr>
            <w:tcW w:w="1815" w:type="dxa"/>
            <w:tcBorders>
              <w:top w:val="single" w:color="auto" w:sz="4" w:space="0"/>
              <w:left w:val="single" w:color="auto" w:sz="4" w:space="0"/>
              <w:bottom w:val="single" w:color="auto" w:sz="4" w:space="0"/>
              <w:right w:val="single" w:color="auto" w:sz="4" w:space="0"/>
            </w:tcBorders>
            <w:noWrap w:val="0"/>
            <w:vAlign w:val="center"/>
          </w:tcPr>
          <w:p w14:paraId="428D0093">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1489850.28</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42214E4">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1489850.28</w:t>
            </w:r>
          </w:p>
        </w:tc>
      </w:tr>
    </w:tbl>
    <w:p w14:paraId="2A854FE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5、采购需求：</w:t>
      </w:r>
    </w:p>
    <w:p w14:paraId="1647CA4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5.1</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供货</w:t>
      </w:r>
      <w:r>
        <w:rPr>
          <w:rFonts w:hint="eastAsia" w:ascii="宋体" w:hAnsi="宋体" w:eastAsia="宋体" w:cs="宋体"/>
          <w:color w:val="000000"/>
          <w:sz w:val="24"/>
          <w:szCs w:val="24"/>
          <w:highlight w:val="none"/>
        </w:rPr>
        <w:t>地点：</w:t>
      </w:r>
      <w:r>
        <w:rPr>
          <w:rFonts w:hint="eastAsia" w:ascii="宋体" w:hAnsi="宋体" w:cs="宋体"/>
          <w:color w:val="000000"/>
          <w:sz w:val="24"/>
          <w:szCs w:val="24"/>
          <w:highlight w:val="none"/>
          <w:lang w:val="en-US" w:eastAsia="zh-CN"/>
        </w:rPr>
        <w:t>采购人指定地点</w:t>
      </w:r>
    </w:p>
    <w:p w14:paraId="71D247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5.2</w:t>
      </w:r>
      <w:r>
        <w:rPr>
          <w:rFonts w:hint="eastAsia" w:ascii="宋体" w:hAnsi="宋体" w:eastAsia="宋体" w:cs="宋体"/>
          <w:color w:val="000000"/>
          <w:sz w:val="24"/>
          <w:szCs w:val="24"/>
          <w:highlight w:val="none"/>
        </w:rPr>
        <w:t>、资金来源：</w:t>
      </w:r>
      <w:r>
        <w:rPr>
          <w:rFonts w:hint="eastAsia" w:ascii="宋体" w:hAnsi="宋体" w:cs="宋体"/>
          <w:color w:val="000000"/>
          <w:sz w:val="24"/>
          <w:szCs w:val="24"/>
          <w:highlight w:val="none"/>
          <w:lang w:eastAsia="zh-CN"/>
        </w:rPr>
        <w:t>财政资金</w:t>
      </w:r>
    </w:p>
    <w:p w14:paraId="262D8694">
      <w:pPr>
        <w:pageBreakBefore w:val="0"/>
        <w:widowControl w:val="0"/>
        <w:kinsoku/>
        <w:wordWrap/>
        <w:overflowPunct/>
        <w:topLinePunct w:val="0"/>
        <w:autoSpaceDE/>
        <w:autoSpaceDN/>
        <w:bidi w:val="0"/>
        <w:adjustRightInd/>
        <w:snapToGrid/>
        <w:spacing w:line="360" w:lineRule="auto"/>
        <w:ind w:left="2159" w:leftChars="228" w:hanging="1680" w:hangingChars="7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sz w:val="24"/>
          <w:szCs w:val="24"/>
          <w:highlight w:val="none"/>
          <w:lang w:val="en-US" w:eastAsia="zh-CN"/>
        </w:rPr>
        <w:t>5.3</w:t>
      </w:r>
      <w:r>
        <w:rPr>
          <w:rFonts w:hint="eastAsia" w:ascii="宋体" w:hAnsi="宋体" w:eastAsia="宋体" w:cs="宋体"/>
          <w:color w:val="000000"/>
          <w:sz w:val="24"/>
          <w:szCs w:val="24"/>
          <w:highlight w:val="none"/>
        </w:rPr>
        <w:t>、质量要</w:t>
      </w:r>
      <w:r>
        <w:rPr>
          <w:rFonts w:hint="eastAsia" w:ascii="宋体" w:hAnsi="宋体" w:eastAsia="宋体" w:cs="宋体"/>
          <w:color w:val="000000" w:themeColor="text1"/>
          <w:sz w:val="24"/>
          <w:szCs w:val="24"/>
          <w:highlight w:val="none"/>
          <w14:textFill>
            <w14:solidFill>
              <w14:schemeClr w14:val="tx1"/>
            </w14:solidFill>
          </w14:textFill>
        </w:rPr>
        <w:t>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符合国家及相关行业合格标准及采购人要求</w:t>
      </w:r>
    </w:p>
    <w:p w14:paraId="136554B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5.4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质保期：自验收合格之日起</w:t>
      </w:r>
      <w:r>
        <w:rPr>
          <w:rFonts w:hint="eastAsia" w:ascii="宋体" w:hAnsi="宋体" w:eastAsia="宋体" w:cs="宋体"/>
          <w:color w:val="auto"/>
          <w:sz w:val="24"/>
          <w:szCs w:val="24"/>
          <w:highlight w:val="none"/>
          <w:lang w:eastAsia="zh-CN"/>
        </w:rPr>
        <w:t>1年</w:t>
      </w:r>
    </w:p>
    <w:p w14:paraId="5F1D26D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5.5</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供货期</w:t>
      </w:r>
      <w:r>
        <w:rPr>
          <w:rFonts w:hint="eastAsia" w:ascii="宋体" w:hAnsi="宋体" w:eastAsia="宋体" w:cs="宋体"/>
          <w:color w:val="000000" w:themeColor="text1"/>
          <w:sz w:val="24"/>
          <w:szCs w:val="24"/>
          <w:highlight w:val="none"/>
          <w14:textFill>
            <w14:solidFill>
              <w14:schemeClr w14:val="tx1"/>
            </w14:solidFill>
          </w14:textFill>
        </w:rPr>
        <w:t>：签订合同后</w:t>
      </w:r>
      <w:r>
        <w:rPr>
          <w:rFonts w:hint="eastAsia" w:ascii="宋体" w:hAnsi="宋体" w:cs="宋体"/>
          <w:color w:val="auto"/>
          <w:sz w:val="24"/>
          <w:szCs w:val="24"/>
          <w:highlight w:val="none"/>
          <w:lang w:val="en-US" w:eastAsia="zh-CN"/>
        </w:rPr>
        <w:t>60</w:t>
      </w:r>
      <w:r>
        <w:rPr>
          <w:rFonts w:hint="eastAsia" w:ascii="宋体" w:hAnsi="宋体" w:eastAsia="宋体" w:cs="宋体"/>
          <w:color w:val="000000" w:themeColor="text1"/>
          <w:sz w:val="24"/>
          <w:szCs w:val="24"/>
          <w:highlight w:val="none"/>
          <w14:textFill>
            <w14:solidFill>
              <w14:schemeClr w14:val="tx1"/>
            </w14:solidFill>
          </w14:textFill>
        </w:rPr>
        <w:t>日历天</w:t>
      </w:r>
      <w:r>
        <w:rPr>
          <w:rFonts w:hint="eastAsia" w:ascii="宋体" w:hAnsi="宋体" w:eastAsia="宋体" w:cs="宋体"/>
          <w:color w:val="000000" w:themeColor="text1"/>
          <w:sz w:val="24"/>
          <w:szCs w:val="24"/>
          <w:highlight w:val="none"/>
          <w:lang w:eastAsia="zh-CN"/>
          <w14:textFill>
            <w14:solidFill>
              <w14:schemeClr w14:val="tx1"/>
            </w14:solidFill>
          </w14:textFill>
        </w:rPr>
        <w:t>内供货完成</w:t>
      </w:r>
    </w:p>
    <w:p w14:paraId="41FA64AA">
      <w:pPr>
        <w:pageBreakBefore w:val="0"/>
        <w:widowControl w:val="0"/>
        <w:kinsoku/>
        <w:wordWrap/>
        <w:overflowPunct/>
        <w:topLinePunct w:val="0"/>
        <w:autoSpaceDE/>
        <w:autoSpaceDN/>
        <w:bidi w:val="0"/>
        <w:adjustRightInd/>
        <w:snapToGrid/>
        <w:spacing w:line="360" w:lineRule="auto"/>
        <w:ind w:left="2399" w:leftChars="228" w:hanging="1920" w:hangingChars="8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5.6</w:t>
      </w:r>
      <w:r>
        <w:rPr>
          <w:rFonts w:hint="eastAsia" w:ascii="宋体" w:hAnsi="宋体" w:eastAsia="宋体" w:cs="宋体"/>
          <w:color w:val="000000" w:themeColor="text1"/>
          <w:sz w:val="24"/>
          <w:szCs w:val="24"/>
          <w:highlight w:val="none"/>
          <w14:textFill>
            <w14:solidFill>
              <w14:schemeClr w14:val="tx1"/>
            </w14:solidFill>
          </w14:textFill>
        </w:rPr>
        <w:t>、采购内容：</w:t>
      </w:r>
      <w:r>
        <w:rPr>
          <w:rFonts w:hint="eastAsia" w:ascii="宋体" w:hAnsi="宋体" w:eastAsia="宋体" w:cs="宋体"/>
          <w:color w:val="000000" w:themeColor="text1"/>
          <w:sz w:val="24"/>
          <w:szCs w:val="24"/>
          <w:highlight w:val="none"/>
          <w:lang w:val="zh-TW" w:eastAsia="zh-CN"/>
          <w14:textFill>
            <w14:solidFill>
              <w14:schemeClr w14:val="tx1"/>
            </w14:solidFill>
          </w14:textFill>
        </w:rPr>
        <w:t>民权县庄子镇老年</w:t>
      </w:r>
      <w:r>
        <w:rPr>
          <w:rFonts w:hint="eastAsia" w:ascii="宋体" w:hAnsi="宋体" w:cs="宋体"/>
          <w:color w:val="000000" w:themeColor="text1"/>
          <w:sz w:val="24"/>
          <w:szCs w:val="24"/>
          <w:highlight w:val="none"/>
          <w:lang w:val="zh-TW" w:eastAsia="zh-CN"/>
          <w14:textFill>
            <w14:solidFill>
              <w14:schemeClr w14:val="tx1"/>
            </w14:solidFill>
          </w14:textFill>
        </w:rPr>
        <w:t>人</w:t>
      </w:r>
      <w:r>
        <w:rPr>
          <w:rFonts w:hint="eastAsia" w:ascii="宋体" w:hAnsi="宋体" w:eastAsia="宋体" w:cs="宋体"/>
          <w:color w:val="000000" w:themeColor="text1"/>
          <w:sz w:val="24"/>
          <w:szCs w:val="24"/>
          <w:highlight w:val="none"/>
          <w:lang w:val="zh-TW" w:eastAsia="zh-CN"/>
          <w14:textFill>
            <w14:solidFill>
              <w14:schemeClr w14:val="tx1"/>
            </w14:solidFill>
          </w14:textFill>
        </w:rPr>
        <w:t>体育健身园项目</w:t>
      </w:r>
      <w:r>
        <w:rPr>
          <w:rFonts w:hint="eastAsia" w:ascii="宋体" w:hAnsi="宋体" w:eastAsia="宋体" w:cs="宋体"/>
          <w:color w:val="000000"/>
          <w:sz w:val="24"/>
          <w:szCs w:val="24"/>
          <w:highlight w:val="none"/>
          <w:lang w:val="en-US" w:eastAsia="zh-CN"/>
        </w:rPr>
        <w:t>（详见采购需求</w:t>
      </w:r>
      <w:r>
        <w:rPr>
          <w:rFonts w:hint="eastAsia" w:ascii="宋体" w:hAnsi="宋体" w:cs="宋体"/>
          <w:color w:val="000000"/>
          <w:sz w:val="24"/>
          <w:szCs w:val="24"/>
          <w:highlight w:val="none"/>
          <w:lang w:val="en-US"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3E95F0C8">
      <w:pPr>
        <w:pageBreakBefore w:val="0"/>
        <w:widowControl w:val="0"/>
        <w:kinsoku/>
        <w:wordWrap/>
        <w:overflowPunct/>
        <w:topLinePunct w:val="0"/>
        <w:autoSpaceDE/>
        <w:autoSpaceDN/>
        <w:bidi w:val="0"/>
        <w:adjustRightInd/>
        <w:snapToGrid/>
        <w:spacing w:line="360" w:lineRule="auto"/>
        <w:ind w:left="2399" w:leftChars="228" w:hanging="1920" w:hangingChars="800"/>
        <w:textAlignment w:val="auto"/>
        <w:rPr>
          <w:rFonts w:hint="eastAsia" w:ascii="宋体" w:hAnsi="宋体" w:cs="宋体"/>
          <w:color w:val="000000"/>
          <w:sz w:val="24"/>
          <w:szCs w:val="24"/>
          <w:highlight w:val="none"/>
          <w:vertAlign w:val="baseline"/>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5.7</w:t>
      </w:r>
      <w:r>
        <w:rPr>
          <w:rFonts w:hint="eastAsia" w:ascii="宋体" w:hAnsi="宋体" w:eastAsia="宋体" w:cs="宋体"/>
          <w:color w:val="000000" w:themeColor="text1"/>
          <w:sz w:val="24"/>
          <w:szCs w:val="24"/>
          <w:highlight w:val="none"/>
          <w14:textFill>
            <w14:solidFill>
              <w14:schemeClr w14:val="tx1"/>
            </w14:solidFill>
          </w14:textFill>
        </w:rPr>
        <w:t xml:space="preserve">、标包划分：本项目共划分为 </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个标</w:t>
      </w:r>
      <w:r>
        <w:rPr>
          <w:rFonts w:hint="eastAsia" w:ascii="宋体" w:hAnsi="宋体" w:cs="宋体"/>
          <w:color w:val="000000" w:themeColor="text1"/>
          <w:sz w:val="24"/>
          <w:szCs w:val="24"/>
          <w:highlight w:val="none"/>
          <w:lang w:eastAsia="zh-CN"/>
          <w14:textFill>
            <w14:solidFill>
              <w14:schemeClr w14:val="tx1"/>
            </w14:solidFill>
          </w14:textFill>
        </w:rPr>
        <w:t>包</w:t>
      </w:r>
    </w:p>
    <w:p w14:paraId="141624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5.8</w:t>
      </w:r>
      <w:r>
        <w:rPr>
          <w:rFonts w:hint="eastAsia" w:ascii="宋体" w:hAnsi="宋体" w:eastAsia="宋体" w:cs="宋体"/>
          <w:color w:val="000000" w:themeColor="text1"/>
          <w:sz w:val="24"/>
          <w:szCs w:val="24"/>
          <w:highlight w:val="none"/>
          <w14:textFill>
            <w14:solidFill>
              <w14:schemeClr w14:val="tx1"/>
            </w14:solidFill>
          </w14:textFill>
        </w:rPr>
        <w:t>、是否接受进口产品：否</w:t>
      </w:r>
    </w:p>
    <w:p w14:paraId="7335186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5.9是否为只面向中小企业采购：是。</w:t>
      </w:r>
    </w:p>
    <w:p w14:paraId="33A1DC2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6、合同履行期限：</w:t>
      </w:r>
      <w:r>
        <w:rPr>
          <w:rFonts w:hint="eastAsia" w:ascii="宋体" w:hAnsi="宋体" w:cs="宋体"/>
          <w:color w:val="auto"/>
          <w:sz w:val="24"/>
          <w:szCs w:val="24"/>
          <w:highlight w:val="none"/>
          <w:lang w:val="en-US" w:eastAsia="zh-CN"/>
        </w:rPr>
        <w:t>60</w:t>
      </w:r>
      <w:r>
        <w:rPr>
          <w:rFonts w:hint="eastAsia" w:ascii="宋体" w:hAnsi="宋体" w:eastAsia="宋体" w:cs="宋体"/>
          <w:color w:val="000000" w:themeColor="text1"/>
          <w:sz w:val="24"/>
          <w:szCs w:val="24"/>
          <w:highlight w:val="none"/>
          <w14:textFill>
            <w14:solidFill>
              <w14:schemeClr w14:val="tx1"/>
            </w14:solidFill>
          </w14:textFill>
        </w:rPr>
        <w:t>日历天</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7E4F48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本项目（</w:t>
      </w:r>
      <w:r>
        <w:rPr>
          <w:rFonts w:hint="eastAsia" w:ascii="宋体" w:hAnsi="宋体" w:eastAsia="宋体" w:cs="宋体"/>
          <w:i/>
          <w:color w:val="000000"/>
          <w:sz w:val="24"/>
          <w:szCs w:val="24"/>
          <w:highlight w:val="none"/>
        </w:rPr>
        <w:t>是/否</w:t>
      </w:r>
      <w:r>
        <w:rPr>
          <w:rFonts w:hint="eastAsia" w:ascii="宋体" w:hAnsi="宋体" w:eastAsia="宋体" w:cs="宋体"/>
          <w:color w:val="000000"/>
          <w:sz w:val="24"/>
          <w:szCs w:val="24"/>
          <w:highlight w:val="none"/>
        </w:rPr>
        <w:t>）接受联合体</w:t>
      </w:r>
      <w:r>
        <w:rPr>
          <w:rFonts w:hint="eastAsia" w:ascii="宋体" w:hAnsi="宋体" w:eastAsia="宋体" w:cs="宋体"/>
          <w:color w:val="000000"/>
          <w:sz w:val="24"/>
          <w:szCs w:val="24"/>
          <w:highlight w:val="none"/>
          <w:lang w:eastAsia="zh-CN"/>
        </w:rPr>
        <w:t>：否</w:t>
      </w:r>
      <w:r>
        <w:rPr>
          <w:rFonts w:hint="eastAsia" w:ascii="宋体" w:hAnsi="宋体" w:eastAsia="宋体" w:cs="宋体"/>
          <w:color w:val="000000"/>
          <w:sz w:val="24"/>
          <w:szCs w:val="24"/>
          <w:highlight w:val="none"/>
        </w:rPr>
        <w:t>。</w:t>
      </w:r>
    </w:p>
    <w:p w14:paraId="1CF8E9CB">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color w:val="000000"/>
          <w:sz w:val="24"/>
          <w:szCs w:val="24"/>
          <w:highlight w:val="none"/>
        </w:rPr>
      </w:pPr>
      <w:bookmarkStart w:id="8" w:name="_Toc20893"/>
      <w:bookmarkStart w:id="9" w:name="_Toc35393630"/>
      <w:bookmarkStart w:id="10" w:name="_Toc28359013"/>
      <w:bookmarkStart w:id="11" w:name="_Toc28359090"/>
      <w:bookmarkStart w:id="12" w:name="_Toc35393799"/>
      <w:r>
        <w:rPr>
          <w:rFonts w:hint="eastAsia" w:ascii="宋体" w:hAnsi="宋体" w:eastAsia="宋体" w:cs="宋体"/>
          <w:b/>
          <w:bCs w:val="0"/>
          <w:color w:val="000000"/>
          <w:sz w:val="24"/>
          <w:szCs w:val="24"/>
          <w:highlight w:val="none"/>
        </w:rPr>
        <w:t>二、申请人的资格要求</w:t>
      </w:r>
      <w:r>
        <w:rPr>
          <w:rFonts w:hint="eastAsia" w:ascii="宋体" w:hAnsi="宋体" w:eastAsia="宋体" w:cs="宋体"/>
          <w:b w:val="0"/>
          <w:color w:val="000000"/>
          <w:sz w:val="24"/>
          <w:szCs w:val="24"/>
          <w:highlight w:val="none"/>
        </w:rPr>
        <w:t>：</w:t>
      </w:r>
      <w:bookmarkEnd w:id="8"/>
      <w:bookmarkEnd w:id="9"/>
      <w:bookmarkEnd w:id="10"/>
      <w:bookmarkEnd w:id="11"/>
      <w:bookmarkEnd w:id="12"/>
    </w:p>
    <w:p w14:paraId="0315EB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1.满足《中华人民共和国政府采购法》第二十二条规定；</w:t>
      </w:r>
    </w:p>
    <w:p w14:paraId="7810F6D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（1）具有独立承担民事责任的能力；</w:t>
      </w:r>
    </w:p>
    <w:p w14:paraId="74F533D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（2）具有良好的商业信誉和健全的财务会计制度；</w:t>
      </w:r>
      <w:r>
        <w:rPr>
          <w:rFonts w:hint="eastAsia" w:ascii="宋体" w:hAnsi="宋体" w:cs="宋体"/>
          <w:color w:val="000000"/>
          <w:sz w:val="24"/>
          <w:szCs w:val="24"/>
          <w:highlight w:val="none"/>
          <w:lang w:val="en-US" w:eastAsia="zh-CN"/>
        </w:rPr>
        <w:t>（</w:t>
      </w:r>
      <w:r>
        <w:rPr>
          <w:rFonts w:hint="eastAsia" w:ascii="宋体" w:hAnsi="宋体" w:eastAsia="宋体" w:cs="宋体"/>
          <w:color w:val="000000"/>
          <w:kern w:val="2"/>
          <w:sz w:val="24"/>
          <w:szCs w:val="24"/>
          <w:highlight w:val="none"/>
          <w:lang w:val="en-US" w:eastAsia="zh-CN" w:bidi="ar-SA"/>
        </w:rPr>
        <w:t>供应商具有良好的商业信誉和健全的财务会计制度；</w:t>
      </w:r>
      <w:r>
        <w:rPr>
          <w:rFonts w:hint="eastAsia" w:ascii="宋体" w:hAnsi="宋体" w:eastAsia="宋体" w:cs="宋体"/>
          <w:color w:val="auto"/>
          <w:kern w:val="2"/>
          <w:sz w:val="24"/>
          <w:szCs w:val="24"/>
          <w:highlight w:val="none"/>
          <w:lang w:val="en-US" w:eastAsia="zh-CN" w:bidi="ar-SA"/>
        </w:rPr>
        <w:t>自行承诺，格式自拟</w:t>
      </w:r>
      <w:r>
        <w:rPr>
          <w:rFonts w:hint="eastAsia" w:ascii="宋体" w:hAnsi="宋体" w:eastAsia="宋体" w:cs="宋体"/>
          <w:color w:val="000000"/>
          <w:kern w:val="2"/>
          <w:sz w:val="24"/>
          <w:szCs w:val="24"/>
          <w:highlight w:val="none"/>
          <w:lang w:val="en-US" w:eastAsia="zh-CN" w:bidi="ar-SA"/>
        </w:rPr>
        <w:t>;提供</w:t>
      </w:r>
      <w:r>
        <w:rPr>
          <w:rFonts w:hint="eastAsia" w:ascii="宋体" w:hAnsi="宋体" w:cs="宋体"/>
          <w:color w:val="000000"/>
          <w:kern w:val="2"/>
          <w:sz w:val="24"/>
          <w:szCs w:val="24"/>
          <w:highlight w:val="none"/>
          <w:lang w:val="en-US" w:eastAsia="zh-CN" w:bidi="ar-SA"/>
        </w:rPr>
        <w:t>2024年</w:t>
      </w:r>
      <w:r>
        <w:rPr>
          <w:rFonts w:hint="eastAsia" w:ascii="宋体" w:hAnsi="宋体" w:eastAsia="宋体" w:cs="宋体"/>
          <w:color w:val="000000"/>
          <w:kern w:val="2"/>
          <w:sz w:val="24"/>
          <w:szCs w:val="24"/>
          <w:highlight w:val="none"/>
          <w:lang w:val="en-US" w:eastAsia="zh-CN" w:bidi="ar-SA"/>
        </w:rPr>
        <w:t>经审计的财务报告，新成立企业不足一年的可不提供。或提供其基本开户银行出具的资信证明，资信证明出具时间距开标不超过一年。）；</w:t>
      </w:r>
    </w:p>
    <w:p w14:paraId="5E9780B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（3）具有履行合同所必需的设备和专业技术能力；</w:t>
      </w:r>
    </w:p>
    <w:p w14:paraId="56BF9C1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sz w:val="24"/>
          <w:szCs w:val="24"/>
          <w:highlight w:val="none"/>
          <w:lang w:val="en-US" w:eastAsia="zh-CN"/>
        </w:rPr>
        <w:t>（4）有依法缴纳税收和社会保障资金的良</w:t>
      </w:r>
      <w:r>
        <w:rPr>
          <w:rFonts w:hint="default" w:ascii="宋体" w:hAnsi="宋体" w:eastAsia="宋体" w:cs="宋体"/>
          <w:color w:val="000000" w:themeColor="text1"/>
          <w:sz w:val="24"/>
          <w:szCs w:val="24"/>
          <w:highlight w:val="none"/>
          <w:lang w:val="en-US" w:eastAsia="zh-CN"/>
          <w14:textFill>
            <w14:solidFill>
              <w14:schemeClr w14:val="tx1"/>
            </w14:solidFill>
          </w14:textFill>
        </w:rPr>
        <w:t>好记录；（提供相关部门出具的自202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default" w:ascii="宋体" w:hAnsi="宋体" w:eastAsia="宋体" w:cs="宋体"/>
          <w:color w:val="000000" w:themeColor="text1"/>
          <w:sz w:val="24"/>
          <w:szCs w:val="24"/>
          <w:highlight w:val="none"/>
          <w:lang w:val="en-US"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default" w:ascii="宋体" w:hAnsi="宋体" w:eastAsia="宋体" w:cs="宋体"/>
          <w:color w:val="000000" w:themeColor="text1"/>
          <w:sz w:val="24"/>
          <w:szCs w:val="24"/>
          <w:highlight w:val="none"/>
          <w:lang w:val="en-US" w:eastAsia="zh-CN"/>
          <w14:textFill>
            <w14:solidFill>
              <w14:schemeClr w14:val="tx1"/>
            </w14:solidFill>
          </w14:textFill>
        </w:rPr>
        <w:t>月以来</w:t>
      </w:r>
      <w:r>
        <w:rPr>
          <w:rFonts w:hint="eastAsia" w:ascii="宋体" w:hAnsi="宋体" w:cs="宋体"/>
          <w:color w:val="000000" w:themeColor="text1"/>
          <w:sz w:val="24"/>
          <w:szCs w:val="24"/>
          <w:highlight w:val="none"/>
          <w:lang w:val="en-US" w:eastAsia="zh-CN"/>
          <w14:textFill>
            <w14:solidFill>
              <w14:schemeClr w14:val="tx1"/>
            </w14:solidFill>
          </w14:textFill>
        </w:rPr>
        <w:t>任意1</w:t>
      </w:r>
      <w:r>
        <w:rPr>
          <w:rFonts w:hint="default" w:ascii="宋体" w:hAnsi="宋体" w:eastAsia="宋体" w:cs="宋体"/>
          <w:color w:val="000000" w:themeColor="text1"/>
          <w:sz w:val="24"/>
          <w:szCs w:val="24"/>
          <w:highlight w:val="none"/>
          <w:lang w:val="en-US" w:eastAsia="zh-CN"/>
          <w14:textFill>
            <w14:solidFill>
              <w14:schemeClr w14:val="tx1"/>
            </w14:solidFill>
          </w14:textFill>
        </w:rPr>
        <w:t>个月的依法缴纳税收证明和社保证明）</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26B22A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w:t>
      </w:r>
      <w:r>
        <w:rPr>
          <w:rFonts w:hint="default" w:ascii="宋体" w:hAnsi="宋体" w:eastAsia="宋体" w:cs="宋体"/>
          <w:color w:val="000000"/>
          <w:sz w:val="24"/>
          <w:szCs w:val="24"/>
          <w:highlight w:val="none"/>
          <w:lang w:val="en-US" w:eastAsia="zh-CN"/>
        </w:rPr>
        <w:t>重大违法记录；</w:t>
      </w:r>
      <w:r>
        <w:rPr>
          <w:rFonts w:hint="eastAsia" w:ascii="宋体" w:hAnsi="宋体" w:cs="宋体"/>
          <w:color w:val="000000"/>
          <w:sz w:val="24"/>
          <w:szCs w:val="24"/>
          <w:highlight w:val="none"/>
          <w:lang w:val="en-US" w:eastAsia="zh-CN"/>
        </w:rPr>
        <w:t>（提供承诺书）；</w:t>
      </w:r>
    </w:p>
    <w:p w14:paraId="62B2698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highlight w:val="none"/>
        </w:rPr>
      </w:pPr>
      <w:r>
        <w:rPr>
          <w:rFonts w:hint="default" w:ascii="宋体" w:hAnsi="宋体" w:eastAsia="宋体" w:cs="宋体"/>
          <w:color w:val="000000"/>
          <w:sz w:val="24"/>
          <w:szCs w:val="24"/>
          <w:highlight w:val="none"/>
          <w:lang w:val="en-US" w:eastAsia="zh-CN"/>
        </w:rPr>
        <w:t>（6）法律、行政法规规定的其他条件。</w:t>
      </w:r>
    </w:p>
    <w:p w14:paraId="428000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2.落实政府采购政策需满足的资格要求：</w:t>
      </w:r>
      <w:r>
        <w:rPr>
          <w:rFonts w:hint="eastAsia" w:ascii="宋体" w:hAnsi="宋体" w:eastAsia="宋体" w:cs="宋体"/>
          <w:color w:val="000000"/>
          <w:sz w:val="24"/>
          <w:szCs w:val="24"/>
          <w:highlight w:val="none"/>
          <w:lang w:val="en-US" w:eastAsia="zh-CN"/>
        </w:rPr>
        <w:t>根据《政府采购促进中小企业发展管理办法》(财库〔2020〕46号)的规定，本项目专门面向中小微企业采购，供应商需提供中小微企业声明函或残疾人福利性单位声明函或监狱企业的证明文件。</w:t>
      </w:r>
    </w:p>
    <w:p w14:paraId="2F20132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3.本项目的特定资格要求：</w:t>
      </w:r>
    </w:p>
    <w:p w14:paraId="3229D569">
      <w:pPr>
        <w:spacing w:line="360" w:lineRule="auto"/>
        <w:ind w:firstLine="240" w:firstLineChars="100"/>
        <w:rPr>
          <w:rFonts w:hint="eastAsia" w:ascii="宋体" w:hAnsi="宋体"/>
          <w:color w:val="000000"/>
          <w:sz w:val="24"/>
          <w:highlight w:val="none"/>
        </w:rPr>
      </w:pPr>
      <w:r>
        <w:rPr>
          <w:rFonts w:hint="eastAsia" w:ascii="宋体" w:hAnsi="宋体"/>
          <w:color w:val="000000"/>
          <w:sz w:val="24"/>
          <w:highlight w:val="none"/>
        </w:rPr>
        <w:t>（1）供应商须具有独自承担民事责任的能力，具有有效的营业执照、税务登记证、组织机构代码证（或三证合一的营业执照）</w:t>
      </w:r>
      <w:r>
        <w:rPr>
          <w:rFonts w:hint="eastAsia" w:ascii="宋体" w:hAnsi="宋体"/>
          <w:color w:val="000000"/>
          <w:sz w:val="24"/>
          <w:highlight w:val="none"/>
          <w:lang w:eastAsia="zh-CN"/>
        </w:rPr>
        <w:t>，</w:t>
      </w:r>
      <w:r>
        <w:rPr>
          <w:rFonts w:hint="eastAsia" w:ascii="宋体" w:hAnsi="宋体"/>
          <w:color w:val="000000"/>
          <w:sz w:val="24"/>
          <w:highlight w:val="none"/>
        </w:rPr>
        <w:t>并在人员、设备、资金等方面具有相应的工作能力；</w:t>
      </w:r>
    </w:p>
    <w:p w14:paraId="191A0C18">
      <w:pPr>
        <w:pStyle w:val="2"/>
        <w:spacing w:line="360" w:lineRule="auto"/>
        <w:ind w:left="0" w:left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2.4信誉要求：按照《财政部关于在政府采购活动中查询及使用信用记录有关问题的通知》（财库〔2016〕125号）的要求，根据“信用中国”网站（www.creditchina.gov.cn）和中国政府采购网（www.ccgp.gov.cn）等渠道查询供应商信用记录，被列入失信被执行人、</w:t>
      </w:r>
      <w:r>
        <w:rPr>
          <w:rFonts w:hint="eastAsia" w:ascii="宋体" w:hAnsi="宋体" w:cs="宋体"/>
          <w:color w:val="000000"/>
          <w:kern w:val="2"/>
          <w:sz w:val="24"/>
          <w:szCs w:val="24"/>
          <w:highlight w:val="none"/>
          <w:lang w:val="en-US" w:eastAsia="zh-CN" w:bidi="ar-SA"/>
        </w:rPr>
        <w:t>重大税收违法失信主体（或</w:t>
      </w:r>
      <w:r>
        <w:rPr>
          <w:rFonts w:hint="eastAsia" w:ascii="宋体" w:hAnsi="宋体" w:eastAsia="宋体" w:cs="宋体"/>
          <w:color w:val="000000"/>
          <w:kern w:val="2"/>
          <w:sz w:val="24"/>
          <w:szCs w:val="24"/>
          <w:highlight w:val="none"/>
          <w:lang w:val="en-US" w:eastAsia="zh-CN" w:bidi="ar-SA"/>
        </w:rPr>
        <w:t>税收违法黑名单</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严重失信主体</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政府采购严重违法失信行为记录名单的单位将被拒绝参与本项目投标；供应商应在招标公告发布后对本单位信用信息进行查询并将查询页做在响应文件中。</w:t>
      </w:r>
    </w:p>
    <w:p w14:paraId="18D0F2BC">
      <w:pPr>
        <w:pStyle w:val="2"/>
        <w:spacing w:line="360" w:lineRule="auto"/>
        <w:ind w:left="0" w:left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r>
        <w:rPr>
          <w:rFonts w:hint="eastAsia" w:ascii="宋体" w:hAnsi="宋体"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本项目不接受联合体投标。</w:t>
      </w:r>
    </w:p>
    <w:p w14:paraId="50C03455">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b/>
          <w:bCs w:val="0"/>
          <w:color w:val="000000"/>
          <w:sz w:val="24"/>
          <w:szCs w:val="24"/>
          <w:highlight w:val="none"/>
        </w:rPr>
        <w:t>获取采购文件</w:t>
      </w:r>
    </w:p>
    <w:p w14:paraId="32FD6DCF">
      <w:pPr>
        <w:pageBreakBefore w:val="0"/>
        <w:widowControl w:val="0"/>
        <w:kinsoku/>
        <w:wordWrap/>
        <w:overflowPunct/>
        <w:topLinePunct w:val="0"/>
        <w:autoSpaceDE/>
        <w:autoSpaceDN/>
        <w:bidi w:val="0"/>
        <w:adjustRightInd/>
        <w:snapToGrid/>
        <w:spacing w:line="360" w:lineRule="auto"/>
        <w:ind w:firstLine="540"/>
        <w:textAlignment w:val="auto"/>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sz w:val="24"/>
          <w:szCs w:val="24"/>
          <w:highlight w:val="none"/>
          <w:lang w:val="en-US" w:eastAsia="zh-CN"/>
        </w:rPr>
        <w:t>3.1</w:t>
      </w:r>
      <w:bookmarkStart w:id="13" w:name="_Toc35393634"/>
      <w:bookmarkStart w:id="14" w:name="_Toc35393803"/>
      <w:bookmarkStart w:id="15" w:name="_Toc28359017"/>
      <w:bookmarkStart w:id="16" w:name="_Toc28359094"/>
      <w:r>
        <w:rPr>
          <w:rFonts w:hint="eastAsia" w:ascii="宋体" w:hAnsi="宋体"/>
          <w:color w:val="000000"/>
          <w:sz w:val="24"/>
          <w:szCs w:val="24"/>
          <w:highlight w:val="none"/>
          <w:lang w:val="en-US" w:eastAsia="zh-CN"/>
        </w:rPr>
        <w:t>本项目采用网上报名：企业可直接在该公告下方相关附件下载也可以免费注册登录商丘市公</w:t>
      </w:r>
      <w:r>
        <w:rPr>
          <w:rFonts w:hint="eastAsia" w:ascii="宋体" w:hAnsi="宋体"/>
          <w:color w:val="000000" w:themeColor="text1"/>
          <w:sz w:val="24"/>
          <w:szCs w:val="24"/>
          <w:highlight w:val="none"/>
          <w:lang w:val="en-US" w:eastAsia="zh-CN"/>
          <w14:textFill>
            <w14:solidFill>
              <w14:schemeClr w14:val="tx1"/>
            </w14:solidFill>
          </w14:textFill>
        </w:rPr>
        <w:t>共资源交易公共服务平台（http://ggzyjy.shangqiu.gov.cn）下载谈判文件；</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u w:val="single"/>
        </w:rPr>
        <w:t xml:space="preserve">月 </w:t>
      </w:r>
      <w:r>
        <w:rPr>
          <w:rFonts w:hint="eastAsia" w:ascii="宋体" w:hAnsi="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u w:val="single"/>
        </w:rPr>
        <w:t xml:space="preserve">月 </w:t>
      </w:r>
      <w:r>
        <w:rPr>
          <w:rFonts w:hint="eastAsia" w:ascii="宋体" w:hAnsi="宋体" w:cs="宋体"/>
          <w:color w:val="auto"/>
          <w:sz w:val="24"/>
          <w:szCs w:val="24"/>
          <w:highlight w:val="none"/>
          <w:u w:val="single"/>
          <w:lang w:val="en-US" w:eastAsia="zh-CN"/>
        </w:rPr>
        <w:t xml:space="preserve"> 11   </w:t>
      </w:r>
      <w:r>
        <w:rPr>
          <w:rFonts w:hint="eastAsia" w:ascii="宋体" w:hAnsi="宋体" w:eastAsia="宋体" w:cs="宋体"/>
          <w:color w:val="auto"/>
          <w:sz w:val="24"/>
          <w:szCs w:val="24"/>
          <w:highlight w:val="none"/>
          <w:u w:val="single"/>
        </w:rPr>
        <w:t>日</w:t>
      </w:r>
      <w:r>
        <w:rPr>
          <w:rFonts w:hint="eastAsia" w:ascii="宋体" w:hAnsi="宋体" w:eastAsia="宋体" w:cs="宋体"/>
          <w:iCs/>
          <w:color w:val="000000" w:themeColor="text1"/>
          <w:sz w:val="24"/>
          <w:szCs w:val="24"/>
          <w:highlight w:val="none"/>
          <w:u w:val="single"/>
          <w14:textFill>
            <w14:solidFill>
              <w14:schemeClr w14:val="tx1"/>
            </w14:solidFill>
          </w14:textFill>
        </w:rPr>
        <w:t>（</w:t>
      </w:r>
      <w:r>
        <w:rPr>
          <w:rFonts w:hint="eastAsia" w:ascii="宋体" w:hAnsi="宋体" w:cs="宋体"/>
          <w:i/>
          <w:color w:val="000000" w:themeColor="text1"/>
          <w:sz w:val="24"/>
          <w:szCs w:val="24"/>
          <w:highlight w:val="none"/>
          <w:u w:val="single"/>
          <w:lang w:eastAsia="zh-CN"/>
          <w14:textFill>
            <w14:solidFill>
              <w14:schemeClr w14:val="tx1"/>
            </w14:solidFill>
          </w14:textFill>
        </w:rPr>
        <w:t>谈判</w:t>
      </w:r>
      <w:r>
        <w:rPr>
          <w:rFonts w:hint="eastAsia" w:ascii="宋体" w:hAnsi="宋体" w:eastAsia="宋体" w:cs="宋体"/>
          <w:i/>
          <w:color w:val="000000" w:themeColor="text1"/>
          <w:sz w:val="24"/>
          <w:szCs w:val="24"/>
          <w:highlight w:val="none"/>
          <w:u w:val="single"/>
          <w14:textFill>
            <w14:solidFill>
              <w14:schemeClr w14:val="tx1"/>
            </w14:solidFill>
          </w14:textFill>
        </w:rPr>
        <w:t>文件的发售期限自开始之日起不得少于</w:t>
      </w:r>
      <w:r>
        <w:rPr>
          <w:rFonts w:hint="eastAsia" w:ascii="宋体" w:hAnsi="宋体" w:cs="宋体"/>
          <w:i/>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i/>
          <w:color w:val="000000" w:themeColor="text1"/>
          <w:sz w:val="24"/>
          <w:szCs w:val="24"/>
          <w:highlight w:val="none"/>
          <w:u w:val="single"/>
          <w14:textFill>
            <w14:solidFill>
              <w14:schemeClr w14:val="tx1"/>
            </w14:solidFill>
          </w14:textFill>
        </w:rPr>
        <w:t>个工作日</w:t>
      </w:r>
      <w:r>
        <w:rPr>
          <w:rFonts w:hint="eastAsia" w:ascii="宋体" w:hAnsi="宋体" w:eastAsia="宋体" w:cs="宋体"/>
          <w:iCs/>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，每天上午 </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 至 12:00，下午 12:00 至 17:00（北京时间，法定节假日除外 ）</w:t>
      </w:r>
      <w:r>
        <w:rPr>
          <w:rFonts w:hint="eastAsia" w:ascii="宋体" w:hAnsi="宋体" w:cs="宋体"/>
          <w:color w:val="000000" w:themeColor="text1"/>
          <w:sz w:val="24"/>
          <w:szCs w:val="24"/>
          <w:highlight w:val="none"/>
          <w:lang w:eastAsia="zh-CN"/>
          <w14:textFill>
            <w14:solidFill>
              <w14:schemeClr w14:val="tx1"/>
            </w14:solidFill>
          </w14:textFill>
        </w:rPr>
        <w:t>；</w:t>
      </w:r>
    </w:p>
    <w:p w14:paraId="38B36134">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3.2 报名及招标文件下载时间：开始时间默认为公告发布时间，结束时间默认为开标时间。 </w:t>
      </w:r>
    </w:p>
    <w:p w14:paraId="385872DC">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注：如确定要参与项目投标，因在电子响应文件制作和投标过程中需要用到 CA 数字证书的加密、解密、电子签章等功能，请在制作响应文件前办理 CA 数字证书，以免影响自身投标。供应商报名操作说明书请在商丘市公共资源交易公共服务平台网站下载专区下载。</w:t>
      </w:r>
    </w:p>
    <w:p w14:paraId="2C48D4FC">
      <w:pPr>
        <w:rPr>
          <w:rFonts w:hint="default" w:ascii="宋体" w:hAnsi="宋体" w:eastAsia="宋体" w:cs="宋体"/>
          <w:b/>
          <w:bCs w:val="0"/>
          <w:color w:val="000000" w:themeColor="text1"/>
          <w:kern w:val="0"/>
          <w:sz w:val="24"/>
          <w:szCs w:val="24"/>
          <w:highlight w:val="none"/>
          <w:lang w:val="en-US" w:eastAsia="zh-CN" w:bidi="ar-SA"/>
          <w14:textFill>
            <w14:solidFill>
              <w14:schemeClr w14:val="tx1"/>
            </w14:solidFill>
          </w14:textFill>
        </w:rPr>
      </w:pPr>
      <w:r>
        <w:rPr>
          <w:rFonts w:hint="default" w:ascii="宋体" w:hAnsi="宋体" w:eastAsia="宋体" w:cs="宋体"/>
          <w:b/>
          <w:bCs w:val="0"/>
          <w:color w:val="000000" w:themeColor="text1"/>
          <w:kern w:val="0"/>
          <w:sz w:val="24"/>
          <w:szCs w:val="24"/>
          <w:highlight w:val="none"/>
          <w:lang w:val="en-US" w:eastAsia="zh-CN" w:bidi="ar-SA"/>
          <w14:textFill>
            <w14:solidFill>
              <w14:schemeClr w14:val="tx1"/>
            </w14:solidFill>
          </w14:textFill>
        </w:rPr>
        <w:t>四、响应文件提交</w:t>
      </w:r>
    </w:p>
    <w:p w14:paraId="37CF75A6">
      <w:pPr>
        <w:spacing w:line="360" w:lineRule="auto"/>
        <w:ind w:firstLine="480" w:firstLineChars="200"/>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1.时间：</w:t>
      </w:r>
      <w:r>
        <w:rPr>
          <w:rFonts w:hint="default" w:ascii="宋体" w:hAnsi="宋体"/>
          <w:color w:val="auto"/>
          <w:sz w:val="24"/>
          <w:szCs w:val="24"/>
          <w:highlight w:val="none"/>
          <w:lang w:val="en-US" w:eastAsia="zh-CN"/>
        </w:rPr>
        <w:t>202</w:t>
      </w:r>
      <w:r>
        <w:rPr>
          <w:rFonts w:hint="eastAsia" w:ascii="宋体" w:hAnsi="宋体"/>
          <w:color w:val="auto"/>
          <w:sz w:val="24"/>
          <w:szCs w:val="24"/>
          <w:highlight w:val="none"/>
          <w:lang w:val="en-US" w:eastAsia="zh-CN"/>
        </w:rPr>
        <w:t>5</w:t>
      </w:r>
      <w:r>
        <w:rPr>
          <w:rFonts w:hint="default" w:ascii="宋体" w:hAnsi="宋体"/>
          <w:color w:val="auto"/>
          <w:sz w:val="24"/>
          <w:szCs w:val="24"/>
          <w:highlight w:val="none"/>
          <w:lang w:val="en-US" w:eastAsia="zh-CN"/>
        </w:rPr>
        <w:t>年</w:t>
      </w:r>
      <w:r>
        <w:rPr>
          <w:rFonts w:hint="eastAsia" w:ascii="宋体" w:hAnsi="宋体"/>
          <w:color w:val="auto"/>
          <w:sz w:val="24"/>
          <w:szCs w:val="24"/>
          <w:highlight w:val="none"/>
          <w:lang w:val="en-US" w:eastAsia="zh-CN"/>
        </w:rPr>
        <w:t xml:space="preserve"> 11   </w:t>
      </w:r>
      <w:r>
        <w:rPr>
          <w:rFonts w:hint="default" w:ascii="宋体" w:hAnsi="宋体"/>
          <w:color w:val="auto"/>
          <w:sz w:val="24"/>
          <w:szCs w:val="24"/>
          <w:highlight w:val="none"/>
          <w:lang w:val="en-US" w:eastAsia="zh-CN"/>
        </w:rPr>
        <w:t>月</w:t>
      </w:r>
      <w:r>
        <w:rPr>
          <w:rFonts w:hint="eastAsia" w:ascii="宋体" w:hAnsi="宋体"/>
          <w:color w:val="auto"/>
          <w:sz w:val="24"/>
          <w:szCs w:val="24"/>
          <w:highlight w:val="none"/>
          <w:lang w:val="en-US" w:eastAsia="zh-CN"/>
        </w:rPr>
        <w:t xml:space="preserve">  12  </w:t>
      </w:r>
      <w:r>
        <w:rPr>
          <w:rFonts w:hint="default" w:ascii="宋体" w:hAnsi="宋体"/>
          <w:color w:val="auto"/>
          <w:sz w:val="24"/>
          <w:szCs w:val="24"/>
          <w:highlight w:val="none"/>
          <w:lang w:val="en-US" w:eastAsia="zh-CN"/>
        </w:rPr>
        <w:t>日09时00分</w:t>
      </w:r>
      <w:r>
        <w:rPr>
          <w:rFonts w:hint="default" w:ascii="宋体" w:hAnsi="宋体"/>
          <w:color w:val="000000" w:themeColor="text1"/>
          <w:sz w:val="24"/>
          <w:szCs w:val="24"/>
          <w:highlight w:val="none"/>
          <w:lang w:val="en-US" w:eastAsia="zh-CN"/>
          <w14:textFill>
            <w14:solidFill>
              <w14:schemeClr w14:val="tx1"/>
            </w14:solidFill>
          </w14:textFill>
        </w:rPr>
        <w:t>（北京时间）</w:t>
      </w:r>
    </w:p>
    <w:p w14:paraId="2C67A9E7">
      <w:pPr>
        <w:spacing w:line="360" w:lineRule="auto"/>
        <w:ind w:firstLine="480" w:firstLineChars="200"/>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2.地点：商丘市公共资源交易中心</w:t>
      </w:r>
      <w:r>
        <w:rPr>
          <w:rFonts w:hint="eastAsia" w:ascii="宋体" w:hAnsi="宋体"/>
          <w:color w:val="000000" w:themeColor="text1"/>
          <w:sz w:val="24"/>
          <w:szCs w:val="24"/>
          <w:highlight w:val="none"/>
          <w:lang w:val="en-US" w:eastAsia="zh-CN"/>
          <w14:textFill>
            <w14:solidFill>
              <w14:schemeClr w14:val="tx1"/>
            </w14:solidFill>
          </w14:textFill>
        </w:rPr>
        <w:t>二</w:t>
      </w:r>
      <w:r>
        <w:rPr>
          <w:rFonts w:hint="default" w:ascii="宋体" w:hAnsi="宋体"/>
          <w:color w:val="000000" w:themeColor="text1"/>
          <w:sz w:val="24"/>
          <w:szCs w:val="24"/>
          <w:highlight w:val="none"/>
          <w:lang w:val="en-US" w:eastAsia="zh-CN"/>
          <w14:textFill>
            <w14:solidFill>
              <w14:schemeClr w14:val="tx1"/>
            </w14:solidFill>
          </w14:textFill>
        </w:rPr>
        <w:t>楼第</w:t>
      </w:r>
      <w:r>
        <w:rPr>
          <w:rFonts w:hint="eastAsia" w:ascii="宋体" w:hAnsi="宋体"/>
          <w:color w:val="000000" w:themeColor="text1"/>
          <w:sz w:val="24"/>
          <w:szCs w:val="24"/>
          <w:highlight w:val="none"/>
          <w:lang w:val="en-US" w:eastAsia="zh-CN"/>
          <w14:textFill>
            <w14:solidFill>
              <w14:schemeClr w14:val="tx1"/>
            </w14:solidFill>
          </w14:textFill>
        </w:rPr>
        <w:t xml:space="preserve"> 十二 </w:t>
      </w:r>
      <w:r>
        <w:rPr>
          <w:rFonts w:hint="default" w:ascii="宋体" w:hAnsi="宋体"/>
          <w:color w:val="000000" w:themeColor="text1"/>
          <w:sz w:val="24"/>
          <w:szCs w:val="24"/>
          <w:highlight w:val="none"/>
          <w:lang w:val="en-US" w:eastAsia="zh-CN"/>
          <w14:textFill>
            <w14:solidFill>
              <w14:schemeClr w14:val="tx1"/>
            </w14:solidFill>
          </w14:textFill>
        </w:rPr>
        <w:t>开标席位（商丘市南京路与中州路交叉口西南角）</w:t>
      </w:r>
    </w:p>
    <w:p w14:paraId="01BAA882">
      <w:pPr>
        <w:rPr>
          <w:rFonts w:hint="default" w:ascii="宋体" w:hAnsi="宋体" w:eastAsia="宋体" w:cs="宋体"/>
          <w:b/>
          <w:bCs w:val="0"/>
          <w:color w:val="000000" w:themeColor="text1"/>
          <w:kern w:val="0"/>
          <w:sz w:val="24"/>
          <w:szCs w:val="24"/>
          <w:highlight w:val="none"/>
          <w:lang w:val="en-US" w:eastAsia="zh-CN" w:bidi="ar-SA"/>
          <w14:textFill>
            <w14:solidFill>
              <w14:schemeClr w14:val="tx1"/>
            </w14:solidFill>
          </w14:textFill>
        </w:rPr>
      </w:pPr>
      <w:r>
        <w:rPr>
          <w:rFonts w:hint="default" w:ascii="宋体" w:hAnsi="宋体" w:eastAsia="宋体" w:cs="宋体"/>
          <w:b/>
          <w:bCs w:val="0"/>
          <w:color w:val="000000" w:themeColor="text1"/>
          <w:kern w:val="0"/>
          <w:sz w:val="24"/>
          <w:szCs w:val="24"/>
          <w:highlight w:val="none"/>
          <w:lang w:val="en-US" w:eastAsia="zh-CN" w:bidi="ar-SA"/>
          <w14:textFill>
            <w14:solidFill>
              <w14:schemeClr w14:val="tx1"/>
            </w14:solidFill>
          </w14:textFill>
        </w:rPr>
        <w:t>五、响应文件开启</w:t>
      </w:r>
    </w:p>
    <w:p w14:paraId="3435BA74">
      <w:pPr>
        <w:spacing w:line="360" w:lineRule="auto"/>
        <w:ind w:firstLine="480" w:firstLineChars="200"/>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1.时间：</w:t>
      </w:r>
      <w:r>
        <w:rPr>
          <w:rFonts w:hint="default" w:ascii="宋体" w:hAnsi="宋体"/>
          <w:color w:val="auto"/>
          <w:sz w:val="24"/>
          <w:szCs w:val="24"/>
          <w:highlight w:val="none"/>
          <w:lang w:val="en-US" w:eastAsia="zh-CN"/>
        </w:rPr>
        <w:t>202</w:t>
      </w:r>
      <w:r>
        <w:rPr>
          <w:rFonts w:hint="eastAsia" w:ascii="宋体" w:hAnsi="宋体"/>
          <w:color w:val="auto"/>
          <w:sz w:val="24"/>
          <w:szCs w:val="24"/>
          <w:highlight w:val="none"/>
          <w:lang w:val="en-US" w:eastAsia="zh-CN"/>
        </w:rPr>
        <w:t>5</w:t>
      </w:r>
      <w:r>
        <w:rPr>
          <w:rFonts w:hint="default" w:ascii="宋体" w:hAnsi="宋体"/>
          <w:color w:val="auto"/>
          <w:sz w:val="24"/>
          <w:szCs w:val="24"/>
          <w:highlight w:val="none"/>
          <w:lang w:val="en-US" w:eastAsia="zh-CN"/>
        </w:rPr>
        <w:t>年</w:t>
      </w:r>
      <w:r>
        <w:rPr>
          <w:rFonts w:hint="eastAsia" w:ascii="宋体" w:hAnsi="宋体"/>
          <w:color w:val="auto"/>
          <w:sz w:val="24"/>
          <w:szCs w:val="24"/>
          <w:highlight w:val="none"/>
          <w:lang w:val="en-US" w:eastAsia="zh-CN"/>
        </w:rPr>
        <w:t xml:space="preserve"> 11  </w:t>
      </w:r>
      <w:r>
        <w:rPr>
          <w:rFonts w:hint="default" w:ascii="宋体" w:hAnsi="宋体"/>
          <w:color w:val="auto"/>
          <w:sz w:val="24"/>
          <w:szCs w:val="24"/>
          <w:highlight w:val="none"/>
          <w:lang w:val="en-US" w:eastAsia="zh-CN"/>
        </w:rPr>
        <w:t>月</w:t>
      </w:r>
      <w:r>
        <w:rPr>
          <w:rFonts w:hint="eastAsia" w:ascii="宋体" w:hAnsi="宋体"/>
          <w:color w:val="auto"/>
          <w:sz w:val="24"/>
          <w:szCs w:val="24"/>
          <w:highlight w:val="none"/>
          <w:lang w:val="en-US" w:eastAsia="zh-CN"/>
        </w:rPr>
        <w:t xml:space="preserve">12  </w:t>
      </w:r>
      <w:r>
        <w:rPr>
          <w:rFonts w:hint="default" w:ascii="宋体" w:hAnsi="宋体"/>
          <w:color w:val="auto"/>
          <w:sz w:val="24"/>
          <w:szCs w:val="24"/>
          <w:highlight w:val="none"/>
          <w:lang w:val="en-US" w:eastAsia="zh-CN"/>
        </w:rPr>
        <w:t>日09时00分</w:t>
      </w:r>
      <w:r>
        <w:rPr>
          <w:rFonts w:hint="default" w:ascii="宋体" w:hAnsi="宋体"/>
          <w:color w:val="000000" w:themeColor="text1"/>
          <w:sz w:val="24"/>
          <w:szCs w:val="24"/>
          <w:highlight w:val="none"/>
          <w:lang w:val="en-US" w:eastAsia="zh-CN"/>
          <w14:textFill>
            <w14:solidFill>
              <w14:schemeClr w14:val="tx1"/>
            </w14:solidFill>
          </w14:textFill>
        </w:rPr>
        <w:t>（北京时间）</w:t>
      </w:r>
    </w:p>
    <w:p w14:paraId="2347C760">
      <w:pPr>
        <w:spacing w:line="36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2.地点：商丘市公共资源交易中心远程不见面开标大厅</w:t>
      </w:r>
    </w:p>
    <w:p w14:paraId="51597B92">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bookmarkStart w:id="17" w:name="_Toc7409"/>
      <w:r>
        <w:rPr>
          <w:rFonts w:hint="eastAsia" w:ascii="宋体" w:hAnsi="宋体" w:eastAsia="宋体" w:cs="宋体"/>
          <w:b/>
          <w:bCs w:val="0"/>
          <w:color w:val="000000" w:themeColor="text1"/>
          <w:sz w:val="24"/>
          <w:szCs w:val="24"/>
          <w:highlight w:val="none"/>
          <w14:textFill>
            <w14:solidFill>
              <w14:schemeClr w14:val="tx1"/>
            </w14:solidFill>
          </w14:textFill>
        </w:rPr>
        <w:t>六、</w:t>
      </w:r>
      <w:bookmarkEnd w:id="13"/>
      <w:bookmarkEnd w:id="14"/>
      <w:bookmarkEnd w:id="15"/>
      <w:bookmarkEnd w:id="16"/>
      <w:bookmarkStart w:id="18" w:name="_Toc35393635"/>
      <w:bookmarkStart w:id="19" w:name="_Toc35393804"/>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发布公告的媒介及招标公告期限</w:t>
      </w:r>
      <w:bookmarkEnd w:id="17"/>
    </w:p>
    <w:p w14:paraId="1A949530">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bookmarkStart w:id="20" w:name="_Toc13902"/>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本</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公</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告</w:t>
      </w:r>
      <w:r>
        <w:rPr>
          <w:rFonts w:hint="eastAsia" w:ascii="宋体" w:hAnsi="宋体" w:cs="宋体"/>
          <w:b w:val="0"/>
          <w:bCs w:val="0"/>
          <w:color w:val="000000" w:themeColor="text1"/>
          <w:kern w:val="2"/>
          <w:sz w:val="24"/>
          <w:szCs w:val="24"/>
          <w:highlight w:val="none"/>
          <w:lang w:val="en-US" w:eastAsia="zh-CN" w:bidi="ar-SA"/>
          <w14:textFill>
            <w14:solidFill>
              <w14:schemeClr w14:val="tx1"/>
            </w14:solidFill>
          </w14:textFill>
        </w:rPr>
        <w:t>同时</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在《河南省政府采购网》、《商丘市政府采购网》、《商丘市公共资源交易中心》上发布， 谈判公告期限为三个工作日。</w:t>
      </w:r>
      <w:bookmarkEnd w:id="20"/>
    </w:p>
    <w:p w14:paraId="370D8BF3">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bookmarkStart w:id="21" w:name="_Toc8236"/>
      <w:r>
        <w:rPr>
          <w:rFonts w:hint="eastAsia" w:ascii="宋体" w:hAnsi="宋体" w:eastAsia="宋体" w:cs="宋体"/>
          <w:b/>
          <w:bCs w:val="0"/>
          <w:color w:val="000000" w:themeColor="text1"/>
          <w:sz w:val="24"/>
          <w:szCs w:val="24"/>
          <w:highlight w:val="none"/>
          <w14:textFill>
            <w14:solidFill>
              <w14:schemeClr w14:val="tx1"/>
            </w14:solidFill>
          </w14:textFill>
        </w:rPr>
        <w:t>七、其他补充事宜</w:t>
      </w:r>
      <w:bookmarkEnd w:id="18"/>
      <w:bookmarkEnd w:id="19"/>
      <w:bookmarkEnd w:id="21"/>
    </w:p>
    <w:p w14:paraId="1E171C9B">
      <w:pPr>
        <w:pStyle w:val="22"/>
        <w:keepNext w:val="0"/>
        <w:keepLines w:val="0"/>
        <w:widowControl/>
        <w:suppressLineNumbers w:val="0"/>
        <w:spacing w:before="0" w:beforeAutospacing="0" w:after="0" w:afterAutospacing="0" w:line="360" w:lineRule="auto"/>
        <w:ind w:left="0" w:right="0" w:firstLine="55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1.响应文件解密开始和截止时间：</w:t>
      </w:r>
      <w:r>
        <w:rPr>
          <w:rFonts w:hint="default" w:ascii="宋体" w:hAnsi="宋体"/>
          <w:color w:val="auto"/>
          <w:sz w:val="24"/>
          <w:szCs w:val="24"/>
          <w:highlight w:val="none"/>
          <w:lang w:val="en-US" w:eastAsia="zh-CN"/>
        </w:rPr>
        <w:t>202</w:t>
      </w:r>
      <w:r>
        <w:rPr>
          <w:rFonts w:hint="eastAsia" w:ascii="宋体" w:hAnsi="宋体"/>
          <w:color w:val="auto"/>
          <w:sz w:val="24"/>
          <w:szCs w:val="24"/>
          <w:highlight w:val="none"/>
          <w:lang w:val="en-US" w:eastAsia="zh-CN"/>
        </w:rPr>
        <w:t>5</w:t>
      </w:r>
      <w:r>
        <w:rPr>
          <w:rFonts w:hint="default" w:ascii="宋体" w:hAnsi="宋体"/>
          <w:color w:val="auto"/>
          <w:sz w:val="24"/>
          <w:szCs w:val="24"/>
          <w:highlight w:val="none"/>
          <w:lang w:val="en-US" w:eastAsia="zh-CN"/>
        </w:rPr>
        <w:t>年</w:t>
      </w:r>
      <w:r>
        <w:rPr>
          <w:rFonts w:hint="eastAsia" w:ascii="宋体" w:hAnsi="宋体"/>
          <w:color w:val="auto"/>
          <w:sz w:val="24"/>
          <w:szCs w:val="24"/>
          <w:highlight w:val="none"/>
          <w:lang w:val="en-US" w:eastAsia="zh-CN"/>
        </w:rPr>
        <w:t xml:space="preserve"> 11  </w:t>
      </w:r>
      <w:r>
        <w:rPr>
          <w:rFonts w:hint="default" w:ascii="宋体" w:hAnsi="宋体"/>
          <w:color w:val="auto"/>
          <w:sz w:val="24"/>
          <w:szCs w:val="24"/>
          <w:highlight w:val="none"/>
          <w:lang w:val="en-US" w:eastAsia="zh-CN"/>
        </w:rPr>
        <w:t>月</w:t>
      </w:r>
      <w:r>
        <w:rPr>
          <w:rFonts w:hint="eastAsia" w:ascii="宋体" w:hAnsi="宋体"/>
          <w:color w:val="auto"/>
          <w:sz w:val="24"/>
          <w:szCs w:val="24"/>
          <w:highlight w:val="none"/>
          <w:lang w:val="en-US" w:eastAsia="zh-CN"/>
        </w:rPr>
        <w:t xml:space="preserve">  12   </w:t>
      </w:r>
      <w:r>
        <w:rPr>
          <w:rFonts w:hint="default" w:ascii="宋体" w:hAnsi="宋体"/>
          <w:color w:val="auto"/>
          <w:sz w:val="24"/>
          <w:szCs w:val="24"/>
          <w:highlight w:val="none"/>
          <w:lang w:val="en-US" w:eastAsia="zh-CN"/>
        </w:rPr>
        <w:t>日</w:t>
      </w:r>
      <w:r>
        <w:rPr>
          <w:rFonts w:hint="eastAsia" w:ascii="宋体" w:hAnsi="宋体" w:eastAsia="宋体" w:cs="宋体"/>
          <w:color w:val="auto"/>
          <w:kern w:val="2"/>
          <w:sz w:val="24"/>
          <w:szCs w:val="24"/>
          <w:highlight w:val="none"/>
          <w:lang w:val="en-US" w:eastAsia="zh-CN" w:bidi="ar-SA"/>
        </w:rPr>
        <w:t>09时00分至</w:t>
      </w:r>
      <w:r>
        <w:rPr>
          <w:rFonts w:hint="default" w:ascii="宋体" w:hAnsi="宋体"/>
          <w:color w:val="auto"/>
          <w:sz w:val="24"/>
          <w:szCs w:val="24"/>
          <w:highlight w:val="none"/>
          <w:lang w:val="en-US" w:eastAsia="zh-CN"/>
        </w:rPr>
        <w:t>202</w:t>
      </w:r>
      <w:r>
        <w:rPr>
          <w:rFonts w:hint="eastAsia" w:ascii="宋体" w:hAnsi="宋体"/>
          <w:color w:val="auto"/>
          <w:sz w:val="24"/>
          <w:szCs w:val="24"/>
          <w:highlight w:val="none"/>
          <w:lang w:val="en-US" w:eastAsia="zh-CN"/>
        </w:rPr>
        <w:t>5</w:t>
      </w:r>
      <w:r>
        <w:rPr>
          <w:rFonts w:hint="default" w:ascii="宋体" w:hAnsi="宋体"/>
          <w:color w:val="auto"/>
          <w:sz w:val="24"/>
          <w:szCs w:val="24"/>
          <w:highlight w:val="none"/>
          <w:lang w:val="en-US" w:eastAsia="zh-CN"/>
        </w:rPr>
        <w:t>年</w:t>
      </w:r>
      <w:r>
        <w:rPr>
          <w:rFonts w:hint="eastAsia" w:ascii="宋体" w:hAnsi="宋体"/>
          <w:color w:val="auto"/>
          <w:sz w:val="24"/>
          <w:szCs w:val="24"/>
          <w:highlight w:val="none"/>
          <w:lang w:val="en-US" w:eastAsia="zh-CN"/>
        </w:rPr>
        <w:t xml:space="preserve"> 11 </w:t>
      </w:r>
      <w:r>
        <w:rPr>
          <w:rFonts w:hint="default" w:ascii="宋体" w:hAnsi="宋体"/>
          <w:color w:val="auto"/>
          <w:sz w:val="24"/>
          <w:szCs w:val="24"/>
          <w:highlight w:val="none"/>
          <w:lang w:val="en-US" w:eastAsia="zh-CN"/>
        </w:rPr>
        <w:t>月</w:t>
      </w:r>
      <w:r>
        <w:rPr>
          <w:rFonts w:hint="eastAsia" w:ascii="宋体" w:hAnsi="宋体"/>
          <w:color w:val="auto"/>
          <w:sz w:val="24"/>
          <w:szCs w:val="24"/>
          <w:highlight w:val="none"/>
          <w:lang w:val="en-US" w:eastAsia="zh-CN"/>
        </w:rPr>
        <w:t xml:space="preserve"> 12   </w:t>
      </w:r>
      <w:r>
        <w:rPr>
          <w:rFonts w:hint="default" w:ascii="宋体" w:hAnsi="宋体"/>
          <w:color w:val="auto"/>
          <w:sz w:val="24"/>
          <w:szCs w:val="24"/>
          <w:highlight w:val="none"/>
          <w:lang w:val="en-US" w:eastAsia="zh-CN"/>
        </w:rPr>
        <w:t>日</w:t>
      </w: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时00分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，在规定的时间内未完成解密的响应文件视为无效；</w:t>
      </w:r>
    </w:p>
    <w:p w14:paraId="27F8BF3F">
      <w:pPr>
        <w:pStyle w:val="22"/>
        <w:keepNext w:val="0"/>
        <w:keepLines w:val="0"/>
        <w:widowControl/>
        <w:suppressLineNumbers w:val="0"/>
        <w:spacing w:before="0" w:beforeAutospacing="0" w:after="0" w:afterAutospacing="0" w:line="360" w:lineRule="auto"/>
        <w:ind w:left="0" w:right="0" w:firstLine="55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2.电子响应文件网上递交流程：在电子响应文件网上递交的截止时间前，使用 CA 锁登录后将已固化且加密的电子响应文件通过网上递交的方式在投标专区自行网上递交，并确保网上递交成功（为保证文件正常网上递交，请供应商人错峰上传，详细操作可参阅交易平台办事服务-操作指南-投标阶段）；</w:t>
      </w:r>
    </w:p>
    <w:p w14:paraId="1D96F1E7">
      <w:pPr>
        <w:pStyle w:val="22"/>
        <w:keepNext w:val="0"/>
        <w:keepLines w:val="0"/>
        <w:widowControl/>
        <w:suppressLineNumbers w:val="0"/>
        <w:spacing w:before="0" w:beforeAutospacing="0" w:after="0" w:afterAutospacing="0" w:line="360" w:lineRule="auto"/>
        <w:ind w:left="0" w:right="0" w:firstLine="555"/>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开标方式：本项目实行不见面开评标，供应商不需再到达现场（需要现场演示或样品展示的除外），请供应商通过互联网登录交易平台自助完成投标签到、响应文件解密及澄清答疑等操作，具体流程详见交易中心系统2019年12月31日发布的《关于实行全过程不见面交易的公告》附件“商丘市公共资源交易平台操作指南2019-12-31版本”。</w:t>
      </w:r>
    </w:p>
    <w:p w14:paraId="0322FC40">
      <w:pPr>
        <w:pStyle w:val="22"/>
        <w:widowControl/>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请</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时刻关注</w:t>
      </w:r>
      <w:r>
        <w:rPr>
          <w:rFonts w:hint="eastAsia" w:ascii="宋体" w:hAnsi="宋体"/>
          <w:color w:val="000000" w:themeColor="text1"/>
          <w:sz w:val="24"/>
          <w:szCs w:val="24"/>
          <w:highlight w:val="none"/>
          <w:lang w:eastAsia="zh-CN"/>
          <w14:textFill>
            <w14:solidFill>
              <w14:schemeClr w14:val="tx1"/>
            </w14:solidFill>
          </w14:textFill>
        </w:rPr>
        <w:t>商丘</w:t>
      </w:r>
      <w:r>
        <w:rPr>
          <w:rFonts w:hint="eastAsia" w:ascii="宋体" w:hAnsi="宋体"/>
          <w:color w:val="000000" w:themeColor="text1"/>
          <w:sz w:val="24"/>
          <w:szCs w:val="24"/>
          <w:highlight w:val="none"/>
          <w14:textFill>
            <w14:solidFill>
              <w14:schemeClr w14:val="tx1"/>
            </w14:solidFill>
          </w14:textFill>
        </w:rPr>
        <w:t>市公共资源交易中心网站和公司CA密钥推送</w:t>
      </w:r>
      <w:r>
        <w:rPr>
          <w:rFonts w:hint="eastAsia" w:ascii="宋体" w:hAnsi="宋体"/>
          <w:color w:val="000000" w:themeColor="text1"/>
          <w:sz w:val="24"/>
          <w:szCs w:val="24"/>
          <w:highlight w:val="none"/>
          <w:lang w:eastAsia="zh-CN"/>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消息。</w:t>
      </w:r>
    </w:p>
    <w:p w14:paraId="6BC00407">
      <w:pPr>
        <w:pStyle w:val="22"/>
        <w:widowControl/>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kern w:val="2"/>
          <w:lang w:val="en-US" w:eastAsia="zh-CN"/>
        </w:rPr>
        <w:t>5.</w:t>
      </w:r>
      <w:r>
        <w:rPr>
          <w:rFonts w:hint="eastAsia" w:ascii="宋体" w:hAnsi="宋体" w:cs="宋体"/>
          <w:color w:val="000000"/>
          <w:kern w:val="2"/>
        </w:rPr>
        <w:t>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0243D85E">
      <w:pPr>
        <w:pStyle w:val="7"/>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bookmarkStart w:id="22" w:name="_Toc15653"/>
      <w:bookmarkStart w:id="23" w:name="_Toc28359018"/>
      <w:bookmarkStart w:id="24" w:name="_Toc28359095"/>
      <w:bookmarkStart w:id="25" w:name="_Toc35393805"/>
      <w:bookmarkStart w:id="26" w:name="_Toc35393636"/>
      <w:r>
        <w:rPr>
          <w:rFonts w:hint="eastAsia" w:ascii="宋体" w:hAnsi="宋体" w:eastAsia="宋体" w:cs="宋体"/>
          <w:b/>
          <w:bCs w:val="0"/>
          <w:color w:val="000000" w:themeColor="text1"/>
          <w:sz w:val="24"/>
          <w:szCs w:val="24"/>
          <w:highlight w:val="none"/>
          <w14:textFill>
            <w14:solidFill>
              <w14:schemeClr w14:val="tx1"/>
            </w14:solidFill>
          </w14:textFill>
        </w:rPr>
        <w:t>八、凡对本次采购提出询问，请按以下方式联系。</w:t>
      </w:r>
      <w:bookmarkEnd w:id="22"/>
      <w:bookmarkEnd w:id="23"/>
      <w:bookmarkEnd w:id="24"/>
      <w:bookmarkEnd w:id="25"/>
      <w:bookmarkEnd w:id="26"/>
    </w:p>
    <w:p w14:paraId="17DB0B40">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14:textFill>
            <w14:solidFill>
              <w14:schemeClr w14:val="tx1"/>
            </w14:solidFill>
          </w14:textFill>
        </w:rPr>
      </w:pPr>
      <w:bookmarkStart w:id="27" w:name="_Toc28359096"/>
      <w:bookmarkStart w:id="28" w:name="_Toc35393637"/>
      <w:bookmarkStart w:id="29" w:name="_Toc28359019"/>
      <w:bookmarkStart w:id="30" w:name="_Toc8496"/>
      <w:bookmarkStart w:id="31" w:name="_Toc35393806"/>
      <w:r>
        <w:rPr>
          <w:rFonts w:hint="eastAsia" w:ascii="宋体" w:hAnsi="宋体" w:eastAsia="宋体" w:cs="宋体"/>
          <w:b w:val="0"/>
          <w:color w:val="000000" w:themeColor="text1"/>
          <w:sz w:val="24"/>
          <w:szCs w:val="24"/>
          <w:highlight w:val="none"/>
          <w14:textFill>
            <w14:solidFill>
              <w14:schemeClr w14:val="tx1"/>
            </w14:solidFill>
          </w14:textFill>
        </w:rPr>
        <w:t>1.采购人信息</w:t>
      </w:r>
      <w:bookmarkEnd w:id="27"/>
      <w:bookmarkEnd w:id="28"/>
      <w:bookmarkEnd w:id="29"/>
      <w:bookmarkEnd w:id="30"/>
      <w:bookmarkEnd w:id="31"/>
    </w:p>
    <w:p w14:paraId="6BE24404">
      <w:pPr>
        <w:pStyle w:val="13"/>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hAnsi="宋体" w:cs="宋体"/>
          <w:color w:val="000000" w:themeColor="text1"/>
          <w:sz w:val="24"/>
          <w:szCs w:val="24"/>
          <w:highlight w:val="none"/>
          <w:u w:val="none"/>
          <w:lang w:val="en-US" w:eastAsia="zh-CN"/>
          <w14:textFill>
            <w14:solidFill>
              <w14:schemeClr w14:val="tx1"/>
            </w14:solidFill>
          </w14:textFill>
        </w:rPr>
      </w:pPr>
      <w:bookmarkStart w:id="32" w:name="_Toc9242"/>
      <w:bookmarkStart w:id="33" w:name="_Toc28359098"/>
      <w:bookmarkStart w:id="34" w:name="_Toc20817"/>
      <w:bookmarkStart w:id="35" w:name="_Toc35393639"/>
      <w:bookmarkStart w:id="36" w:name="_Toc28359021"/>
      <w:bookmarkStart w:id="37" w:name="_Toc35393808"/>
      <w:r>
        <w:rPr>
          <w:rFonts w:hint="eastAsia" w:hAnsi="宋体" w:cs="宋体"/>
          <w:color w:val="000000" w:themeColor="text1"/>
          <w:sz w:val="24"/>
          <w:szCs w:val="24"/>
          <w:highlight w:val="none"/>
          <w:u w:val="none"/>
          <w:lang w:val="en-US" w:eastAsia="zh-CN"/>
          <w14:textFill>
            <w14:solidFill>
              <w14:schemeClr w14:val="tx1"/>
            </w14:solidFill>
          </w14:textFill>
        </w:rPr>
        <w:t>名称：</w:t>
      </w:r>
      <w:bookmarkEnd w:id="32"/>
      <w:r>
        <w:rPr>
          <w:rFonts w:hint="eastAsia" w:hAnsi="宋体" w:cs="宋体"/>
          <w:color w:val="000000" w:themeColor="text1"/>
          <w:sz w:val="24"/>
          <w:szCs w:val="24"/>
          <w:highlight w:val="none"/>
          <w:u w:val="none"/>
          <w:lang w:val="en-US" w:eastAsia="zh-CN"/>
          <w14:textFill>
            <w14:solidFill>
              <w14:schemeClr w14:val="tx1"/>
            </w14:solidFill>
          </w14:textFill>
        </w:rPr>
        <w:t>民权县</w:t>
      </w:r>
      <w:bookmarkStart w:id="38" w:name="_Toc11885"/>
      <w:r>
        <w:rPr>
          <w:rFonts w:hint="eastAsia" w:hAnsi="宋体" w:cs="宋体"/>
          <w:color w:val="000000" w:themeColor="text1"/>
          <w:sz w:val="24"/>
          <w:szCs w:val="24"/>
          <w:highlight w:val="none"/>
          <w:u w:val="none"/>
          <w:lang w:val="en-US" w:eastAsia="zh-CN"/>
          <w14:textFill>
            <w14:solidFill>
              <w14:schemeClr w14:val="tx1"/>
            </w14:solidFill>
          </w14:textFill>
        </w:rPr>
        <w:t>庄子镇人民政府</w:t>
      </w:r>
    </w:p>
    <w:p w14:paraId="0E43CD53">
      <w:pPr>
        <w:pStyle w:val="13"/>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hAnsi="宋体" w:cs="宋体"/>
          <w:color w:val="000000" w:themeColor="text1"/>
          <w:sz w:val="24"/>
          <w:szCs w:val="24"/>
          <w:highlight w:val="none"/>
          <w:u w:val="none"/>
          <w:lang w:val="en-US" w:eastAsia="zh-CN"/>
          <w14:textFill>
            <w14:solidFill>
              <w14:schemeClr w14:val="tx1"/>
            </w14:solidFill>
          </w14:textFill>
        </w:rPr>
      </w:pPr>
      <w:r>
        <w:rPr>
          <w:rFonts w:hint="eastAsia" w:hAnsi="宋体" w:cs="宋体"/>
          <w:color w:val="000000" w:themeColor="text1"/>
          <w:sz w:val="24"/>
          <w:szCs w:val="24"/>
          <w:highlight w:val="none"/>
          <w:u w:val="none"/>
          <w:lang w:val="en-US" w:eastAsia="zh-CN"/>
          <w14:textFill>
            <w14:solidFill>
              <w14:schemeClr w14:val="tx1"/>
            </w14:solidFill>
          </w14:textFill>
        </w:rPr>
        <w:t>地址：</w:t>
      </w:r>
      <w:bookmarkEnd w:id="38"/>
      <w:bookmarkStart w:id="39" w:name="_Toc13744"/>
      <w:r>
        <w:rPr>
          <w:rFonts w:hint="eastAsia" w:hAnsi="宋体" w:cs="宋体"/>
          <w:color w:val="000000" w:themeColor="text1"/>
          <w:sz w:val="24"/>
          <w:szCs w:val="24"/>
          <w:highlight w:val="none"/>
          <w:u w:val="none"/>
          <w:lang w:val="en-US" w:eastAsia="zh-CN"/>
          <w14:textFill>
            <w14:solidFill>
              <w14:schemeClr w14:val="tx1"/>
            </w14:solidFill>
          </w14:textFill>
        </w:rPr>
        <w:t>民权县庄子镇</w:t>
      </w:r>
    </w:p>
    <w:p w14:paraId="17FC971E">
      <w:pPr>
        <w:pStyle w:val="13"/>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hAnsi="宋体" w:cs="宋体"/>
          <w:color w:val="000000" w:themeColor="text1"/>
          <w:sz w:val="24"/>
          <w:szCs w:val="24"/>
          <w:highlight w:val="none"/>
          <w:u w:val="none"/>
          <w:lang w:val="en-US" w:eastAsia="zh-CN"/>
          <w14:textFill>
            <w14:solidFill>
              <w14:schemeClr w14:val="tx1"/>
            </w14:solidFill>
          </w14:textFill>
        </w:rPr>
      </w:pPr>
      <w:r>
        <w:rPr>
          <w:rFonts w:hint="eastAsia" w:hAnsi="宋体" w:cs="宋体"/>
          <w:color w:val="000000" w:themeColor="text1"/>
          <w:sz w:val="24"/>
          <w:szCs w:val="24"/>
          <w:highlight w:val="none"/>
          <w:u w:val="none"/>
          <w:lang w:val="en-US" w:eastAsia="zh-CN"/>
          <w14:textFill>
            <w14:solidFill>
              <w14:schemeClr w14:val="tx1"/>
            </w14:solidFill>
          </w14:textFill>
        </w:rPr>
        <w:t>联系人：翟先生</w:t>
      </w:r>
      <w:bookmarkEnd w:id="39"/>
    </w:p>
    <w:p w14:paraId="52C0FEDA">
      <w:pPr>
        <w:pStyle w:val="13"/>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hAnsi="宋体" w:cs="宋体"/>
          <w:color w:val="0000FF"/>
          <w:sz w:val="24"/>
          <w:szCs w:val="24"/>
          <w:highlight w:val="none"/>
          <w:u w:val="none"/>
          <w:lang w:val="en-US" w:eastAsia="zh-CN"/>
        </w:rPr>
      </w:pPr>
      <w:r>
        <w:rPr>
          <w:rFonts w:hint="eastAsia" w:hAnsi="宋体" w:cs="宋体"/>
          <w:color w:val="000000" w:themeColor="text1"/>
          <w:sz w:val="24"/>
          <w:szCs w:val="24"/>
          <w:highlight w:val="none"/>
          <w:u w:val="none"/>
          <w:lang w:val="en-US" w:eastAsia="zh-CN"/>
          <w14:textFill>
            <w14:solidFill>
              <w14:schemeClr w14:val="tx1"/>
            </w14:solidFill>
          </w14:textFill>
        </w:rPr>
        <w:t>联系电话：</w:t>
      </w:r>
      <w:r>
        <w:rPr>
          <w:rFonts w:hint="eastAsia" w:hAnsi="宋体" w:cs="宋体"/>
          <w:color w:val="auto"/>
          <w:sz w:val="24"/>
          <w:szCs w:val="24"/>
          <w:highlight w:val="none"/>
          <w:u w:val="none"/>
          <w:lang w:val="en-US" w:eastAsia="zh-CN"/>
        </w:rPr>
        <w:t>18437028537</w:t>
      </w:r>
    </w:p>
    <w:p w14:paraId="78D8099C">
      <w:pPr>
        <w:pStyle w:val="13"/>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hAnsi="宋体" w:cs="宋体"/>
          <w:color w:val="000000" w:themeColor="text1"/>
          <w:sz w:val="24"/>
          <w:szCs w:val="24"/>
          <w:highlight w:val="none"/>
          <w:u w:val="none"/>
          <w:lang w:val="en-US" w:eastAsia="zh-CN"/>
          <w14:textFill>
            <w14:solidFill>
              <w14:schemeClr w14:val="tx1"/>
            </w14:solidFill>
          </w14:textFill>
        </w:rPr>
      </w:pPr>
      <w:r>
        <w:rPr>
          <w:rFonts w:hint="eastAsia" w:hAnsi="宋体" w:cs="宋体"/>
          <w:color w:val="000000" w:themeColor="text1"/>
          <w:sz w:val="24"/>
          <w:szCs w:val="24"/>
          <w:highlight w:val="none"/>
          <w:u w:val="none"/>
          <w:lang w:val="en-US" w:eastAsia="zh-CN"/>
          <w14:textFill>
            <w14:solidFill>
              <w14:schemeClr w14:val="tx1"/>
            </w14:solidFill>
          </w14:textFill>
        </w:rPr>
        <w:t>2.采购代理机构信息</w:t>
      </w:r>
    </w:p>
    <w:bookmarkEnd w:id="33"/>
    <w:bookmarkEnd w:id="34"/>
    <w:bookmarkEnd w:id="35"/>
    <w:bookmarkEnd w:id="36"/>
    <w:bookmarkEnd w:id="37"/>
    <w:p w14:paraId="42D27E97">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名    称：河南哲胜工程管理有限公司</w:t>
      </w:r>
    </w:p>
    <w:p w14:paraId="4E39C5E5">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地　　址：河南省郑州市金水区南阳路街道沙口路1号20号楼24层2407号</w:t>
      </w:r>
    </w:p>
    <w:p w14:paraId="3DA4B2BA">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联系人：张女士</w:t>
      </w:r>
    </w:p>
    <w:p w14:paraId="55BC939F">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联系方式：15729231463</w:t>
      </w:r>
    </w:p>
    <w:p w14:paraId="1CB1E758">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w:t>
      </w:r>
      <w:r>
        <w:rPr>
          <w:rFonts w:hint="eastAsia" w:ascii="宋体" w:hAnsi="宋体" w:eastAsia="宋体" w:cs="宋体"/>
          <w:b w:val="0"/>
          <w:color w:val="000000" w:themeColor="text1"/>
          <w:sz w:val="24"/>
          <w:szCs w:val="24"/>
          <w:highlight w:val="none"/>
          <w:lang w:eastAsia="zh-CN"/>
          <w14:textFill>
            <w14:solidFill>
              <w14:schemeClr w14:val="tx1"/>
            </w14:solidFill>
          </w14:textFill>
        </w:rPr>
        <w:t xml:space="preserve">监督单位：民权县财政局（政府采购管理办公室） </w:t>
      </w:r>
    </w:p>
    <w:p w14:paraId="31168C3D">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eastAsia="zh-CN"/>
          <w14:textFill>
            <w14:solidFill>
              <w14:schemeClr w14:val="tx1"/>
            </w14:solidFill>
          </w14:textFill>
        </w:rPr>
        <w:t xml:space="preserve">联 系 人：何先生 </w:t>
      </w:r>
    </w:p>
    <w:p w14:paraId="2CB9ED20">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color w:val="000000" w:themeColor="text1"/>
          <w:sz w:val="24"/>
          <w:szCs w:val="24"/>
          <w:highlight w:val="none"/>
          <w:lang w:eastAsia="zh-CN"/>
          <w14:textFill>
            <w14:solidFill>
              <w14:schemeClr w14:val="tx1"/>
            </w14:solidFill>
          </w14:textFill>
        </w:rPr>
        <w:t xml:space="preserve">联系电话：0370-3053098 </w:t>
      </w:r>
    </w:p>
    <w:p w14:paraId="507E98FB">
      <w:pPr>
        <w:pStyle w:val="7"/>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color w:val="000000" w:themeColor="text1"/>
          <w:sz w:val="24"/>
          <w:szCs w:val="24"/>
          <w:highlight w:val="none"/>
          <w:lang w:eastAsia="zh-CN"/>
          <w14:textFill>
            <w14:solidFill>
              <w14:schemeClr w14:val="tx1"/>
            </w14:solidFill>
          </w14:textFill>
        </w:rPr>
        <w:t>地  址：民权县绿洲路中段</w:t>
      </w:r>
    </w:p>
    <w:p w14:paraId="31327EC4">
      <w:pPr>
        <w:pStyle w:val="38"/>
        <w:jc w:val="right"/>
        <w:rPr>
          <w:rFonts w:hint="eastAsia" w:ascii="宋体" w:hAnsi="宋体" w:cs="宋体"/>
          <w:b w:val="0"/>
          <w:bCs/>
          <w:color w:val="000000"/>
          <w:sz w:val="24"/>
          <w:szCs w:val="24"/>
          <w:lang w:val="en-US" w:eastAsia="zh-CN"/>
        </w:rPr>
      </w:pPr>
    </w:p>
    <w:p w14:paraId="578FB80E">
      <w:pPr>
        <w:pStyle w:val="38"/>
        <w:jc w:val="right"/>
        <w:rPr>
          <w:rFonts w:hint="eastAsia" w:hAnsi="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b w:val="0"/>
          <w:bCs/>
          <w:color w:val="000000"/>
          <w:sz w:val="24"/>
          <w:szCs w:val="24"/>
          <w:lang w:val="en-US" w:eastAsia="zh-CN"/>
        </w:rPr>
        <w:t>河南哲胜工程管理有限公司</w:t>
      </w:r>
    </w:p>
    <w:p w14:paraId="013558EF">
      <w:pPr>
        <w:pStyle w:val="38"/>
        <w:jc w:val="right"/>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11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6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w:t>
      </w:r>
    </w:p>
    <w:bookmarkEnd w:id="1"/>
    <w:bookmarkEnd w:id="2"/>
    <w:p w14:paraId="4AF81EDD">
      <w:pPr>
        <w:pStyle w:val="6"/>
        <w:keepNext/>
        <w:keepLines/>
        <w:pageBreakBefore w:val="0"/>
        <w:widowControl w:val="0"/>
        <w:kinsoku/>
        <w:wordWrap/>
        <w:overflowPunct/>
        <w:topLinePunct w:val="0"/>
        <w:autoSpaceDE/>
        <w:autoSpaceDN/>
        <w:bidi w:val="0"/>
        <w:adjustRightInd/>
        <w:snapToGrid w:val="0"/>
        <w:spacing w:line="240" w:lineRule="auto"/>
        <w:jc w:val="center"/>
        <w:textAlignment w:val="auto"/>
        <w:rPr>
          <w:rFonts w:hint="eastAsia"/>
          <w:sz w:val="30"/>
          <w:szCs w:val="30"/>
          <w:highlight w:val="none"/>
        </w:rPr>
      </w:pPr>
      <w:bookmarkStart w:id="40" w:name="_Toc18733"/>
      <w:bookmarkStart w:id="41" w:name="_Toc352679656"/>
      <w:bookmarkStart w:id="42" w:name="_Toc311491432"/>
      <w:bookmarkStart w:id="43" w:name="_Toc7068"/>
      <w:bookmarkStart w:id="44" w:name="_Toc10605"/>
      <w:r>
        <w:rPr>
          <w:rFonts w:hint="eastAsia"/>
          <w:sz w:val="30"/>
          <w:szCs w:val="30"/>
          <w:highlight w:val="none"/>
        </w:rPr>
        <w:t>第</w:t>
      </w:r>
      <w:r>
        <w:rPr>
          <w:rFonts w:hint="eastAsia"/>
          <w:sz w:val="30"/>
          <w:szCs w:val="30"/>
          <w:highlight w:val="none"/>
          <w:lang w:eastAsia="zh-CN"/>
        </w:rPr>
        <w:t>二</w:t>
      </w:r>
      <w:r>
        <w:rPr>
          <w:rFonts w:hint="eastAsia"/>
          <w:sz w:val="30"/>
          <w:szCs w:val="30"/>
          <w:highlight w:val="none"/>
        </w:rPr>
        <w:t>章 谈判人须知</w:t>
      </w:r>
      <w:bookmarkEnd w:id="40"/>
      <w:bookmarkEnd w:id="41"/>
      <w:bookmarkEnd w:id="42"/>
      <w:bookmarkEnd w:id="43"/>
      <w:bookmarkEnd w:id="44"/>
    </w:p>
    <w:p w14:paraId="08FA4687">
      <w:pPr>
        <w:pStyle w:val="48"/>
        <w:keepNext/>
        <w:keepLines/>
        <w:pageBreakBefore w:val="0"/>
        <w:widowControl w:val="0"/>
        <w:kinsoku/>
        <w:wordWrap/>
        <w:overflowPunct/>
        <w:topLinePunct w:val="0"/>
        <w:autoSpaceDE/>
        <w:autoSpaceDN/>
        <w:bidi w:val="0"/>
        <w:adjustRightInd/>
        <w:snapToGrid w:val="0"/>
        <w:spacing w:before="0" w:line="240" w:lineRule="auto"/>
        <w:jc w:val="center"/>
        <w:textAlignment w:val="auto"/>
        <w:rPr>
          <w:rFonts w:ascii="宋体" w:hAnsi="宋体" w:eastAsia="宋体"/>
          <w:b/>
          <w:sz w:val="28"/>
          <w:szCs w:val="28"/>
          <w:highlight w:val="none"/>
        </w:rPr>
      </w:pPr>
      <w:bookmarkStart w:id="45" w:name="_Toc4848"/>
      <w:r>
        <w:rPr>
          <w:rFonts w:hint="eastAsia" w:ascii="宋体" w:hAnsi="宋体" w:eastAsia="宋体"/>
          <w:b/>
          <w:sz w:val="28"/>
          <w:szCs w:val="28"/>
          <w:highlight w:val="none"/>
        </w:rPr>
        <w:t>谈判人须知前附表</w:t>
      </w:r>
      <w:bookmarkEnd w:id="45"/>
    </w:p>
    <w:tbl>
      <w:tblPr>
        <w:tblStyle w:val="2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1276"/>
        <w:gridCol w:w="887"/>
        <w:gridCol w:w="5145"/>
      </w:tblGrid>
      <w:tr w14:paraId="525C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31" w:type="dxa"/>
            <w:vAlign w:val="center"/>
          </w:tcPr>
          <w:p w14:paraId="6F893AD0">
            <w:pPr>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条款号</w:t>
            </w:r>
          </w:p>
        </w:tc>
        <w:tc>
          <w:tcPr>
            <w:tcW w:w="2163" w:type="dxa"/>
            <w:gridSpan w:val="2"/>
            <w:vAlign w:val="center"/>
          </w:tcPr>
          <w:p w14:paraId="5233AA04">
            <w:pPr>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条款名称</w:t>
            </w:r>
          </w:p>
        </w:tc>
        <w:tc>
          <w:tcPr>
            <w:tcW w:w="5145" w:type="dxa"/>
            <w:vAlign w:val="center"/>
          </w:tcPr>
          <w:p w14:paraId="0736689F">
            <w:pPr>
              <w:jc w:val="center"/>
              <w:rPr>
                <w:rFonts w:asciiTheme="minorEastAsia" w:hAnsiTheme="minorEastAsia" w:eastAsiaTheme="minorEastAsia"/>
                <w:b/>
                <w:color w:val="000000"/>
                <w:sz w:val="24"/>
                <w:highlight w:val="none"/>
              </w:rPr>
            </w:pPr>
            <w:r>
              <w:rPr>
                <w:rFonts w:hint="eastAsia" w:asciiTheme="minorEastAsia" w:hAnsiTheme="minorEastAsia" w:eastAsiaTheme="minorEastAsia"/>
                <w:b/>
                <w:color w:val="000000"/>
                <w:sz w:val="24"/>
                <w:highlight w:val="none"/>
              </w:rPr>
              <w:t>编列内容</w:t>
            </w:r>
          </w:p>
        </w:tc>
      </w:tr>
      <w:tr w14:paraId="7D38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031" w:type="dxa"/>
            <w:vAlign w:val="center"/>
          </w:tcPr>
          <w:p w14:paraId="3D56C0D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1.1.2</w:t>
            </w:r>
          </w:p>
        </w:tc>
        <w:tc>
          <w:tcPr>
            <w:tcW w:w="2163" w:type="dxa"/>
            <w:gridSpan w:val="2"/>
            <w:vAlign w:val="center"/>
          </w:tcPr>
          <w:p w14:paraId="6F2B3469">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采购人</w:t>
            </w:r>
          </w:p>
        </w:tc>
        <w:tc>
          <w:tcPr>
            <w:tcW w:w="5145" w:type="dxa"/>
            <w:vAlign w:val="center"/>
          </w:tcPr>
          <w:p w14:paraId="6ACD4263">
            <w:pPr>
              <w:pStyle w:val="1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名称：民权县庄子镇人民政府</w:t>
            </w:r>
          </w:p>
          <w:p w14:paraId="67F9F4F5">
            <w:pPr>
              <w:pStyle w:val="1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地址：民权县庄子镇</w:t>
            </w:r>
          </w:p>
          <w:p w14:paraId="2D57CEDB">
            <w:pPr>
              <w:pStyle w:val="13"/>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联系人：翟先生</w:t>
            </w:r>
          </w:p>
          <w:p w14:paraId="6ED8BC39">
            <w:pPr>
              <w:pStyle w:val="13"/>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2"/>
                <w:sz w:val="21"/>
                <w:szCs w:val="21"/>
                <w:highlight w:val="none"/>
                <w:lang w:val="en-US" w:eastAsia="zh-CN" w:bidi="ar-SA"/>
              </w:rPr>
              <w:t>联系电话：18437028537</w:t>
            </w:r>
          </w:p>
        </w:tc>
      </w:tr>
      <w:tr w14:paraId="7A3C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2031" w:type="dxa"/>
            <w:vAlign w:val="center"/>
          </w:tcPr>
          <w:p w14:paraId="0931B3B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1.1.3</w:t>
            </w:r>
          </w:p>
        </w:tc>
        <w:tc>
          <w:tcPr>
            <w:tcW w:w="2163" w:type="dxa"/>
            <w:gridSpan w:val="2"/>
            <w:vAlign w:val="center"/>
          </w:tcPr>
          <w:p w14:paraId="7B05D00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招标代理机构</w:t>
            </w:r>
          </w:p>
        </w:tc>
        <w:tc>
          <w:tcPr>
            <w:tcW w:w="5145" w:type="dxa"/>
            <w:vAlign w:val="center"/>
          </w:tcPr>
          <w:p w14:paraId="6CCE4431">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名    称：河南哲胜工程管理有限公司</w:t>
            </w:r>
          </w:p>
          <w:p w14:paraId="7A8B66E0">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地　　址：河南省郑州市金水区南阳路街道沙口路1号20号楼24层2407号</w:t>
            </w:r>
          </w:p>
          <w:p w14:paraId="01D10B1F">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联系人：张女士</w:t>
            </w:r>
          </w:p>
          <w:p w14:paraId="65C15C1D">
            <w:pPr>
              <w:spacing w:line="360" w:lineRule="auto"/>
              <w:rPr>
                <w:rFonts w:hint="default"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联系方式：15729231463</w:t>
            </w:r>
          </w:p>
        </w:tc>
      </w:tr>
      <w:tr w14:paraId="7058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31" w:type="dxa"/>
            <w:vAlign w:val="center"/>
          </w:tcPr>
          <w:p w14:paraId="24389A9E">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1.1.4</w:t>
            </w:r>
          </w:p>
        </w:tc>
        <w:tc>
          <w:tcPr>
            <w:tcW w:w="2163" w:type="dxa"/>
            <w:gridSpan w:val="2"/>
            <w:vAlign w:val="center"/>
          </w:tcPr>
          <w:p w14:paraId="4D36C97D">
            <w:pPr>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项目</w:t>
            </w:r>
            <w:r>
              <w:rPr>
                <w:rFonts w:hint="eastAsia" w:ascii="宋体" w:hAnsi="宋体" w:eastAsia="宋体" w:cs="宋体"/>
                <w:color w:val="000000"/>
                <w:sz w:val="21"/>
                <w:szCs w:val="21"/>
                <w:highlight w:val="none"/>
              </w:rPr>
              <w:t>名称</w:t>
            </w:r>
          </w:p>
        </w:tc>
        <w:tc>
          <w:tcPr>
            <w:tcW w:w="5145" w:type="dxa"/>
            <w:vAlign w:val="center"/>
          </w:tcPr>
          <w:p w14:paraId="33F5FEDB">
            <w:pPr>
              <w:rPr>
                <w:rFonts w:hint="eastAsia" w:ascii="宋体" w:hAnsi="宋体" w:eastAsia="宋体" w:cs="宋体"/>
                <w:color w:val="000000"/>
                <w:sz w:val="21"/>
                <w:szCs w:val="21"/>
                <w:highlight w:val="none"/>
                <w:lang w:eastAsia="zh-CN"/>
              </w:rPr>
            </w:pPr>
            <w:r>
              <w:rPr>
                <w:rFonts w:hint="eastAsia" w:ascii="宋体" w:hAnsi="宋体"/>
                <w:color w:val="000000" w:themeColor="text1"/>
                <w:kern w:val="0"/>
                <w:highlight w:val="none"/>
                <w:lang w:val="en-US" w:eastAsia="zh-CN"/>
                <w14:textFill>
                  <w14:solidFill>
                    <w14:schemeClr w14:val="tx1"/>
                  </w14:solidFill>
                </w14:textFill>
              </w:rPr>
              <w:t>民权县庄子镇人民政府民权县庄子镇老年人体育健身园项目二次</w:t>
            </w:r>
          </w:p>
        </w:tc>
      </w:tr>
      <w:tr w14:paraId="309F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31" w:type="dxa"/>
            <w:vAlign w:val="center"/>
          </w:tcPr>
          <w:p w14:paraId="58DA1E4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1.1.5</w:t>
            </w:r>
          </w:p>
        </w:tc>
        <w:tc>
          <w:tcPr>
            <w:tcW w:w="2163" w:type="dxa"/>
            <w:gridSpan w:val="2"/>
            <w:vAlign w:val="center"/>
          </w:tcPr>
          <w:p w14:paraId="4570969C">
            <w:pPr>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eastAsia="zh-CN"/>
              </w:rPr>
              <w:t>供货</w:t>
            </w:r>
            <w:r>
              <w:rPr>
                <w:rFonts w:hint="eastAsia" w:ascii="宋体" w:hAnsi="宋体" w:eastAsia="宋体" w:cs="宋体"/>
                <w:color w:val="000000"/>
                <w:sz w:val="21"/>
                <w:szCs w:val="21"/>
                <w:highlight w:val="none"/>
              </w:rPr>
              <w:t>地点</w:t>
            </w:r>
          </w:p>
        </w:tc>
        <w:tc>
          <w:tcPr>
            <w:tcW w:w="5145" w:type="dxa"/>
            <w:vAlign w:val="center"/>
          </w:tcPr>
          <w:p w14:paraId="25DA3A6E">
            <w:pPr>
              <w:rPr>
                <w:rFonts w:hint="eastAsia" w:ascii="宋体" w:hAnsi="宋体" w:eastAsia="宋体" w:cs="宋体"/>
                <w:color w:val="000000"/>
                <w:sz w:val="21"/>
                <w:szCs w:val="21"/>
                <w:highlight w:val="none"/>
              </w:rPr>
            </w:pPr>
            <w:r>
              <w:rPr>
                <w:rFonts w:hint="eastAsia" w:ascii="宋体" w:hAnsi="宋体"/>
                <w:color w:val="000000" w:themeColor="text1"/>
                <w:kern w:val="0"/>
                <w:highlight w:val="none"/>
                <w:lang w:eastAsia="zh-CN"/>
                <w14:textFill>
                  <w14:solidFill>
                    <w14:schemeClr w14:val="tx1"/>
                  </w14:solidFill>
                </w14:textFill>
              </w:rPr>
              <w:t>采购人指定地点</w:t>
            </w:r>
          </w:p>
        </w:tc>
      </w:tr>
      <w:tr w14:paraId="279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031" w:type="dxa"/>
            <w:vAlign w:val="center"/>
          </w:tcPr>
          <w:p w14:paraId="5313771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1.2.1</w:t>
            </w:r>
          </w:p>
        </w:tc>
        <w:tc>
          <w:tcPr>
            <w:tcW w:w="2163" w:type="dxa"/>
            <w:gridSpan w:val="2"/>
            <w:vAlign w:val="center"/>
          </w:tcPr>
          <w:p w14:paraId="53B8B83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资金来源</w:t>
            </w:r>
          </w:p>
        </w:tc>
        <w:tc>
          <w:tcPr>
            <w:tcW w:w="5145" w:type="dxa"/>
            <w:vAlign w:val="center"/>
          </w:tcPr>
          <w:p w14:paraId="2672D07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资金</w:t>
            </w:r>
          </w:p>
        </w:tc>
      </w:tr>
      <w:tr w14:paraId="1095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2031" w:type="dxa"/>
            <w:vAlign w:val="center"/>
          </w:tcPr>
          <w:p w14:paraId="567A760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1.2.2</w:t>
            </w:r>
          </w:p>
        </w:tc>
        <w:tc>
          <w:tcPr>
            <w:tcW w:w="2163" w:type="dxa"/>
            <w:gridSpan w:val="2"/>
            <w:vAlign w:val="center"/>
          </w:tcPr>
          <w:p w14:paraId="49ED1A4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出资比例</w:t>
            </w:r>
          </w:p>
        </w:tc>
        <w:tc>
          <w:tcPr>
            <w:tcW w:w="5145" w:type="dxa"/>
            <w:vAlign w:val="center"/>
          </w:tcPr>
          <w:p w14:paraId="6578F1A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w:t>
            </w:r>
          </w:p>
        </w:tc>
      </w:tr>
      <w:tr w14:paraId="6AE6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2031" w:type="dxa"/>
            <w:vAlign w:val="center"/>
          </w:tcPr>
          <w:p w14:paraId="2A39111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1.2.3</w:t>
            </w:r>
          </w:p>
        </w:tc>
        <w:tc>
          <w:tcPr>
            <w:tcW w:w="2163" w:type="dxa"/>
            <w:gridSpan w:val="2"/>
            <w:vAlign w:val="center"/>
          </w:tcPr>
          <w:p w14:paraId="50D26E8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资金落实情况</w:t>
            </w:r>
          </w:p>
        </w:tc>
        <w:tc>
          <w:tcPr>
            <w:tcW w:w="5145" w:type="dxa"/>
            <w:vAlign w:val="center"/>
          </w:tcPr>
          <w:p w14:paraId="0DA060B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已落实</w:t>
            </w:r>
          </w:p>
        </w:tc>
      </w:tr>
      <w:tr w14:paraId="66C6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jc w:val="center"/>
        </w:trPr>
        <w:tc>
          <w:tcPr>
            <w:tcW w:w="2031" w:type="dxa"/>
            <w:vAlign w:val="center"/>
          </w:tcPr>
          <w:p w14:paraId="2387424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1.3.1</w:t>
            </w:r>
          </w:p>
        </w:tc>
        <w:tc>
          <w:tcPr>
            <w:tcW w:w="2163" w:type="dxa"/>
            <w:gridSpan w:val="2"/>
            <w:vAlign w:val="center"/>
          </w:tcPr>
          <w:p w14:paraId="60272D00">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采购内容</w:t>
            </w:r>
          </w:p>
        </w:tc>
        <w:tc>
          <w:tcPr>
            <w:tcW w:w="5145" w:type="dxa"/>
            <w:vAlign w:val="center"/>
          </w:tcPr>
          <w:p w14:paraId="5EABD23B">
            <w:pPr>
              <w:rPr>
                <w:rFonts w:hint="eastAsia" w:ascii="宋体" w:hAnsi="宋体" w:eastAsia="宋体" w:cs="宋体"/>
                <w:sz w:val="21"/>
                <w:szCs w:val="21"/>
                <w:highlight w:val="none"/>
              </w:rPr>
            </w:pPr>
            <w:r>
              <w:rPr>
                <w:rFonts w:hint="eastAsia" w:ascii="宋体" w:hAnsi="宋体"/>
                <w:color w:val="000000" w:themeColor="text1"/>
                <w:kern w:val="0"/>
                <w:highlight w:val="none"/>
                <w:lang w:val="en-US" w:eastAsia="zh-CN"/>
                <w14:textFill>
                  <w14:solidFill>
                    <w14:schemeClr w14:val="tx1"/>
                  </w14:solidFill>
                </w14:textFill>
              </w:rPr>
              <w:t>民权县庄子镇老年人体育健身园项目（详见采购需求）</w:t>
            </w:r>
          </w:p>
        </w:tc>
      </w:tr>
      <w:tr w14:paraId="2FC3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2031" w:type="dxa"/>
            <w:vAlign w:val="center"/>
          </w:tcPr>
          <w:p w14:paraId="46731D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163" w:type="dxa"/>
            <w:gridSpan w:val="2"/>
            <w:vAlign w:val="center"/>
          </w:tcPr>
          <w:p w14:paraId="2826A9BD">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供货期</w:t>
            </w:r>
          </w:p>
        </w:tc>
        <w:tc>
          <w:tcPr>
            <w:tcW w:w="5145" w:type="dxa"/>
            <w:vAlign w:val="center"/>
          </w:tcPr>
          <w:p w14:paraId="7F148CD4">
            <w:pPr>
              <w:shd w:val="clear"/>
              <w:spacing w:line="396" w:lineRule="exact"/>
              <w:jc w:val="left"/>
              <w:rPr>
                <w:rFonts w:hint="default"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签订合同后</w:t>
            </w:r>
            <w:r>
              <w:rPr>
                <w:rFonts w:hint="eastAsia" w:ascii="宋体" w:hAnsi="宋体"/>
                <w:bCs/>
                <w:color w:val="auto"/>
                <w:highlight w:val="none"/>
                <w:lang w:val="en-US" w:eastAsia="zh-CN"/>
              </w:rPr>
              <w:t>60</w:t>
            </w:r>
            <w:r>
              <w:rPr>
                <w:rFonts w:hint="eastAsia" w:ascii="宋体" w:hAnsi="宋体"/>
                <w:bCs/>
                <w:color w:val="000000" w:themeColor="text1"/>
                <w:highlight w:val="none"/>
                <w14:textFill>
                  <w14:solidFill>
                    <w14:schemeClr w14:val="tx1"/>
                  </w14:solidFill>
                </w14:textFill>
              </w:rPr>
              <w:t>日历天</w:t>
            </w:r>
            <w:r>
              <w:rPr>
                <w:rFonts w:hint="eastAsia" w:ascii="宋体" w:hAnsi="宋体"/>
                <w:bCs/>
                <w:color w:val="000000" w:themeColor="text1"/>
                <w:highlight w:val="none"/>
                <w:lang w:eastAsia="zh-CN"/>
                <w14:textFill>
                  <w14:solidFill>
                    <w14:schemeClr w14:val="tx1"/>
                  </w14:solidFill>
                </w14:textFill>
              </w:rPr>
              <w:t>内供货完成</w:t>
            </w:r>
          </w:p>
        </w:tc>
      </w:tr>
      <w:tr w14:paraId="2B3C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31" w:type="dxa"/>
            <w:vAlign w:val="center"/>
          </w:tcPr>
          <w:p w14:paraId="2F50C2A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1.3.3</w:t>
            </w:r>
          </w:p>
        </w:tc>
        <w:tc>
          <w:tcPr>
            <w:tcW w:w="2163" w:type="dxa"/>
            <w:gridSpan w:val="2"/>
            <w:vAlign w:val="center"/>
          </w:tcPr>
          <w:p w14:paraId="3272080C">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质保期</w:t>
            </w:r>
          </w:p>
        </w:tc>
        <w:tc>
          <w:tcPr>
            <w:tcW w:w="5145" w:type="dxa"/>
            <w:vAlign w:val="center"/>
          </w:tcPr>
          <w:p w14:paraId="3D9E0063">
            <w:pPr>
              <w:shd w:val="clear"/>
              <w:spacing w:line="396"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bCs/>
                <w:color w:val="auto"/>
                <w:highlight w:val="none"/>
                <w:lang w:eastAsia="zh-CN"/>
              </w:rPr>
              <w:t>自验收合格之日起1年</w:t>
            </w:r>
          </w:p>
        </w:tc>
      </w:tr>
      <w:tr w14:paraId="5BF8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31" w:type="dxa"/>
            <w:vAlign w:val="center"/>
          </w:tcPr>
          <w:p w14:paraId="03E7EC3D">
            <w:pPr>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1.3.4</w:t>
            </w:r>
          </w:p>
        </w:tc>
        <w:tc>
          <w:tcPr>
            <w:tcW w:w="2163" w:type="dxa"/>
            <w:gridSpan w:val="2"/>
            <w:vAlign w:val="center"/>
          </w:tcPr>
          <w:p w14:paraId="0CF8E02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质量要求</w:t>
            </w:r>
          </w:p>
        </w:tc>
        <w:tc>
          <w:tcPr>
            <w:tcW w:w="5145" w:type="dxa"/>
            <w:vAlign w:val="center"/>
          </w:tcPr>
          <w:p w14:paraId="53B6FB60">
            <w:pPr>
              <w:spacing w:line="312"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符合国家及相关行业合格标准及采购人要求</w:t>
            </w:r>
          </w:p>
        </w:tc>
      </w:tr>
      <w:tr w14:paraId="7D1F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2031" w:type="dxa"/>
            <w:vAlign w:val="center"/>
          </w:tcPr>
          <w:p w14:paraId="3E1DE928">
            <w:pPr>
              <w:jc w:val="center"/>
              <w:rPr>
                <w:rFonts w:hint="eastAsia" w:asciiTheme="minorEastAsia" w:hAnsiTheme="minorEastAsia" w:eastAsiaTheme="minorEastAsia"/>
                <w:color w:val="000000"/>
                <w:sz w:val="21"/>
                <w:szCs w:val="21"/>
                <w:highlight w:val="none"/>
              </w:rPr>
            </w:pPr>
          </w:p>
          <w:p w14:paraId="7337E384">
            <w:pPr>
              <w:jc w:val="center"/>
              <w:rPr>
                <w:rFonts w:hint="eastAsia" w:asciiTheme="minorEastAsia" w:hAnsiTheme="minorEastAsia" w:eastAsiaTheme="minorEastAsia"/>
                <w:color w:val="000000"/>
                <w:sz w:val="21"/>
                <w:szCs w:val="21"/>
                <w:highlight w:val="none"/>
              </w:rPr>
            </w:pPr>
          </w:p>
          <w:p w14:paraId="65513F2D">
            <w:pPr>
              <w:jc w:val="center"/>
              <w:rPr>
                <w:rFonts w:hint="eastAsia" w:asciiTheme="minorEastAsia" w:hAnsiTheme="minorEastAsia" w:eastAsiaTheme="minorEastAsia"/>
                <w:color w:val="000000"/>
                <w:sz w:val="21"/>
                <w:szCs w:val="21"/>
                <w:highlight w:val="none"/>
              </w:rPr>
            </w:pPr>
          </w:p>
          <w:p w14:paraId="0C6E8CD1">
            <w:pPr>
              <w:jc w:val="center"/>
              <w:rPr>
                <w:rFonts w:hint="eastAsia" w:asciiTheme="minorEastAsia" w:hAnsiTheme="minorEastAsia" w:eastAsiaTheme="minorEastAsia"/>
                <w:color w:val="000000"/>
                <w:sz w:val="21"/>
                <w:szCs w:val="21"/>
                <w:highlight w:val="none"/>
              </w:rPr>
            </w:pPr>
          </w:p>
          <w:p w14:paraId="3399840F">
            <w:pPr>
              <w:jc w:val="center"/>
              <w:rPr>
                <w:rFonts w:hint="eastAsia" w:asciiTheme="minorEastAsia" w:hAnsiTheme="minorEastAsia" w:eastAsiaTheme="minorEastAsia"/>
                <w:color w:val="000000"/>
                <w:sz w:val="21"/>
                <w:szCs w:val="21"/>
                <w:highlight w:val="none"/>
              </w:rPr>
            </w:pPr>
          </w:p>
          <w:p w14:paraId="708DBF75">
            <w:pPr>
              <w:jc w:val="center"/>
              <w:rPr>
                <w:rFonts w:hint="eastAsia" w:asciiTheme="minorEastAsia" w:hAnsiTheme="minorEastAsia" w:eastAsiaTheme="minorEastAsia"/>
                <w:color w:val="000000"/>
                <w:sz w:val="21"/>
                <w:szCs w:val="21"/>
                <w:highlight w:val="none"/>
              </w:rPr>
            </w:pPr>
          </w:p>
          <w:p w14:paraId="30930727">
            <w:pPr>
              <w:jc w:val="center"/>
              <w:rPr>
                <w:rFonts w:hint="eastAsia" w:asciiTheme="minorEastAsia" w:hAnsiTheme="minorEastAsia" w:eastAsiaTheme="minorEastAsia"/>
                <w:color w:val="000000"/>
                <w:sz w:val="21"/>
                <w:szCs w:val="21"/>
                <w:highlight w:val="none"/>
              </w:rPr>
            </w:pPr>
          </w:p>
          <w:p w14:paraId="513E6C62">
            <w:pPr>
              <w:jc w:val="center"/>
              <w:rPr>
                <w:rFonts w:hint="eastAsia" w:asciiTheme="minorEastAsia" w:hAnsiTheme="minorEastAsia" w:eastAsiaTheme="minorEastAsia"/>
                <w:color w:val="000000"/>
                <w:sz w:val="21"/>
                <w:szCs w:val="21"/>
                <w:highlight w:val="none"/>
              </w:rPr>
            </w:pPr>
          </w:p>
          <w:p w14:paraId="06208661">
            <w:pPr>
              <w:jc w:val="center"/>
              <w:rPr>
                <w:rFonts w:hint="eastAsia" w:asciiTheme="minorEastAsia" w:hAnsiTheme="minorEastAsia" w:eastAsiaTheme="minorEastAsia"/>
                <w:color w:val="000000"/>
                <w:sz w:val="21"/>
                <w:szCs w:val="21"/>
                <w:highlight w:val="none"/>
              </w:rPr>
            </w:pPr>
          </w:p>
          <w:p w14:paraId="3874A162">
            <w:pPr>
              <w:jc w:val="center"/>
              <w:rPr>
                <w:rFonts w:hint="eastAsia" w:asciiTheme="minorEastAsia" w:hAnsiTheme="minorEastAsia" w:eastAsiaTheme="minorEastAsia"/>
                <w:color w:val="000000"/>
                <w:sz w:val="21"/>
                <w:szCs w:val="21"/>
                <w:highlight w:val="none"/>
              </w:rPr>
            </w:pPr>
          </w:p>
          <w:p w14:paraId="50F2EF0C">
            <w:pPr>
              <w:jc w:val="center"/>
              <w:rPr>
                <w:rFonts w:hint="eastAsia" w:asciiTheme="minorEastAsia" w:hAnsiTheme="minorEastAsia" w:eastAsiaTheme="minorEastAsia"/>
                <w:color w:val="000000"/>
                <w:sz w:val="21"/>
                <w:szCs w:val="21"/>
                <w:highlight w:val="none"/>
              </w:rPr>
            </w:pPr>
          </w:p>
          <w:p w14:paraId="63EBB1A5">
            <w:pPr>
              <w:jc w:val="center"/>
              <w:rPr>
                <w:rFonts w:hint="eastAsia" w:asciiTheme="minorEastAsia" w:hAnsiTheme="minorEastAsia" w:eastAsiaTheme="minorEastAsia"/>
                <w:color w:val="000000"/>
                <w:sz w:val="21"/>
                <w:szCs w:val="21"/>
                <w:highlight w:val="none"/>
              </w:rPr>
            </w:pPr>
          </w:p>
          <w:p w14:paraId="55E78FC4">
            <w:pPr>
              <w:jc w:val="center"/>
              <w:rPr>
                <w:rFonts w:hint="eastAsia" w:asciiTheme="minorEastAsia" w:hAnsiTheme="minorEastAsia" w:eastAsiaTheme="minorEastAsia"/>
                <w:color w:val="000000"/>
                <w:sz w:val="21"/>
                <w:szCs w:val="21"/>
                <w:highlight w:val="none"/>
              </w:rPr>
            </w:pPr>
          </w:p>
          <w:p w14:paraId="719CC4F4">
            <w:pPr>
              <w:jc w:val="center"/>
              <w:rPr>
                <w:rFonts w:hint="eastAsia" w:asciiTheme="minorEastAsia" w:hAnsiTheme="minorEastAsia" w:eastAsiaTheme="minorEastAsia"/>
                <w:color w:val="000000"/>
                <w:sz w:val="21"/>
                <w:szCs w:val="21"/>
                <w:highlight w:val="none"/>
              </w:rPr>
            </w:pPr>
          </w:p>
          <w:p w14:paraId="38D0A877">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1.4.1</w:t>
            </w:r>
          </w:p>
        </w:tc>
        <w:tc>
          <w:tcPr>
            <w:tcW w:w="2163" w:type="dxa"/>
            <w:gridSpan w:val="2"/>
            <w:vAlign w:val="center"/>
          </w:tcPr>
          <w:p w14:paraId="42B60BFF">
            <w:pPr>
              <w:jc w:val="center"/>
              <w:rPr>
                <w:rFonts w:hint="eastAsia" w:asciiTheme="minorEastAsia" w:hAnsiTheme="minorEastAsia" w:eastAsiaTheme="minorEastAsia"/>
                <w:color w:val="000000"/>
                <w:spacing w:val="-2"/>
                <w:sz w:val="21"/>
                <w:szCs w:val="21"/>
                <w:highlight w:val="none"/>
              </w:rPr>
            </w:pPr>
          </w:p>
          <w:p w14:paraId="36AC7830">
            <w:pPr>
              <w:jc w:val="center"/>
              <w:rPr>
                <w:rFonts w:hint="eastAsia" w:asciiTheme="minorEastAsia" w:hAnsiTheme="minorEastAsia" w:eastAsiaTheme="minorEastAsia"/>
                <w:color w:val="000000"/>
                <w:spacing w:val="-2"/>
                <w:sz w:val="21"/>
                <w:szCs w:val="21"/>
                <w:highlight w:val="none"/>
              </w:rPr>
            </w:pPr>
          </w:p>
          <w:p w14:paraId="720A0C72">
            <w:pPr>
              <w:jc w:val="center"/>
              <w:rPr>
                <w:rFonts w:hint="eastAsia" w:asciiTheme="minorEastAsia" w:hAnsiTheme="minorEastAsia" w:eastAsiaTheme="minorEastAsia"/>
                <w:color w:val="000000"/>
                <w:spacing w:val="-2"/>
                <w:sz w:val="21"/>
                <w:szCs w:val="21"/>
                <w:highlight w:val="none"/>
              </w:rPr>
            </w:pPr>
          </w:p>
          <w:p w14:paraId="6D73C507">
            <w:pPr>
              <w:jc w:val="center"/>
              <w:rPr>
                <w:rFonts w:hint="eastAsia" w:asciiTheme="minorEastAsia" w:hAnsiTheme="minorEastAsia" w:eastAsiaTheme="minorEastAsia"/>
                <w:color w:val="000000"/>
                <w:spacing w:val="-2"/>
                <w:sz w:val="21"/>
                <w:szCs w:val="21"/>
                <w:highlight w:val="none"/>
              </w:rPr>
            </w:pPr>
          </w:p>
          <w:p w14:paraId="33ABD6C1">
            <w:pPr>
              <w:jc w:val="center"/>
              <w:rPr>
                <w:rFonts w:hint="eastAsia" w:asciiTheme="minorEastAsia" w:hAnsiTheme="minorEastAsia" w:eastAsiaTheme="minorEastAsia"/>
                <w:color w:val="000000"/>
                <w:spacing w:val="-2"/>
                <w:sz w:val="21"/>
                <w:szCs w:val="21"/>
                <w:highlight w:val="none"/>
              </w:rPr>
            </w:pPr>
          </w:p>
          <w:p w14:paraId="68932109">
            <w:pPr>
              <w:jc w:val="center"/>
              <w:rPr>
                <w:rFonts w:hint="eastAsia" w:asciiTheme="minorEastAsia" w:hAnsiTheme="minorEastAsia" w:eastAsiaTheme="minorEastAsia"/>
                <w:color w:val="000000"/>
                <w:spacing w:val="-2"/>
                <w:sz w:val="21"/>
                <w:szCs w:val="21"/>
                <w:highlight w:val="none"/>
              </w:rPr>
            </w:pPr>
          </w:p>
          <w:p w14:paraId="4E59132B">
            <w:pPr>
              <w:jc w:val="center"/>
              <w:rPr>
                <w:rFonts w:hint="eastAsia" w:asciiTheme="minorEastAsia" w:hAnsiTheme="minorEastAsia" w:eastAsiaTheme="minorEastAsia"/>
                <w:color w:val="000000"/>
                <w:spacing w:val="-2"/>
                <w:sz w:val="21"/>
                <w:szCs w:val="21"/>
                <w:highlight w:val="none"/>
              </w:rPr>
            </w:pPr>
          </w:p>
          <w:p w14:paraId="79CDDA10">
            <w:pPr>
              <w:jc w:val="center"/>
              <w:rPr>
                <w:rFonts w:hint="eastAsia" w:asciiTheme="minorEastAsia" w:hAnsiTheme="minorEastAsia" w:eastAsiaTheme="minorEastAsia"/>
                <w:color w:val="000000"/>
                <w:spacing w:val="-2"/>
                <w:sz w:val="21"/>
                <w:szCs w:val="21"/>
                <w:highlight w:val="none"/>
              </w:rPr>
            </w:pPr>
          </w:p>
          <w:p w14:paraId="55117ADD">
            <w:pPr>
              <w:jc w:val="center"/>
              <w:rPr>
                <w:rFonts w:hint="eastAsia" w:asciiTheme="minorEastAsia" w:hAnsiTheme="minorEastAsia" w:eastAsiaTheme="minorEastAsia"/>
                <w:color w:val="000000"/>
                <w:spacing w:val="-2"/>
                <w:sz w:val="21"/>
                <w:szCs w:val="21"/>
                <w:highlight w:val="none"/>
              </w:rPr>
            </w:pPr>
          </w:p>
          <w:p w14:paraId="69D1CE1F">
            <w:pPr>
              <w:jc w:val="center"/>
              <w:rPr>
                <w:rFonts w:hint="eastAsia" w:asciiTheme="minorEastAsia" w:hAnsiTheme="minorEastAsia" w:eastAsiaTheme="minorEastAsia"/>
                <w:color w:val="000000"/>
                <w:spacing w:val="-2"/>
                <w:sz w:val="21"/>
                <w:szCs w:val="21"/>
                <w:highlight w:val="none"/>
              </w:rPr>
            </w:pPr>
          </w:p>
          <w:p w14:paraId="4E0DD021">
            <w:pPr>
              <w:jc w:val="center"/>
              <w:rPr>
                <w:rFonts w:hint="eastAsia" w:asciiTheme="minorEastAsia" w:hAnsiTheme="minorEastAsia" w:eastAsiaTheme="minorEastAsia"/>
                <w:color w:val="000000"/>
                <w:spacing w:val="-2"/>
                <w:sz w:val="21"/>
                <w:szCs w:val="21"/>
                <w:highlight w:val="none"/>
              </w:rPr>
            </w:pPr>
          </w:p>
          <w:p w14:paraId="21FD9DD8">
            <w:pPr>
              <w:jc w:val="center"/>
              <w:rPr>
                <w:rFonts w:hint="eastAsia" w:asciiTheme="minorEastAsia" w:hAnsiTheme="minorEastAsia" w:eastAsiaTheme="minorEastAsia"/>
                <w:color w:val="000000"/>
                <w:spacing w:val="-2"/>
                <w:sz w:val="21"/>
                <w:szCs w:val="21"/>
                <w:highlight w:val="none"/>
              </w:rPr>
            </w:pPr>
          </w:p>
          <w:p w14:paraId="04034F3F">
            <w:pPr>
              <w:jc w:val="center"/>
              <w:rPr>
                <w:rFonts w:hint="eastAsia" w:asciiTheme="minorEastAsia" w:hAnsiTheme="minorEastAsia" w:eastAsiaTheme="minorEastAsia"/>
                <w:color w:val="000000"/>
                <w:spacing w:val="-2"/>
                <w:sz w:val="21"/>
                <w:szCs w:val="21"/>
                <w:highlight w:val="none"/>
              </w:rPr>
            </w:pPr>
          </w:p>
          <w:p w14:paraId="1D46E312">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pacing w:val="-2"/>
                <w:sz w:val="21"/>
                <w:szCs w:val="21"/>
                <w:highlight w:val="none"/>
              </w:rPr>
              <w:t>谈判申请人资质条件、能力和信誉</w:t>
            </w:r>
          </w:p>
        </w:tc>
        <w:tc>
          <w:tcPr>
            <w:tcW w:w="5145" w:type="dxa"/>
            <w:vAlign w:val="center"/>
          </w:tcPr>
          <w:p w14:paraId="49259065">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2.1.满足《中华人民共和国政府采购法》第二十二条规定；</w:t>
            </w:r>
          </w:p>
          <w:p w14:paraId="57BE0E86">
            <w:pPr>
              <w:pStyle w:val="2"/>
              <w:spacing w:line="360" w:lineRule="auto"/>
              <w:ind w:left="0" w:leftChars="0" w:firstLine="0" w:firstLineChars="0"/>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（1）具有独立承担民事责任的能力；</w:t>
            </w:r>
          </w:p>
          <w:p w14:paraId="307B4777">
            <w:pPr>
              <w:pStyle w:val="2"/>
              <w:spacing w:line="360" w:lineRule="auto"/>
              <w:ind w:left="0" w:leftChars="0" w:firstLine="0" w:firstLineChars="0"/>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（2）具有良好的商业信誉和健全的财务会计制度；</w:t>
            </w: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供应商具有良好的商业信誉和健全的财务会计制度；自行承诺，格式自拟；提供2024年经审计的财务报告，新成立企业不足一年的可不提供。或提供其基本开户银行出具的资信证明，资信证明出具时间距开标不超过一年。）；</w:t>
            </w:r>
          </w:p>
          <w:p w14:paraId="7C14AA24">
            <w:pPr>
              <w:pStyle w:val="2"/>
              <w:spacing w:line="360" w:lineRule="auto"/>
              <w:ind w:left="0" w:leftChars="0" w:firstLine="0" w:firstLineChars="0"/>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（3）具有履行合同所必需的设备和专业技术能力；</w:t>
            </w:r>
          </w:p>
          <w:p w14:paraId="5A3F9C92">
            <w:pPr>
              <w:pStyle w:val="2"/>
              <w:spacing w:line="360" w:lineRule="auto"/>
              <w:ind w:left="0" w:leftChars="0" w:firstLine="0" w:firstLineChars="0"/>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（4）有依法缴纳税收和社会保障资金的良好记录；（提供相关部门出具的自202</w:t>
            </w:r>
            <w:r>
              <w:rPr>
                <w:rFonts w:hint="eastAsia" w:ascii="宋体" w:hAnsi="宋体" w:cs="Times New Roman"/>
                <w:color w:val="000000" w:themeColor="text1"/>
                <w:kern w:val="0"/>
                <w:sz w:val="21"/>
                <w:szCs w:val="24"/>
                <w:highlight w:val="none"/>
                <w:lang w:val="en-US" w:eastAsia="zh-CN" w:bidi="ar-SA"/>
                <w14:textFill>
                  <w14:solidFill>
                    <w14:schemeClr w14:val="tx1"/>
                  </w14:solidFill>
                </w14:textFill>
              </w:rPr>
              <w:t>5</w:t>
            </w: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年</w:t>
            </w:r>
            <w:r>
              <w:rPr>
                <w:rFonts w:hint="eastAsia" w:ascii="宋体" w:hAnsi="宋体" w:cs="Times New Roman"/>
                <w:color w:val="000000" w:themeColor="text1"/>
                <w:kern w:val="0"/>
                <w:sz w:val="21"/>
                <w:szCs w:val="24"/>
                <w:highlight w:val="none"/>
                <w:lang w:val="en-US" w:eastAsia="zh-CN" w:bidi="ar-SA"/>
                <w14:textFill>
                  <w14:solidFill>
                    <w14:schemeClr w14:val="tx1"/>
                  </w14:solidFill>
                </w14:textFill>
              </w:rPr>
              <w:t>1</w:t>
            </w: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月以来</w:t>
            </w: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任意1</w:t>
            </w: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个月的依法缴纳税收证明和社保证明）</w:t>
            </w:r>
          </w:p>
          <w:p w14:paraId="14ED5D13">
            <w:pPr>
              <w:pStyle w:val="2"/>
              <w:spacing w:line="360" w:lineRule="auto"/>
              <w:ind w:left="0" w:leftChars="0" w:firstLine="0" w:firstLineChars="0"/>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（5）参加政府采购活动前三年内，在经营活动中没有重大违法记录；</w:t>
            </w: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（提供承诺书）；</w:t>
            </w:r>
          </w:p>
          <w:p w14:paraId="60F9BEBE">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default" w:ascii="宋体" w:hAnsi="宋体" w:eastAsia="宋体" w:cs="Times New Roman"/>
                <w:color w:val="000000" w:themeColor="text1"/>
                <w:kern w:val="0"/>
                <w:sz w:val="21"/>
                <w:szCs w:val="24"/>
                <w:highlight w:val="none"/>
                <w:lang w:val="en-US" w:eastAsia="zh-CN" w:bidi="ar-SA"/>
                <w14:textFill>
                  <w14:solidFill>
                    <w14:schemeClr w14:val="tx1"/>
                  </w14:solidFill>
                </w14:textFill>
              </w:rPr>
              <w:t>（6）法律、行政法规规定的其他条件。</w:t>
            </w:r>
          </w:p>
          <w:p w14:paraId="6CD8E593">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2.2.落实政府采购政策需满足的资格要求：根据《政府采购促进中小企业发展管理办法》(财库〔2020〕46号)的规定，本项目专门面向中小微企业采购，供应商需提供中小微企业声明函或残疾人福利性单位声明函或监狱企业的证明文件。</w:t>
            </w:r>
          </w:p>
          <w:p w14:paraId="08D7A39B">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2.3.本项目的特定资格要求：</w:t>
            </w:r>
          </w:p>
          <w:p w14:paraId="14B54720">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（1）供应商须具有独自承担民事责任的能力，具有有效的营业执照、税务登记证、组织机构代码证（或三证合一的营业执照）</w:t>
            </w:r>
            <w:r>
              <w:rPr>
                <w:rFonts w:hint="eastAsia" w:ascii="宋体" w:hAnsi="宋体" w:cs="Times New Roman"/>
                <w:color w:val="000000" w:themeColor="text1"/>
                <w:kern w:val="0"/>
                <w:sz w:val="21"/>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并在人员、设备、资金等方面具有相应的工作能力；</w:t>
            </w:r>
          </w:p>
          <w:p w14:paraId="3354631F">
            <w:pPr>
              <w:pStyle w:val="2"/>
              <w:spacing w:line="360" w:lineRule="auto"/>
              <w:ind w:left="0" w:leftChars="0" w:firstLine="0" w:firstLineChars="0"/>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2.4信誉要求：按照《财政部关于在政府采购活动中查询及使用信用记录有关问题的通知》（财库〔2016〕125号）的要求，根据“信用中国”网站（www.creditchina.gov.cn）和中国政府采购网（www.ccgp.gov.cn）等渠道查询供应商信用记录，被列入失信被执行人、重大税收违法失信主体（或税收违法黑名单）、</w:t>
            </w:r>
            <w:r>
              <w:rPr>
                <w:rFonts w:hint="eastAsia" w:ascii="宋体" w:hAnsi="宋体" w:cs="Times New Roman"/>
                <w:color w:val="auto"/>
                <w:kern w:val="0"/>
                <w:sz w:val="21"/>
                <w:szCs w:val="24"/>
                <w:highlight w:val="none"/>
                <w:lang w:val="en-US" w:eastAsia="zh-CN" w:bidi="ar-SA"/>
              </w:rPr>
              <w:t>严重失信主体、</w:t>
            </w: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政府采购严重违法失信行为记录名单的单位将被拒绝参与本项目投标；供应商应在招标公告发布后对本单位信用信息进行查询并将查询页做在响应文件中。</w:t>
            </w:r>
          </w:p>
          <w:p w14:paraId="311501B3">
            <w:pPr>
              <w:pStyle w:val="2"/>
              <w:spacing w:line="360" w:lineRule="auto"/>
              <w:ind w:left="0" w:leftChars="0" w:firstLine="0" w:firstLineChars="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4"/>
                <w:highlight w:val="none"/>
                <w:lang w:val="en-US" w:eastAsia="zh-CN" w:bidi="ar-SA"/>
                <w14:textFill>
                  <w14:solidFill>
                    <w14:schemeClr w14:val="tx1"/>
                  </w14:solidFill>
                </w14:textFill>
              </w:rPr>
              <w:t>2.5本项目不接受联合体投标。</w:t>
            </w:r>
          </w:p>
        </w:tc>
      </w:tr>
      <w:tr w14:paraId="6E18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31" w:type="dxa"/>
            <w:vAlign w:val="center"/>
          </w:tcPr>
          <w:p w14:paraId="445DACD6">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1.4.2</w:t>
            </w:r>
          </w:p>
        </w:tc>
        <w:tc>
          <w:tcPr>
            <w:tcW w:w="2163" w:type="dxa"/>
            <w:gridSpan w:val="2"/>
            <w:vAlign w:val="center"/>
          </w:tcPr>
          <w:p w14:paraId="20023913">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是否接受联合体谈判</w:t>
            </w:r>
          </w:p>
        </w:tc>
        <w:tc>
          <w:tcPr>
            <w:tcW w:w="5145" w:type="dxa"/>
            <w:vAlign w:val="center"/>
          </w:tcPr>
          <w:p w14:paraId="175CC7F7">
            <w:pPr>
              <w:spacing w:line="312"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不接受</w:t>
            </w:r>
          </w:p>
        </w:tc>
      </w:tr>
      <w:tr w14:paraId="6EDB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1" w:type="dxa"/>
            <w:vAlign w:val="center"/>
          </w:tcPr>
          <w:p w14:paraId="752B9019">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1.4.5</w:t>
            </w:r>
          </w:p>
        </w:tc>
        <w:tc>
          <w:tcPr>
            <w:tcW w:w="2163" w:type="dxa"/>
            <w:gridSpan w:val="2"/>
            <w:vAlign w:val="center"/>
          </w:tcPr>
          <w:p w14:paraId="3EFD1C7E">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踏勘现场</w:t>
            </w:r>
          </w:p>
        </w:tc>
        <w:tc>
          <w:tcPr>
            <w:tcW w:w="5145" w:type="dxa"/>
            <w:vAlign w:val="center"/>
          </w:tcPr>
          <w:p w14:paraId="3C7AE06D">
            <w:pPr>
              <w:spacing w:line="312"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不组织</w:t>
            </w:r>
          </w:p>
        </w:tc>
      </w:tr>
      <w:tr w14:paraId="24D5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031" w:type="dxa"/>
            <w:vAlign w:val="center"/>
          </w:tcPr>
          <w:p w14:paraId="00CD798B">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1.4.6</w:t>
            </w:r>
          </w:p>
        </w:tc>
        <w:tc>
          <w:tcPr>
            <w:tcW w:w="2163" w:type="dxa"/>
            <w:gridSpan w:val="2"/>
            <w:vAlign w:val="center"/>
          </w:tcPr>
          <w:p w14:paraId="3497C69B">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谈判预备会</w:t>
            </w:r>
          </w:p>
        </w:tc>
        <w:tc>
          <w:tcPr>
            <w:tcW w:w="5145" w:type="dxa"/>
            <w:vAlign w:val="center"/>
          </w:tcPr>
          <w:p w14:paraId="187FC68C">
            <w:pPr>
              <w:spacing w:line="312"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不召开</w:t>
            </w:r>
          </w:p>
        </w:tc>
      </w:tr>
      <w:tr w14:paraId="122A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2F6E7662">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1.4.7</w:t>
            </w:r>
          </w:p>
        </w:tc>
        <w:tc>
          <w:tcPr>
            <w:tcW w:w="2163" w:type="dxa"/>
            <w:gridSpan w:val="2"/>
            <w:vAlign w:val="center"/>
          </w:tcPr>
          <w:p w14:paraId="3585D55B">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谈判申请人提出问题的截止时间</w:t>
            </w:r>
          </w:p>
        </w:tc>
        <w:tc>
          <w:tcPr>
            <w:tcW w:w="5145" w:type="dxa"/>
            <w:vAlign w:val="center"/>
          </w:tcPr>
          <w:p w14:paraId="30604837">
            <w:pPr>
              <w:spacing w:line="312"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投标截止时间3日前</w:t>
            </w:r>
          </w:p>
        </w:tc>
      </w:tr>
      <w:tr w14:paraId="2C40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32BDBB8D">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1.4.8</w:t>
            </w:r>
          </w:p>
        </w:tc>
        <w:tc>
          <w:tcPr>
            <w:tcW w:w="2163" w:type="dxa"/>
            <w:gridSpan w:val="2"/>
            <w:vAlign w:val="center"/>
          </w:tcPr>
          <w:p w14:paraId="03554893">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采购人书面澄清回复时间</w:t>
            </w:r>
          </w:p>
        </w:tc>
        <w:tc>
          <w:tcPr>
            <w:tcW w:w="5145" w:type="dxa"/>
            <w:vAlign w:val="center"/>
          </w:tcPr>
          <w:p w14:paraId="6FCC3020">
            <w:pPr>
              <w:spacing w:line="312"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48小时内</w:t>
            </w:r>
          </w:p>
        </w:tc>
      </w:tr>
      <w:tr w14:paraId="7F59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031" w:type="dxa"/>
            <w:vAlign w:val="center"/>
          </w:tcPr>
          <w:p w14:paraId="5E5C82DC">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1.5.1</w:t>
            </w:r>
          </w:p>
        </w:tc>
        <w:tc>
          <w:tcPr>
            <w:tcW w:w="2163" w:type="dxa"/>
            <w:gridSpan w:val="2"/>
            <w:vAlign w:val="center"/>
          </w:tcPr>
          <w:p w14:paraId="59292D0F">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分  包</w:t>
            </w:r>
          </w:p>
        </w:tc>
        <w:tc>
          <w:tcPr>
            <w:tcW w:w="5145" w:type="dxa"/>
            <w:vAlign w:val="center"/>
          </w:tcPr>
          <w:p w14:paraId="6F2FB906">
            <w:pPr>
              <w:spacing w:line="312"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不允许</w:t>
            </w:r>
          </w:p>
        </w:tc>
      </w:tr>
      <w:tr w14:paraId="3076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31" w:type="dxa"/>
            <w:vAlign w:val="center"/>
          </w:tcPr>
          <w:p w14:paraId="364662B9">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1.5.2</w:t>
            </w:r>
          </w:p>
        </w:tc>
        <w:tc>
          <w:tcPr>
            <w:tcW w:w="2163" w:type="dxa"/>
            <w:gridSpan w:val="2"/>
            <w:vAlign w:val="center"/>
          </w:tcPr>
          <w:p w14:paraId="6EEC4E83">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偏  离</w:t>
            </w:r>
          </w:p>
        </w:tc>
        <w:tc>
          <w:tcPr>
            <w:tcW w:w="5145" w:type="dxa"/>
            <w:vAlign w:val="center"/>
          </w:tcPr>
          <w:p w14:paraId="0C4FC659">
            <w:pPr>
              <w:spacing w:line="288"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不允许</w:t>
            </w:r>
          </w:p>
        </w:tc>
      </w:tr>
      <w:tr w14:paraId="2AB6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031" w:type="dxa"/>
            <w:vAlign w:val="center"/>
          </w:tcPr>
          <w:p w14:paraId="7C720C8A">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1.5.3</w:t>
            </w:r>
          </w:p>
        </w:tc>
        <w:tc>
          <w:tcPr>
            <w:tcW w:w="2163" w:type="dxa"/>
            <w:gridSpan w:val="2"/>
            <w:vAlign w:val="center"/>
          </w:tcPr>
          <w:p w14:paraId="2377AF91">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构成谈判文件的其他材料</w:t>
            </w:r>
          </w:p>
        </w:tc>
        <w:tc>
          <w:tcPr>
            <w:tcW w:w="5145" w:type="dxa"/>
            <w:vAlign w:val="center"/>
          </w:tcPr>
          <w:p w14:paraId="2EA09475">
            <w:pPr>
              <w:spacing w:line="288"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谈判文件的补充、修改、澄清文件（如有）</w:t>
            </w:r>
          </w:p>
        </w:tc>
      </w:tr>
      <w:tr w14:paraId="0C0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031" w:type="dxa"/>
            <w:vAlign w:val="center"/>
          </w:tcPr>
          <w:p w14:paraId="7908BDEC">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2.2.2</w:t>
            </w:r>
          </w:p>
        </w:tc>
        <w:tc>
          <w:tcPr>
            <w:tcW w:w="2163" w:type="dxa"/>
            <w:gridSpan w:val="2"/>
            <w:vAlign w:val="center"/>
          </w:tcPr>
          <w:p w14:paraId="225EBEA6">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000000"/>
                <w:sz w:val="21"/>
                <w:szCs w:val="21"/>
                <w:highlight w:val="none"/>
              </w:rPr>
              <w:t>谈判截止时间</w:t>
            </w:r>
          </w:p>
        </w:tc>
        <w:tc>
          <w:tcPr>
            <w:tcW w:w="5145" w:type="dxa"/>
            <w:vAlign w:val="center"/>
          </w:tcPr>
          <w:p w14:paraId="6235DFC6">
            <w:pPr>
              <w:spacing w:line="288"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auto"/>
                <w:sz w:val="21"/>
                <w:szCs w:val="21"/>
                <w:highlight w:val="none"/>
                <w:lang w:val="en-US" w:eastAsia="zh-CN"/>
              </w:rPr>
              <w:t>2025年    月     日上午9时00分</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（北京时间）</w:t>
            </w:r>
          </w:p>
        </w:tc>
      </w:tr>
      <w:tr w14:paraId="6F05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173D05C0">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2.2.3</w:t>
            </w:r>
          </w:p>
        </w:tc>
        <w:tc>
          <w:tcPr>
            <w:tcW w:w="2163" w:type="dxa"/>
            <w:gridSpan w:val="2"/>
            <w:vAlign w:val="center"/>
          </w:tcPr>
          <w:p w14:paraId="49A8D22D">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谈判申请人确认收到谈判文件澄清的时间</w:t>
            </w:r>
          </w:p>
        </w:tc>
        <w:tc>
          <w:tcPr>
            <w:tcW w:w="5145" w:type="dxa"/>
            <w:vAlign w:val="center"/>
          </w:tcPr>
          <w:p w14:paraId="6DFA1B44">
            <w:pPr>
              <w:spacing w:line="288" w:lineRule="auto"/>
              <w:rPr>
                <w:rFonts w:asciiTheme="minorEastAsia" w:hAnsiTheme="minorEastAsia" w:eastAsia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olor w:val="000000" w:themeColor="text1"/>
                <w:sz w:val="21"/>
                <w:szCs w:val="21"/>
                <w:highlight w:val="none"/>
                <w:u w:val="single"/>
                <w14:textFill>
                  <w14:solidFill>
                    <w14:schemeClr w14:val="tx1"/>
                  </w14:solidFill>
                </w14:textFill>
              </w:rPr>
              <w:t>48</w:t>
            </w:r>
            <w:r>
              <w:rPr>
                <w:rFonts w:hint="eastAsia" w:asciiTheme="minorEastAsia" w:hAnsiTheme="minorEastAsia" w:eastAsiaTheme="minorEastAsia"/>
                <w:color w:val="000000" w:themeColor="text1"/>
                <w:sz w:val="21"/>
                <w:szCs w:val="21"/>
                <w:highlight w:val="none"/>
                <w14:textFill>
                  <w14:solidFill>
                    <w14:schemeClr w14:val="tx1"/>
                  </w14:solidFill>
                </w14:textFill>
              </w:rPr>
              <w:t>小时内</w:t>
            </w:r>
          </w:p>
        </w:tc>
      </w:tr>
      <w:tr w14:paraId="5EBC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3C57B48C">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2.3.2</w:t>
            </w:r>
          </w:p>
        </w:tc>
        <w:tc>
          <w:tcPr>
            <w:tcW w:w="2163" w:type="dxa"/>
            <w:gridSpan w:val="2"/>
            <w:vAlign w:val="center"/>
          </w:tcPr>
          <w:p w14:paraId="1B9155A4">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谈判申请人确认收到谈判文件修改的时间</w:t>
            </w:r>
          </w:p>
        </w:tc>
        <w:tc>
          <w:tcPr>
            <w:tcW w:w="5145" w:type="dxa"/>
            <w:vAlign w:val="center"/>
          </w:tcPr>
          <w:p w14:paraId="1644B13F">
            <w:pPr>
              <w:spacing w:line="288"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在收到相应修改文件后</w:t>
            </w:r>
            <w:r>
              <w:rPr>
                <w:rFonts w:hint="eastAsia" w:asciiTheme="minorEastAsia" w:hAnsiTheme="minorEastAsia" w:eastAsiaTheme="minorEastAsia"/>
                <w:sz w:val="21"/>
                <w:szCs w:val="21"/>
                <w:highlight w:val="none"/>
                <w:u w:val="single"/>
              </w:rPr>
              <w:t>48</w:t>
            </w:r>
            <w:r>
              <w:rPr>
                <w:rFonts w:hint="eastAsia" w:asciiTheme="minorEastAsia" w:hAnsiTheme="minorEastAsia" w:eastAsiaTheme="minorEastAsia"/>
                <w:sz w:val="21"/>
                <w:szCs w:val="21"/>
                <w:highlight w:val="none"/>
              </w:rPr>
              <w:t>小时内</w:t>
            </w:r>
          </w:p>
        </w:tc>
      </w:tr>
      <w:tr w14:paraId="3BED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31E7AA12">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3.1.1</w:t>
            </w:r>
          </w:p>
        </w:tc>
        <w:tc>
          <w:tcPr>
            <w:tcW w:w="2163" w:type="dxa"/>
            <w:gridSpan w:val="2"/>
            <w:vAlign w:val="center"/>
          </w:tcPr>
          <w:p w14:paraId="1DACA9F2">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构成谈判文件的其他材料</w:t>
            </w:r>
          </w:p>
        </w:tc>
        <w:tc>
          <w:tcPr>
            <w:tcW w:w="5145" w:type="dxa"/>
            <w:vAlign w:val="center"/>
          </w:tcPr>
          <w:p w14:paraId="1279B081">
            <w:pPr>
              <w:spacing w:line="288"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谈判申请人认为必要的其他材料</w:t>
            </w:r>
          </w:p>
        </w:tc>
      </w:tr>
      <w:tr w14:paraId="772B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031" w:type="dxa"/>
            <w:vAlign w:val="center"/>
          </w:tcPr>
          <w:p w14:paraId="1D4AA981">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3.3.1</w:t>
            </w:r>
          </w:p>
        </w:tc>
        <w:tc>
          <w:tcPr>
            <w:tcW w:w="2163" w:type="dxa"/>
            <w:gridSpan w:val="2"/>
            <w:vAlign w:val="center"/>
          </w:tcPr>
          <w:p w14:paraId="4BD5770E">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谈判有效期</w:t>
            </w:r>
          </w:p>
        </w:tc>
        <w:tc>
          <w:tcPr>
            <w:tcW w:w="5145" w:type="dxa"/>
            <w:vAlign w:val="center"/>
          </w:tcPr>
          <w:p w14:paraId="7DEEF15B">
            <w:pPr>
              <w:spacing w:line="288"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u w:val="single"/>
                <w:lang w:val="en-US" w:eastAsia="zh-CN"/>
              </w:rPr>
              <w:t>6</w:t>
            </w:r>
            <w:r>
              <w:rPr>
                <w:rFonts w:hint="eastAsia" w:asciiTheme="minorEastAsia" w:hAnsiTheme="minorEastAsia" w:eastAsiaTheme="minorEastAsia"/>
                <w:color w:val="auto"/>
                <w:sz w:val="21"/>
                <w:szCs w:val="21"/>
                <w:highlight w:val="none"/>
                <w:u w:val="single"/>
              </w:rPr>
              <w:t>0</w:t>
            </w:r>
            <w:r>
              <w:rPr>
                <w:rFonts w:hint="eastAsia" w:asciiTheme="minorEastAsia" w:hAnsiTheme="minorEastAsia" w:eastAsiaTheme="minorEastAsia"/>
                <w:color w:val="auto"/>
                <w:sz w:val="21"/>
                <w:szCs w:val="21"/>
                <w:highlight w:val="none"/>
              </w:rPr>
              <w:t>天</w:t>
            </w:r>
          </w:p>
        </w:tc>
      </w:tr>
      <w:tr w14:paraId="202A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31" w:type="dxa"/>
            <w:vAlign w:val="center"/>
          </w:tcPr>
          <w:p w14:paraId="148C580C">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3.4.1</w:t>
            </w:r>
          </w:p>
        </w:tc>
        <w:tc>
          <w:tcPr>
            <w:tcW w:w="2163" w:type="dxa"/>
            <w:gridSpan w:val="2"/>
            <w:vAlign w:val="center"/>
          </w:tcPr>
          <w:p w14:paraId="3C345D0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谈判保证金</w:t>
            </w:r>
          </w:p>
        </w:tc>
        <w:tc>
          <w:tcPr>
            <w:tcW w:w="5145" w:type="dxa"/>
            <w:vAlign w:val="center"/>
          </w:tcPr>
          <w:p w14:paraId="340FBFA9">
            <w:pPr>
              <w:spacing w:line="288" w:lineRule="auto"/>
              <w:rPr>
                <w:rFonts w:hint="eastAsia" w:asciiTheme="minorEastAsia" w:hAnsiTheme="minorEastAsia" w:eastAsiaTheme="minorEastAsia"/>
                <w:color w:val="auto"/>
                <w:sz w:val="21"/>
                <w:szCs w:val="21"/>
                <w:highlight w:val="none"/>
                <w:u w:val="single"/>
                <w:lang w:val="en-US" w:eastAsia="zh-CN"/>
              </w:rPr>
            </w:pPr>
            <w:r>
              <w:rPr>
                <w:rFonts w:hint="eastAsia" w:asciiTheme="minorEastAsia" w:hAnsiTheme="minorEastAsia" w:eastAsiaTheme="minorEastAsia"/>
                <w:color w:val="auto"/>
                <w:sz w:val="21"/>
                <w:szCs w:val="21"/>
                <w:highlight w:val="none"/>
                <w:u w:val="single"/>
                <w:lang w:val="en-US" w:eastAsia="zh-CN"/>
              </w:rPr>
              <w:t>不收取</w:t>
            </w:r>
          </w:p>
        </w:tc>
      </w:tr>
      <w:tr w14:paraId="5080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031" w:type="dxa"/>
            <w:vAlign w:val="center"/>
          </w:tcPr>
          <w:p w14:paraId="35B7235A">
            <w:pPr>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3.5</w:t>
            </w:r>
          </w:p>
        </w:tc>
        <w:tc>
          <w:tcPr>
            <w:tcW w:w="2163" w:type="dxa"/>
            <w:gridSpan w:val="2"/>
            <w:vAlign w:val="center"/>
          </w:tcPr>
          <w:p w14:paraId="598F616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授权委托期限</w:t>
            </w:r>
          </w:p>
        </w:tc>
        <w:tc>
          <w:tcPr>
            <w:tcW w:w="5145" w:type="dxa"/>
            <w:vAlign w:val="center"/>
          </w:tcPr>
          <w:p w14:paraId="1BF8CB6D">
            <w:pPr>
              <w:spacing w:line="288" w:lineRule="auto"/>
              <w:rPr>
                <w:rFonts w:hint="eastAsia" w:asciiTheme="minorEastAsia" w:hAnsiTheme="minorEastAsia" w:eastAsiaTheme="minorEastAsia"/>
                <w:color w:val="auto"/>
                <w:sz w:val="21"/>
                <w:szCs w:val="21"/>
                <w:highlight w:val="none"/>
                <w:u w:val="single"/>
                <w:lang w:val="en-US" w:eastAsia="zh-CN"/>
              </w:rPr>
            </w:pPr>
            <w:r>
              <w:rPr>
                <w:rFonts w:hint="eastAsia" w:asciiTheme="minorEastAsia" w:hAnsiTheme="minorEastAsia" w:eastAsiaTheme="minorEastAsia"/>
                <w:color w:val="auto"/>
                <w:sz w:val="21"/>
                <w:szCs w:val="21"/>
                <w:highlight w:val="none"/>
                <w:u w:val="none"/>
                <w:lang w:val="en-US" w:eastAsia="zh-CN"/>
              </w:rPr>
              <w:t>授权委托期限要求从招标公告发布之日起开始计算，不得少于谈判有效期，并列明具体日期，且须在投标文件中体现出来</w:t>
            </w:r>
          </w:p>
        </w:tc>
      </w:tr>
      <w:tr w14:paraId="35F6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031" w:type="dxa"/>
            <w:vAlign w:val="center"/>
          </w:tcPr>
          <w:p w14:paraId="6698D4D7">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3.6</w:t>
            </w:r>
          </w:p>
        </w:tc>
        <w:tc>
          <w:tcPr>
            <w:tcW w:w="2163" w:type="dxa"/>
            <w:gridSpan w:val="2"/>
            <w:vAlign w:val="center"/>
          </w:tcPr>
          <w:p w14:paraId="5E6F361E">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是否允许递交备选谈判方案</w:t>
            </w:r>
          </w:p>
        </w:tc>
        <w:tc>
          <w:tcPr>
            <w:tcW w:w="5145" w:type="dxa"/>
            <w:vAlign w:val="center"/>
          </w:tcPr>
          <w:p w14:paraId="5613B73B">
            <w:pPr>
              <w:spacing w:line="288"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不允许</w:t>
            </w:r>
          </w:p>
        </w:tc>
      </w:tr>
      <w:tr w14:paraId="3DC6C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31" w:type="dxa"/>
            <w:vAlign w:val="center"/>
          </w:tcPr>
          <w:p w14:paraId="4AD2DB45">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3.7.3</w:t>
            </w:r>
          </w:p>
        </w:tc>
        <w:tc>
          <w:tcPr>
            <w:tcW w:w="2163" w:type="dxa"/>
            <w:gridSpan w:val="2"/>
            <w:vAlign w:val="center"/>
          </w:tcPr>
          <w:p w14:paraId="650883D0">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签字和（或）盖章要求</w:t>
            </w:r>
          </w:p>
        </w:tc>
        <w:tc>
          <w:tcPr>
            <w:tcW w:w="5145" w:type="dxa"/>
            <w:vAlign w:val="center"/>
          </w:tcPr>
          <w:p w14:paraId="44BE56E7">
            <w:pPr>
              <w:spacing w:line="288"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按照本项目谈判文件对谈判文件格式的要求，所有标明签字或盖章之处必须签字或盖章。</w:t>
            </w:r>
          </w:p>
        </w:tc>
      </w:tr>
      <w:tr w14:paraId="1F86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1" w:type="dxa"/>
            <w:vAlign w:val="center"/>
          </w:tcPr>
          <w:p w14:paraId="41817D40">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4.2.2</w:t>
            </w:r>
          </w:p>
        </w:tc>
        <w:tc>
          <w:tcPr>
            <w:tcW w:w="2163" w:type="dxa"/>
            <w:gridSpan w:val="2"/>
            <w:vAlign w:val="center"/>
          </w:tcPr>
          <w:p w14:paraId="6302E4C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递交谈判文件地点</w:t>
            </w:r>
          </w:p>
        </w:tc>
        <w:tc>
          <w:tcPr>
            <w:tcW w:w="5145" w:type="dxa"/>
            <w:vAlign w:val="center"/>
          </w:tcPr>
          <w:p w14:paraId="22D10DCC">
            <w:pPr>
              <w:spacing w:line="288" w:lineRule="auto"/>
              <w:rPr>
                <w:rFonts w:hint="eastAsia" w:asciiTheme="minorEastAsia" w:hAnsiTheme="minorEastAsia" w:eastAsiaTheme="minorEastAsia"/>
                <w:color w:val="auto"/>
                <w:sz w:val="21"/>
                <w:szCs w:val="21"/>
                <w:highlight w:val="none"/>
                <w:lang w:eastAsia="zh-CN"/>
              </w:rPr>
            </w:pPr>
            <w:r>
              <w:rPr>
                <w:rFonts w:hint="eastAsia"/>
                <w:color w:val="000000"/>
                <w:highlight w:val="none"/>
              </w:rPr>
              <w:t>商丘市公共资源交易中心</w:t>
            </w:r>
          </w:p>
        </w:tc>
      </w:tr>
      <w:tr w14:paraId="76E0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1" w:type="dxa"/>
            <w:vAlign w:val="center"/>
          </w:tcPr>
          <w:p w14:paraId="4E771FBA">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4.2.3</w:t>
            </w:r>
          </w:p>
        </w:tc>
        <w:tc>
          <w:tcPr>
            <w:tcW w:w="2163" w:type="dxa"/>
            <w:gridSpan w:val="2"/>
            <w:vAlign w:val="center"/>
          </w:tcPr>
          <w:p w14:paraId="204A787A">
            <w:pPr>
              <w:jc w:val="center"/>
              <w:rPr>
                <w:rFonts w:hint="eastAsia" w:asciiTheme="minorEastAsia" w:hAnsiTheme="minorEastAsia" w:eastAsiaTheme="minorEastAsia"/>
                <w:color w:val="000000"/>
                <w:sz w:val="21"/>
                <w:szCs w:val="21"/>
                <w:highlight w:val="none"/>
                <w:lang w:eastAsia="zh-CN"/>
              </w:rPr>
            </w:pPr>
            <w:r>
              <w:rPr>
                <w:rFonts w:hint="eastAsia" w:asciiTheme="minorEastAsia" w:hAnsiTheme="minorEastAsia" w:eastAsiaTheme="minorEastAsia"/>
                <w:color w:val="000000"/>
                <w:sz w:val="21"/>
                <w:szCs w:val="21"/>
                <w:highlight w:val="none"/>
              </w:rPr>
              <w:t>是否退还谈判</w:t>
            </w:r>
            <w:r>
              <w:rPr>
                <w:rFonts w:hint="eastAsia" w:asciiTheme="minorEastAsia" w:hAnsiTheme="minorEastAsia" w:eastAsiaTheme="minorEastAsia"/>
                <w:color w:val="000000"/>
                <w:sz w:val="21"/>
                <w:szCs w:val="21"/>
                <w:highlight w:val="none"/>
                <w:lang w:eastAsia="zh-CN"/>
              </w:rPr>
              <w:t>响应文件</w:t>
            </w:r>
          </w:p>
        </w:tc>
        <w:tc>
          <w:tcPr>
            <w:tcW w:w="5145" w:type="dxa"/>
            <w:vAlign w:val="center"/>
          </w:tcPr>
          <w:p w14:paraId="7B53109B">
            <w:pPr>
              <w:spacing w:line="288"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否</w:t>
            </w:r>
          </w:p>
        </w:tc>
      </w:tr>
      <w:tr w14:paraId="4A14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031" w:type="dxa"/>
            <w:vAlign w:val="center"/>
          </w:tcPr>
          <w:p w14:paraId="719567E8">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5.1</w:t>
            </w:r>
          </w:p>
        </w:tc>
        <w:tc>
          <w:tcPr>
            <w:tcW w:w="2163" w:type="dxa"/>
            <w:gridSpan w:val="2"/>
            <w:vAlign w:val="center"/>
          </w:tcPr>
          <w:p w14:paraId="795D3C7B">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谈判时间和地点</w:t>
            </w:r>
          </w:p>
        </w:tc>
        <w:tc>
          <w:tcPr>
            <w:tcW w:w="5145" w:type="dxa"/>
            <w:vAlign w:val="center"/>
          </w:tcPr>
          <w:p w14:paraId="590EA744">
            <w:pPr>
              <w:rPr>
                <w:rFonts w:hint="eastAsia"/>
                <w:color w:val="000000"/>
                <w:szCs w:val="21"/>
                <w:highlight w:val="none"/>
              </w:rPr>
            </w:pPr>
            <w:r>
              <w:rPr>
                <w:rFonts w:hint="eastAsia"/>
                <w:color w:val="000000"/>
                <w:szCs w:val="21"/>
                <w:highlight w:val="none"/>
              </w:rPr>
              <w:t>开标时间：详见公告</w:t>
            </w:r>
          </w:p>
          <w:p w14:paraId="064EFE66">
            <w:pPr>
              <w:spacing w:line="288" w:lineRule="auto"/>
              <w:rPr>
                <w:rFonts w:hint="eastAsia" w:asciiTheme="minorEastAsia" w:hAnsiTheme="minorEastAsia" w:eastAsiaTheme="minorEastAsia"/>
                <w:color w:val="000000"/>
                <w:sz w:val="21"/>
                <w:szCs w:val="21"/>
                <w:highlight w:val="none"/>
                <w:lang w:eastAsia="zh-CN"/>
              </w:rPr>
            </w:pPr>
            <w:r>
              <w:rPr>
                <w:rFonts w:hint="eastAsia"/>
                <w:color w:val="000000"/>
                <w:szCs w:val="21"/>
                <w:highlight w:val="none"/>
              </w:rPr>
              <w:t>开标地点：详见公告</w:t>
            </w:r>
          </w:p>
        </w:tc>
      </w:tr>
      <w:tr w14:paraId="2948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031" w:type="dxa"/>
            <w:vAlign w:val="center"/>
          </w:tcPr>
          <w:p w14:paraId="637AACD0">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5.2</w:t>
            </w:r>
          </w:p>
        </w:tc>
        <w:tc>
          <w:tcPr>
            <w:tcW w:w="2163" w:type="dxa"/>
            <w:gridSpan w:val="2"/>
            <w:vAlign w:val="center"/>
          </w:tcPr>
          <w:p w14:paraId="1B42069A">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谈判程序</w:t>
            </w:r>
          </w:p>
        </w:tc>
        <w:tc>
          <w:tcPr>
            <w:tcW w:w="5145" w:type="dxa"/>
            <w:vAlign w:val="center"/>
          </w:tcPr>
          <w:p w14:paraId="1FB1D276">
            <w:pPr>
              <w:spacing w:line="360" w:lineRule="exact"/>
              <w:rPr>
                <w:rFonts w:hint="eastAsia"/>
                <w:color w:val="000000"/>
                <w:highlight w:val="none"/>
                <w:lang w:val="en-US" w:eastAsia="zh-CN"/>
              </w:rPr>
            </w:pPr>
            <w:r>
              <w:rPr>
                <w:rFonts w:hint="eastAsia"/>
                <w:color w:val="000000"/>
                <w:highlight w:val="none"/>
                <w:lang w:val="en-US" w:eastAsia="zh-CN"/>
              </w:rPr>
              <w:t xml:space="preserve">(1) 采购代理机构将在开标时间前登录公共资源交易平台启动开标会，并按照开标准备-签到-开标-开标记录-开标结束的顺序组织本次开标活动。 </w:t>
            </w:r>
          </w:p>
          <w:p w14:paraId="22B42FD7">
            <w:pPr>
              <w:spacing w:line="360" w:lineRule="exact"/>
              <w:rPr>
                <w:rFonts w:hint="eastAsia"/>
                <w:color w:val="000000"/>
                <w:highlight w:val="none"/>
                <w:lang w:val="en-US" w:eastAsia="zh-CN"/>
              </w:rPr>
            </w:pPr>
            <w:r>
              <w:rPr>
                <w:rFonts w:hint="eastAsia"/>
                <w:color w:val="000000"/>
                <w:highlight w:val="none"/>
                <w:lang w:val="en-US" w:eastAsia="zh-CN"/>
              </w:rPr>
              <w:t xml:space="preserve">(2) 供应商网络签到。签到人和联系电话手动输入，此号码为在该项目开标评标过程中的消息接收号码，应保持畅通，输入完成后点击保存即签到成功。 </w:t>
            </w:r>
          </w:p>
          <w:p w14:paraId="12B52CDB">
            <w:pPr>
              <w:spacing w:line="360" w:lineRule="exact"/>
              <w:rPr>
                <w:rFonts w:hint="eastAsia"/>
                <w:color w:val="000000"/>
                <w:highlight w:val="none"/>
                <w:lang w:val="en-US" w:eastAsia="zh-CN"/>
              </w:rPr>
            </w:pPr>
            <w:r>
              <w:rPr>
                <w:rFonts w:hint="eastAsia"/>
                <w:color w:val="000000"/>
                <w:highlight w:val="none"/>
                <w:lang w:val="en-US" w:eastAsia="zh-CN"/>
              </w:rPr>
              <w:t xml:space="preserve">(3) 到达解密时间后，供应商应选择 CA 证书解密或应急解密对响应文件文件进行解密。 </w:t>
            </w:r>
          </w:p>
          <w:p w14:paraId="27B64717">
            <w:pPr>
              <w:spacing w:line="360" w:lineRule="exact"/>
              <w:rPr>
                <w:rFonts w:hint="eastAsia"/>
                <w:color w:val="000000"/>
                <w:highlight w:val="none"/>
                <w:lang w:val="en-US" w:eastAsia="zh-CN"/>
              </w:rPr>
            </w:pPr>
            <w:r>
              <w:rPr>
                <w:rFonts w:hint="eastAsia"/>
                <w:color w:val="000000"/>
                <w:highlight w:val="none"/>
                <w:lang w:val="en-US" w:eastAsia="zh-CN"/>
              </w:rPr>
              <w:t>(4) 统一导入解密文件、开标，生成电子开标记录。</w:t>
            </w:r>
          </w:p>
          <w:p w14:paraId="2825BE5E">
            <w:pPr>
              <w:spacing w:line="360" w:lineRule="exact"/>
              <w:rPr>
                <w:rFonts w:hint="eastAsia"/>
                <w:color w:val="000000"/>
                <w:highlight w:val="none"/>
                <w:lang w:val="en-US" w:eastAsia="zh-CN"/>
              </w:rPr>
            </w:pPr>
            <w:r>
              <w:rPr>
                <w:rFonts w:hint="eastAsia"/>
                <w:color w:val="000000"/>
                <w:highlight w:val="none"/>
                <w:lang w:val="en-US" w:eastAsia="zh-CN"/>
              </w:rPr>
              <w:t xml:space="preserve">(5) 采购人、监督人、记录人电子签章确认开标记录； </w:t>
            </w:r>
          </w:p>
          <w:p w14:paraId="46ED83B6">
            <w:pPr>
              <w:rPr>
                <w:rFonts w:hint="eastAsia"/>
                <w:color w:val="000000"/>
                <w:highlight w:val="none"/>
                <w:lang w:val="en-US" w:eastAsia="zh-CN"/>
              </w:rPr>
            </w:pPr>
            <w:r>
              <w:rPr>
                <w:rFonts w:hint="eastAsia"/>
                <w:color w:val="000000"/>
                <w:highlight w:val="none"/>
                <w:lang w:val="en-US" w:eastAsia="zh-CN"/>
              </w:rPr>
              <w:t>(6) 开标结束。</w:t>
            </w:r>
          </w:p>
          <w:p w14:paraId="4347E1A5">
            <w:pPr>
              <w:spacing w:line="288" w:lineRule="auto"/>
              <w:rPr>
                <w:rFonts w:asciiTheme="minorEastAsia" w:hAnsiTheme="minorEastAsia" w:eastAsiaTheme="minorEastAsia"/>
                <w:color w:val="000000"/>
                <w:sz w:val="21"/>
                <w:szCs w:val="21"/>
                <w:highlight w:val="none"/>
              </w:rPr>
            </w:pPr>
            <w:r>
              <w:rPr>
                <w:rFonts w:hint="eastAsia" w:hAnsi="宋体" w:cs="Times New Roman"/>
                <w:color w:val="000000"/>
                <w:sz w:val="21"/>
                <w:szCs w:val="21"/>
                <w:highlight w:val="none"/>
              </w:rPr>
              <w:t>（供应商在</w:t>
            </w:r>
            <w:r>
              <w:rPr>
                <w:rFonts w:hint="eastAsia" w:hAnsi="宋体" w:cs="Times New Roman"/>
                <w:color w:val="000000"/>
                <w:sz w:val="21"/>
                <w:szCs w:val="21"/>
                <w:highlight w:val="none"/>
                <w:lang w:eastAsia="zh-CN"/>
              </w:rPr>
              <w:t>交易系统中</w:t>
            </w:r>
            <w:r>
              <w:rPr>
                <w:rFonts w:hint="eastAsia" w:hAnsi="宋体" w:cs="Times New Roman"/>
                <w:color w:val="000000"/>
                <w:sz w:val="21"/>
                <w:szCs w:val="21"/>
                <w:highlight w:val="none"/>
              </w:rPr>
              <w:t>进行二次报价（最后报价），二次报价应不得高于第一次报价。）</w:t>
            </w:r>
          </w:p>
        </w:tc>
      </w:tr>
      <w:tr w14:paraId="14AB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031" w:type="dxa"/>
            <w:vAlign w:val="center"/>
          </w:tcPr>
          <w:p w14:paraId="6796B98B">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6.1.1</w:t>
            </w:r>
          </w:p>
        </w:tc>
        <w:tc>
          <w:tcPr>
            <w:tcW w:w="2163" w:type="dxa"/>
            <w:gridSpan w:val="2"/>
            <w:vAlign w:val="center"/>
          </w:tcPr>
          <w:p w14:paraId="41F0D65F">
            <w:pPr>
              <w:jc w:val="center"/>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谈判小组的组建</w:t>
            </w:r>
          </w:p>
        </w:tc>
        <w:tc>
          <w:tcPr>
            <w:tcW w:w="5145" w:type="dxa"/>
            <w:vAlign w:val="center"/>
          </w:tcPr>
          <w:p w14:paraId="2BCAB607">
            <w:pPr>
              <w:rPr>
                <w:rFonts w:hint="eastAsia" w:hAnsi="宋体" w:cs="宋体"/>
                <w:color w:val="000000"/>
                <w:kern w:val="0"/>
                <w:szCs w:val="21"/>
                <w:highlight w:val="none"/>
              </w:rPr>
            </w:pPr>
            <w:r>
              <w:rPr>
                <w:rFonts w:hint="eastAsia" w:hAnsi="宋体" w:cs="宋体"/>
                <w:color w:val="000000"/>
                <w:kern w:val="0"/>
                <w:szCs w:val="21"/>
                <w:highlight w:val="none"/>
              </w:rPr>
              <w:t>评标委员会构成：由</w:t>
            </w:r>
            <w:r>
              <w:rPr>
                <w:rFonts w:hint="eastAsia" w:hAnsi="宋体" w:cs="宋体"/>
                <w:color w:val="000000"/>
                <w:kern w:val="0"/>
                <w:szCs w:val="21"/>
                <w:highlight w:val="none"/>
                <w:lang w:val="en-US" w:eastAsia="zh-CN"/>
              </w:rPr>
              <w:t>采购人代表及</w:t>
            </w:r>
            <w:r>
              <w:rPr>
                <w:rFonts w:hint="eastAsia" w:hAnsi="宋体" w:cs="宋体"/>
                <w:color w:val="000000"/>
                <w:kern w:val="0"/>
                <w:szCs w:val="21"/>
                <w:highlight w:val="none"/>
              </w:rPr>
              <w:t>相关专业技术、经济等方面的专家</w:t>
            </w:r>
            <w:r>
              <w:rPr>
                <w:rFonts w:hint="eastAsia" w:hAnsi="宋体" w:cs="宋体"/>
                <w:color w:val="000000"/>
                <w:kern w:val="0"/>
                <w:szCs w:val="21"/>
                <w:highlight w:val="none"/>
                <w:lang w:val="en-US" w:eastAsia="zh-CN"/>
              </w:rPr>
              <w:t>3</w:t>
            </w:r>
            <w:r>
              <w:rPr>
                <w:rFonts w:hint="eastAsia" w:hAnsi="宋体" w:cs="宋体"/>
                <w:color w:val="000000"/>
                <w:kern w:val="0"/>
                <w:szCs w:val="21"/>
                <w:highlight w:val="none"/>
              </w:rPr>
              <w:t>人及以上组成；</w:t>
            </w:r>
          </w:p>
          <w:p w14:paraId="222695BB">
            <w:pPr>
              <w:spacing w:line="288" w:lineRule="auto"/>
              <w:rPr>
                <w:rFonts w:asciiTheme="minorEastAsia" w:hAnsiTheme="minorEastAsia" w:eastAsiaTheme="minorEastAsia"/>
                <w:color w:val="000000"/>
                <w:sz w:val="21"/>
                <w:szCs w:val="21"/>
                <w:highlight w:val="none"/>
              </w:rPr>
            </w:pPr>
            <w:r>
              <w:rPr>
                <w:rFonts w:hint="eastAsia" w:hAnsi="宋体" w:cs="宋体"/>
                <w:color w:val="000000"/>
                <w:kern w:val="0"/>
                <w:szCs w:val="21"/>
                <w:highlight w:val="none"/>
              </w:rPr>
              <w:t>评标专家确定方式：从</w:t>
            </w:r>
            <w:r>
              <w:rPr>
                <w:rFonts w:hint="eastAsia" w:hAnsi="宋体" w:cs="宋体"/>
                <w:color w:val="000000"/>
                <w:kern w:val="0"/>
                <w:szCs w:val="21"/>
                <w:highlight w:val="none"/>
                <w:lang w:eastAsia="zh-CN"/>
              </w:rPr>
              <w:t>相关</w:t>
            </w:r>
            <w:r>
              <w:rPr>
                <w:rFonts w:hint="eastAsia" w:hAnsi="宋体" w:cs="宋体"/>
                <w:color w:val="000000"/>
                <w:kern w:val="0"/>
                <w:szCs w:val="21"/>
                <w:highlight w:val="none"/>
              </w:rPr>
              <w:t>专家库中随机抽取。</w:t>
            </w:r>
          </w:p>
        </w:tc>
      </w:tr>
      <w:tr w14:paraId="482C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031" w:type="dxa"/>
            <w:vAlign w:val="center"/>
          </w:tcPr>
          <w:p w14:paraId="2B1554A2">
            <w:pPr>
              <w:autoSpaceDE w:val="0"/>
              <w:autoSpaceDN w:val="0"/>
              <w:adjustRightInd w:val="0"/>
              <w:jc w:val="center"/>
              <w:rPr>
                <w:rFonts w:hint="eastAsia" w:asciiTheme="minorEastAsia" w:hAnsiTheme="minorEastAsia" w:eastAsiaTheme="minorEastAsia"/>
                <w:color w:val="000000"/>
                <w:sz w:val="21"/>
                <w:szCs w:val="21"/>
                <w:highlight w:val="none"/>
              </w:rPr>
            </w:pPr>
            <w:r>
              <w:rPr>
                <w:color w:val="000000"/>
                <w:kern w:val="0"/>
                <w:szCs w:val="21"/>
                <w:highlight w:val="none"/>
              </w:rPr>
              <w:t>7.1</w:t>
            </w:r>
          </w:p>
        </w:tc>
        <w:tc>
          <w:tcPr>
            <w:tcW w:w="2163" w:type="dxa"/>
            <w:gridSpan w:val="2"/>
            <w:vAlign w:val="center"/>
          </w:tcPr>
          <w:p w14:paraId="358151F2">
            <w:pPr>
              <w:spacing w:line="360" w:lineRule="exact"/>
              <w:rPr>
                <w:rFonts w:hint="eastAsia" w:asciiTheme="minorEastAsia" w:hAnsiTheme="minorEastAsia" w:eastAsiaTheme="minorEastAsia"/>
                <w:color w:val="000000"/>
                <w:sz w:val="21"/>
                <w:szCs w:val="21"/>
                <w:highlight w:val="none"/>
              </w:rPr>
            </w:pPr>
            <w:r>
              <w:rPr>
                <w:rFonts w:hint="eastAsia" w:ascii="Times New Roman" w:hAnsi="Times New Roman" w:eastAsia="宋体" w:cs="Times New Roman"/>
                <w:color w:val="000000"/>
                <w:highlight w:val="none"/>
                <w:lang w:val="en-US" w:eastAsia="zh-CN"/>
              </w:rPr>
              <w:t>竞争性</w:t>
            </w:r>
            <w:r>
              <w:rPr>
                <w:rFonts w:hint="eastAsia" w:cs="Times New Roman"/>
                <w:color w:val="000000"/>
                <w:highlight w:val="none"/>
                <w:lang w:val="en-US" w:eastAsia="zh-CN"/>
              </w:rPr>
              <w:t>谈判</w:t>
            </w:r>
            <w:r>
              <w:rPr>
                <w:rFonts w:hint="eastAsia" w:ascii="Times New Roman" w:hAnsi="Times New Roman" w:eastAsia="宋体" w:cs="Times New Roman"/>
                <w:color w:val="000000"/>
                <w:highlight w:val="none"/>
                <w:lang w:val="en-US" w:eastAsia="zh-CN"/>
              </w:rPr>
              <w:t>小组推荐成交候选人数量</w:t>
            </w:r>
          </w:p>
        </w:tc>
        <w:tc>
          <w:tcPr>
            <w:tcW w:w="5145" w:type="dxa"/>
            <w:vAlign w:val="center"/>
          </w:tcPr>
          <w:p w14:paraId="21F412BF">
            <w:pPr>
              <w:spacing w:line="360" w:lineRule="exact"/>
              <w:rPr>
                <w:rFonts w:hint="eastAsia" w:hAnsi="宋体" w:cs="宋体"/>
                <w:color w:val="000000"/>
                <w:kern w:val="0"/>
                <w:szCs w:val="21"/>
                <w:highlight w:val="none"/>
              </w:rPr>
            </w:pPr>
            <w:r>
              <w:rPr>
                <w:rFonts w:hint="eastAsia" w:ascii="Times New Roman" w:hAnsi="Times New Roman" w:eastAsia="宋体" w:cs="Times New Roman"/>
                <w:color w:val="000000"/>
                <w:highlight w:val="none"/>
                <w:lang w:val="en-US" w:eastAsia="zh-CN"/>
              </w:rPr>
              <w:t>1-3名</w:t>
            </w:r>
          </w:p>
        </w:tc>
      </w:tr>
      <w:tr w14:paraId="72B6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031" w:type="dxa"/>
            <w:vAlign w:val="center"/>
          </w:tcPr>
          <w:p w14:paraId="7F034936">
            <w:pPr>
              <w:autoSpaceDE w:val="0"/>
              <w:autoSpaceDN w:val="0"/>
              <w:adjustRightInd w:val="0"/>
              <w:jc w:val="center"/>
              <w:rPr>
                <w:rFonts w:hint="eastAsia" w:asciiTheme="minorEastAsia" w:hAnsiTheme="minorEastAsia" w:eastAsiaTheme="minorEastAsia"/>
                <w:color w:val="000000"/>
                <w:sz w:val="21"/>
                <w:szCs w:val="21"/>
                <w:highlight w:val="none"/>
              </w:rPr>
            </w:pPr>
            <w:r>
              <w:rPr>
                <w:rFonts w:hint="eastAsia"/>
                <w:color w:val="000000"/>
                <w:kern w:val="0"/>
                <w:szCs w:val="21"/>
                <w:highlight w:val="none"/>
                <w:lang w:val="en-US" w:eastAsia="zh-CN"/>
              </w:rPr>
              <w:t>8.1</w:t>
            </w:r>
          </w:p>
        </w:tc>
        <w:tc>
          <w:tcPr>
            <w:tcW w:w="2163" w:type="dxa"/>
            <w:gridSpan w:val="2"/>
            <w:vAlign w:val="center"/>
          </w:tcPr>
          <w:p w14:paraId="658A788B">
            <w:pPr>
              <w:autoSpaceDE w:val="0"/>
              <w:autoSpaceDN w:val="0"/>
              <w:adjustRightInd w:val="0"/>
              <w:spacing w:line="360" w:lineRule="exact"/>
              <w:ind w:left="105" w:leftChars="50" w:right="105" w:rightChars="50"/>
              <w:jc w:val="center"/>
              <w:rPr>
                <w:rFonts w:hint="eastAsia" w:asciiTheme="minorEastAsia" w:hAnsiTheme="minorEastAsia" w:eastAsiaTheme="minorEastAsia"/>
                <w:color w:val="000000"/>
                <w:sz w:val="21"/>
                <w:szCs w:val="21"/>
                <w:highlight w:val="none"/>
              </w:rPr>
            </w:pPr>
            <w:r>
              <w:rPr>
                <w:rFonts w:hint="eastAsia" w:ascii="Times New Roman" w:hAnsi="Times New Roman" w:eastAsia="宋体" w:cs="Times New Roman"/>
                <w:color w:val="000000"/>
                <w:highlight w:val="none"/>
                <w:lang w:val="en-US" w:eastAsia="zh-CN"/>
              </w:rPr>
              <w:t>预付款</w:t>
            </w:r>
          </w:p>
        </w:tc>
        <w:tc>
          <w:tcPr>
            <w:tcW w:w="5145" w:type="dxa"/>
            <w:vAlign w:val="center"/>
          </w:tcPr>
          <w:p w14:paraId="46B271AD">
            <w:pPr>
              <w:wordWrap/>
              <w:topLinePunct w:val="0"/>
              <w:spacing w:line="360" w:lineRule="auto"/>
              <w:rPr>
                <w:rFonts w:hint="eastAsia"/>
                <w:color w:val="000000"/>
                <w:highlight w:val="none"/>
              </w:rPr>
            </w:pPr>
            <w:r>
              <w:rPr>
                <w:rFonts w:hint="eastAsia"/>
                <w:color w:val="000000"/>
                <w:highlight w:val="none"/>
              </w:rPr>
              <w:t>预付款金额：中标金额的</w:t>
            </w:r>
            <w:r>
              <w:rPr>
                <w:rFonts w:hint="eastAsia"/>
                <w:color w:val="000000"/>
                <w:highlight w:val="none"/>
                <w:lang w:val="en-US" w:eastAsia="zh-CN"/>
              </w:rPr>
              <w:t>6</w:t>
            </w:r>
            <w:r>
              <w:rPr>
                <w:rFonts w:hint="eastAsia"/>
                <w:color w:val="000000"/>
                <w:highlight w:val="none"/>
              </w:rPr>
              <w:t>0%</w:t>
            </w:r>
          </w:p>
          <w:p w14:paraId="32592E0E">
            <w:pPr>
              <w:wordWrap/>
              <w:topLinePunct w:val="0"/>
              <w:spacing w:line="360" w:lineRule="auto"/>
              <w:rPr>
                <w:rFonts w:hint="eastAsia" w:ascii="MS Mincho" w:hAnsi="MS Mincho" w:cs="MS Mincho"/>
                <w:color w:val="000000"/>
                <w:highlight w:val="none"/>
              </w:rPr>
            </w:pPr>
            <w:r>
              <w:rPr>
                <w:rFonts w:hint="eastAsia"/>
                <w:color w:val="000000"/>
                <w:highlight w:val="none"/>
              </w:rPr>
              <w:t>是否要求中标单位提供预付款保函：是□、否</w:t>
            </w:r>
            <w:r>
              <w:rPr>
                <w:rFonts w:hint="eastAsia" w:ascii="MS Mincho" w:hAnsi="MS Mincho" w:eastAsia="MS Mincho" w:cs="MS Mincho"/>
                <w:color w:val="000000"/>
                <w:highlight w:val="none"/>
              </w:rPr>
              <w:t>☑</w:t>
            </w:r>
          </w:p>
          <w:p w14:paraId="387CA1D1">
            <w:pPr>
              <w:autoSpaceDE w:val="0"/>
              <w:autoSpaceDN w:val="0"/>
              <w:adjustRightInd w:val="0"/>
              <w:spacing w:line="360" w:lineRule="exact"/>
              <w:ind w:right="105" w:rightChars="50"/>
              <w:rPr>
                <w:rFonts w:hint="eastAsia" w:hAnsi="宋体" w:cs="宋体"/>
                <w:color w:val="000000"/>
                <w:kern w:val="0"/>
                <w:szCs w:val="21"/>
                <w:highlight w:val="none"/>
              </w:rPr>
            </w:pPr>
            <w:r>
              <w:rPr>
                <w:rFonts w:hint="eastAsia" w:ascii="MS Mincho" w:hAnsi="MS Mincho" w:cs="MS Mincho"/>
                <w:color w:val="000000"/>
                <w:highlight w:val="none"/>
              </w:rPr>
              <w:t>电子预付款保函开具：请通过商丘市公共资源交易中心电子保函平台全程网上办理，实现保函信息与项目关联绑定、自动验真，具体操作参照商丘市公共资源交易中心2020年9月30日发布的《关于推行电子预付款保函和履约保函的公告》</w:t>
            </w:r>
          </w:p>
        </w:tc>
      </w:tr>
      <w:tr w14:paraId="68F9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031" w:type="dxa"/>
            <w:vAlign w:val="center"/>
          </w:tcPr>
          <w:p w14:paraId="5176B60A">
            <w:pPr>
              <w:autoSpaceDE w:val="0"/>
              <w:autoSpaceDN w:val="0"/>
              <w:adjustRightInd w:val="0"/>
              <w:jc w:val="center"/>
              <w:rPr>
                <w:rFonts w:hint="eastAsia" w:asciiTheme="minorEastAsia" w:hAnsiTheme="minorEastAsia" w:eastAsiaTheme="minorEastAsia"/>
                <w:color w:val="000000"/>
                <w:sz w:val="21"/>
                <w:szCs w:val="21"/>
                <w:highlight w:val="none"/>
              </w:rPr>
            </w:pPr>
            <w:r>
              <w:rPr>
                <w:rFonts w:hint="eastAsia"/>
                <w:color w:val="000000"/>
                <w:kern w:val="0"/>
                <w:szCs w:val="21"/>
                <w:highlight w:val="none"/>
                <w:lang w:val="en-US" w:eastAsia="zh-CN"/>
              </w:rPr>
              <w:t>9.1</w:t>
            </w:r>
          </w:p>
        </w:tc>
        <w:tc>
          <w:tcPr>
            <w:tcW w:w="2163" w:type="dxa"/>
            <w:gridSpan w:val="2"/>
            <w:vAlign w:val="center"/>
          </w:tcPr>
          <w:p w14:paraId="374C0AE4">
            <w:pPr>
              <w:spacing w:line="360" w:lineRule="exact"/>
              <w:jc w:val="center"/>
              <w:rPr>
                <w:rFonts w:hint="eastAsia" w:asciiTheme="minorEastAsia" w:hAnsiTheme="minorEastAsia" w:eastAsiaTheme="minorEastAsia"/>
                <w:color w:val="000000"/>
                <w:sz w:val="21"/>
                <w:szCs w:val="21"/>
                <w:highlight w:val="none"/>
              </w:rPr>
            </w:pPr>
            <w:r>
              <w:rPr>
                <w:rFonts w:hint="eastAsia" w:ascii="宋体" w:hAnsi="宋体"/>
                <w:color w:val="000000"/>
                <w:sz w:val="21"/>
                <w:szCs w:val="21"/>
                <w:highlight w:val="none"/>
              </w:rPr>
              <w:t>知识产权</w:t>
            </w:r>
          </w:p>
        </w:tc>
        <w:tc>
          <w:tcPr>
            <w:tcW w:w="5145" w:type="dxa"/>
            <w:vAlign w:val="center"/>
          </w:tcPr>
          <w:p w14:paraId="7CB793C1">
            <w:pPr>
              <w:spacing w:line="360" w:lineRule="exact"/>
              <w:ind w:right="105" w:rightChars="50"/>
              <w:rPr>
                <w:rFonts w:hint="eastAsia"/>
                <w:color w:val="000000"/>
                <w:highlight w:val="none"/>
              </w:rPr>
            </w:pPr>
            <w:r>
              <w:rPr>
                <w:rFonts w:hint="eastAsia"/>
                <w:color w:val="000000"/>
                <w:highlight w:val="none"/>
              </w:rPr>
              <w:t>构成本竞争性</w:t>
            </w:r>
            <w:r>
              <w:rPr>
                <w:rFonts w:hint="eastAsia"/>
                <w:color w:val="000000"/>
                <w:highlight w:val="none"/>
                <w:lang w:eastAsia="zh-CN"/>
              </w:rPr>
              <w:t>谈判</w:t>
            </w:r>
            <w:r>
              <w:rPr>
                <w:rFonts w:hint="eastAsia"/>
                <w:color w:val="000000"/>
                <w:highlight w:val="none"/>
              </w:rPr>
              <w:t>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p w14:paraId="39416866">
            <w:pPr>
              <w:pStyle w:val="37"/>
              <w:rPr>
                <w:rFonts w:hint="eastAsia" w:hAnsi="宋体" w:cs="宋体"/>
                <w:color w:val="000000"/>
                <w:kern w:val="0"/>
                <w:szCs w:val="21"/>
                <w:highlight w:val="none"/>
              </w:rPr>
            </w:pPr>
            <w:r>
              <w:rPr>
                <w:rFonts w:hint="eastAsia" w:hAnsi="宋体" w:cs="Times New Roman"/>
                <w:color w:val="000000"/>
                <w:sz w:val="21"/>
                <w:szCs w:val="21"/>
                <w:highlight w:val="none"/>
              </w:rPr>
              <w:t>其他未尽事宜符合相关法律法规。本竞争性</w:t>
            </w:r>
            <w:r>
              <w:rPr>
                <w:rFonts w:hint="eastAsia" w:hAnsi="宋体" w:cs="Times New Roman"/>
                <w:color w:val="000000"/>
                <w:sz w:val="21"/>
                <w:szCs w:val="21"/>
                <w:highlight w:val="none"/>
                <w:lang w:eastAsia="zh-CN"/>
              </w:rPr>
              <w:t>谈判</w:t>
            </w:r>
            <w:r>
              <w:rPr>
                <w:rFonts w:hint="eastAsia" w:hAnsi="宋体" w:cs="Times New Roman"/>
                <w:color w:val="000000"/>
                <w:sz w:val="21"/>
                <w:szCs w:val="21"/>
                <w:highlight w:val="none"/>
              </w:rPr>
              <w:t>文件解释权归采购人所有。</w:t>
            </w:r>
          </w:p>
        </w:tc>
      </w:tr>
      <w:tr w14:paraId="4522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9" w:type="dxa"/>
            <w:gridSpan w:val="4"/>
            <w:vAlign w:val="center"/>
          </w:tcPr>
          <w:p w14:paraId="4883B3EB">
            <w:pPr>
              <w:spacing w:line="312" w:lineRule="auto"/>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10.  需要补充的其他内容</w:t>
            </w:r>
          </w:p>
        </w:tc>
      </w:tr>
      <w:tr w14:paraId="152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07" w:type="dxa"/>
            <w:gridSpan w:val="2"/>
            <w:vAlign w:val="center"/>
          </w:tcPr>
          <w:p w14:paraId="02FCC1A0">
            <w:pPr>
              <w:spacing w:line="440" w:lineRule="exact"/>
              <w:ind w:right="113" w:rightChars="0"/>
              <w:jc w:val="center"/>
              <w:rPr>
                <w:rFonts w:asciiTheme="minorEastAsia" w:hAnsiTheme="minorEastAsia" w:eastAsiaTheme="minorEastAsia"/>
                <w:color w:val="auto"/>
                <w:sz w:val="21"/>
                <w:szCs w:val="21"/>
                <w:highlight w:val="none"/>
              </w:rPr>
            </w:pPr>
            <w:r>
              <w:rPr>
                <w:rFonts w:hint="eastAsia" w:ascii="宋体" w:hAnsi="宋体"/>
                <w:color w:val="000000"/>
                <w:highlight w:val="none"/>
                <w:lang w:val="en-US" w:eastAsia="zh-CN"/>
              </w:rPr>
              <w:t>10.1</w:t>
            </w:r>
            <w:r>
              <w:rPr>
                <w:rFonts w:ascii="宋体" w:hAnsi="宋体"/>
                <w:color w:val="000000"/>
                <w:highlight w:val="none"/>
              </w:rPr>
              <w:t>是否采用电子招标投标</w:t>
            </w:r>
          </w:p>
        </w:tc>
        <w:tc>
          <w:tcPr>
            <w:tcW w:w="6032" w:type="dxa"/>
            <w:gridSpan w:val="2"/>
            <w:vAlign w:val="center"/>
          </w:tcPr>
          <w:p w14:paraId="4835B1C3">
            <w:pPr>
              <w:spacing w:line="440" w:lineRule="exact"/>
              <w:ind w:right="113" w:rightChars="0"/>
              <w:rPr>
                <w:rFonts w:asciiTheme="minorEastAsia" w:hAnsiTheme="minorEastAsia" w:eastAsiaTheme="minorEastAsia"/>
                <w:b/>
                <w:color w:val="auto"/>
                <w:sz w:val="21"/>
                <w:szCs w:val="21"/>
                <w:highlight w:val="none"/>
              </w:rPr>
            </w:pPr>
            <w:r>
              <w:rPr>
                <w:rFonts w:ascii="宋体" w:hAnsi="宋体"/>
                <w:color w:val="000000"/>
                <w:highlight w:val="none"/>
              </w:rPr>
              <w:t>本招标项目采用电子招标投标方式</w:t>
            </w:r>
          </w:p>
        </w:tc>
      </w:tr>
      <w:tr w14:paraId="1228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07" w:type="dxa"/>
            <w:gridSpan w:val="2"/>
            <w:vAlign w:val="center"/>
          </w:tcPr>
          <w:p w14:paraId="4D19908A">
            <w:pPr>
              <w:spacing w:line="440" w:lineRule="exact"/>
              <w:ind w:right="113" w:rightChars="0"/>
              <w:jc w:val="center"/>
              <w:rPr>
                <w:rFonts w:hint="default" w:asciiTheme="minorEastAsia" w:hAnsiTheme="minorEastAsia" w:eastAsiaTheme="minorEastAsia"/>
                <w:color w:val="auto"/>
                <w:sz w:val="21"/>
                <w:szCs w:val="21"/>
                <w:highlight w:val="none"/>
                <w:lang w:val="en-US" w:eastAsia="zh-CN"/>
              </w:rPr>
            </w:pPr>
            <w:r>
              <w:rPr>
                <w:rFonts w:hint="eastAsia" w:ascii="宋体" w:hAnsi="宋体"/>
                <w:color w:val="000000"/>
                <w:szCs w:val="21"/>
                <w:highlight w:val="none"/>
                <w:lang w:val="en-US" w:eastAsia="zh-CN"/>
              </w:rPr>
              <w:t>10.2</w:t>
            </w:r>
            <w:r>
              <w:rPr>
                <w:rFonts w:hint="eastAsia" w:ascii="宋体" w:hAnsi="宋体"/>
                <w:color w:val="000000"/>
                <w:szCs w:val="21"/>
                <w:highlight w:val="none"/>
                <w:lang w:eastAsia="zh-CN"/>
              </w:rPr>
              <w:t>响应</w:t>
            </w:r>
            <w:r>
              <w:rPr>
                <w:rFonts w:hint="eastAsia" w:ascii="宋体" w:hAnsi="宋体"/>
                <w:color w:val="000000"/>
                <w:szCs w:val="21"/>
                <w:highlight w:val="none"/>
              </w:rPr>
              <w:t>文件</w:t>
            </w:r>
            <w:r>
              <w:rPr>
                <w:rFonts w:ascii="宋体" w:hAnsi="宋体"/>
                <w:color w:val="000000"/>
                <w:szCs w:val="21"/>
                <w:highlight w:val="none"/>
              </w:rPr>
              <w:t>递交</w:t>
            </w:r>
          </w:p>
        </w:tc>
        <w:tc>
          <w:tcPr>
            <w:tcW w:w="6032" w:type="dxa"/>
            <w:gridSpan w:val="2"/>
            <w:vAlign w:val="center"/>
          </w:tcPr>
          <w:p w14:paraId="7F36DC06">
            <w:pPr>
              <w:autoSpaceDE w:val="0"/>
              <w:autoSpaceDN w:val="0"/>
              <w:adjustRightInd w:val="0"/>
              <w:snapToGrid w:val="0"/>
              <w:spacing w:before="50" w:line="440" w:lineRule="exact"/>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在</w:t>
            </w:r>
            <w:r>
              <w:rPr>
                <w:rFonts w:hint="eastAsia" w:ascii="宋体" w:hAnsi="宋体" w:cs="宋体"/>
                <w:bCs/>
                <w:color w:val="000000"/>
                <w:spacing w:val="1"/>
                <w:kern w:val="0"/>
                <w:szCs w:val="21"/>
                <w:highlight w:val="none"/>
                <w:lang w:eastAsia="zh-CN"/>
              </w:rPr>
              <w:t>响应文件</w:t>
            </w:r>
            <w:r>
              <w:rPr>
                <w:rFonts w:ascii="宋体" w:hAnsi="宋体" w:cs="宋体"/>
                <w:bCs/>
                <w:color w:val="000000"/>
                <w:spacing w:val="1"/>
                <w:kern w:val="0"/>
                <w:szCs w:val="21"/>
                <w:highlight w:val="none"/>
              </w:rPr>
              <w:t>递交截止时间前，使用</w:t>
            </w:r>
            <w:r>
              <w:rPr>
                <w:rFonts w:hint="eastAsia" w:ascii="宋体" w:hAnsi="宋体" w:cs="宋体"/>
                <w:bCs/>
                <w:color w:val="000000"/>
                <w:spacing w:val="1"/>
                <w:kern w:val="0"/>
                <w:szCs w:val="21"/>
                <w:highlight w:val="none"/>
              </w:rPr>
              <w:t>CA锁</w:t>
            </w:r>
            <w:r>
              <w:rPr>
                <w:rFonts w:ascii="宋体" w:hAnsi="宋体" w:cs="宋体"/>
                <w:bCs/>
                <w:color w:val="000000"/>
                <w:spacing w:val="1"/>
                <w:kern w:val="0"/>
                <w:szCs w:val="21"/>
                <w:highlight w:val="none"/>
              </w:rPr>
              <w:t>登录</w:t>
            </w:r>
            <w:r>
              <w:rPr>
                <w:rFonts w:hint="eastAsia" w:ascii="宋体" w:hAnsi="宋体" w:cs="宋体"/>
                <w:bCs/>
                <w:color w:val="000000"/>
                <w:spacing w:val="1"/>
                <w:kern w:val="0"/>
                <w:szCs w:val="21"/>
                <w:highlight w:val="none"/>
              </w:rPr>
              <w:t>后</w:t>
            </w:r>
            <w:r>
              <w:rPr>
                <w:rFonts w:ascii="宋体" w:hAnsi="宋体" w:cs="宋体"/>
                <w:bCs/>
                <w:color w:val="000000"/>
                <w:spacing w:val="1"/>
                <w:kern w:val="0"/>
                <w:szCs w:val="21"/>
                <w:highlight w:val="none"/>
              </w:rPr>
              <w:t>，将已</w:t>
            </w:r>
            <w:r>
              <w:rPr>
                <w:rFonts w:hint="eastAsia" w:ascii="宋体" w:hAnsi="宋体" w:cs="宋体"/>
                <w:bCs/>
                <w:color w:val="000000"/>
                <w:spacing w:val="1"/>
                <w:kern w:val="0"/>
                <w:szCs w:val="21"/>
                <w:highlight w:val="none"/>
              </w:rPr>
              <w:t>固化</w:t>
            </w:r>
            <w:r>
              <w:rPr>
                <w:rFonts w:ascii="宋体" w:hAnsi="宋体" w:cs="宋体"/>
                <w:bCs/>
                <w:color w:val="000000"/>
                <w:spacing w:val="1"/>
                <w:kern w:val="0"/>
                <w:szCs w:val="21"/>
                <w:highlight w:val="none"/>
              </w:rPr>
              <w:t>加密的电子</w:t>
            </w:r>
            <w:r>
              <w:rPr>
                <w:rFonts w:hint="eastAsia" w:ascii="宋体" w:hAnsi="宋体" w:cs="宋体"/>
                <w:bCs/>
                <w:color w:val="000000"/>
                <w:spacing w:val="1"/>
                <w:kern w:val="0"/>
                <w:szCs w:val="21"/>
                <w:highlight w:val="none"/>
                <w:lang w:eastAsia="zh-CN"/>
              </w:rPr>
              <w:t>响应文件</w:t>
            </w:r>
            <w:r>
              <w:rPr>
                <w:rFonts w:ascii="宋体" w:hAnsi="宋体" w:cs="宋体"/>
                <w:bCs/>
                <w:color w:val="000000"/>
                <w:spacing w:val="1"/>
                <w:kern w:val="0"/>
                <w:szCs w:val="21"/>
                <w:highlight w:val="none"/>
              </w:rPr>
              <w:t>通过网上递交的方式</w:t>
            </w:r>
            <w:r>
              <w:rPr>
                <w:rFonts w:hint="eastAsia" w:ascii="宋体" w:hAnsi="宋体" w:cs="宋体"/>
                <w:bCs/>
                <w:color w:val="000000"/>
                <w:spacing w:val="1"/>
                <w:kern w:val="0"/>
                <w:szCs w:val="21"/>
                <w:highlight w:val="none"/>
              </w:rPr>
              <w:t>在</w:t>
            </w:r>
            <w:r>
              <w:rPr>
                <w:rFonts w:ascii="宋体" w:hAnsi="宋体" w:cs="宋体"/>
                <w:bCs/>
                <w:color w:val="000000"/>
                <w:spacing w:val="1"/>
                <w:kern w:val="0"/>
                <w:szCs w:val="21"/>
                <w:highlight w:val="none"/>
              </w:rPr>
              <w:t>投标专区自行递交，并确保递交成功（</w:t>
            </w:r>
            <w:r>
              <w:rPr>
                <w:rFonts w:hint="eastAsia" w:ascii="宋体" w:hAnsi="宋体" w:cs="宋体"/>
                <w:bCs/>
                <w:color w:val="000000"/>
                <w:spacing w:val="1"/>
                <w:kern w:val="0"/>
                <w:szCs w:val="21"/>
                <w:highlight w:val="none"/>
              </w:rPr>
              <w:t>为</w:t>
            </w:r>
            <w:r>
              <w:rPr>
                <w:rFonts w:ascii="宋体" w:hAnsi="宋体" w:cs="宋体"/>
                <w:bCs/>
                <w:color w:val="000000"/>
                <w:spacing w:val="1"/>
                <w:kern w:val="0"/>
                <w:szCs w:val="21"/>
                <w:highlight w:val="none"/>
              </w:rPr>
              <w:t>保证文件正常递交，请</w:t>
            </w:r>
            <w:r>
              <w:rPr>
                <w:rFonts w:hint="eastAsia" w:ascii="宋体" w:hAnsi="宋体" w:cs="宋体"/>
                <w:bCs/>
                <w:color w:val="000000"/>
                <w:spacing w:val="1"/>
                <w:kern w:val="0"/>
                <w:szCs w:val="21"/>
                <w:highlight w:val="none"/>
                <w:lang w:eastAsia="zh-CN"/>
              </w:rPr>
              <w:t>供应商</w:t>
            </w:r>
            <w:r>
              <w:rPr>
                <w:rFonts w:ascii="宋体" w:hAnsi="宋体" w:cs="宋体"/>
                <w:bCs/>
                <w:color w:val="000000"/>
                <w:spacing w:val="1"/>
                <w:kern w:val="0"/>
                <w:szCs w:val="21"/>
                <w:highlight w:val="none"/>
              </w:rPr>
              <w:t>错峰上传，详细操作可参阅办事</w:t>
            </w:r>
            <w:r>
              <w:rPr>
                <w:rFonts w:hint="eastAsia" w:ascii="宋体" w:hAnsi="宋体" w:cs="宋体"/>
                <w:bCs/>
                <w:color w:val="000000"/>
                <w:spacing w:val="1"/>
                <w:kern w:val="0"/>
                <w:szCs w:val="21"/>
                <w:highlight w:val="none"/>
              </w:rPr>
              <w:t>服务---操作</w:t>
            </w:r>
            <w:r>
              <w:rPr>
                <w:rFonts w:ascii="宋体" w:hAnsi="宋体" w:cs="宋体"/>
                <w:bCs/>
                <w:color w:val="000000"/>
                <w:spacing w:val="1"/>
                <w:kern w:val="0"/>
                <w:szCs w:val="21"/>
                <w:highlight w:val="none"/>
              </w:rPr>
              <w:t>指南</w:t>
            </w:r>
            <w:r>
              <w:rPr>
                <w:rFonts w:hint="eastAsia" w:ascii="宋体" w:hAnsi="宋体" w:cs="宋体"/>
                <w:bCs/>
                <w:color w:val="000000"/>
                <w:spacing w:val="1"/>
                <w:kern w:val="0"/>
                <w:szCs w:val="21"/>
                <w:highlight w:val="none"/>
              </w:rPr>
              <w:t>---投标</w:t>
            </w:r>
            <w:r>
              <w:rPr>
                <w:rFonts w:ascii="宋体" w:hAnsi="宋体" w:cs="宋体"/>
                <w:bCs/>
                <w:color w:val="000000"/>
                <w:spacing w:val="1"/>
                <w:kern w:val="0"/>
                <w:szCs w:val="21"/>
                <w:highlight w:val="none"/>
              </w:rPr>
              <w:t>阶段）。</w:t>
            </w:r>
          </w:p>
          <w:p w14:paraId="1C73433A">
            <w:pPr>
              <w:autoSpaceDE w:val="0"/>
              <w:autoSpaceDN w:val="0"/>
              <w:adjustRightInd w:val="0"/>
              <w:snapToGrid w:val="0"/>
              <w:spacing w:before="50" w:line="440" w:lineRule="exact"/>
              <w:jc w:val="left"/>
              <w:rPr>
                <w:rFonts w:hint="eastAsia" w:asciiTheme="minorEastAsia" w:hAnsiTheme="minorEastAsia" w:eastAsiaTheme="minorEastAsia"/>
                <w:b/>
                <w:color w:val="auto"/>
                <w:sz w:val="21"/>
                <w:szCs w:val="21"/>
                <w:highlight w:val="none"/>
                <w:lang w:val="en-US" w:eastAsia="zh-CN"/>
              </w:rPr>
            </w:pPr>
            <w:r>
              <w:rPr>
                <w:rFonts w:ascii="宋体" w:hAnsi="宋体" w:cs="宋体"/>
                <w:bCs/>
                <w:color w:val="000000"/>
                <w:spacing w:val="1"/>
                <w:kern w:val="0"/>
                <w:szCs w:val="21"/>
                <w:highlight w:val="none"/>
              </w:rPr>
              <w:t>GEF</w:t>
            </w:r>
            <w:r>
              <w:rPr>
                <w:rFonts w:hint="eastAsia" w:ascii="宋体" w:hAnsi="宋体" w:cs="宋体"/>
                <w:bCs/>
                <w:color w:val="000000"/>
                <w:spacing w:val="1"/>
                <w:kern w:val="0"/>
                <w:szCs w:val="21"/>
                <w:highlight w:val="none"/>
              </w:rPr>
              <w:t>格式电子</w:t>
            </w:r>
            <w:r>
              <w:rPr>
                <w:rFonts w:hint="eastAsia" w:ascii="宋体" w:hAnsi="宋体" w:cs="宋体"/>
                <w:bCs/>
                <w:color w:val="000000"/>
                <w:spacing w:val="1"/>
                <w:kern w:val="0"/>
                <w:szCs w:val="21"/>
                <w:highlight w:val="none"/>
                <w:lang w:eastAsia="zh-CN"/>
              </w:rPr>
              <w:t>响应文件</w:t>
            </w:r>
            <w:r>
              <w:rPr>
                <w:rFonts w:ascii="宋体" w:hAnsi="宋体" w:cs="宋体"/>
                <w:bCs/>
                <w:color w:val="000000"/>
                <w:spacing w:val="1"/>
                <w:kern w:val="0"/>
                <w:szCs w:val="21"/>
                <w:highlight w:val="none"/>
              </w:rPr>
              <w:t>的</w:t>
            </w:r>
            <w:r>
              <w:rPr>
                <w:rFonts w:hint="eastAsia" w:ascii="宋体" w:hAnsi="宋体" w:cs="宋体"/>
                <w:bCs/>
                <w:color w:val="000000"/>
                <w:spacing w:val="1"/>
                <w:kern w:val="0"/>
                <w:szCs w:val="21"/>
                <w:highlight w:val="none"/>
              </w:rPr>
              <w:t>制作</w:t>
            </w:r>
            <w:r>
              <w:rPr>
                <w:rFonts w:ascii="宋体" w:hAnsi="宋体" w:cs="宋体"/>
                <w:bCs/>
                <w:color w:val="000000"/>
                <w:spacing w:val="1"/>
                <w:kern w:val="0"/>
                <w:szCs w:val="21"/>
                <w:highlight w:val="none"/>
              </w:rPr>
              <w:t>具体参阅商丘市公共资源交易中心网站下载专区</w:t>
            </w:r>
            <w:r>
              <w:rPr>
                <w:rFonts w:hint="eastAsia" w:ascii="宋体" w:hAnsi="宋体" w:cs="宋体"/>
                <w:bCs/>
                <w:color w:val="000000"/>
                <w:spacing w:val="1"/>
                <w:kern w:val="0"/>
                <w:szCs w:val="21"/>
                <w:highlight w:val="none"/>
                <w:lang w:eastAsia="zh-CN"/>
              </w:rPr>
              <w:t>响应文件</w:t>
            </w:r>
            <w:r>
              <w:rPr>
                <w:rFonts w:ascii="宋体" w:hAnsi="宋体" w:cs="宋体"/>
                <w:bCs/>
                <w:color w:val="000000"/>
                <w:spacing w:val="1"/>
                <w:kern w:val="0"/>
                <w:szCs w:val="21"/>
                <w:highlight w:val="none"/>
              </w:rPr>
              <w:t>生成器的操作指南</w:t>
            </w:r>
            <w:r>
              <w:rPr>
                <w:rFonts w:hint="eastAsia" w:ascii="宋体" w:hAnsi="宋体" w:cs="宋体"/>
                <w:bCs/>
                <w:color w:val="000000"/>
                <w:spacing w:val="1"/>
                <w:kern w:val="0"/>
                <w:szCs w:val="21"/>
                <w:highlight w:val="none"/>
              </w:rPr>
              <w:t>。</w:t>
            </w:r>
          </w:p>
        </w:tc>
      </w:tr>
      <w:tr w14:paraId="6283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07" w:type="dxa"/>
            <w:gridSpan w:val="2"/>
            <w:vAlign w:val="center"/>
          </w:tcPr>
          <w:p w14:paraId="26D76044">
            <w:pPr>
              <w:widowControl/>
              <w:spacing w:line="440" w:lineRule="exact"/>
              <w:jc w:val="center"/>
              <w:rPr>
                <w:rFonts w:hint="eastAsia" w:asciiTheme="minorEastAsia" w:hAnsiTheme="minorEastAsia" w:eastAsiaTheme="minorEastAsia"/>
                <w:color w:val="auto"/>
                <w:sz w:val="21"/>
                <w:szCs w:val="21"/>
                <w:highlight w:val="none"/>
                <w:lang w:val="en-US" w:eastAsia="zh-CN"/>
              </w:rPr>
            </w:pPr>
            <w:r>
              <w:rPr>
                <w:rFonts w:hint="eastAsia" w:ascii="宋体" w:hAnsi="宋体"/>
                <w:bCs/>
                <w:color w:val="000000"/>
                <w:szCs w:val="21"/>
                <w:highlight w:val="none"/>
                <w:lang w:val="en-US" w:eastAsia="zh-CN"/>
              </w:rPr>
              <w:t>10.3</w:t>
            </w:r>
            <w:r>
              <w:rPr>
                <w:rFonts w:ascii="宋体" w:hAnsi="宋体"/>
                <w:bCs/>
                <w:color w:val="000000"/>
                <w:szCs w:val="21"/>
                <w:highlight w:val="none"/>
              </w:rPr>
              <w:t>代理服务费</w:t>
            </w:r>
          </w:p>
        </w:tc>
        <w:tc>
          <w:tcPr>
            <w:tcW w:w="6032" w:type="dxa"/>
            <w:gridSpan w:val="2"/>
            <w:vAlign w:val="center"/>
          </w:tcPr>
          <w:p w14:paraId="24703F63">
            <w:pPr>
              <w:widowControl/>
              <w:spacing w:line="440" w:lineRule="exact"/>
              <w:rPr>
                <w:rFonts w:hint="eastAsia" w:asciiTheme="minorEastAsia" w:hAnsiTheme="minorEastAsia" w:eastAsiaTheme="minorEastAsia"/>
                <w:sz w:val="21"/>
                <w:szCs w:val="21"/>
                <w:highlight w:val="none"/>
              </w:rPr>
            </w:pPr>
            <w:r>
              <w:rPr>
                <w:rFonts w:hint="eastAsia" w:ascii="宋体" w:hAnsi="宋体" w:cs="宋体"/>
                <w:bCs/>
                <w:color w:val="000000"/>
                <w:spacing w:val="1"/>
                <w:kern w:val="0"/>
                <w:szCs w:val="21"/>
                <w:highlight w:val="none"/>
              </w:rPr>
              <w:t>本次代理服务费</w:t>
            </w:r>
            <w:r>
              <w:rPr>
                <w:rFonts w:hint="eastAsia" w:ascii="宋体" w:hAnsi="宋体" w:cs="宋体"/>
                <w:bCs/>
                <w:color w:val="000000"/>
                <w:spacing w:val="1"/>
                <w:kern w:val="0"/>
                <w:szCs w:val="21"/>
                <w:highlight w:val="none"/>
                <w:lang w:eastAsia="zh-CN"/>
              </w:rPr>
              <w:t>：</w:t>
            </w:r>
            <w:r>
              <w:rPr>
                <w:rFonts w:hint="eastAsia" w:ascii="宋体" w:hAnsi="宋体"/>
                <w:color w:val="000000"/>
                <w:highlight w:val="none"/>
                <w:lang w:val="en-US" w:eastAsia="zh-CN"/>
              </w:rPr>
              <w:t>依据</w:t>
            </w:r>
            <w:r>
              <w:rPr>
                <w:rFonts w:hint="eastAsia" w:ascii="宋体" w:hAnsi="宋体" w:eastAsia="宋体" w:cs="Times New Roman"/>
                <w:color w:val="000000"/>
                <w:highlight w:val="none"/>
                <w:lang w:val="en-US" w:eastAsia="zh-CN"/>
              </w:rPr>
              <w:t>河南省招标投标协会关于印发《河南省招标代理服务收费指导意见》的通知豫招协【2023】002号文件</w:t>
            </w:r>
            <w:r>
              <w:rPr>
                <w:rFonts w:hint="eastAsia" w:ascii="宋体" w:hAnsi="宋体"/>
                <w:color w:val="000000"/>
                <w:highlight w:val="none"/>
                <w:lang w:val="en-US" w:eastAsia="zh-CN"/>
              </w:rPr>
              <w:t>收取。</w:t>
            </w:r>
          </w:p>
        </w:tc>
      </w:tr>
      <w:tr w14:paraId="0FE9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07" w:type="dxa"/>
            <w:gridSpan w:val="2"/>
            <w:vAlign w:val="center"/>
          </w:tcPr>
          <w:p w14:paraId="0117E245">
            <w:pPr>
              <w:widowControl/>
              <w:spacing w:line="440" w:lineRule="exact"/>
              <w:jc w:val="center"/>
              <w:rPr>
                <w:rFonts w:hint="default" w:ascii="宋体" w:hAnsi="宋体"/>
                <w:bCs/>
                <w:color w:val="000000"/>
                <w:szCs w:val="21"/>
                <w:highlight w:val="none"/>
                <w:lang w:val="en-US" w:eastAsia="zh-CN"/>
              </w:rPr>
            </w:pPr>
            <w:r>
              <w:rPr>
                <w:rFonts w:hint="eastAsia" w:ascii="宋体" w:hAnsi="宋体"/>
                <w:bCs/>
                <w:color w:val="000000"/>
                <w:szCs w:val="21"/>
                <w:highlight w:val="none"/>
                <w:lang w:val="en-US" w:eastAsia="zh-CN"/>
              </w:rPr>
              <w:t>10.4其他</w:t>
            </w:r>
          </w:p>
        </w:tc>
        <w:tc>
          <w:tcPr>
            <w:tcW w:w="6032" w:type="dxa"/>
            <w:gridSpan w:val="2"/>
            <w:vAlign w:val="center"/>
          </w:tcPr>
          <w:p w14:paraId="29849E8C">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1、本次项目采用不见面开评标，投标人不需要再到现场，投标人通过互联网登录交易平台自助完成投标签到、投标文件解密及澄清答疑等操作，具体流程详见附件“不见面开标系统投标人操作及说明”。</w:t>
            </w:r>
          </w:p>
          <w:p w14:paraId="0B815DB1">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2、投标人需根据招标文件要求，需提供人员、社保、财务资料的，投标人应将相应涉及评审的客观资料上传至市场主体诚信库对应位置，由评标评审专家予以认定，没有上传的视同没有提供相应评审资料，不再要求投标人现场提交原件。 </w:t>
            </w:r>
          </w:p>
          <w:p w14:paraId="111EAE8A">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相关市场主体应做好以下保障工作： </w:t>
            </w:r>
          </w:p>
          <w:p w14:paraId="32E15646">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（1）、各代理机构在编制招标（采购）文件时，针对市场主体库资料上传部分，应要求投标企业（供应商）上传公示的资料有效时间为项目开标时间之前，对在项目开标时间之后上传公示的资料应做无效处理。 </w:t>
            </w:r>
          </w:p>
          <w:p w14:paraId="291948CB">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（2）、各评标专家应严格按照招标文件要求，在核验市场主体库资料时，注意资料公示的有效时间应当在项目开标时间之前。 </w:t>
            </w:r>
          </w:p>
          <w:p w14:paraId="41CB5947">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（3）、各投标企业（供应商）在维护市场主体库资料时，应尽量提前维护投标项目的市场主体库资料，避免发生资料公示时间在项目开标时间之后导致的废标情形。 </w:t>
            </w:r>
          </w:p>
          <w:p w14:paraId="6DF26CCC">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3、投标人应根据《商丘市公共资源交易平台操作指南 2019-12-31 版本》，按照招标文件要求，将本单位相关资料上传至市场主体库相应位置，为确保材料上传成功并方便评标评审专家查找核对，投标人应在开标前完成资料上传并在投标文件中列明资料上传位置，市场主体诚信库中市场主体信息以评标评审专家核对时为准，核对后主体库信息发生的任何变更均不再作为评标依据。 </w:t>
            </w:r>
          </w:p>
          <w:p w14:paraId="158D3B47">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4、当中标通知书发出后，中标人可以登陆交易平台点击对应项目操作—我要投标—操作—下载中标通知书完成自行下载。 </w:t>
            </w:r>
          </w:p>
          <w:p w14:paraId="5A171339">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5、投标人制作投标文件，请使用新版投标人工具箱，具体请查阅商丘市公共资源交易中心网站（http://ggzyjy.shangqiu.gov.cn）点击通知公告栏目。 </w:t>
            </w:r>
          </w:p>
          <w:p w14:paraId="501FCC6D">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6、新增加开标过程在线询问功能，在开标结束之前，投标人可通过开标大厅在线询问按钮与代理机构在线交流。 </w:t>
            </w:r>
          </w:p>
          <w:p w14:paraId="3966B84A">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7、开标大厅增加开标过程直播功能，投标人安装直播插件后，在代理机构开启直播后，投标人可以点击查看直播可实时查看代理机构开标过程。直播功能插件压缩包附件下载后直接解压，并将解压后的文件放入电脑 C 盘 Windows 文件夹中即可。 </w:t>
            </w:r>
          </w:p>
          <w:p w14:paraId="66998056">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8、新增加开标结束提示信息，代理机构点击开标结束后，投标人在开标大厅和交易平台会收到项目开标已结束的提醒。</w:t>
            </w:r>
          </w:p>
          <w:p w14:paraId="7B75B5B4">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9、自2025年5月30日起，取消市场主体库在项目评审期间锁定功能，方便投标企业（供应商）随时维护市场主体库资料。相关市场主体应做好以下保障工作： </w:t>
            </w:r>
          </w:p>
          <w:p w14:paraId="4DAE69BC">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（1）各代理机构在编制招标（采购）文件时，针对市场主体库资料上传部分，应要求投标企业（供应商）上传公示的资料有效时间为项目开标时间之前，对在项目开标时间之后上传公示的资料应做无效处理。 </w:t>
            </w:r>
          </w:p>
          <w:p w14:paraId="0C30FFBD">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（2）各评标专家应严格按照招标文件要求，在核验市场主体库资料时，注意资料公示的有效时间应当在项目开标时间之前。 </w:t>
            </w:r>
          </w:p>
          <w:p w14:paraId="50BDD60D">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（3）各投标企业（供应商）在维护市场主体库资料时，应尽量提前维护投标项目的市场主体库资料，避免发生资料公示时间在项目开标时间之后导致的废标情形。</w:t>
            </w:r>
          </w:p>
          <w:p w14:paraId="525DA921">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10、交易平台菜单栏目更新，把澄清答疑等按钮统一集中在了快捷导航里面。各市场主体在使用过程中遇到自行无法解决技术问题时请及时咨询，技术服务电话0370-2853693。 </w:t>
            </w:r>
          </w:p>
          <w:p w14:paraId="00BF13DA">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11.为贯彻落实《河南省营商环境优化提升行动方案(2022 版)》(豫营商〔2022〕1 号)、 《2022 年全省公共资源交易管理工作要点》(豫公管委〔2022〕2 号)、《河南省财政厅关于防范供应商串通投标促进政府采购公平竞争的通知》、《河南省财政厅关于防范供应商串通投标促进政府采购公平竞争的通知》(豫财购〔2021〕6 号)精神，按照商丘市公共资源交易管理办公室《关于进一步使用大数据分析监测预警信息的通知》要求，发挥市公共资源交易中心大数据分析系统监测预警作用，进一步优化公共资源交易领域营商环境，维护公平公正、竞争有序的市场秩序，防范和惩治串通投标等不正当竞争行为，现将启用大数据分析监测预警功能，有关事项通知如下： </w:t>
            </w:r>
          </w:p>
          <w:p w14:paraId="50881276">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一、分析监测预警情形： </w:t>
            </w:r>
          </w:p>
          <w:p w14:paraId="17A5651C">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对参与本项目同一标段的投标人存在下列情形的，大数据分析系 统会将监测信息在电子评标系统中给予预警提示存在下列情形的，大数据分析系统会将监测信息在电子评标系统中给予预警提示： </w:t>
            </w:r>
          </w:p>
          <w:p w14:paraId="5C173336">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1、不同投标人的电子投标文件上传计算机的网卡 MAC 地址、CPU 序列号和硬盘序列号等硬件信息相同；序列号和硬盘序列号等硬件信息相同； </w:t>
            </w:r>
          </w:p>
          <w:p w14:paraId="05CE0E1B">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2、不同投标人的电子投标文件由同一电子设备编制或者上传； </w:t>
            </w:r>
          </w:p>
          <w:p w14:paraId="4D32A288">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3、不同投标人的电子投标文件由同一IP地址上传； </w:t>
            </w:r>
          </w:p>
          <w:p w14:paraId="56382758">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 xml:space="preserve">4、不同投标人的电子投标文件工程预算由同一预算软件(同一把预算锁)编制。 </w:t>
            </w:r>
          </w:p>
          <w:p w14:paraId="61181C69">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二、存在上述预警情形之一的，其投标文件无效。</w:t>
            </w:r>
          </w:p>
          <w:p w14:paraId="0CF5B516">
            <w:pPr>
              <w:shd w:val="clear"/>
              <w:spacing w:line="360" w:lineRule="auto"/>
              <w:jc w:val="left"/>
              <w:rPr>
                <w:rFonts w:hint="eastAsia" w:ascii="宋体" w:hAnsi="宋体" w:cs="宋体"/>
                <w:bCs/>
                <w:color w:val="000000"/>
                <w:spacing w:val="1"/>
                <w:kern w:val="0"/>
                <w:szCs w:val="21"/>
                <w:highlight w:val="none"/>
              </w:rPr>
            </w:pPr>
            <w:r>
              <w:rPr>
                <w:rFonts w:hint="eastAsia" w:ascii="宋体" w:hAnsi="宋体" w:cs="宋体"/>
                <w:bCs/>
                <w:color w:val="000000"/>
                <w:spacing w:val="1"/>
                <w:kern w:val="0"/>
                <w:szCs w:val="21"/>
                <w:highlight w:val="none"/>
              </w:rPr>
              <w:t>本文件未尽事宜，按国家有关法律、法规执行。</w:t>
            </w:r>
          </w:p>
        </w:tc>
      </w:tr>
      <w:tr w14:paraId="2CB2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307" w:type="dxa"/>
            <w:gridSpan w:val="2"/>
            <w:vAlign w:val="center"/>
          </w:tcPr>
          <w:p w14:paraId="13909967">
            <w:pPr>
              <w:widowControl/>
              <w:spacing w:line="440" w:lineRule="exact"/>
              <w:jc w:val="center"/>
              <w:rPr>
                <w:rFonts w:hint="eastAsia" w:ascii="宋体" w:hAnsi="宋体"/>
                <w:bCs/>
                <w:color w:val="000000"/>
                <w:szCs w:val="21"/>
                <w:highlight w:val="none"/>
                <w:lang w:val="en-US" w:eastAsia="zh-CN"/>
              </w:rPr>
            </w:pPr>
            <w:r>
              <w:rPr>
                <w:rFonts w:hint="eastAsia" w:ascii="宋体" w:hAnsi="宋体"/>
                <w:bCs/>
                <w:color w:val="000000"/>
                <w:szCs w:val="21"/>
                <w:highlight w:val="none"/>
                <w:lang w:val="en-US" w:eastAsia="zh-CN"/>
              </w:rPr>
              <w:t>10.5其他说明</w:t>
            </w:r>
          </w:p>
        </w:tc>
        <w:tc>
          <w:tcPr>
            <w:tcW w:w="6032" w:type="dxa"/>
            <w:gridSpan w:val="2"/>
            <w:vAlign w:val="center"/>
          </w:tcPr>
          <w:p w14:paraId="31119EDC">
            <w:pPr>
              <w:shd w:val="clear"/>
              <w:spacing w:line="360" w:lineRule="auto"/>
              <w:jc w:val="left"/>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val="0"/>
                <w:bCs w:val="0"/>
                <w:color w:val="000000"/>
                <w:kern w:val="0"/>
                <w:sz w:val="21"/>
                <w:szCs w:val="21"/>
                <w:highlight w:val="none"/>
                <w:lang w:val="en-US" w:eastAsia="zh-CN" w:bidi="ar"/>
              </w:rPr>
              <w:t>依据“关于印发中小企业划型标准规定的通知工信部联企业〔2011〕300 号”本项目属于</w:t>
            </w:r>
            <w:r>
              <w:rPr>
                <w:rFonts w:hint="eastAsia" w:ascii="宋体" w:hAnsi="宋体" w:cs="宋体"/>
                <w:b w:val="0"/>
                <w:bCs w:val="0"/>
                <w:color w:val="000000"/>
                <w:kern w:val="0"/>
                <w:sz w:val="21"/>
                <w:szCs w:val="21"/>
                <w:highlight w:val="none"/>
                <w:lang w:val="en-US" w:eastAsia="zh-CN" w:bidi="ar"/>
              </w:rPr>
              <w:t>工业</w:t>
            </w:r>
            <w:r>
              <w:rPr>
                <w:rFonts w:hint="eastAsia" w:ascii="宋体" w:hAnsi="宋体" w:eastAsia="宋体" w:cs="宋体"/>
                <w:b w:val="0"/>
                <w:bCs w:val="0"/>
                <w:color w:val="000000"/>
                <w:kern w:val="0"/>
                <w:sz w:val="21"/>
                <w:szCs w:val="21"/>
                <w:highlight w:val="none"/>
                <w:lang w:val="en-US" w:eastAsia="zh-CN" w:bidi="ar"/>
              </w:rPr>
              <w:t>行业</w:t>
            </w:r>
            <w:r>
              <w:rPr>
                <w:rFonts w:hint="eastAsia" w:ascii="宋体" w:hAnsi="宋体" w:cs="宋体"/>
                <w:b w:val="0"/>
                <w:bCs w:val="0"/>
                <w:color w:val="000000"/>
                <w:kern w:val="0"/>
                <w:sz w:val="21"/>
                <w:szCs w:val="21"/>
                <w:highlight w:val="none"/>
                <w:lang w:val="en-US" w:eastAsia="zh-CN" w:bidi="ar"/>
              </w:rPr>
              <w:t>。</w:t>
            </w:r>
          </w:p>
        </w:tc>
      </w:tr>
    </w:tbl>
    <w:p w14:paraId="2A04FA80">
      <w:pPr>
        <w:bidi w:val="0"/>
        <w:rPr>
          <w:rFonts w:hint="eastAsia" w:asciiTheme="minorEastAsia" w:hAnsiTheme="minorEastAsia" w:eastAsiaTheme="minorEastAsia"/>
          <w:b/>
          <w:sz w:val="24"/>
          <w:highlight w:val="none"/>
        </w:rPr>
      </w:pPr>
      <w:r>
        <w:rPr>
          <w:rFonts w:hint="eastAsia" w:ascii="宋体" w:hAnsi="宋体"/>
          <w:b/>
          <w:szCs w:val="21"/>
          <w:highlight w:val="none"/>
        </w:rPr>
        <w:t xml:space="preserve"> </w:t>
      </w:r>
      <w:r>
        <w:rPr>
          <w:rFonts w:hint="eastAsia" w:asciiTheme="minorEastAsia" w:hAnsiTheme="minorEastAsia" w:eastAsiaTheme="minorEastAsia"/>
          <w:b/>
          <w:sz w:val="24"/>
          <w:highlight w:val="none"/>
        </w:rPr>
        <w:t xml:space="preserve">  </w:t>
      </w:r>
      <w:bookmarkStart w:id="46" w:name="_Toc352325685"/>
      <w:bookmarkStart w:id="47" w:name="_Toc499803922"/>
      <w:bookmarkStart w:id="48" w:name="_Toc13777"/>
      <w:bookmarkStart w:id="49" w:name="_Toc15022"/>
      <w:bookmarkStart w:id="50" w:name="_Toc505088139"/>
      <w:bookmarkStart w:id="51" w:name="_Toc352679657"/>
    </w:p>
    <w:p w14:paraId="22A220E7">
      <w:pPr>
        <w:spacing w:line="500" w:lineRule="exact"/>
        <w:ind w:firstLine="118" w:firstLineChars="49"/>
        <w:outlineLvl w:val="0"/>
        <w:rPr>
          <w:rFonts w:asciiTheme="minorEastAsia" w:hAnsiTheme="minorEastAsia" w:eastAsiaTheme="minorEastAsia"/>
          <w:b/>
          <w:sz w:val="24"/>
          <w:highlight w:val="none"/>
        </w:rPr>
      </w:pPr>
      <w:bookmarkStart w:id="52" w:name="_Toc19271"/>
      <w:bookmarkStart w:id="53" w:name="_Toc21674"/>
      <w:r>
        <w:rPr>
          <w:rFonts w:asciiTheme="minorEastAsia" w:hAnsiTheme="minorEastAsia" w:eastAsiaTheme="minorEastAsia"/>
          <w:b/>
          <w:sz w:val="24"/>
          <w:highlight w:val="none"/>
        </w:rPr>
        <w:t xml:space="preserve">A  </w:t>
      </w:r>
      <w:r>
        <w:rPr>
          <w:rFonts w:hint="eastAsia" w:asciiTheme="minorEastAsia" w:hAnsiTheme="minorEastAsia" w:eastAsiaTheme="minorEastAsia"/>
          <w:b/>
          <w:sz w:val="24"/>
          <w:highlight w:val="none"/>
        </w:rPr>
        <w:t>说明</w:t>
      </w:r>
      <w:bookmarkEnd w:id="46"/>
      <w:bookmarkEnd w:id="47"/>
      <w:bookmarkEnd w:id="48"/>
      <w:bookmarkEnd w:id="49"/>
      <w:bookmarkEnd w:id="50"/>
      <w:bookmarkEnd w:id="51"/>
      <w:bookmarkEnd w:id="52"/>
      <w:bookmarkEnd w:id="53"/>
    </w:p>
    <w:p w14:paraId="0F2D9E9B">
      <w:pPr>
        <w:numPr>
          <w:ilvl w:val="0"/>
          <w:numId w:val="2"/>
        </w:numPr>
        <w:spacing w:line="500" w:lineRule="exact"/>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适用范围</w:t>
      </w:r>
    </w:p>
    <w:p w14:paraId="5F9FDE91">
      <w:pPr>
        <w:spacing w:line="50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1.1 </w:t>
      </w:r>
      <w:r>
        <w:rPr>
          <w:rFonts w:hint="eastAsia" w:asciiTheme="minorEastAsia" w:hAnsiTheme="minorEastAsia" w:eastAsiaTheme="minorEastAsia"/>
          <w:sz w:val="24"/>
          <w:highlight w:val="none"/>
        </w:rPr>
        <w:t>谈判文件仅适用于本次谈判</w:t>
      </w:r>
      <w:r>
        <w:rPr>
          <w:rFonts w:hint="eastAsia" w:asciiTheme="minorEastAsia" w:hAnsiTheme="minorEastAsia" w:eastAsiaTheme="minorEastAsia"/>
          <w:sz w:val="24"/>
          <w:highlight w:val="none"/>
          <w:lang w:eastAsia="zh-CN"/>
        </w:rPr>
        <w:t>公告</w:t>
      </w:r>
      <w:r>
        <w:rPr>
          <w:rFonts w:hint="eastAsia" w:asciiTheme="minorEastAsia" w:hAnsiTheme="minorEastAsia" w:eastAsiaTheme="minorEastAsia"/>
          <w:sz w:val="24"/>
          <w:highlight w:val="none"/>
        </w:rPr>
        <w:t>中所述的“</w:t>
      </w:r>
      <w:r>
        <w:rPr>
          <w:rFonts w:hint="eastAsia" w:asciiTheme="minorEastAsia" w:hAnsiTheme="minorEastAsia" w:eastAsiaTheme="minorEastAsia"/>
          <w:sz w:val="24"/>
          <w:highlight w:val="none"/>
          <w:lang w:val="en-US" w:eastAsia="zh-CN"/>
        </w:rPr>
        <w:t>民权县庄子镇人民政府民权县庄子镇老年人体育健身园项目</w:t>
      </w:r>
      <w:r>
        <w:rPr>
          <w:rFonts w:hint="eastAsia" w:asciiTheme="minorEastAsia" w:hAnsiTheme="minorEastAsia" w:eastAsiaTheme="minorEastAsia"/>
          <w:sz w:val="24"/>
          <w:highlight w:val="none"/>
        </w:rPr>
        <w:t>”。</w:t>
      </w:r>
    </w:p>
    <w:p w14:paraId="5995B1D1">
      <w:pPr>
        <w:spacing w:line="50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2.  </w:t>
      </w:r>
      <w:r>
        <w:rPr>
          <w:rFonts w:hint="eastAsia" w:asciiTheme="minorEastAsia" w:hAnsiTheme="minorEastAsia" w:eastAsiaTheme="minorEastAsia"/>
          <w:b/>
          <w:sz w:val="24"/>
          <w:highlight w:val="none"/>
        </w:rPr>
        <w:t>定义</w:t>
      </w:r>
    </w:p>
    <w:p w14:paraId="700F886B">
      <w:pPr>
        <w:spacing w:line="50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2.1</w:t>
      </w:r>
      <w:r>
        <w:rPr>
          <w:rFonts w:hint="eastAsia" w:asciiTheme="minorEastAsia" w:hAnsiTheme="minorEastAsia" w:eastAsiaTheme="minorEastAsia"/>
          <w:sz w:val="24"/>
          <w:highlight w:val="none"/>
        </w:rPr>
        <w:t xml:space="preserve">  本次招标代理机构：</w:t>
      </w:r>
      <w:r>
        <w:rPr>
          <w:rFonts w:hint="eastAsia" w:asciiTheme="minorEastAsia" w:hAnsiTheme="minorEastAsia" w:eastAsiaTheme="minorEastAsia"/>
          <w:sz w:val="24"/>
          <w:highlight w:val="none"/>
          <w:lang w:val="en-US" w:eastAsia="zh-CN"/>
        </w:rPr>
        <w:t>河南哲胜工程管理有限公司</w:t>
      </w:r>
      <w:r>
        <w:rPr>
          <w:rFonts w:hint="eastAsia" w:asciiTheme="minorEastAsia" w:hAnsiTheme="minorEastAsia" w:eastAsiaTheme="minorEastAsia"/>
          <w:sz w:val="24"/>
          <w:highlight w:val="none"/>
        </w:rPr>
        <w:t>。</w:t>
      </w:r>
    </w:p>
    <w:p w14:paraId="3151497F">
      <w:pPr>
        <w:spacing w:line="50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2.2 </w:t>
      </w:r>
      <w:r>
        <w:rPr>
          <w:rFonts w:hint="eastAsia" w:asciiTheme="minorEastAsia" w:hAnsiTheme="minorEastAsia" w:eastAsiaTheme="minorEastAsia"/>
          <w:sz w:val="24"/>
          <w:highlight w:val="none"/>
        </w:rPr>
        <w:t>“采购人”系指提出本采购项目的</w:t>
      </w:r>
      <w:r>
        <w:rPr>
          <w:rFonts w:hint="eastAsia" w:asciiTheme="minorEastAsia" w:hAnsiTheme="minorEastAsia" w:eastAsiaTheme="minorEastAsia"/>
          <w:sz w:val="24"/>
          <w:highlight w:val="none"/>
          <w:lang w:val="en-US" w:eastAsia="zh-CN"/>
        </w:rPr>
        <w:t>民权县庄子镇人民政府</w:t>
      </w:r>
      <w:r>
        <w:rPr>
          <w:rFonts w:hint="eastAsia" w:asciiTheme="minorEastAsia" w:hAnsiTheme="minorEastAsia" w:eastAsiaTheme="minorEastAsia"/>
          <w:sz w:val="24"/>
          <w:highlight w:val="none"/>
        </w:rPr>
        <w:t>。</w:t>
      </w:r>
    </w:p>
    <w:p w14:paraId="36CAEB31">
      <w:pPr>
        <w:numPr>
          <w:ilvl w:val="0"/>
          <w:numId w:val="3"/>
        </w:numPr>
        <w:spacing w:line="500" w:lineRule="exac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合格的谈判申请人</w:t>
      </w:r>
    </w:p>
    <w:p w14:paraId="4B2CD057">
      <w:pPr>
        <w:spacing w:line="500" w:lineRule="exact"/>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3.1 </w:t>
      </w:r>
      <w:r>
        <w:rPr>
          <w:rFonts w:hint="eastAsia" w:asciiTheme="minorEastAsia" w:hAnsiTheme="minorEastAsia" w:eastAsiaTheme="minorEastAsia"/>
          <w:sz w:val="24"/>
          <w:highlight w:val="none"/>
        </w:rPr>
        <w:t>凡符合“采购项目要求”条件，承认本现场采购谈判文件所有内容的谈判申请人。</w:t>
      </w:r>
    </w:p>
    <w:p w14:paraId="68C29512">
      <w:pPr>
        <w:spacing w:line="500" w:lineRule="exact"/>
        <w:ind w:firstLine="480" w:firstLineChars="200"/>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谈判申请人应遵守中华人民共和国法律、法规和现场采购谈判文件的有关规定。</w:t>
      </w:r>
    </w:p>
    <w:p w14:paraId="1FC66220">
      <w:pPr>
        <w:spacing w:line="500" w:lineRule="exact"/>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3.3 </w:t>
      </w:r>
      <w:r>
        <w:rPr>
          <w:rFonts w:hint="eastAsia" w:ascii="宋体" w:hAnsi="宋体" w:eastAsia="宋体" w:cs="宋体"/>
          <w:color w:val="auto"/>
          <w:spacing w:val="-2"/>
          <w:sz w:val="24"/>
          <w:szCs w:val="24"/>
        </w:rPr>
        <w:t>谈判申请人</w:t>
      </w:r>
      <w:r>
        <w:rPr>
          <w:rFonts w:ascii="宋体" w:hAnsi="宋体" w:eastAsia="宋体" w:cs="宋体"/>
          <w:color w:val="auto"/>
          <w:spacing w:val="-2"/>
          <w:sz w:val="24"/>
          <w:szCs w:val="24"/>
        </w:rPr>
        <w:t>提交的所有承诺、书面响应和书面声明均应载明项目名称（固定</w:t>
      </w:r>
      <w:r>
        <w:rPr>
          <w:rFonts w:ascii="宋体" w:hAnsi="宋体" w:eastAsia="宋体" w:cs="宋体"/>
          <w:color w:val="auto"/>
          <w:sz w:val="24"/>
          <w:szCs w:val="24"/>
        </w:rPr>
        <w:t xml:space="preserve"> </w:t>
      </w:r>
      <w:r>
        <w:rPr>
          <w:rFonts w:ascii="宋体" w:hAnsi="宋体" w:eastAsia="宋体" w:cs="宋体"/>
          <w:color w:val="auto"/>
          <w:spacing w:val="-2"/>
          <w:sz w:val="24"/>
          <w:szCs w:val="24"/>
        </w:rPr>
        <w:t>格式除外</w:t>
      </w:r>
      <w:r>
        <w:rPr>
          <w:rFonts w:ascii="宋体" w:hAnsi="宋体" w:eastAsia="宋体" w:cs="宋体"/>
          <w:color w:val="auto"/>
          <w:spacing w:val="9"/>
          <w:sz w:val="24"/>
          <w:szCs w:val="24"/>
        </w:rPr>
        <w:t>），</w:t>
      </w:r>
      <w:r>
        <w:rPr>
          <w:rFonts w:ascii="宋体" w:hAnsi="宋体" w:eastAsia="宋体" w:cs="宋体"/>
          <w:color w:val="auto"/>
          <w:spacing w:val="-2"/>
          <w:sz w:val="24"/>
          <w:szCs w:val="24"/>
        </w:rPr>
        <w:t>否则将被视为无效响应。</w:t>
      </w:r>
    </w:p>
    <w:p w14:paraId="0DECE314">
      <w:pPr>
        <w:spacing w:line="500" w:lineRule="exact"/>
        <w:ind w:left="473"/>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4. </w:t>
      </w:r>
      <w:r>
        <w:rPr>
          <w:rFonts w:hint="eastAsia" w:asciiTheme="minorEastAsia" w:hAnsiTheme="minorEastAsia" w:eastAsiaTheme="minorEastAsia"/>
          <w:b/>
          <w:color w:val="auto"/>
          <w:sz w:val="24"/>
          <w:highlight w:val="none"/>
        </w:rPr>
        <w:t>谈判费用</w:t>
      </w:r>
    </w:p>
    <w:p w14:paraId="706435F9">
      <w:pPr>
        <w:spacing w:line="500" w:lineRule="exact"/>
        <w:ind w:firstLine="57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4.1  </w:t>
      </w:r>
      <w:r>
        <w:rPr>
          <w:rFonts w:hint="eastAsia" w:asciiTheme="minorEastAsia" w:hAnsiTheme="minorEastAsia" w:eastAsiaTheme="minorEastAsia"/>
          <w:color w:val="auto"/>
          <w:sz w:val="24"/>
          <w:highlight w:val="none"/>
        </w:rPr>
        <w:t>无论谈判过程中的作法和结果如何，谈判申请人应自行承担所有与参加谈判有关的全部费用，</w:t>
      </w:r>
      <w:r>
        <w:rPr>
          <w:rFonts w:hint="eastAsia" w:asciiTheme="minorEastAsia" w:hAnsiTheme="minorEastAsia" w:eastAsiaTheme="minorEastAsia"/>
          <w:color w:val="auto"/>
          <w:sz w:val="24"/>
          <w:highlight w:val="none"/>
          <w:lang w:eastAsia="zh-CN"/>
        </w:rPr>
        <w:t>须书面承诺自行承担所有参与谈判有关的全部费用。</w:t>
      </w:r>
      <w:r>
        <w:rPr>
          <w:rFonts w:hint="eastAsia" w:asciiTheme="minorEastAsia" w:hAnsiTheme="minorEastAsia" w:eastAsiaTheme="minorEastAsia"/>
          <w:color w:val="auto"/>
          <w:sz w:val="24"/>
          <w:highlight w:val="none"/>
        </w:rPr>
        <w:t>采购代理机构在任何情况下均无义务和责任承担上述费用。</w:t>
      </w:r>
      <w:r>
        <w:rPr>
          <w:rFonts w:asciiTheme="minorEastAsia" w:hAnsiTheme="minorEastAsia" w:eastAsiaTheme="minorEastAsia"/>
          <w:color w:val="auto"/>
          <w:sz w:val="24"/>
          <w:highlight w:val="none"/>
        </w:rPr>
        <w:t xml:space="preserve">    </w:t>
      </w:r>
    </w:p>
    <w:p w14:paraId="30274A06">
      <w:pPr>
        <w:spacing w:line="500" w:lineRule="exact"/>
        <w:ind w:firstLine="480"/>
        <w:outlineLvl w:val="0"/>
        <w:rPr>
          <w:rFonts w:asciiTheme="minorEastAsia" w:hAnsiTheme="minorEastAsia" w:eastAsiaTheme="minorEastAsia"/>
          <w:b/>
          <w:sz w:val="24"/>
          <w:highlight w:val="none"/>
        </w:rPr>
      </w:pPr>
      <w:bookmarkStart w:id="54" w:name="_Toc505088140"/>
      <w:bookmarkStart w:id="55" w:name="_Toc352679658"/>
      <w:bookmarkStart w:id="56" w:name="_Toc13309"/>
      <w:bookmarkStart w:id="57" w:name="_Toc499803923"/>
      <w:bookmarkStart w:id="58" w:name="_Toc18899"/>
      <w:bookmarkStart w:id="59" w:name="_Toc24199"/>
      <w:bookmarkStart w:id="60" w:name="_Toc352325686"/>
      <w:bookmarkStart w:id="61" w:name="_Toc24142"/>
      <w:r>
        <w:rPr>
          <w:rFonts w:asciiTheme="minorEastAsia" w:hAnsiTheme="minorEastAsia" w:eastAsiaTheme="minorEastAsia"/>
          <w:b/>
          <w:sz w:val="24"/>
          <w:highlight w:val="none"/>
        </w:rPr>
        <w:t xml:space="preserve">B </w:t>
      </w:r>
      <w:r>
        <w:rPr>
          <w:rFonts w:hint="eastAsia" w:asciiTheme="minorEastAsia" w:hAnsiTheme="minorEastAsia" w:eastAsiaTheme="minorEastAsia"/>
          <w:b/>
          <w:sz w:val="24"/>
          <w:highlight w:val="none"/>
        </w:rPr>
        <w:t xml:space="preserve"> 采购谈判文件说明</w:t>
      </w:r>
      <w:bookmarkEnd w:id="54"/>
      <w:bookmarkEnd w:id="55"/>
      <w:bookmarkEnd w:id="56"/>
      <w:bookmarkEnd w:id="57"/>
      <w:bookmarkEnd w:id="58"/>
      <w:bookmarkEnd w:id="59"/>
      <w:bookmarkEnd w:id="60"/>
      <w:bookmarkEnd w:id="61"/>
    </w:p>
    <w:p w14:paraId="3CB24004">
      <w:pPr>
        <w:spacing w:line="500" w:lineRule="exact"/>
        <w:ind w:firstLine="48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 采购谈判文件构成</w:t>
      </w:r>
    </w:p>
    <w:p w14:paraId="3AB09454">
      <w:pPr>
        <w:spacing w:line="500" w:lineRule="exact"/>
        <w:ind w:firstLine="57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采购谈判文件用以阐明采购货物及服务、谈判程序、谈判须知。采购谈判文件由下述部分组成：</w:t>
      </w:r>
    </w:p>
    <w:p w14:paraId="34659DCD">
      <w:pPr>
        <w:spacing w:line="500" w:lineRule="exact"/>
        <w:ind w:firstLine="57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 谈判</w:t>
      </w:r>
      <w:r>
        <w:rPr>
          <w:rFonts w:hint="eastAsia" w:asciiTheme="minorEastAsia" w:hAnsiTheme="minorEastAsia" w:eastAsiaTheme="minorEastAsia"/>
          <w:sz w:val="24"/>
          <w:highlight w:val="none"/>
          <w:lang w:eastAsia="zh-CN"/>
        </w:rPr>
        <w:t>公告</w:t>
      </w:r>
    </w:p>
    <w:p w14:paraId="0C40D5B8">
      <w:pPr>
        <w:spacing w:line="500" w:lineRule="exact"/>
        <w:ind w:firstLine="57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  谈判须知</w:t>
      </w:r>
    </w:p>
    <w:p w14:paraId="52EA991F">
      <w:pPr>
        <w:spacing w:line="500" w:lineRule="exact"/>
        <w:ind w:firstLine="480" w:firstLineChars="200"/>
        <w:rPr>
          <w:rFonts w:hint="eastAsia"/>
          <w:highlight w:val="none"/>
          <w:lang w:eastAsia="zh-CN"/>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lang w:eastAsia="zh-CN"/>
        </w:rPr>
        <w:t>）评标办法</w:t>
      </w:r>
    </w:p>
    <w:p w14:paraId="168148D7">
      <w:pPr>
        <w:spacing w:line="500" w:lineRule="exact"/>
        <w:ind w:firstLine="57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 xml:space="preserve">(4) </w:t>
      </w:r>
      <w:r>
        <w:rPr>
          <w:rFonts w:hint="eastAsia" w:asciiTheme="minorEastAsia" w:hAnsiTheme="minorEastAsia" w:eastAsiaTheme="minorEastAsia"/>
          <w:sz w:val="24"/>
          <w:highlight w:val="none"/>
          <w:lang w:eastAsia="zh-CN"/>
        </w:rPr>
        <w:t>采购需求</w:t>
      </w:r>
    </w:p>
    <w:p w14:paraId="2097ECE0">
      <w:pPr>
        <w:spacing w:line="500" w:lineRule="exact"/>
        <w:ind w:firstLine="420"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（5）合同条款</w:t>
      </w:r>
    </w:p>
    <w:p w14:paraId="4EBC4DA8">
      <w:pPr>
        <w:spacing w:line="500" w:lineRule="exact"/>
        <w:ind w:firstLine="420" w:firstLineChars="0"/>
        <w:rPr>
          <w:rFonts w:hint="eastAsia" w:ascii="宋体" w:hAnsi="宋体" w:eastAsia="宋体" w:cs="宋体"/>
          <w:sz w:val="28"/>
          <w:szCs w:val="28"/>
          <w:highlight w:val="none"/>
          <w:lang w:bidi="ar"/>
        </w:rPr>
      </w:pP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 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格式</w:t>
      </w:r>
    </w:p>
    <w:p w14:paraId="2E661613">
      <w:pPr>
        <w:spacing w:line="500" w:lineRule="exact"/>
        <w:ind w:left="54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6.采购谈判文件的澄清</w:t>
      </w:r>
      <w:r>
        <w:rPr>
          <w:rFonts w:asciiTheme="minorEastAsia" w:hAnsiTheme="minorEastAsia" w:eastAsiaTheme="minorEastAsia"/>
          <w:b/>
          <w:sz w:val="24"/>
          <w:highlight w:val="none"/>
        </w:rPr>
        <w:t xml:space="preserve"> </w:t>
      </w:r>
    </w:p>
    <w:p w14:paraId="6E7952B5">
      <w:pPr>
        <w:spacing w:line="500" w:lineRule="exact"/>
        <w:ind w:firstLine="57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谈判申请人对采购谈判文件如有需要澄清的疑问，采购代理机构将在现场给予答复。</w:t>
      </w:r>
    </w:p>
    <w:p w14:paraId="00DB82B6">
      <w:pPr>
        <w:spacing w:line="500" w:lineRule="exact"/>
        <w:ind w:left="47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采购谈判文件的修改</w:t>
      </w:r>
    </w:p>
    <w:p w14:paraId="5AB661DD">
      <w:pPr>
        <w:spacing w:line="500" w:lineRule="exact"/>
        <w:ind w:firstLine="57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采购谈判文件的补充通知、答疑纪要等文件也将构成采购谈判文件的一部分，对所有谈判人均有约束力。</w:t>
      </w:r>
    </w:p>
    <w:p w14:paraId="48132A09">
      <w:pPr>
        <w:spacing w:line="500" w:lineRule="exact"/>
        <w:ind w:left="473"/>
        <w:outlineLvl w:val="0"/>
        <w:rPr>
          <w:rFonts w:asciiTheme="minorEastAsia" w:hAnsiTheme="minorEastAsia" w:eastAsiaTheme="minorEastAsia"/>
          <w:b/>
          <w:sz w:val="24"/>
          <w:highlight w:val="none"/>
        </w:rPr>
      </w:pPr>
      <w:bookmarkStart w:id="62" w:name="_Toc352325687"/>
      <w:bookmarkStart w:id="63" w:name="_Toc505088141"/>
      <w:bookmarkStart w:id="64" w:name="_Toc352679659"/>
      <w:bookmarkStart w:id="65" w:name="_Toc499803924"/>
      <w:bookmarkStart w:id="66" w:name="_Toc15916"/>
      <w:bookmarkStart w:id="67" w:name="_Toc2034"/>
      <w:bookmarkStart w:id="68" w:name="_Toc19670"/>
      <w:bookmarkStart w:id="69" w:name="_Toc24103"/>
      <w:r>
        <w:rPr>
          <w:rFonts w:asciiTheme="minorEastAsia" w:hAnsiTheme="minorEastAsia" w:eastAsiaTheme="minorEastAsia"/>
          <w:b/>
          <w:sz w:val="24"/>
          <w:highlight w:val="none"/>
        </w:rPr>
        <w:t xml:space="preserve">C  </w:t>
      </w:r>
      <w:r>
        <w:rPr>
          <w:rFonts w:hint="eastAsia" w:asciiTheme="minorEastAsia" w:hAnsiTheme="minorEastAsia" w:eastAsiaTheme="minorEastAsia"/>
          <w:b/>
          <w:sz w:val="24"/>
          <w:highlight w:val="none"/>
        </w:rPr>
        <w:t>谈判人谈判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的编写</w:t>
      </w:r>
      <w:bookmarkEnd w:id="62"/>
      <w:bookmarkEnd w:id="63"/>
      <w:bookmarkEnd w:id="64"/>
      <w:bookmarkEnd w:id="65"/>
      <w:bookmarkEnd w:id="66"/>
      <w:bookmarkEnd w:id="67"/>
      <w:bookmarkEnd w:id="68"/>
      <w:bookmarkEnd w:id="69"/>
    </w:p>
    <w:p w14:paraId="5FA136DC">
      <w:pPr>
        <w:spacing w:line="500" w:lineRule="exact"/>
        <w:ind w:left="47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8.要求</w:t>
      </w:r>
    </w:p>
    <w:p w14:paraId="22229061">
      <w:pPr>
        <w:spacing w:line="500" w:lineRule="exact"/>
        <w:ind w:firstLine="570"/>
        <w:rPr>
          <w:rFonts w:hint="eastAsia"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 xml:space="preserve">.1  </w:t>
      </w:r>
      <w:r>
        <w:rPr>
          <w:rFonts w:hint="eastAsia" w:asciiTheme="minorEastAsia" w:hAnsiTheme="minorEastAsia" w:eastAsiaTheme="minorEastAsia"/>
          <w:color w:val="auto"/>
          <w:sz w:val="24"/>
          <w:highlight w:val="none"/>
        </w:rPr>
        <w:t>谈判申请人应仔细阅读采购谈判文件的所有内容，按本文件的要求提供谈判</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，并保证所提供的全部资料的真实性，以使其对本文件作出实质性响应，</w:t>
      </w:r>
      <w:r>
        <w:rPr>
          <w:rFonts w:ascii="宋体" w:hAnsi="宋体" w:eastAsia="宋体" w:cs="宋体"/>
          <w:color w:val="auto"/>
          <w:spacing w:val="-1"/>
          <w:sz w:val="24"/>
          <w:szCs w:val="24"/>
        </w:rPr>
        <w:t>须书面承诺响应文件所</w:t>
      </w:r>
      <w:r>
        <w:rPr>
          <w:rFonts w:ascii="宋体" w:hAnsi="宋体" w:eastAsia="宋体" w:cs="宋体"/>
          <w:color w:val="auto"/>
          <w:spacing w:val="-2"/>
          <w:sz w:val="24"/>
          <w:szCs w:val="24"/>
        </w:rPr>
        <w:t>提供的全部资料合法、真实、有效</w:t>
      </w:r>
      <w:r>
        <w:rPr>
          <w:rFonts w:hint="eastAsia" w:ascii="宋体" w:hAnsi="宋体" w:eastAsia="宋体" w:cs="宋体"/>
          <w:color w:val="auto"/>
          <w:spacing w:val="-2"/>
          <w:sz w:val="24"/>
          <w:szCs w:val="24"/>
          <w:lang w:eastAsia="zh-CN"/>
        </w:rPr>
        <w:t>。</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color w:val="auto"/>
          <w:sz w:val="24"/>
          <w:highlight w:val="none"/>
          <w:lang w:eastAsia="zh-CN"/>
        </w:rPr>
        <w:t>视为</w:t>
      </w:r>
      <w:r>
        <w:rPr>
          <w:rFonts w:hint="eastAsia"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lang w:eastAsia="zh-CN"/>
        </w:rPr>
        <w:t>无效投标</w:t>
      </w:r>
      <w:r>
        <w:rPr>
          <w:rFonts w:hint="eastAsia" w:asciiTheme="minorEastAsia" w:hAnsiTheme="minorEastAsia" w:eastAsiaTheme="minorEastAsia"/>
          <w:color w:val="auto"/>
          <w:sz w:val="24"/>
          <w:highlight w:val="none"/>
        </w:rPr>
        <w:t>可能被拒绝参加谈判。</w:t>
      </w:r>
    </w:p>
    <w:p w14:paraId="05517556">
      <w:pPr>
        <w:spacing w:line="500" w:lineRule="exact"/>
        <w:ind w:firstLine="477" w:firstLineChars="198"/>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的组成及格式（详见后附表）</w:t>
      </w:r>
    </w:p>
    <w:p w14:paraId="4165148A">
      <w:pPr>
        <w:spacing w:line="500" w:lineRule="exact"/>
        <w:ind w:firstLine="480" w:firstLineChars="200"/>
        <w:outlineLvl w:val="0"/>
        <w:rPr>
          <w:rFonts w:asciiTheme="minorEastAsia" w:hAnsiTheme="minorEastAsia" w:eastAsiaTheme="minorEastAsia"/>
          <w:sz w:val="24"/>
          <w:highlight w:val="none"/>
        </w:rPr>
      </w:pPr>
      <w:bookmarkStart w:id="70" w:name="_Toc352679660"/>
      <w:bookmarkStart w:id="71" w:name="_Toc1709"/>
      <w:bookmarkStart w:id="72" w:name="_Toc499803925"/>
      <w:bookmarkStart w:id="73" w:name="_Toc7470"/>
      <w:bookmarkStart w:id="74" w:name="_Toc505088142"/>
      <w:bookmarkStart w:id="75" w:name="_Toc14718"/>
      <w:bookmarkStart w:id="76" w:name="_Toc352325688"/>
      <w:bookmarkStart w:id="77" w:name="_Toc5798"/>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应包括下列部分（但不限于）：</w:t>
      </w:r>
      <w:bookmarkEnd w:id="70"/>
      <w:bookmarkEnd w:id="71"/>
      <w:bookmarkEnd w:id="72"/>
      <w:bookmarkEnd w:id="73"/>
      <w:bookmarkEnd w:id="74"/>
      <w:bookmarkEnd w:id="75"/>
      <w:bookmarkEnd w:id="76"/>
      <w:bookmarkEnd w:id="77"/>
    </w:p>
    <w:p w14:paraId="305911D6">
      <w:pPr>
        <w:spacing w:line="500" w:lineRule="exact"/>
        <w:ind w:firstLine="405"/>
        <w:rPr>
          <w:rFonts w:hint="eastAsia" w:cs="Times New Roman" w:asciiTheme="minorEastAsia" w:hAnsiTheme="minorEastAsia" w:eastAsiaTheme="minorEastAsia"/>
          <w:sz w:val="24"/>
          <w:highlight w:val="none"/>
        </w:rPr>
      </w:pPr>
      <w:bookmarkStart w:id="78" w:name="_Toc9749"/>
      <w:bookmarkStart w:id="79" w:name="_Toc1035"/>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1</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响应函</w:t>
      </w:r>
    </w:p>
    <w:p w14:paraId="35DDD2D3">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2</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首次报价一览表</w:t>
      </w:r>
    </w:p>
    <w:p w14:paraId="674BBCAE">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3</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法定代表人（单位负责人）身份证明</w:t>
      </w:r>
    </w:p>
    <w:p w14:paraId="115DA85F">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4</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授权委托书</w:t>
      </w:r>
    </w:p>
    <w:p w14:paraId="1BE0D981">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5</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商务和技术偏差表</w:t>
      </w:r>
    </w:p>
    <w:p w14:paraId="735CE7A3">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6</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分项报价表</w:t>
      </w:r>
    </w:p>
    <w:p w14:paraId="37385C7D">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7</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售后服务</w:t>
      </w:r>
    </w:p>
    <w:p w14:paraId="15EC88C9">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8</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资格审查资料</w:t>
      </w:r>
    </w:p>
    <w:p w14:paraId="3C78E37A">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9</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供应商反商业贿赂书</w:t>
      </w:r>
    </w:p>
    <w:p w14:paraId="3E99131E">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10</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备品备件及附送工具清单</w:t>
      </w:r>
    </w:p>
    <w:p w14:paraId="0659F24D">
      <w:pPr>
        <w:spacing w:line="500" w:lineRule="exact"/>
        <w:ind w:firstLine="405"/>
        <w:rPr>
          <w:rFonts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lang w:val="en-US" w:eastAsia="zh-CN"/>
        </w:rPr>
        <w:t>11</w:t>
      </w:r>
      <w:r>
        <w:rPr>
          <w:rFonts w:hint="eastAsia" w:cs="Times New Roman" w:asciiTheme="minorEastAsia" w:hAnsiTheme="minorEastAsia" w:eastAsiaTheme="minorEastAsia"/>
          <w:sz w:val="24"/>
          <w:highlight w:val="none"/>
          <w:lang w:eastAsia="zh-CN"/>
        </w:rPr>
        <w:t>）</w:t>
      </w:r>
      <w:r>
        <w:rPr>
          <w:rFonts w:hint="eastAsia" w:cs="Times New Roman" w:asciiTheme="minorEastAsia" w:hAnsiTheme="minorEastAsia" w:eastAsiaTheme="minorEastAsia"/>
          <w:sz w:val="24"/>
          <w:highlight w:val="none"/>
        </w:rPr>
        <w:t>相关证明材料</w:t>
      </w:r>
      <w:bookmarkEnd w:id="78"/>
      <w:bookmarkEnd w:id="79"/>
    </w:p>
    <w:p w14:paraId="68DF62ED">
      <w:pPr>
        <w:spacing w:line="500" w:lineRule="exact"/>
        <w:ind w:firstLine="405"/>
        <w:rPr>
          <w:rFonts w:asciiTheme="minorEastAsia" w:hAnsiTheme="minorEastAsia" w:eastAsiaTheme="minorEastAsia"/>
          <w:b/>
          <w:sz w:val="24"/>
          <w:highlight w:val="none"/>
        </w:rPr>
      </w:pP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0</w:t>
      </w:r>
      <w:r>
        <w:rPr>
          <w:rFonts w:asciiTheme="minorEastAsia" w:hAnsiTheme="minorEastAsia" w:eastAsiaTheme="minorEastAsia"/>
          <w:b/>
          <w:sz w:val="24"/>
          <w:highlight w:val="none"/>
        </w:rPr>
        <w:t>.报价</w:t>
      </w:r>
    </w:p>
    <w:p w14:paraId="5DC91862">
      <w:pPr>
        <w:spacing w:line="500" w:lineRule="exact"/>
        <w:ind w:firstLine="405"/>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10.1本</w:t>
      </w:r>
      <w:r>
        <w:rPr>
          <w:rFonts w:hint="eastAsia" w:asciiTheme="minorEastAsia" w:hAnsiTheme="minorEastAsia" w:eastAsiaTheme="minorEastAsia"/>
          <w:sz w:val="24"/>
          <w:highlight w:val="none"/>
          <w:lang w:eastAsia="zh-CN"/>
        </w:rPr>
        <w:t>项目</w:t>
      </w:r>
      <w:r>
        <w:rPr>
          <w:rFonts w:hint="eastAsia" w:asciiTheme="minorEastAsia" w:hAnsiTheme="minorEastAsia" w:eastAsiaTheme="minorEastAsia"/>
          <w:sz w:val="24"/>
          <w:highlight w:val="none"/>
        </w:rPr>
        <w:t>的谈判报价采用全费用报价方式（所谓全费用是指完成本次招标全部内容及工期的人工、材料、机械及其他在内的一切费用。谈判报价为谈判申请人在谈判文件中提出的各项支付金额的总和。</w:t>
      </w:r>
    </w:p>
    <w:p w14:paraId="4157EE0E">
      <w:pPr>
        <w:spacing w:line="500" w:lineRule="exact"/>
        <w:ind w:firstLine="40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10.2本项目的报价范围为谈判文件规定的全部内容，谈判报价为一次性包死，决算时不再另行调整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谈判申请人应自行对施工现场和周围环境进行踏勘，以获取编制谈判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和签署合同所需的资料。踏勘现场所发生的费用由谈判申请人自己承担。采购人向谈判申请人提供的有关施工现场的资料和数据，是采购人现有的能使谈判申请人利用的资料。采购人对谈判申请人由此而做出的推论、理解和结论概不负责。谈判申请人因自身原因未到施工现场实地踏勘的，成交后签订合同时和履约过程中，谈判申请人不得以不完全了解现场情况为由，提出任何形式的增加工程造价或索赔的要求。</w:t>
      </w:r>
    </w:p>
    <w:p w14:paraId="26B2EE32">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10.3</w:t>
      </w:r>
      <w:r>
        <w:rPr>
          <w:rFonts w:hint="eastAsia" w:cs="Times New Roman" w:asciiTheme="minorEastAsia" w:hAnsiTheme="minorEastAsia" w:eastAsiaTheme="minorEastAsia"/>
          <w:sz w:val="24"/>
          <w:highlight w:val="none"/>
        </w:rPr>
        <w:t xml:space="preserve"> 本项目设有最高限价，最高限价是采购人控制采购项目造价的最高限价，供应商的报大于最高限价的视为无效报价，其响应文件按废标处理。</w:t>
      </w:r>
    </w:p>
    <w:p w14:paraId="3D5CF070">
      <w:pPr>
        <w:spacing w:line="500" w:lineRule="exact"/>
        <w:ind w:firstLine="405"/>
        <w:rPr>
          <w:rFonts w:hint="eastAsia"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lang w:val="en-US" w:eastAsia="zh-CN"/>
        </w:rPr>
        <w:t>10.4</w:t>
      </w:r>
      <w:r>
        <w:rPr>
          <w:rFonts w:hint="eastAsia" w:cs="Times New Roman" w:asciiTheme="minorEastAsia" w:hAnsiTheme="minorEastAsia" w:eastAsiaTheme="minorEastAsia"/>
          <w:sz w:val="24"/>
          <w:highlight w:val="none"/>
        </w:rPr>
        <w:t xml:space="preserve"> 如谈判报价中的大写金额和小写金额不一致的，以大写金</w:t>
      </w:r>
      <w:r>
        <w:rPr>
          <w:rFonts w:hint="eastAsia" w:cs="Times New Roman" w:asciiTheme="minorEastAsia" w:hAnsiTheme="minorEastAsia" w:eastAsiaTheme="minorEastAsia"/>
          <w:color w:val="000000" w:themeColor="text1"/>
          <w:sz w:val="24"/>
          <w:highlight w:val="none"/>
          <w14:textFill>
            <w14:solidFill>
              <w14:schemeClr w14:val="tx1"/>
            </w14:solidFill>
          </w14:textFill>
        </w:rPr>
        <w:t>额为准；总价金额与单价金不一致的，以单价金额为准，但单价金额小数点有明显错误的除外；</w:t>
      </w:r>
      <w:r>
        <w:rPr>
          <w:rFonts w:hint="eastAsia" w:cs="Times New Roman" w:asciiTheme="minorEastAsia" w:hAnsiTheme="minorEastAsia" w:eastAsiaTheme="minorEastAsia"/>
          <w:color w:val="auto"/>
          <w:sz w:val="24"/>
          <w:highlight w:val="none"/>
          <w:lang w:eastAsia="zh-CN"/>
        </w:rPr>
        <w:t>响应函报价处需法定代表人签字确认其价格，否则视为无效投标。</w:t>
      </w:r>
      <w:r>
        <w:rPr>
          <w:rFonts w:hint="eastAsia" w:cs="Times New Roman" w:asciiTheme="minorEastAsia" w:hAnsiTheme="minorEastAsia" w:eastAsiaTheme="minorEastAsia"/>
          <w:color w:val="auto"/>
          <w:sz w:val="24"/>
          <w:highlight w:val="none"/>
        </w:rPr>
        <w:t>对不同文字文本谈判响应文件的解释发生异议的，以中文文本为准。谈判申请人应按项目分别填写报价一览</w:t>
      </w:r>
      <w:r>
        <w:rPr>
          <w:rFonts w:hint="eastAsia" w:cs="Times New Roman" w:asciiTheme="minorEastAsia" w:hAnsiTheme="minorEastAsia" w:eastAsiaTheme="minorEastAsia"/>
          <w:sz w:val="24"/>
          <w:highlight w:val="none"/>
        </w:rPr>
        <w:t>表，并计算分项总报价，如果分项总报价与工程单价有出入，则以工程单价为准</w:t>
      </w:r>
    </w:p>
    <w:p w14:paraId="45287271">
      <w:pPr>
        <w:spacing w:line="60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1</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asciiTheme="minorEastAsia" w:hAnsiTheme="minorEastAsia" w:eastAsiaTheme="minorEastAsia"/>
          <w:b/>
          <w:sz w:val="24"/>
          <w:highlight w:val="none"/>
        </w:rPr>
        <w:t>保证金</w:t>
      </w:r>
    </w:p>
    <w:p w14:paraId="790456BE">
      <w:pPr>
        <w:spacing w:line="500" w:lineRule="exact"/>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eastAsia="zh-CN"/>
        </w:rPr>
        <w:t>本项目不收取保证金。</w:t>
      </w:r>
    </w:p>
    <w:p w14:paraId="291BBA67">
      <w:pPr>
        <w:spacing w:line="500" w:lineRule="exact"/>
        <w:ind w:left="473"/>
        <w:rPr>
          <w:rFonts w:asciiTheme="minorEastAsia" w:hAnsiTheme="minorEastAsia" w:eastAsiaTheme="minorEastAsia"/>
          <w:b/>
          <w:sz w:val="24"/>
          <w:highlight w:val="none"/>
        </w:rPr>
      </w:pP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有效期</w:t>
      </w:r>
    </w:p>
    <w:p w14:paraId="27A23A77">
      <w:pPr>
        <w:spacing w:line="500" w:lineRule="exact"/>
        <w:ind w:left="473"/>
        <w:rPr>
          <w:rFonts w:hint="eastAsia" w:asciiTheme="minorEastAsia" w:hAnsiTheme="minorEastAsia" w:eastAsiaTheme="minorEastAsia"/>
          <w:sz w:val="24"/>
          <w:highlight w:val="none"/>
          <w:lang w:eastAsia="zh-CN"/>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谈判申请人的谈判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从谈判之日起有效期为60</w:t>
      </w:r>
      <w:r>
        <w:rPr>
          <w:rFonts w:hint="eastAsia" w:asciiTheme="minorEastAsia" w:hAnsiTheme="minorEastAsia" w:eastAsiaTheme="minorEastAsia"/>
          <w:sz w:val="24"/>
          <w:highlight w:val="none"/>
          <w:lang w:eastAsia="zh-CN"/>
        </w:rPr>
        <w:t>天。</w:t>
      </w:r>
    </w:p>
    <w:p w14:paraId="43113BBA">
      <w:pPr>
        <w:spacing w:line="500" w:lineRule="exact"/>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sz w:val="24"/>
          <w:highlight w:val="none"/>
        </w:rPr>
        <w:t>12.2  在特殊情况下，采购人通过招标代理机构可于谈判有效期满之前要求谈判申请人同意延长有效期，要求与答复均为书面形式。谈判申请人可以拒绝上述要求。对于同意该要求的谈判申请人，既不要求也不允许其修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w:t>
      </w:r>
      <w:r>
        <w:rPr>
          <w:rFonts w:hint="eastAsia" w:asciiTheme="minorEastAsia" w:hAnsiTheme="minorEastAsia" w:eastAsiaTheme="minorEastAsia"/>
          <w:color w:val="auto"/>
          <w:sz w:val="24"/>
          <w:highlight w:val="none"/>
          <w:lang w:eastAsia="zh-CN"/>
        </w:rPr>
        <w:t>响应文件中需要对谈判有效期做出响应，否则</w:t>
      </w:r>
      <w:r>
        <w:rPr>
          <w:rFonts w:hint="eastAsia" w:cs="Times New Roman" w:asciiTheme="minorEastAsia" w:hAnsiTheme="minorEastAsia" w:eastAsiaTheme="minorEastAsia"/>
          <w:color w:val="auto"/>
          <w:sz w:val="24"/>
          <w:highlight w:val="none"/>
          <w:lang w:eastAsia="zh-CN"/>
        </w:rPr>
        <w:t>视为其无效投标。</w:t>
      </w:r>
    </w:p>
    <w:p w14:paraId="38CD79F1">
      <w:pPr>
        <w:spacing w:line="500" w:lineRule="exact"/>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3</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的规定</w:t>
      </w:r>
    </w:p>
    <w:p w14:paraId="02AF23D0">
      <w:pPr>
        <w:spacing w:line="500" w:lineRule="exact"/>
        <w:ind w:firstLine="240" w:firstLineChars="100"/>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 xml:space="preserve"> 除谈判申请人对错处作必要修改外，谈判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中不许有加行、涂抹或改写。如有修改错漏处，必须由谈判申请人法人代表或其委托代理人签字并加盖公章。</w:t>
      </w:r>
    </w:p>
    <w:p w14:paraId="2D3B55C9">
      <w:pPr>
        <w:spacing w:line="500" w:lineRule="exact"/>
        <w:ind w:firstLine="480"/>
        <w:outlineLvl w:val="0"/>
        <w:rPr>
          <w:rFonts w:hint="eastAsia" w:asciiTheme="minorEastAsia" w:hAnsiTheme="minorEastAsia" w:eastAsiaTheme="minorEastAsia"/>
          <w:b/>
          <w:sz w:val="24"/>
          <w:highlight w:val="none"/>
          <w:lang w:eastAsia="zh-CN"/>
        </w:rPr>
      </w:pPr>
      <w:bookmarkStart w:id="80" w:name="_Toc9192"/>
      <w:bookmarkStart w:id="81" w:name="_Toc499803927"/>
      <w:bookmarkStart w:id="82" w:name="_Toc352325690"/>
      <w:bookmarkStart w:id="83" w:name="_Toc19315"/>
      <w:bookmarkStart w:id="84" w:name="_Toc505088144"/>
      <w:bookmarkStart w:id="85" w:name="_Toc30125"/>
      <w:bookmarkStart w:id="86" w:name="_Toc7253"/>
      <w:bookmarkStart w:id="87" w:name="_Toc352679662"/>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w:t>
      </w:r>
      <w:bookmarkEnd w:id="80"/>
      <w:bookmarkEnd w:id="81"/>
      <w:bookmarkEnd w:id="82"/>
      <w:bookmarkEnd w:id="83"/>
      <w:bookmarkEnd w:id="84"/>
      <w:bookmarkEnd w:id="85"/>
      <w:bookmarkEnd w:id="86"/>
      <w:bookmarkEnd w:id="87"/>
      <w:r>
        <w:rPr>
          <w:rFonts w:hint="eastAsia" w:asciiTheme="minorEastAsia" w:hAnsiTheme="minorEastAsia" w:eastAsiaTheme="minorEastAsia"/>
          <w:b/>
          <w:sz w:val="24"/>
          <w:highlight w:val="none"/>
          <w:lang w:eastAsia="zh-CN"/>
        </w:rPr>
        <w:t>递交</w:t>
      </w:r>
    </w:p>
    <w:p w14:paraId="3D54FEB1">
      <w:pPr>
        <w:pStyle w:val="22"/>
        <w:keepNext w:val="0"/>
        <w:keepLines w:val="0"/>
        <w:widowControl/>
        <w:suppressLineNumbers w:val="0"/>
        <w:spacing w:before="0" w:beforeAutospacing="0" w:after="0" w:afterAutospacing="0" w:line="360" w:lineRule="auto"/>
        <w:ind w:left="0" w:right="0" w:firstLine="555"/>
        <w:rPr>
          <w:rFonts w:hint="eastAsia" w:ascii="宋体" w:hAnsi="宋体" w:eastAsia="宋体" w:cs="宋体"/>
          <w:color w:val="000000"/>
          <w:kern w:val="2"/>
          <w:sz w:val="24"/>
          <w:szCs w:val="24"/>
          <w:highlight w:val="none"/>
          <w:lang w:val="en-US" w:eastAsia="zh-CN" w:bidi="ar-SA"/>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 xml:space="preserve"> </w:t>
      </w:r>
      <w:r>
        <w:rPr>
          <w:rFonts w:hint="eastAsia" w:ascii="宋体" w:hAnsi="宋体" w:eastAsia="宋体" w:cs="宋体"/>
          <w:color w:val="000000"/>
          <w:kern w:val="2"/>
          <w:sz w:val="24"/>
          <w:szCs w:val="24"/>
          <w:highlight w:val="none"/>
          <w:lang w:val="en-US" w:eastAsia="zh-CN" w:bidi="ar-SA"/>
        </w:rPr>
        <w:t>电子响应文件网上递交流程：在电子响应文件网上递交的截止时间前，使用 CA 锁登录后将已固化且加密的电子响应文件通过网上递交的方式在投标专区自行网上递交，并确保网上递交成功（为保证文件正常网上递交，请供应商人错峰上传，详细操作可参阅交易平台办事服务-操作指南-投标阶段）；</w:t>
      </w:r>
    </w:p>
    <w:p w14:paraId="2513D381">
      <w:pPr>
        <w:pStyle w:val="22"/>
        <w:keepNext w:val="0"/>
        <w:keepLines w:val="0"/>
        <w:widowControl/>
        <w:suppressLineNumbers w:val="0"/>
        <w:spacing w:before="0" w:beforeAutospacing="0" w:after="0" w:afterAutospacing="0" w:line="360" w:lineRule="auto"/>
        <w:ind w:left="0" w:right="0" w:firstLine="555"/>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14.2</w:t>
      </w:r>
      <w:r>
        <w:rPr>
          <w:rFonts w:hint="eastAsia" w:ascii="宋体" w:hAnsi="宋体" w:eastAsia="宋体" w:cs="宋体"/>
          <w:color w:val="000000"/>
          <w:kern w:val="2"/>
          <w:sz w:val="24"/>
          <w:szCs w:val="24"/>
          <w:highlight w:val="none"/>
          <w:lang w:val="en-US" w:eastAsia="zh-CN" w:bidi="ar-SA"/>
        </w:rPr>
        <w:t>.开标方式：本项目实行不见面开评标，供应商不需再到达现场（需要现场演示或样品展示的除外），请供应商通过互联网登录交易平台自助完成投标签到、响应文件解密及澄清答疑等操作，具体流程详见交易中心系统2019年12月31日发布的《关于实行全过程不见面交易的公告》附件“商丘市公共资源交易平台操作指南2019-12-31版本”。</w:t>
      </w:r>
    </w:p>
    <w:p w14:paraId="1BA5A17B">
      <w:pPr>
        <w:spacing w:line="360" w:lineRule="auto"/>
        <w:ind w:firstLine="480" w:firstLineChars="200"/>
        <w:rPr>
          <w:rFonts w:asciiTheme="minorEastAsia" w:hAnsiTheme="minorEastAsia" w:eastAsiaTheme="minorEastAsia"/>
          <w:sz w:val="24"/>
          <w:highlight w:val="none"/>
        </w:rPr>
      </w:pPr>
      <w:r>
        <w:rPr>
          <w:rFonts w:hint="eastAsia" w:ascii="宋体" w:hAnsi="宋体"/>
          <w:color w:val="000000"/>
          <w:sz w:val="24"/>
          <w:szCs w:val="24"/>
          <w:highlight w:val="none"/>
          <w:lang w:val="en-US" w:eastAsia="zh-CN"/>
        </w:rPr>
        <w:t>14.3.</w:t>
      </w:r>
      <w:r>
        <w:rPr>
          <w:rFonts w:hint="eastAsia" w:ascii="宋体" w:hAnsi="宋体"/>
          <w:color w:val="000000"/>
          <w:sz w:val="24"/>
          <w:szCs w:val="24"/>
          <w:highlight w:val="none"/>
        </w:rPr>
        <w:t>请</w:t>
      </w:r>
      <w:r>
        <w:rPr>
          <w:rFonts w:hint="eastAsia" w:ascii="宋体" w:hAnsi="宋体"/>
          <w:color w:val="000000"/>
          <w:sz w:val="24"/>
          <w:szCs w:val="24"/>
          <w:highlight w:val="none"/>
          <w:lang w:eastAsia="zh-CN"/>
        </w:rPr>
        <w:t>供应商</w:t>
      </w:r>
      <w:r>
        <w:rPr>
          <w:rFonts w:hint="eastAsia" w:ascii="宋体" w:hAnsi="宋体"/>
          <w:color w:val="000000"/>
          <w:sz w:val="24"/>
          <w:szCs w:val="24"/>
          <w:highlight w:val="none"/>
        </w:rPr>
        <w:t>时刻关注</w:t>
      </w:r>
      <w:r>
        <w:rPr>
          <w:rFonts w:hint="eastAsia" w:ascii="宋体" w:hAnsi="宋体"/>
          <w:color w:val="000000"/>
          <w:sz w:val="24"/>
          <w:szCs w:val="24"/>
          <w:highlight w:val="none"/>
          <w:lang w:eastAsia="zh-CN"/>
        </w:rPr>
        <w:t>商丘</w:t>
      </w:r>
      <w:r>
        <w:rPr>
          <w:rFonts w:hint="eastAsia" w:ascii="宋体" w:hAnsi="宋体"/>
          <w:color w:val="000000"/>
          <w:sz w:val="24"/>
          <w:szCs w:val="24"/>
          <w:highlight w:val="none"/>
        </w:rPr>
        <w:t>市公共资源交易中心网站和公司CA密钥推送</w:t>
      </w:r>
      <w:r>
        <w:rPr>
          <w:rFonts w:hint="eastAsia" w:ascii="宋体" w:hAnsi="宋体"/>
          <w:color w:val="000000"/>
          <w:sz w:val="24"/>
          <w:szCs w:val="24"/>
          <w:highlight w:val="none"/>
          <w:lang w:eastAsia="zh-CN"/>
        </w:rPr>
        <w:t>的</w:t>
      </w:r>
      <w:r>
        <w:rPr>
          <w:rFonts w:hint="eastAsia" w:ascii="宋体" w:hAnsi="宋体"/>
          <w:color w:val="000000"/>
          <w:sz w:val="24"/>
          <w:szCs w:val="24"/>
          <w:highlight w:val="none"/>
        </w:rPr>
        <w:t>消息。</w:t>
      </w:r>
    </w:p>
    <w:p w14:paraId="253F5884">
      <w:pPr>
        <w:spacing w:line="500" w:lineRule="exact"/>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 xml:space="preserve"> 在签到时</w:t>
      </w:r>
      <w:r>
        <w:rPr>
          <w:rFonts w:hint="eastAsia" w:asciiTheme="minorEastAsia" w:hAnsiTheme="minorEastAsia" w:eastAsiaTheme="minorEastAsia"/>
          <w:sz w:val="24"/>
          <w:highlight w:val="none"/>
          <w:lang w:eastAsia="zh-CN"/>
        </w:rPr>
        <w:t>上传的</w:t>
      </w:r>
      <w:r>
        <w:rPr>
          <w:rFonts w:hint="eastAsia" w:asciiTheme="minorEastAsia" w:hAnsiTheme="minorEastAsia" w:eastAsiaTheme="minorEastAsia"/>
          <w:sz w:val="24"/>
          <w:highlight w:val="none"/>
        </w:rPr>
        <w:t>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只包含第一轮报价表，第二轮报价表（最终报价）在</w:t>
      </w:r>
      <w:r>
        <w:rPr>
          <w:rFonts w:hint="eastAsia" w:asciiTheme="minorEastAsia" w:hAnsiTheme="minorEastAsia" w:eastAsiaTheme="minorEastAsia"/>
          <w:sz w:val="24"/>
          <w:highlight w:val="none"/>
          <w:lang w:eastAsia="zh-CN"/>
        </w:rPr>
        <w:t>系统里响应</w:t>
      </w:r>
      <w:r>
        <w:rPr>
          <w:rFonts w:hint="eastAsia" w:asciiTheme="minorEastAsia" w:hAnsiTheme="minorEastAsia" w:eastAsiaTheme="minorEastAsia"/>
          <w:sz w:val="24"/>
          <w:highlight w:val="none"/>
        </w:rPr>
        <w:t>。</w:t>
      </w:r>
    </w:p>
    <w:p w14:paraId="4D46A86C">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未按本文件规定要求制作谈判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的；字迹模糊无法辨认的；工期超出规定期限的；谈判资格不合格的；均视为无效标。</w:t>
      </w:r>
    </w:p>
    <w:p w14:paraId="2D5D41E0">
      <w:pPr>
        <w:spacing w:line="500" w:lineRule="exact"/>
        <w:outlineLvl w:val="0"/>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bookmarkStart w:id="88" w:name="_Toc352325691"/>
      <w:bookmarkStart w:id="89" w:name="_Toc19178"/>
      <w:bookmarkStart w:id="90" w:name="_Toc499803928"/>
      <w:bookmarkStart w:id="91" w:name="_Toc28048"/>
      <w:bookmarkStart w:id="92" w:name="_Toc352679663"/>
      <w:bookmarkStart w:id="93" w:name="_Toc4989"/>
      <w:bookmarkStart w:id="94" w:name="_Toc21532"/>
      <w:bookmarkStart w:id="95" w:name="_Toc505088145"/>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5</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递交谈判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的截止时间</w:t>
      </w:r>
      <w:bookmarkEnd w:id="88"/>
      <w:bookmarkEnd w:id="89"/>
      <w:bookmarkEnd w:id="90"/>
      <w:bookmarkEnd w:id="91"/>
      <w:bookmarkEnd w:id="92"/>
      <w:bookmarkEnd w:id="93"/>
      <w:bookmarkEnd w:id="94"/>
      <w:bookmarkEnd w:id="95"/>
    </w:p>
    <w:p w14:paraId="08F623F4">
      <w:pPr>
        <w:spacing w:line="50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1</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所有谈判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都必须按采购代理机构在</w:t>
      </w:r>
      <w:r>
        <w:rPr>
          <w:rFonts w:hint="eastAsia" w:asciiTheme="minorEastAsia" w:hAnsiTheme="minorEastAsia" w:eastAsiaTheme="minorEastAsia"/>
          <w:color w:val="000000"/>
          <w:sz w:val="24"/>
          <w:highlight w:val="none"/>
          <w:lang w:eastAsia="zh-CN"/>
        </w:rPr>
        <w:t>谈判文件</w:t>
      </w:r>
      <w:r>
        <w:rPr>
          <w:rFonts w:hint="eastAsia" w:asciiTheme="minorEastAsia" w:hAnsiTheme="minorEastAsia" w:eastAsiaTheme="minorEastAsia"/>
          <w:sz w:val="24"/>
          <w:highlight w:val="none"/>
        </w:rPr>
        <w:t>中规定的谈判签到截止时间之前送至指定地点，也可在谈判签到的同时递交。</w:t>
      </w:r>
    </w:p>
    <w:p w14:paraId="08FEBEE0">
      <w:pPr>
        <w:spacing w:line="500" w:lineRule="exact"/>
        <w:outlineLvl w:val="0"/>
        <w:rPr>
          <w:rFonts w:hint="eastAsia" w:asciiTheme="minorEastAsia" w:hAnsiTheme="minorEastAsia" w:eastAsiaTheme="minorEastAsia"/>
          <w:b/>
          <w:sz w:val="24"/>
          <w:highlight w:val="none"/>
          <w:lang w:eastAsia="zh-CN"/>
        </w:rPr>
      </w:pPr>
      <w:r>
        <w:rPr>
          <w:rFonts w:asciiTheme="minorEastAsia" w:hAnsiTheme="minorEastAsia" w:eastAsiaTheme="minorEastAsia"/>
          <w:sz w:val="24"/>
          <w:highlight w:val="none"/>
        </w:rPr>
        <w:t xml:space="preserve">    </w:t>
      </w:r>
      <w:bookmarkStart w:id="96" w:name="_Toc499803929"/>
      <w:bookmarkStart w:id="97" w:name="_Toc26056"/>
      <w:bookmarkStart w:id="98" w:name="_Toc19716"/>
      <w:bookmarkStart w:id="99" w:name="_Toc352325692"/>
      <w:bookmarkStart w:id="100" w:name="_Toc505088146"/>
      <w:bookmarkStart w:id="101" w:name="_Toc352679664"/>
      <w:bookmarkStart w:id="102" w:name="_Toc9905"/>
      <w:bookmarkStart w:id="103" w:name="_Toc17197"/>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迟交的谈判</w:t>
      </w:r>
      <w:bookmarkEnd w:id="96"/>
      <w:bookmarkEnd w:id="97"/>
      <w:bookmarkEnd w:id="98"/>
      <w:bookmarkEnd w:id="99"/>
      <w:bookmarkEnd w:id="100"/>
      <w:bookmarkEnd w:id="101"/>
      <w:r>
        <w:rPr>
          <w:rFonts w:hint="eastAsia" w:asciiTheme="minorEastAsia" w:hAnsiTheme="minorEastAsia" w:eastAsiaTheme="minorEastAsia"/>
          <w:b/>
          <w:sz w:val="24"/>
          <w:highlight w:val="none"/>
          <w:lang w:eastAsia="zh-CN"/>
        </w:rPr>
        <w:t>响应文件</w:t>
      </w:r>
      <w:bookmarkEnd w:id="102"/>
      <w:bookmarkEnd w:id="103"/>
    </w:p>
    <w:p w14:paraId="3A8FC74B">
      <w:pPr>
        <w:spacing w:line="500" w:lineRule="exact"/>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1</w:t>
      </w: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采购代理机构将拒绝在谈判签到截止时间后递交的谈判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，取消其投标资格。</w:t>
      </w:r>
    </w:p>
    <w:p w14:paraId="7B814BB4">
      <w:pPr>
        <w:pStyle w:val="12"/>
        <w:ind w:left="0" w:leftChars="0" w:firstLine="0" w:firstLineChars="0"/>
        <w:rPr>
          <w:rFonts w:hint="eastAsia"/>
          <w:highlight w:val="none"/>
        </w:rPr>
      </w:pPr>
      <w:bookmarkStart w:id="104" w:name="_Toc6819"/>
    </w:p>
    <w:p w14:paraId="781D1BFA">
      <w:pPr>
        <w:pStyle w:val="12"/>
        <w:rPr>
          <w:rFonts w:hint="eastAsia"/>
          <w:highlight w:val="none"/>
        </w:rPr>
      </w:pPr>
    </w:p>
    <w:p w14:paraId="27919DC2">
      <w:pPr>
        <w:pStyle w:val="12"/>
        <w:ind w:left="0" w:leftChars="0" w:firstLine="0" w:firstLineChars="0"/>
        <w:rPr>
          <w:rFonts w:hint="eastAsia"/>
          <w:highlight w:val="none"/>
        </w:rPr>
      </w:pPr>
    </w:p>
    <w:p w14:paraId="10DF8E71">
      <w:pPr>
        <w:pStyle w:val="12"/>
        <w:rPr>
          <w:rFonts w:hint="eastAsia"/>
          <w:highlight w:val="none"/>
        </w:rPr>
      </w:pPr>
    </w:p>
    <w:p w14:paraId="3ADCB408">
      <w:pPr>
        <w:pStyle w:val="12"/>
        <w:ind w:left="0" w:leftChars="0" w:firstLine="0" w:firstLineChars="0"/>
        <w:rPr>
          <w:rFonts w:hint="eastAsia"/>
          <w:highlight w:val="none"/>
        </w:rPr>
      </w:pPr>
    </w:p>
    <w:p w14:paraId="0C472103">
      <w:pPr>
        <w:pStyle w:val="12"/>
        <w:ind w:left="0" w:leftChars="0" w:firstLine="0" w:firstLineChars="0"/>
        <w:rPr>
          <w:rFonts w:hint="eastAsia"/>
          <w:highlight w:val="none"/>
        </w:rPr>
      </w:pPr>
    </w:p>
    <w:p w14:paraId="0F5F32FA">
      <w:pPr>
        <w:pStyle w:val="12"/>
        <w:ind w:left="0" w:leftChars="0" w:firstLine="0" w:firstLineChars="0"/>
        <w:rPr>
          <w:rFonts w:hint="eastAsia"/>
          <w:highlight w:val="none"/>
        </w:rPr>
      </w:pPr>
    </w:p>
    <w:p w14:paraId="0D964221">
      <w:pPr>
        <w:pStyle w:val="12"/>
        <w:ind w:left="0" w:leftChars="0" w:firstLine="0" w:firstLineChars="0"/>
        <w:rPr>
          <w:rFonts w:hint="eastAsia"/>
          <w:highlight w:val="none"/>
        </w:rPr>
      </w:pPr>
    </w:p>
    <w:p w14:paraId="1520B5C2">
      <w:pPr>
        <w:pStyle w:val="12"/>
        <w:ind w:left="0" w:leftChars="0" w:firstLine="0" w:firstLineChars="0"/>
        <w:rPr>
          <w:rFonts w:hint="eastAsia"/>
          <w:highlight w:val="none"/>
        </w:rPr>
      </w:pPr>
    </w:p>
    <w:p w14:paraId="5FFC3E7A">
      <w:pPr>
        <w:pStyle w:val="12"/>
        <w:ind w:left="0" w:leftChars="0" w:firstLine="0" w:firstLineChars="0"/>
        <w:rPr>
          <w:rFonts w:hint="eastAsia"/>
          <w:highlight w:val="none"/>
        </w:rPr>
      </w:pPr>
    </w:p>
    <w:p w14:paraId="1D2EE36E">
      <w:pPr>
        <w:pStyle w:val="12"/>
        <w:ind w:left="0" w:leftChars="0" w:firstLine="0" w:firstLineChars="0"/>
        <w:rPr>
          <w:rFonts w:hint="eastAsia"/>
          <w:highlight w:val="none"/>
        </w:rPr>
      </w:pPr>
    </w:p>
    <w:p w14:paraId="3FEA2CB9">
      <w:pPr>
        <w:pStyle w:val="12"/>
        <w:ind w:left="0" w:leftChars="0" w:firstLine="0" w:firstLineChars="0"/>
        <w:rPr>
          <w:rFonts w:hint="eastAsia"/>
          <w:highlight w:val="none"/>
        </w:rPr>
      </w:pPr>
    </w:p>
    <w:p w14:paraId="142A5303">
      <w:pPr>
        <w:pStyle w:val="12"/>
        <w:ind w:left="0" w:leftChars="0" w:firstLine="0" w:firstLineChars="0"/>
        <w:rPr>
          <w:rFonts w:hint="eastAsia"/>
          <w:highlight w:val="none"/>
        </w:rPr>
      </w:pPr>
    </w:p>
    <w:p w14:paraId="63D8796C">
      <w:pPr>
        <w:pStyle w:val="12"/>
        <w:ind w:left="0" w:leftChars="0" w:firstLine="0" w:firstLineChars="0"/>
        <w:rPr>
          <w:rFonts w:hint="eastAsia"/>
          <w:highlight w:val="none"/>
        </w:rPr>
      </w:pPr>
    </w:p>
    <w:p w14:paraId="4BBC01BC">
      <w:pPr>
        <w:pStyle w:val="12"/>
        <w:ind w:left="0" w:leftChars="0" w:firstLine="0" w:firstLineChars="0"/>
        <w:rPr>
          <w:rFonts w:hint="eastAsia"/>
          <w:highlight w:val="none"/>
        </w:rPr>
      </w:pPr>
    </w:p>
    <w:p w14:paraId="7F2F6B52">
      <w:pPr>
        <w:pStyle w:val="12"/>
        <w:ind w:left="0" w:leftChars="0" w:firstLine="0" w:firstLineChars="0"/>
        <w:rPr>
          <w:rFonts w:hint="eastAsia"/>
          <w:highlight w:val="none"/>
        </w:rPr>
      </w:pPr>
    </w:p>
    <w:p w14:paraId="5171235C">
      <w:pPr>
        <w:pStyle w:val="12"/>
        <w:ind w:left="0" w:leftChars="0" w:firstLine="0" w:firstLineChars="0"/>
        <w:rPr>
          <w:rFonts w:hint="eastAsia"/>
          <w:highlight w:val="none"/>
        </w:rPr>
      </w:pPr>
    </w:p>
    <w:p w14:paraId="3716C438">
      <w:pPr>
        <w:pStyle w:val="12"/>
        <w:ind w:left="0" w:leftChars="0" w:firstLine="0" w:firstLineChars="0"/>
        <w:rPr>
          <w:rFonts w:hint="eastAsia"/>
          <w:highlight w:val="none"/>
        </w:rPr>
      </w:pPr>
    </w:p>
    <w:p w14:paraId="7D370D6F">
      <w:pPr>
        <w:pStyle w:val="7"/>
        <w:bidi w:val="0"/>
        <w:jc w:val="center"/>
        <w:rPr>
          <w:rFonts w:hint="eastAsia"/>
        </w:rPr>
      </w:pPr>
    </w:p>
    <w:p w14:paraId="2F75D969">
      <w:pPr>
        <w:pStyle w:val="7"/>
        <w:bidi w:val="0"/>
        <w:jc w:val="center"/>
        <w:rPr>
          <w:rFonts w:hint="eastAsia"/>
        </w:rPr>
      </w:pPr>
    </w:p>
    <w:p w14:paraId="723F625F">
      <w:pPr>
        <w:pStyle w:val="7"/>
        <w:bidi w:val="0"/>
        <w:jc w:val="center"/>
        <w:rPr>
          <w:rFonts w:hint="eastAsia"/>
        </w:rPr>
      </w:pPr>
    </w:p>
    <w:p w14:paraId="4995D316">
      <w:pPr>
        <w:pStyle w:val="7"/>
        <w:bidi w:val="0"/>
        <w:jc w:val="center"/>
        <w:rPr>
          <w:rFonts w:hint="eastAsia"/>
        </w:rPr>
      </w:pPr>
    </w:p>
    <w:p w14:paraId="21B0FF26">
      <w:pPr>
        <w:pStyle w:val="7"/>
        <w:bidi w:val="0"/>
        <w:jc w:val="center"/>
        <w:rPr>
          <w:rFonts w:hint="eastAsia"/>
        </w:rPr>
      </w:pPr>
    </w:p>
    <w:p w14:paraId="1EF9360B">
      <w:pPr>
        <w:bidi w:val="0"/>
        <w:rPr>
          <w:rFonts w:hint="eastAsia"/>
        </w:rPr>
      </w:pPr>
    </w:p>
    <w:p w14:paraId="4D035C75">
      <w:pPr>
        <w:bidi w:val="0"/>
        <w:rPr>
          <w:rFonts w:hint="eastAsia"/>
        </w:rPr>
      </w:pPr>
    </w:p>
    <w:p w14:paraId="68BDC59B">
      <w:pPr>
        <w:bidi w:val="0"/>
        <w:rPr>
          <w:rFonts w:hint="eastAsia"/>
        </w:rPr>
      </w:pPr>
    </w:p>
    <w:p w14:paraId="3EDEAAE4">
      <w:pPr>
        <w:pStyle w:val="6"/>
        <w:bidi w:val="0"/>
        <w:rPr>
          <w:rFonts w:hint="eastAsia"/>
        </w:rPr>
      </w:pPr>
      <w:r>
        <w:rPr>
          <w:rFonts w:hint="eastAsia"/>
        </w:rPr>
        <w:t>第三章</w:t>
      </w:r>
      <w:r>
        <w:t xml:space="preserve">  </w:t>
      </w:r>
      <w:r>
        <w:rPr>
          <w:rFonts w:hint="eastAsia"/>
        </w:rPr>
        <w:t>评标办法</w:t>
      </w:r>
      <w:bookmarkEnd w:id="104"/>
    </w:p>
    <w:p w14:paraId="1D48F951">
      <w:pPr>
        <w:spacing w:line="360" w:lineRule="auto"/>
        <w:rPr>
          <w:b/>
          <w:color w:val="000000"/>
          <w:kern w:val="0"/>
          <w:sz w:val="24"/>
          <w:highlight w:val="none"/>
        </w:rPr>
      </w:pPr>
      <w:r>
        <w:rPr>
          <w:rFonts w:hint="eastAsia"/>
          <w:b/>
          <w:color w:val="000000"/>
          <w:kern w:val="0"/>
          <w:sz w:val="24"/>
          <w:highlight w:val="none"/>
        </w:rPr>
        <w:t>评标办法前附表</w:t>
      </w:r>
    </w:p>
    <w:tbl>
      <w:tblPr>
        <w:tblStyle w:val="23"/>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3"/>
        <w:gridCol w:w="960"/>
        <w:gridCol w:w="2818"/>
        <w:gridCol w:w="4836"/>
      </w:tblGrid>
      <w:tr w14:paraId="1DAF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1813" w:type="dxa"/>
            <w:gridSpan w:val="2"/>
            <w:noWrap w:val="0"/>
            <w:vAlign w:val="center"/>
          </w:tcPr>
          <w:p w14:paraId="0474C43A">
            <w:pPr>
              <w:spacing w:line="360" w:lineRule="auto"/>
              <w:jc w:val="center"/>
              <w:rPr>
                <w:b/>
                <w:color w:val="000000"/>
                <w:highlight w:val="none"/>
              </w:rPr>
            </w:pPr>
            <w:r>
              <w:rPr>
                <w:rFonts w:hint="eastAsia"/>
                <w:b/>
                <w:color w:val="000000"/>
                <w:szCs w:val="21"/>
                <w:highlight w:val="none"/>
              </w:rPr>
              <w:t>条款号</w:t>
            </w:r>
          </w:p>
        </w:tc>
        <w:tc>
          <w:tcPr>
            <w:tcW w:w="2818" w:type="dxa"/>
            <w:noWrap w:val="0"/>
            <w:vAlign w:val="center"/>
          </w:tcPr>
          <w:p w14:paraId="4C32F7A0">
            <w:pPr>
              <w:spacing w:line="360" w:lineRule="auto"/>
              <w:jc w:val="center"/>
              <w:rPr>
                <w:b/>
                <w:color w:val="000000"/>
                <w:highlight w:val="none"/>
              </w:rPr>
            </w:pPr>
            <w:r>
              <w:rPr>
                <w:rFonts w:hint="eastAsia"/>
                <w:b/>
                <w:color w:val="000000"/>
                <w:szCs w:val="21"/>
                <w:highlight w:val="none"/>
              </w:rPr>
              <w:t>评审因素</w:t>
            </w:r>
          </w:p>
        </w:tc>
        <w:tc>
          <w:tcPr>
            <w:tcW w:w="4836" w:type="dxa"/>
            <w:noWrap w:val="0"/>
            <w:vAlign w:val="center"/>
          </w:tcPr>
          <w:p w14:paraId="60A81FFD">
            <w:pPr>
              <w:spacing w:line="360" w:lineRule="auto"/>
              <w:jc w:val="center"/>
              <w:rPr>
                <w:b/>
                <w:color w:val="000000"/>
                <w:highlight w:val="none"/>
              </w:rPr>
            </w:pPr>
            <w:r>
              <w:rPr>
                <w:rFonts w:hint="eastAsia"/>
                <w:b/>
                <w:color w:val="000000"/>
                <w:szCs w:val="21"/>
                <w:highlight w:val="none"/>
              </w:rPr>
              <w:t>评审标准</w:t>
            </w:r>
          </w:p>
        </w:tc>
      </w:tr>
      <w:tr w14:paraId="2C2B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restart"/>
            <w:noWrap w:val="0"/>
            <w:vAlign w:val="center"/>
          </w:tcPr>
          <w:p w14:paraId="11998F32">
            <w:pPr>
              <w:spacing w:line="360" w:lineRule="auto"/>
              <w:jc w:val="center"/>
              <w:rPr>
                <w:color w:val="000000"/>
                <w:szCs w:val="21"/>
                <w:highlight w:val="none"/>
              </w:rPr>
            </w:pPr>
            <w:r>
              <w:rPr>
                <w:color w:val="000000"/>
                <w:szCs w:val="21"/>
                <w:highlight w:val="none"/>
              </w:rPr>
              <w:t>2.1.1</w:t>
            </w:r>
          </w:p>
        </w:tc>
        <w:tc>
          <w:tcPr>
            <w:tcW w:w="960" w:type="dxa"/>
            <w:vMerge w:val="restart"/>
            <w:noWrap w:val="0"/>
            <w:vAlign w:val="center"/>
          </w:tcPr>
          <w:p w14:paraId="007A2991">
            <w:pPr>
              <w:spacing w:line="320" w:lineRule="exact"/>
              <w:jc w:val="center"/>
              <w:rPr>
                <w:color w:val="000000"/>
                <w:szCs w:val="21"/>
                <w:highlight w:val="none"/>
              </w:rPr>
            </w:pPr>
            <w:r>
              <w:rPr>
                <w:rFonts w:hint="eastAsia"/>
                <w:color w:val="000000"/>
                <w:szCs w:val="21"/>
                <w:highlight w:val="none"/>
              </w:rPr>
              <w:t>资格评审标准</w:t>
            </w:r>
          </w:p>
        </w:tc>
        <w:tc>
          <w:tcPr>
            <w:tcW w:w="2818" w:type="dxa"/>
            <w:noWrap w:val="0"/>
            <w:vAlign w:val="center"/>
          </w:tcPr>
          <w:p w14:paraId="71106AF7">
            <w:pPr>
              <w:spacing w:line="320" w:lineRule="exact"/>
              <w:jc w:val="center"/>
              <w:rPr>
                <w:color w:val="000000"/>
                <w:szCs w:val="21"/>
                <w:highlight w:val="none"/>
              </w:rPr>
            </w:pPr>
            <w:r>
              <w:rPr>
                <w:rFonts w:hint="eastAsia"/>
                <w:color w:val="000000"/>
                <w:szCs w:val="21"/>
                <w:highlight w:val="none"/>
              </w:rPr>
              <w:t>营业执照</w:t>
            </w:r>
          </w:p>
        </w:tc>
        <w:tc>
          <w:tcPr>
            <w:tcW w:w="4836" w:type="dxa"/>
            <w:noWrap w:val="0"/>
            <w:vAlign w:val="center"/>
          </w:tcPr>
          <w:p w14:paraId="493BBFC3">
            <w:pPr>
              <w:spacing w:line="320" w:lineRule="exact"/>
              <w:rPr>
                <w:color w:val="000000"/>
                <w:szCs w:val="21"/>
                <w:highlight w:val="none"/>
              </w:rPr>
            </w:pPr>
            <w:r>
              <w:rPr>
                <w:rFonts w:hint="eastAsia"/>
                <w:color w:val="000000"/>
                <w:highlight w:val="none"/>
              </w:rPr>
              <w:t>符合第二章</w:t>
            </w:r>
            <w:r>
              <w:rPr>
                <w:color w:val="000000"/>
                <w:highlight w:val="none"/>
              </w:rPr>
              <w:t>“</w:t>
            </w:r>
            <w:r>
              <w:rPr>
                <w:rFonts w:hint="eastAsia"/>
                <w:color w:val="000000"/>
                <w:highlight w:val="none"/>
                <w:lang w:eastAsia="zh-CN"/>
              </w:rPr>
              <w:t>供应商</w:t>
            </w:r>
            <w:r>
              <w:rPr>
                <w:rFonts w:hint="eastAsia"/>
                <w:color w:val="000000"/>
                <w:highlight w:val="none"/>
              </w:rPr>
              <w:t>须知前附表</w:t>
            </w:r>
            <w:r>
              <w:rPr>
                <w:color w:val="000000"/>
                <w:highlight w:val="none"/>
              </w:rPr>
              <w:t>”</w:t>
            </w:r>
            <w:r>
              <w:rPr>
                <w:rFonts w:hint="eastAsia"/>
                <w:color w:val="000000"/>
                <w:highlight w:val="none"/>
              </w:rPr>
              <w:t>第</w:t>
            </w:r>
            <w:r>
              <w:rPr>
                <w:color w:val="000000"/>
                <w:highlight w:val="none"/>
              </w:rPr>
              <w:t>1.4.1</w:t>
            </w:r>
            <w:r>
              <w:rPr>
                <w:rFonts w:hint="eastAsia"/>
                <w:color w:val="000000"/>
                <w:highlight w:val="none"/>
              </w:rPr>
              <w:t>项规定</w:t>
            </w:r>
          </w:p>
        </w:tc>
      </w:tr>
      <w:tr w14:paraId="6653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7B67F8BB">
            <w:pPr>
              <w:spacing w:line="360" w:lineRule="auto"/>
              <w:jc w:val="center"/>
              <w:rPr>
                <w:color w:val="000000"/>
                <w:szCs w:val="21"/>
                <w:highlight w:val="none"/>
              </w:rPr>
            </w:pPr>
          </w:p>
        </w:tc>
        <w:tc>
          <w:tcPr>
            <w:tcW w:w="960" w:type="dxa"/>
            <w:vMerge w:val="continue"/>
            <w:noWrap w:val="0"/>
            <w:vAlign w:val="center"/>
          </w:tcPr>
          <w:p w14:paraId="47AEE629">
            <w:pPr>
              <w:spacing w:line="320" w:lineRule="exact"/>
              <w:jc w:val="center"/>
              <w:rPr>
                <w:rFonts w:hint="eastAsia"/>
                <w:color w:val="000000"/>
                <w:szCs w:val="21"/>
                <w:highlight w:val="none"/>
              </w:rPr>
            </w:pPr>
          </w:p>
        </w:tc>
        <w:tc>
          <w:tcPr>
            <w:tcW w:w="2818" w:type="dxa"/>
            <w:noWrap w:val="0"/>
            <w:vAlign w:val="center"/>
          </w:tcPr>
          <w:p w14:paraId="0E14CA74">
            <w:pPr>
              <w:spacing w:line="320" w:lineRule="exact"/>
              <w:jc w:val="center"/>
              <w:rPr>
                <w:rFonts w:hint="eastAsia" w:eastAsia="宋体"/>
                <w:color w:val="000000"/>
                <w:szCs w:val="21"/>
                <w:highlight w:val="none"/>
                <w:lang w:val="en-US" w:eastAsia="zh-CN"/>
              </w:rPr>
            </w:pPr>
            <w:r>
              <w:rPr>
                <w:rFonts w:hint="eastAsia"/>
                <w:color w:val="000000"/>
                <w:szCs w:val="21"/>
                <w:highlight w:val="none"/>
              </w:rPr>
              <w:t>资格要求</w:t>
            </w:r>
          </w:p>
        </w:tc>
        <w:tc>
          <w:tcPr>
            <w:tcW w:w="4836" w:type="dxa"/>
            <w:noWrap w:val="0"/>
            <w:vAlign w:val="center"/>
          </w:tcPr>
          <w:p w14:paraId="67D5DF00">
            <w:pPr>
              <w:spacing w:line="320" w:lineRule="exact"/>
              <w:rPr>
                <w:rFonts w:hint="default" w:eastAsia="宋体"/>
                <w:color w:val="000000"/>
                <w:szCs w:val="21"/>
                <w:highlight w:val="none"/>
                <w:lang w:val="en-US" w:eastAsia="zh-CN"/>
              </w:rPr>
            </w:pPr>
            <w:r>
              <w:rPr>
                <w:rFonts w:hint="eastAsia"/>
                <w:color w:val="000000"/>
                <w:highlight w:val="none"/>
              </w:rPr>
              <w:t>符合第二章</w:t>
            </w:r>
            <w:r>
              <w:rPr>
                <w:color w:val="000000"/>
                <w:highlight w:val="none"/>
              </w:rPr>
              <w:t>“</w:t>
            </w:r>
            <w:r>
              <w:rPr>
                <w:rFonts w:hint="eastAsia"/>
                <w:color w:val="000000"/>
                <w:highlight w:val="none"/>
                <w:lang w:eastAsia="zh-CN"/>
              </w:rPr>
              <w:t>供应商</w:t>
            </w:r>
            <w:r>
              <w:rPr>
                <w:rFonts w:hint="eastAsia"/>
                <w:color w:val="000000"/>
                <w:highlight w:val="none"/>
              </w:rPr>
              <w:t>须知前附表</w:t>
            </w:r>
            <w:r>
              <w:rPr>
                <w:color w:val="000000"/>
                <w:highlight w:val="none"/>
              </w:rPr>
              <w:t>”</w:t>
            </w:r>
            <w:r>
              <w:rPr>
                <w:rFonts w:hint="eastAsia"/>
                <w:color w:val="000000"/>
                <w:highlight w:val="none"/>
              </w:rPr>
              <w:t>第</w:t>
            </w:r>
            <w:r>
              <w:rPr>
                <w:color w:val="000000"/>
                <w:highlight w:val="none"/>
              </w:rPr>
              <w:t>1.4.1</w:t>
            </w:r>
            <w:r>
              <w:rPr>
                <w:rFonts w:hint="eastAsia"/>
                <w:color w:val="000000"/>
                <w:highlight w:val="none"/>
              </w:rPr>
              <w:t>项规定</w:t>
            </w:r>
          </w:p>
        </w:tc>
      </w:tr>
      <w:tr w14:paraId="28C9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50189E55">
            <w:pPr>
              <w:spacing w:line="360" w:lineRule="auto"/>
              <w:jc w:val="center"/>
              <w:rPr>
                <w:color w:val="000000"/>
                <w:kern w:val="0"/>
                <w:szCs w:val="21"/>
                <w:highlight w:val="none"/>
              </w:rPr>
            </w:pPr>
          </w:p>
        </w:tc>
        <w:tc>
          <w:tcPr>
            <w:tcW w:w="960" w:type="dxa"/>
            <w:vMerge w:val="continue"/>
            <w:noWrap w:val="0"/>
            <w:vAlign w:val="center"/>
          </w:tcPr>
          <w:p w14:paraId="092CF985">
            <w:pPr>
              <w:spacing w:line="320" w:lineRule="exact"/>
              <w:jc w:val="center"/>
              <w:rPr>
                <w:color w:val="000000"/>
                <w:szCs w:val="21"/>
                <w:highlight w:val="none"/>
              </w:rPr>
            </w:pPr>
          </w:p>
        </w:tc>
        <w:tc>
          <w:tcPr>
            <w:tcW w:w="2818" w:type="dxa"/>
            <w:noWrap w:val="0"/>
            <w:vAlign w:val="center"/>
          </w:tcPr>
          <w:p w14:paraId="2FE6850D">
            <w:pPr>
              <w:autoSpaceDE w:val="0"/>
              <w:autoSpaceDN w:val="0"/>
              <w:adjustRightInd w:val="0"/>
              <w:jc w:val="center"/>
              <w:rPr>
                <w:rFonts w:hint="eastAsia" w:eastAsia="宋体"/>
                <w:color w:val="000000"/>
                <w:szCs w:val="21"/>
                <w:highlight w:val="none"/>
                <w:lang w:eastAsia="zh-CN"/>
              </w:rPr>
            </w:pPr>
            <w:r>
              <w:rPr>
                <w:rFonts w:hint="eastAsia"/>
                <w:color w:val="000000"/>
                <w:szCs w:val="21"/>
                <w:highlight w:val="none"/>
              </w:rPr>
              <w:t>企业审计报告</w:t>
            </w:r>
            <w:r>
              <w:rPr>
                <w:rFonts w:hint="eastAsia"/>
                <w:color w:val="000000"/>
                <w:szCs w:val="21"/>
                <w:highlight w:val="none"/>
                <w:lang w:eastAsia="zh-CN"/>
              </w:rPr>
              <w:t>或资信证明</w:t>
            </w:r>
          </w:p>
        </w:tc>
        <w:tc>
          <w:tcPr>
            <w:tcW w:w="4836" w:type="dxa"/>
            <w:noWrap w:val="0"/>
            <w:vAlign w:val="center"/>
          </w:tcPr>
          <w:p w14:paraId="67144EFE">
            <w:pPr>
              <w:spacing w:line="320" w:lineRule="exact"/>
              <w:rPr>
                <w:color w:val="000000"/>
                <w:szCs w:val="21"/>
                <w:highlight w:val="none"/>
              </w:rPr>
            </w:pPr>
            <w:r>
              <w:rPr>
                <w:rFonts w:hint="eastAsia"/>
                <w:color w:val="000000"/>
                <w:highlight w:val="none"/>
              </w:rPr>
              <w:t>符合第二章</w:t>
            </w:r>
            <w:r>
              <w:rPr>
                <w:color w:val="000000"/>
                <w:highlight w:val="none"/>
              </w:rPr>
              <w:t>“</w:t>
            </w:r>
            <w:r>
              <w:rPr>
                <w:rFonts w:hint="eastAsia"/>
                <w:color w:val="000000"/>
                <w:highlight w:val="none"/>
                <w:lang w:eastAsia="zh-CN"/>
              </w:rPr>
              <w:t>供应商</w:t>
            </w:r>
            <w:r>
              <w:rPr>
                <w:rFonts w:hint="eastAsia"/>
                <w:color w:val="000000"/>
                <w:highlight w:val="none"/>
              </w:rPr>
              <w:t>须知前附表</w:t>
            </w:r>
            <w:r>
              <w:rPr>
                <w:color w:val="000000"/>
                <w:highlight w:val="none"/>
              </w:rPr>
              <w:t>”</w:t>
            </w:r>
            <w:r>
              <w:rPr>
                <w:rFonts w:hint="eastAsia"/>
                <w:color w:val="000000"/>
                <w:highlight w:val="none"/>
              </w:rPr>
              <w:t>第</w:t>
            </w:r>
            <w:r>
              <w:rPr>
                <w:color w:val="000000"/>
                <w:highlight w:val="none"/>
              </w:rPr>
              <w:t>1.4.</w:t>
            </w:r>
            <w:r>
              <w:rPr>
                <w:rFonts w:hint="eastAsia"/>
                <w:color w:val="000000"/>
                <w:highlight w:val="none"/>
              </w:rPr>
              <w:t>1项规定</w:t>
            </w:r>
          </w:p>
        </w:tc>
      </w:tr>
      <w:tr w14:paraId="4989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5F63E6A8">
            <w:pPr>
              <w:spacing w:line="360" w:lineRule="auto"/>
              <w:jc w:val="center"/>
              <w:rPr>
                <w:color w:val="000000"/>
                <w:kern w:val="0"/>
                <w:szCs w:val="21"/>
                <w:highlight w:val="none"/>
              </w:rPr>
            </w:pPr>
          </w:p>
        </w:tc>
        <w:tc>
          <w:tcPr>
            <w:tcW w:w="960" w:type="dxa"/>
            <w:vMerge w:val="continue"/>
            <w:noWrap w:val="0"/>
            <w:vAlign w:val="center"/>
          </w:tcPr>
          <w:p w14:paraId="11AAB951">
            <w:pPr>
              <w:spacing w:line="320" w:lineRule="exact"/>
              <w:jc w:val="center"/>
              <w:rPr>
                <w:color w:val="000000"/>
                <w:szCs w:val="21"/>
                <w:highlight w:val="none"/>
              </w:rPr>
            </w:pPr>
          </w:p>
        </w:tc>
        <w:tc>
          <w:tcPr>
            <w:tcW w:w="2818" w:type="dxa"/>
            <w:noWrap w:val="0"/>
            <w:vAlign w:val="center"/>
          </w:tcPr>
          <w:p w14:paraId="6B80B53F">
            <w:pPr>
              <w:autoSpaceDE w:val="0"/>
              <w:autoSpaceDN w:val="0"/>
              <w:adjustRightInd w:val="0"/>
              <w:jc w:val="center"/>
              <w:rPr>
                <w:rFonts w:hint="eastAsia"/>
                <w:color w:val="000000"/>
                <w:szCs w:val="21"/>
                <w:highlight w:val="none"/>
              </w:rPr>
            </w:pPr>
            <w:r>
              <w:rPr>
                <w:rFonts w:hint="eastAsia" w:ascii="宋体" w:hAnsi="宋体"/>
                <w:bCs/>
                <w:color w:val="000000"/>
                <w:szCs w:val="21"/>
                <w:highlight w:val="none"/>
              </w:rPr>
              <w:t>信用查询</w:t>
            </w:r>
            <w:r>
              <w:rPr>
                <w:rFonts w:ascii="宋体" w:hAnsi="宋体"/>
                <w:bCs/>
                <w:color w:val="000000"/>
                <w:szCs w:val="21"/>
                <w:highlight w:val="none"/>
              </w:rPr>
              <w:t>结果</w:t>
            </w:r>
          </w:p>
        </w:tc>
        <w:tc>
          <w:tcPr>
            <w:tcW w:w="4836" w:type="dxa"/>
            <w:noWrap w:val="0"/>
            <w:vAlign w:val="center"/>
          </w:tcPr>
          <w:p w14:paraId="2FF6CBA1">
            <w:pPr>
              <w:spacing w:line="320" w:lineRule="exact"/>
              <w:rPr>
                <w:color w:val="000000"/>
                <w:highlight w:val="none"/>
              </w:rPr>
            </w:pPr>
            <w:r>
              <w:rPr>
                <w:rFonts w:hint="eastAsia"/>
                <w:color w:val="000000"/>
                <w:highlight w:val="none"/>
              </w:rPr>
              <w:t>符合第二章</w:t>
            </w:r>
            <w:r>
              <w:rPr>
                <w:color w:val="000000"/>
                <w:highlight w:val="none"/>
              </w:rPr>
              <w:t>“</w:t>
            </w:r>
            <w:r>
              <w:rPr>
                <w:rFonts w:hint="eastAsia"/>
                <w:color w:val="000000"/>
                <w:highlight w:val="none"/>
                <w:lang w:eastAsia="zh-CN"/>
              </w:rPr>
              <w:t>供应商</w:t>
            </w:r>
            <w:r>
              <w:rPr>
                <w:rFonts w:hint="eastAsia"/>
                <w:color w:val="000000"/>
                <w:highlight w:val="none"/>
              </w:rPr>
              <w:t>须知前附表</w:t>
            </w:r>
            <w:r>
              <w:rPr>
                <w:color w:val="000000"/>
                <w:highlight w:val="none"/>
              </w:rPr>
              <w:t>”</w:t>
            </w:r>
            <w:r>
              <w:rPr>
                <w:rFonts w:hint="eastAsia"/>
                <w:color w:val="000000"/>
                <w:highlight w:val="none"/>
              </w:rPr>
              <w:t>第</w:t>
            </w:r>
            <w:r>
              <w:rPr>
                <w:color w:val="000000"/>
                <w:highlight w:val="none"/>
              </w:rPr>
              <w:t>1.4.1</w:t>
            </w:r>
            <w:r>
              <w:rPr>
                <w:rFonts w:hint="eastAsia"/>
                <w:color w:val="000000"/>
                <w:highlight w:val="none"/>
              </w:rPr>
              <w:t>项规定</w:t>
            </w:r>
          </w:p>
        </w:tc>
      </w:tr>
      <w:tr w14:paraId="7AD6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6BDD98D9">
            <w:pPr>
              <w:spacing w:line="360" w:lineRule="auto"/>
              <w:jc w:val="center"/>
              <w:rPr>
                <w:color w:val="000000"/>
                <w:kern w:val="0"/>
                <w:szCs w:val="21"/>
                <w:highlight w:val="none"/>
              </w:rPr>
            </w:pPr>
          </w:p>
        </w:tc>
        <w:tc>
          <w:tcPr>
            <w:tcW w:w="960" w:type="dxa"/>
            <w:vMerge w:val="continue"/>
            <w:noWrap w:val="0"/>
            <w:vAlign w:val="center"/>
          </w:tcPr>
          <w:p w14:paraId="3BC0E14C">
            <w:pPr>
              <w:spacing w:line="320" w:lineRule="exact"/>
              <w:jc w:val="center"/>
              <w:rPr>
                <w:color w:val="000000"/>
                <w:szCs w:val="21"/>
                <w:highlight w:val="none"/>
              </w:rPr>
            </w:pPr>
          </w:p>
        </w:tc>
        <w:tc>
          <w:tcPr>
            <w:tcW w:w="2818" w:type="dxa"/>
            <w:noWrap w:val="0"/>
            <w:vAlign w:val="center"/>
          </w:tcPr>
          <w:p w14:paraId="645B01A5">
            <w:pPr>
              <w:autoSpaceDE w:val="0"/>
              <w:autoSpaceDN w:val="0"/>
              <w:adjustRightInd w:val="0"/>
              <w:jc w:val="center"/>
              <w:rPr>
                <w:rFonts w:hint="eastAsia" w:ascii="宋体" w:hAnsi="宋体"/>
                <w:bCs/>
                <w:color w:val="000000"/>
                <w:szCs w:val="21"/>
                <w:highlight w:val="none"/>
              </w:rPr>
            </w:pPr>
            <w:r>
              <w:rPr>
                <w:rFonts w:hint="eastAsia"/>
                <w:color w:val="000000"/>
                <w:szCs w:val="21"/>
                <w:highlight w:val="none"/>
                <w:lang w:val="en-US" w:eastAsia="zh-CN"/>
              </w:rPr>
              <w:t>其他要求</w:t>
            </w:r>
          </w:p>
        </w:tc>
        <w:tc>
          <w:tcPr>
            <w:tcW w:w="4836" w:type="dxa"/>
            <w:noWrap w:val="0"/>
            <w:vAlign w:val="center"/>
          </w:tcPr>
          <w:p w14:paraId="58884956">
            <w:pPr>
              <w:spacing w:line="320" w:lineRule="exact"/>
              <w:rPr>
                <w:rFonts w:hint="eastAsia"/>
                <w:color w:val="000000"/>
                <w:highlight w:val="none"/>
              </w:rPr>
            </w:pPr>
            <w:r>
              <w:rPr>
                <w:rFonts w:hint="eastAsia"/>
                <w:color w:val="000000"/>
                <w:highlight w:val="none"/>
              </w:rPr>
              <w:t>符合第二章</w:t>
            </w:r>
            <w:r>
              <w:rPr>
                <w:color w:val="000000"/>
                <w:highlight w:val="none"/>
              </w:rPr>
              <w:t>“</w:t>
            </w:r>
            <w:r>
              <w:rPr>
                <w:rFonts w:hint="eastAsia"/>
                <w:color w:val="000000"/>
                <w:highlight w:val="none"/>
                <w:lang w:eastAsia="zh-CN"/>
              </w:rPr>
              <w:t>供应商</w:t>
            </w:r>
            <w:r>
              <w:rPr>
                <w:rFonts w:hint="eastAsia"/>
                <w:color w:val="000000"/>
                <w:highlight w:val="none"/>
              </w:rPr>
              <w:t>须知前附表</w:t>
            </w:r>
            <w:r>
              <w:rPr>
                <w:color w:val="000000"/>
                <w:highlight w:val="none"/>
              </w:rPr>
              <w:t>”</w:t>
            </w:r>
            <w:r>
              <w:rPr>
                <w:rFonts w:hint="eastAsia"/>
                <w:color w:val="000000"/>
                <w:highlight w:val="none"/>
              </w:rPr>
              <w:t>规定</w:t>
            </w:r>
          </w:p>
        </w:tc>
      </w:tr>
      <w:tr w14:paraId="6173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restart"/>
            <w:noWrap w:val="0"/>
            <w:vAlign w:val="center"/>
          </w:tcPr>
          <w:p w14:paraId="7BFF2A83">
            <w:pPr>
              <w:spacing w:line="360" w:lineRule="auto"/>
              <w:jc w:val="center"/>
              <w:rPr>
                <w:color w:val="000000"/>
                <w:kern w:val="0"/>
                <w:szCs w:val="21"/>
                <w:highlight w:val="none"/>
              </w:rPr>
            </w:pPr>
            <w:r>
              <w:rPr>
                <w:color w:val="000000"/>
                <w:szCs w:val="21"/>
                <w:highlight w:val="none"/>
              </w:rPr>
              <w:t>2.1.2</w:t>
            </w:r>
          </w:p>
        </w:tc>
        <w:tc>
          <w:tcPr>
            <w:tcW w:w="960" w:type="dxa"/>
            <w:vMerge w:val="restart"/>
            <w:noWrap w:val="0"/>
            <w:vAlign w:val="center"/>
          </w:tcPr>
          <w:p w14:paraId="726D97F4">
            <w:pPr>
              <w:spacing w:line="320" w:lineRule="exact"/>
              <w:jc w:val="center"/>
              <w:rPr>
                <w:color w:val="000000"/>
                <w:szCs w:val="21"/>
                <w:highlight w:val="none"/>
              </w:rPr>
            </w:pPr>
            <w:r>
              <w:rPr>
                <w:rFonts w:hint="eastAsia"/>
                <w:color w:val="000000"/>
                <w:szCs w:val="21"/>
                <w:highlight w:val="none"/>
                <w:lang w:eastAsia="zh-CN"/>
              </w:rPr>
              <w:t>符合性</w:t>
            </w:r>
            <w:r>
              <w:rPr>
                <w:rFonts w:hint="eastAsia"/>
                <w:color w:val="000000"/>
                <w:szCs w:val="21"/>
                <w:highlight w:val="none"/>
              </w:rPr>
              <w:t>评审标准</w:t>
            </w:r>
          </w:p>
        </w:tc>
        <w:tc>
          <w:tcPr>
            <w:tcW w:w="2818" w:type="dxa"/>
            <w:noWrap w:val="0"/>
            <w:vAlign w:val="center"/>
          </w:tcPr>
          <w:p w14:paraId="428E5DED">
            <w:pPr>
              <w:spacing w:line="320" w:lineRule="exact"/>
              <w:jc w:val="center"/>
              <w:rPr>
                <w:color w:val="000000"/>
                <w:szCs w:val="21"/>
                <w:highlight w:val="none"/>
              </w:rPr>
            </w:pPr>
            <w:r>
              <w:rPr>
                <w:rFonts w:hint="eastAsia"/>
                <w:color w:val="000000"/>
                <w:szCs w:val="21"/>
                <w:highlight w:val="none"/>
                <w:lang w:eastAsia="zh-CN"/>
              </w:rPr>
              <w:t>供应商</w:t>
            </w:r>
            <w:r>
              <w:rPr>
                <w:rFonts w:hint="eastAsia"/>
                <w:color w:val="000000"/>
                <w:szCs w:val="21"/>
                <w:highlight w:val="none"/>
              </w:rPr>
              <w:t>名称</w:t>
            </w:r>
          </w:p>
        </w:tc>
        <w:tc>
          <w:tcPr>
            <w:tcW w:w="4836" w:type="dxa"/>
            <w:noWrap w:val="0"/>
            <w:vAlign w:val="center"/>
          </w:tcPr>
          <w:p w14:paraId="540ED7BD">
            <w:pPr>
              <w:spacing w:line="320" w:lineRule="exact"/>
              <w:jc w:val="left"/>
              <w:rPr>
                <w:color w:val="000000"/>
                <w:szCs w:val="21"/>
                <w:highlight w:val="none"/>
              </w:rPr>
            </w:pPr>
            <w:r>
              <w:rPr>
                <w:rFonts w:hint="eastAsia"/>
                <w:color w:val="000000"/>
                <w:szCs w:val="21"/>
                <w:highlight w:val="none"/>
              </w:rPr>
              <w:t>与营业执照一致</w:t>
            </w:r>
          </w:p>
        </w:tc>
      </w:tr>
      <w:tr w14:paraId="2B63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6DB40031">
            <w:pPr>
              <w:spacing w:line="360" w:lineRule="auto"/>
              <w:jc w:val="center"/>
              <w:rPr>
                <w:color w:val="000000"/>
                <w:szCs w:val="21"/>
                <w:highlight w:val="none"/>
              </w:rPr>
            </w:pPr>
          </w:p>
        </w:tc>
        <w:tc>
          <w:tcPr>
            <w:tcW w:w="960" w:type="dxa"/>
            <w:vMerge w:val="continue"/>
            <w:noWrap w:val="0"/>
            <w:vAlign w:val="center"/>
          </w:tcPr>
          <w:p w14:paraId="6203568A">
            <w:pPr>
              <w:spacing w:line="320" w:lineRule="exact"/>
              <w:jc w:val="center"/>
              <w:rPr>
                <w:rFonts w:hint="eastAsia"/>
                <w:color w:val="000000"/>
                <w:szCs w:val="21"/>
                <w:highlight w:val="none"/>
              </w:rPr>
            </w:pPr>
          </w:p>
        </w:tc>
        <w:tc>
          <w:tcPr>
            <w:tcW w:w="2818" w:type="dxa"/>
            <w:noWrap w:val="0"/>
            <w:vAlign w:val="center"/>
          </w:tcPr>
          <w:p w14:paraId="59F5161D">
            <w:pPr>
              <w:spacing w:line="320" w:lineRule="exact"/>
              <w:jc w:val="center"/>
              <w:rPr>
                <w:color w:val="000000"/>
                <w:szCs w:val="21"/>
                <w:highlight w:val="none"/>
              </w:rPr>
            </w:pPr>
            <w:r>
              <w:rPr>
                <w:rFonts w:hint="eastAsia"/>
                <w:color w:val="000000"/>
                <w:szCs w:val="21"/>
                <w:highlight w:val="none"/>
                <w:lang w:eastAsia="zh-CN"/>
              </w:rPr>
              <w:t>响应函</w:t>
            </w:r>
            <w:r>
              <w:rPr>
                <w:rFonts w:hint="eastAsia"/>
                <w:color w:val="000000"/>
                <w:szCs w:val="21"/>
                <w:highlight w:val="none"/>
              </w:rPr>
              <w:t>签字盖章</w:t>
            </w:r>
          </w:p>
        </w:tc>
        <w:tc>
          <w:tcPr>
            <w:tcW w:w="4836" w:type="dxa"/>
            <w:noWrap w:val="0"/>
            <w:vAlign w:val="center"/>
          </w:tcPr>
          <w:p w14:paraId="58DDA317">
            <w:pPr>
              <w:spacing w:line="320" w:lineRule="exact"/>
              <w:jc w:val="left"/>
              <w:rPr>
                <w:color w:val="000000"/>
                <w:szCs w:val="21"/>
                <w:highlight w:val="none"/>
              </w:rPr>
            </w:pPr>
            <w:r>
              <w:rPr>
                <w:rFonts w:hint="eastAsia"/>
                <w:color w:val="000000"/>
                <w:szCs w:val="21"/>
                <w:highlight w:val="none"/>
              </w:rPr>
              <w:t>有法定代表人签字并加盖单位公章</w:t>
            </w:r>
          </w:p>
        </w:tc>
      </w:tr>
      <w:tr w14:paraId="3B8F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4888C5B3">
            <w:pPr>
              <w:spacing w:line="360" w:lineRule="auto"/>
              <w:jc w:val="center"/>
              <w:rPr>
                <w:color w:val="000000"/>
                <w:szCs w:val="21"/>
                <w:highlight w:val="none"/>
              </w:rPr>
            </w:pPr>
          </w:p>
        </w:tc>
        <w:tc>
          <w:tcPr>
            <w:tcW w:w="960" w:type="dxa"/>
            <w:vMerge w:val="continue"/>
            <w:noWrap w:val="0"/>
            <w:vAlign w:val="center"/>
          </w:tcPr>
          <w:p w14:paraId="59024A73">
            <w:pPr>
              <w:spacing w:line="320" w:lineRule="exact"/>
              <w:jc w:val="center"/>
              <w:rPr>
                <w:rFonts w:hint="eastAsia"/>
                <w:color w:val="000000"/>
                <w:szCs w:val="21"/>
                <w:highlight w:val="none"/>
              </w:rPr>
            </w:pPr>
          </w:p>
        </w:tc>
        <w:tc>
          <w:tcPr>
            <w:tcW w:w="2818" w:type="dxa"/>
            <w:noWrap w:val="0"/>
            <w:vAlign w:val="center"/>
          </w:tcPr>
          <w:p w14:paraId="0A5917F5">
            <w:pPr>
              <w:spacing w:line="320" w:lineRule="exact"/>
              <w:jc w:val="center"/>
              <w:rPr>
                <w:color w:val="000000"/>
                <w:szCs w:val="21"/>
                <w:highlight w:val="none"/>
              </w:rPr>
            </w:pPr>
            <w:r>
              <w:rPr>
                <w:rFonts w:hint="eastAsia"/>
                <w:color w:val="000000"/>
                <w:szCs w:val="21"/>
                <w:highlight w:val="none"/>
                <w:lang w:eastAsia="zh-CN"/>
              </w:rPr>
              <w:t>响应</w:t>
            </w:r>
            <w:r>
              <w:rPr>
                <w:rFonts w:hint="eastAsia"/>
                <w:color w:val="000000"/>
                <w:szCs w:val="21"/>
                <w:highlight w:val="none"/>
              </w:rPr>
              <w:t>文件格式</w:t>
            </w:r>
          </w:p>
        </w:tc>
        <w:tc>
          <w:tcPr>
            <w:tcW w:w="4836" w:type="dxa"/>
            <w:noWrap w:val="0"/>
            <w:vAlign w:val="center"/>
          </w:tcPr>
          <w:p w14:paraId="5E82D565">
            <w:pPr>
              <w:spacing w:line="320" w:lineRule="exact"/>
              <w:jc w:val="left"/>
              <w:rPr>
                <w:color w:val="000000"/>
                <w:szCs w:val="21"/>
                <w:highlight w:val="none"/>
              </w:rPr>
            </w:pPr>
            <w:r>
              <w:rPr>
                <w:rFonts w:hint="eastAsia"/>
                <w:color w:val="000000"/>
                <w:szCs w:val="21"/>
                <w:highlight w:val="none"/>
              </w:rPr>
              <w:t>符合第六章</w:t>
            </w:r>
            <w:r>
              <w:rPr>
                <w:color w:val="000000"/>
                <w:szCs w:val="21"/>
                <w:highlight w:val="none"/>
              </w:rPr>
              <w:t>“</w:t>
            </w:r>
            <w:r>
              <w:rPr>
                <w:rFonts w:hint="eastAsia"/>
                <w:color w:val="000000"/>
                <w:szCs w:val="21"/>
                <w:highlight w:val="none"/>
                <w:lang w:eastAsia="zh-CN"/>
              </w:rPr>
              <w:t>响应文件</w:t>
            </w:r>
            <w:r>
              <w:rPr>
                <w:rFonts w:hint="eastAsia"/>
                <w:color w:val="000000"/>
                <w:szCs w:val="21"/>
                <w:highlight w:val="none"/>
              </w:rPr>
              <w:t>格式</w:t>
            </w:r>
            <w:r>
              <w:rPr>
                <w:color w:val="000000"/>
                <w:szCs w:val="21"/>
                <w:highlight w:val="none"/>
              </w:rPr>
              <w:t>”</w:t>
            </w:r>
            <w:r>
              <w:rPr>
                <w:rFonts w:hint="eastAsia"/>
                <w:color w:val="000000"/>
                <w:szCs w:val="21"/>
                <w:highlight w:val="none"/>
              </w:rPr>
              <w:t>的要求</w:t>
            </w:r>
          </w:p>
        </w:tc>
      </w:tr>
      <w:tr w14:paraId="7F87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2F4CE2FE">
            <w:pPr>
              <w:spacing w:line="360" w:lineRule="auto"/>
              <w:jc w:val="center"/>
              <w:rPr>
                <w:color w:val="000000"/>
                <w:szCs w:val="21"/>
                <w:highlight w:val="none"/>
              </w:rPr>
            </w:pPr>
          </w:p>
        </w:tc>
        <w:tc>
          <w:tcPr>
            <w:tcW w:w="960" w:type="dxa"/>
            <w:vMerge w:val="continue"/>
            <w:noWrap w:val="0"/>
            <w:vAlign w:val="center"/>
          </w:tcPr>
          <w:p w14:paraId="63C7B42C">
            <w:pPr>
              <w:spacing w:line="320" w:lineRule="exact"/>
              <w:jc w:val="center"/>
              <w:rPr>
                <w:rFonts w:hint="eastAsia"/>
                <w:color w:val="000000"/>
                <w:szCs w:val="21"/>
                <w:highlight w:val="none"/>
              </w:rPr>
            </w:pPr>
          </w:p>
        </w:tc>
        <w:tc>
          <w:tcPr>
            <w:tcW w:w="2818" w:type="dxa"/>
            <w:noWrap w:val="0"/>
            <w:vAlign w:val="center"/>
          </w:tcPr>
          <w:p w14:paraId="5BA3747B">
            <w:pPr>
              <w:spacing w:line="320" w:lineRule="exact"/>
              <w:jc w:val="center"/>
              <w:rPr>
                <w:rFonts w:hint="eastAsia"/>
                <w:color w:val="000000"/>
                <w:szCs w:val="21"/>
                <w:highlight w:val="none"/>
              </w:rPr>
            </w:pPr>
            <w:r>
              <w:rPr>
                <w:rFonts w:hint="eastAsia"/>
                <w:color w:val="000000"/>
                <w:szCs w:val="21"/>
                <w:highlight w:val="none"/>
              </w:rPr>
              <w:t>投标内容</w:t>
            </w:r>
          </w:p>
        </w:tc>
        <w:tc>
          <w:tcPr>
            <w:tcW w:w="4836" w:type="dxa"/>
            <w:noWrap w:val="0"/>
            <w:vAlign w:val="center"/>
          </w:tcPr>
          <w:p w14:paraId="51D1E5EA">
            <w:pPr>
              <w:spacing w:line="320" w:lineRule="exact"/>
              <w:rPr>
                <w:rFonts w:hint="eastAsia"/>
                <w:color w:val="000000"/>
                <w:szCs w:val="21"/>
                <w:highlight w:val="none"/>
              </w:rPr>
            </w:pPr>
            <w:r>
              <w:rPr>
                <w:rFonts w:hint="eastAsia"/>
                <w:color w:val="000000"/>
                <w:szCs w:val="21"/>
                <w:highlight w:val="none"/>
              </w:rPr>
              <w:t>符合第二章</w:t>
            </w:r>
            <w:r>
              <w:rPr>
                <w:color w:val="000000"/>
                <w:szCs w:val="21"/>
                <w:highlight w:val="none"/>
              </w:rPr>
              <w:t>“</w:t>
            </w:r>
            <w:r>
              <w:rPr>
                <w:rFonts w:hint="eastAsia"/>
                <w:color w:val="000000"/>
                <w:szCs w:val="21"/>
                <w:highlight w:val="none"/>
                <w:lang w:eastAsia="zh-CN"/>
              </w:rPr>
              <w:t>供应商</w:t>
            </w:r>
            <w:r>
              <w:rPr>
                <w:rFonts w:hint="eastAsia"/>
                <w:color w:val="000000"/>
                <w:szCs w:val="21"/>
                <w:highlight w:val="none"/>
              </w:rPr>
              <w:t>须知</w:t>
            </w:r>
            <w:r>
              <w:rPr>
                <w:color w:val="000000"/>
                <w:szCs w:val="21"/>
                <w:highlight w:val="none"/>
              </w:rPr>
              <w:t>”</w:t>
            </w:r>
            <w:r>
              <w:rPr>
                <w:rFonts w:hint="eastAsia"/>
                <w:color w:val="000000"/>
                <w:szCs w:val="21"/>
                <w:highlight w:val="none"/>
              </w:rPr>
              <w:t>规定</w:t>
            </w:r>
          </w:p>
        </w:tc>
      </w:tr>
      <w:tr w14:paraId="7DEE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3F793969">
            <w:pPr>
              <w:widowControl/>
              <w:spacing w:line="360" w:lineRule="auto"/>
              <w:jc w:val="left"/>
              <w:rPr>
                <w:color w:val="000000"/>
                <w:kern w:val="0"/>
                <w:szCs w:val="21"/>
                <w:highlight w:val="none"/>
              </w:rPr>
            </w:pPr>
          </w:p>
        </w:tc>
        <w:tc>
          <w:tcPr>
            <w:tcW w:w="960" w:type="dxa"/>
            <w:vMerge w:val="continue"/>
            <w:noWrap w:val="0"/>
            <w:vAlign w:val="center"/>
          </w:tcPr>
          <w:p w14:paraId="7C1A4B57">
            <w:pPr>
              <w:widowControl/>
              <w:spacing w:line="360" w:lineRule="auto"/>
              <w:jc w:val="left"/>
              <w:rPr>
                <w:color w:val="000000"/>
                <w:kern w:val="0"/>
                <w:szCs w:val="21"/>
                <w:highlight w:val="none"/>
              </w:rPr>
            </w:pPr>
          </w:p>
        </w:tc>
        <w:tc>
          <w:tcPr>
            <w:tcW w:w="2818" w:type="dxa"/>
            <w:noWrap w:val="0"/>
            <w:vAlign w:val="center"/>
          </w:tcPr>
          <w:p w14:paraId="0E98A10B">
            <w:pPr>
              <w:spacing w:line="320" w:lineRule="exact"/>
              <w:jc w:val="center"/>
              <w:rPr>
                <w:rFonts w:hint="default" w:eastAsia="宋体"/>
                <w:color w:val="000000"/>
                <w:szCs w:val="21"/>
                <w:highlight w:val="none"/>
                <w:lang w:val="en-US" w:eastAsia="zh-CN"/>
              </w:rPr>
            </w:pPr>
            <w:r>
              <w:rPr>
                <w:rFonts w:hint="eastAsia"/>
                <w:color w:val="000000"/>
                <w:szCs w:val="21"/>
                <w:highlight w:val="none"/>
                <w:lang w:val="en-US" w:eastAsia="zh-CN"/>
              </w:rPr>
              <w:t>供货期</w:t>
            </w:r>
          </w:p>
        </w:tc>
        <w:tc>
          <w:tcPr>
            <w:tcW w:w="4836" w:type="dxa"/>
            <w:noWrap w:val="0"/>
            <w:vAlign w:val="center"/>
          </w:tcPr>
          <w:p w14:paraId="43C42E9D">
            <w:pPr>
              <w:spacing w:line="320" w:lineRule="exact"/>
              <w:rPr>
                <w:color w:val="000000"/>
                <w:szCs w:val="21"/>
                <w:highlight w:val="none"/>
              </w:rPr>
            </w:pPr>
            <w:r>
              <w:rPr>
                <w:rFonts w:hint="eastAsia"/>
                <w:color w:val="000000"/>
                <w:szCs w:val="21"/>
                <w:highlight w:val="none"/>
              </w:rPr>
              <w:t>符合第二章</w:t>
            </w:r>
            <w:r>
              <w:rPr>
                <w:color w:val="000000"/>
                <w:szCs w:val="21"/>
                <w:highlight w:val="none"/>
              </w:rPr>
              <w:t>“</w:t>
            </w:r>
            <w:r>
              <w:rPr>
                <w:rFonts w:hint="eastAsia"/>
                <w:color w:val="000000"/>
                <w:szCs w:val="21"/>
                <w:highlight w:val="none"/>
                <w:lang w:eastAsia="zh-CN"/>
              </w:rPr>
              <w:t>供应商</w:t>
            </w:r>
            <w:r>
              <w:rPr>
                <w:rFonts w:hint="eastAsia"/>
                <w:color w:val="000000"/>
                <w:szCs w:val="21"/>
                <w:highlight w:val="none"/>
              </w:rPr>
              <w:t>须知前附表</w:t>
            </w:r>
            <w:r>
              <w:rPr>
                <w:color w:val="000000"/>
                <w:szCs w:val="21"/>
                <w:highlight w:val="none"/>
              </w:rPr>
              <w:t>”</w:t>
            </w:r>
            <w:r>
              <w:rPr>
                <w:rFonts w:hint="eastAsia"/>
                <w:color w:val="000000"/>
                <w:szCs w:val="21"/>
                <w:highlight w:val="none"/>
              </w:rPr>
              <w:t>规定</w:t>
            </w:r>
          </w:p>
        </w:tc>
      </w:tr>
      <w:tr w14:paraId="593A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52" w:hRule="atLeast"/>
          <w:jc w:val="center"/>
        </w:trPr>
        <w:tc>
          <w:tcPr>
            <w:tcW w:w="853" w:type="dxa"/>
            <w:vMerge w:val="continue"/>
            <w:noWrap w:val="0"/>
            <w:vAlign w:val="center"/>
          </w:tcPr>
          <w:p w14:paraId="33CC0385">
            <w:pPr>
              <w:widowControl/>
              <w:spacing w:line="360" w:lineRule="auto"/>
              <w:jc w:val="left"/>
              <w:rPr>
                <w:color w:val="000000"/>
                <w:kern w:val="0"/>
                <w:szCs w:val="21"/>
                <w:highlight w:val="none"/>
              </w:rPr>
            </w:pPr>
          </w:p>
        </w:tc>
        <w:tc>
          <w:tcPr>
            <w:tcW w:w="960" w:type="dxa"/>
            <w:vMerge w:val="continue"/>
            <w:noWrap w:val="0"/>
            <w:vAlign w:val="center"/>
          </w:tcPr>
          <w:p w14:paraId="640C81FE">
            <w:pPr>
              <w:widowControl/>
              <w:spacing w:line="360" w:lineRule="auto"/>
              <w:jc w:val="left"/>
              <w:rPr>
                <w:color w:val="000000"/>
                <w:kern w:val="0"/>
                <w:szCs w:val="21"/>
                <w:highlight w:val="none"/>
              </w:rPr>
            </w:pPr>
          </w:p>
        </w:tc>
        <w:tc>
          <w:tcPr>
            <w:tcW w:w="2818" w:type="dxa"/>
            <w:noWrap w:val="0"/>
            <w:vAlign w:val="center"/>
          </w:tcPr>
          <w:p w14:paraId="491D9027">
            <w:pPr>
              <w:spacing w:line="320" w:lineRule="exact"/>
              <w:jc w:val="center"/>
              <w:rPr>
                <w:rFonts w:hint="eastAsia"/>
                <w:color w:val="000000"/>
                <w:szCs w:val="21"/>
                <w:highlight w:val="none"/>
                <w:lang w:val="en-US" w:eastAsia="zh-CN"/>
              </w:rPr>
            </w:pPr>
            <w:r>
              <w:rPr>
                <w:rFonts w:hint="eastAsia" w:cs="Times New Roman"/>
                <w:color w:val="000000"/>
                <w:szCs w:val="21"/>
                <w:highlight w:val="none"/>
                <w:lang w:eastAsia="zh-CN"/>
              </w:rPr>
              <w:t>质保期</w:t>
            </w:r>
          </w:p>
        </w:tc>
        <w:tc>
          <w:tcPr>
            <w:tcW w:w="4836" w:type="dxa"/>
            <w:noWrap w:val="0"/>
            <w:vAlign w:val="center"/>
          </w:tcPr>
          <w:p w14:paraId="38C374A6">
            <w:pPr>
              <w:spacing w:line="320" w:lineRule="exact"/>
              <w:rPr>
                <w:rFonts w:hint="eastAsia"/>
                <w:color w:val="000000"/>
                <w:szCs w:val="21"/>
                <w:highlight w:val="none"/>
              </w:rPr>
            </w:pPr>
            <w:r>
              <w:rPr>
                <w:rFonts w:hint="eastAsia"/>
                <w:color w:val="000000"/>
                <w:szCs w:val="21"/>
                <w:highlight w:val="none"/>
              </w:rPr>
              <w:t>符合第二章</w:t>
            </w:r>
            <w:r>
              <w:rPr>
                <w:color w:val="000000"/>
                <w:szCs w:val="21"/>
                <w:highlight w:val="none"/>
              </w:rPr>
              <w:t>“</w:t>
            </w:r>
            <w:r>
              <w:rPr>
                <w:rFonts w:hint="eastAsia"/>
                <w:color w:val="000000"/>
                <w:szCs w:val="21"/>
                <w:highlight w:val="none"/>
                <w:lang w:eastAsia="zh-CN"/>
              </w:rPr>
              <w:t>供应商</w:t>
            </w:r>
            <w:r>
              <w:rPr>
                <w:rFonts w:hint="eastAsia"/>
                <w:color w:val="000000"/>
                <w:szCs w:val="21"/>
                <w:highlight w:val="none"/>
              </w:rPr>
              <w:t>须知前附表</w:t>
            </w:r>
            <w:r>
              <w:rPr>
                <w:color w:val="000000"/>
                <w:szCs w:val="21"/>
                <w:highlight w:val="none"/>
              </w:rPr>
              <w:t>”</w:t>
            </w:r>
            <w:r>
              <w:rPr>
                <w:rFonts w:hint="eastAsia"/>
                <w:color w:val="000000"/>
                <w:szCs w:val="21"/>
                <w:highlight w:val="none"/>
              </w:rPr>
              <w:t>规定</w:t>
            </w:r>
          </w:p>
        </w:tc>
      </w:tr>
      <w:tr w14:paraId="355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89" w:hRule="atLeast"/>
          <w:jc w:val="center"/>
        </w:trPr>
        <w:tc>
          <w:tcPr>
            <w:tcW w:w="853" w:type="dxa"/>
            <w:vMerge w:val="continue"/>
            <w:noWrap w:val="0"/>
            <w:vAlign w:val="center"/>
          </w:tcPr>
          <w:p w14:paraId="74B03522">
            <w:pPr>
              <w:widowControl/>
              <w:spacing w:line="360" w:lineRule="auto"/>
              <w:jc w:val="left"/>
              <w:rPr>
                <w:color w:val="000000"/>
                <w:kern w:val="0"/>
                <w:szCs w:val="21"/>
                <w:highlight w:val="none"/>
              </w:rPr>
            </w:pPr>
          </w:p>
        </w:tc>
        <w:tc>
          <w:tcPr>
            <w:tcW w:w="960" w:type="dxa"/>
            <w:vMerge w:val="continue"/>
            <w:noWrap w:val="0"/>
            <w:vAlign w:val="center"/>
          </w:tcPr>
          <w:p w14:paraId="149E822A">
            <w:pPr>
              <w:widowControl/>
              <w:spacing w:line="360" w:lineRule="auto"/>
              <w:jc w:val="left"/>
              <w:rPr>
                <w:color w:val="000000"/>
                <w:kern w:val="0"/>
                <w:szCs w:val="21"/>
                <w:highlight w:val="none"/>
              </w:rPr>
            </w:pPr>
          </w:p>
        </w:tc>
        <w:tc>
          <w:tcPr>
            <w:tcW w:w="2818" w:type="dxa"/>
            <w:noWrap w:val="0"/>
            <w:vAlign w:val="center"/>
          </w:tcPr>
          <w:p w14:paraId="315AF69D">
            <w:pPr>
              <w:spacing w:line="320" w:lineRule="exact"/>
              <w:jc w:val="center"/>
              <w:rPr>
                <w:color w:val="000000"/>
                <w:szCs w:val="21"/>
                <w:highlight w:val="none"/>
              </w:rPr>
            </w:pPr>
            <w:r>
              <w:rPr>
                <w:rFonts w:hint="eastAsia"/>
                <w:color w:val="000000"/>
                <w:szCs w:val="21"/>
                <w:highlight w:val="none"/>
              </w:rPr>
              <w:t>质量要求</w:t>
            </w:r>
          </w:p>
        </w:tc>
        <w:tc>
          <w:tcPr>
            <w:tcW w:w="4836" w:type="dxa"/>
            <w:noWrap w:val="0"/>
            <w:vAlign w:val="center"/>
          </w:tcPr>
          <w:p w14:paraId="3D752D9E">
            <w:pPr>
              <w:spacing w:line="320" w:lineRule="exact"/>
              <w:rPr>
                <w:color w:val="000000"/>
                <w:szCs w:val="21"/>
                <w:highlight w:val="none"/>
              </w:rPr>
            </w:pPr>
            <w:r>
              <w:rPr>
                <w:rFonts w:hint="eastAsia"/>
                <w:color w:val="000000"/>
                <w:szCs w:val="21"/>
                <w:highlight w:val="none"/>
              </w:rPr>
              <w:t>符合第二章</w:t>
            </w:r>
            <w:r>
              <w:rPr>
                <w:color w:val="000000"/>
                <w:szCs w:val="21"/>
                <w:highlight w:val="none"/>
              </w:rPr>
              <w:t>“</w:t>
            </w:r>
            <w:r>
              <w:rPr>
                <w:rFonts w:hint="eastAsia"/>
                <w:color w:val="000000"/>
                <w:szCs w:val="21"/>
                <w:highlight w:val="none"/>
                <w:lang w:eastAsia="zh-CN"/>
              </w:rPr>
              <w:t>供应商</w:t>
            </w:r>
            <w:r>
              <w:rPr>
                <w:rFonts w:hint="eastAsia"/>
                <w:color w:val="000000"/>
                <w:szCs w:val="21"/>
                <w:highlight w:val="none"/>
              </w:rPr>
              <w:t>须知前附表</w:t>
            </w:r>
            <w:r>
              <w:rPr>
                <w:color w:val="000000"/>
                <w:szCs w:val="21"/>
                <w:highlight w:val="none"/>
              </w:rPr>
              <w:t>”</w:t>
            </w:r>
            <w:r>
              <w:rPr>
                <w:rFonts w:hint="eastAsia"/>
                <w:color w:val="000000"/>
                <w:szCs w:val="21"/>
                <w:highlight w:val="none"/>
              </w:rPr>
              <w:t>规定</w:t>
            </w:r>
          </w:p>
        </w:tc>
      </w:tr>
      <w:tr w14:paraId="64D8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0" w:hRule="atLeast"/>
          <w:jc w:val="center"/>
        </w:trPr>
        <w:tc>
          <w:tcPr>
            <w:tcW w:w="853" w:type="dxa"/>
            <w:vMerge w:val="continue"/>
            <w:noWrap w:val="0"/>
            <w:vAlign w:val="center"/>
          </w:tcPr>
          <w:p w14:paraId="760E8239">
            <w:pPr>
              <w:widowControl/>
              <w:spacing w:line="360" w:lineRule="auto"/>
              <w:jc w:val="left"/>
              <w:rPr>
                <w:color w:val="000000"/>
                <w:kern w:val="0"/>
                <w:szCs w:val="21"/>
                <w:highlight w:val="none"/>
              </w:rPr>
            </w:pPr>
          </w:p>
        </w:tc>
        <w:tc>
          <w:tcPr>
            <w:tcW w:w="960" w:type="dxa"/>
            <w:vMerge w:val="continue"/>
            <w:noWrap w:val="0"/>
            <w:vAlign w:val="center"/>
          </w:tcPr>
          <w:p w14:paraId="415B9D28">
            <w:pPr>
              <w:widowControl/>
              <w:spacing w:line="360" w:lineRule="auto"/>
              <w:jc w:val="left"/>
              <w:rPr>
                <w:color w:val="000000"/>
                <w:kern w:val="0"/>
                <w:szCs w:val="21"/>
                <w:highlight w:val="none"/>
              </w:rPr>
            </w:pPr>
          </w:p>
        </w:tc>
        <w:tc>
          <w:tcPr>
            <w:tcW w:w="2818" w:type="dxa"/>
            <w:noWrap w:val="0"/>
            <w:vAlign w:val="center"/>
          </w:tcPr>
          <w:p w14:paraId="5CAB5445">
            <w:pPr>
              <w:spacing w:line="320" w:lineRule="exact"/>
              <w:jc w:val="center"/>
              <w:rPr>
                <w:rFonts w:hint="eastAsia" w:ascii="Times New Roman" w:hAnsi="Times New Roman" w:eastAsia="宋体" w:cs="Times New Roman"/>
                <w:color w:val="000000"/>
                <w:szCs w:val="21"/>
                <w:highlight w:val="none"/>
              </w:rPr>
            </w:pPr>
            <w:r>
              <w:rPr>
                <w:rFonts w:hint="eastAsia" w:cs="Times New Roman"/>
                <w:color w:val="000000"/>
                <w:szCs w:val="21"/>
                <w:highlight w:val="none"/>
                <w:lang w:eastAsia="zh-CN"/>
              </w:rPr>
              <w:t>供货</w:t>
            </w:r>
            <w:r>
              <w:rPr>
                <w:rFonts w:hint="eastAsia" w:ascii="Times New Roman" w:hAnsi="Times New Roman" w:eastAsia="宋体" w:cs="Times New Roman"/>
                <w:color w:val="000000"/>
                <w:szCs w:val="21"/>
                <w:highlight w:val="none"/>
                <w:lang w:eastAsia="zh-CN"/>
              </w:rPr>
              <w:t>方案</w:t>
            </w:r>
          </w:p>
        </w:tc>
        <w:tc>
          <w:tcPr>
            <w:tcW w:w="4836" w:type="dxa"/>
            <w:noWrap w:val="0"/>
            <w:vAlign w:val="center"/>
          </w:tcPr>
          <w:p w14:paraId="7DFD28F9">
            <w:pPr>
              <w:spacing w:line="320" w:lineRule="exact"/>
              <w:jc w:val="both"/>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lang w:eastAsia="zh-CN"/>
              </w:rPr>
              <w:t>有完善、合理的</w:t>
            </w:r>
            <w:r>
              <w:rPr>
                <w:rFonts w:hint="eastAsia" w:cs="Times New Roman"/>
                <w:color w:val="000000"/>
                <w:szCs w:val="21"/>
                <w:highlight w:val="none"/>
                <w:lang w:eastAsia="zh-CN"/>
              </w:rPr>
              <w:t>供货</w:t>
            </w:r>
            <w:r>
              <w:rPr>
                <w:rFonts w:hint="eastAsia" w:ascii="Times New Roman" w:hAnsi="Times New Roman" w:eastAsia="宋体" w:cs="Times New Roman"/>
                <w:color w:val="000000"/>
                <w:szCs w:val="21"/>
                <w:highlight w:val="none"/>
                <w:lang w:eastAsia="zh-CN"/>
              </w:rPr>
              <w:t>方案</w:t>
            </w:r>
            <w:r>
              <w:rPr>
                <w:rFonts w:hint="eastAsia" w:cs="Times New Roman"/>
                <w:color w:val="000000"/>
                <w:szCs w:val="21"/>
                <w:highlight w:val="none"/>
                <w:lang w:eastAsia="zh-CN"/>
              </w:rPr>
              <w:t>及售后服务方案</w:t>
            </w:r>
          </w:p>
        </w:tc>
      </w:tr>
      <w:tr w14:paraId="00DA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0" w:hRule="atLeast"/>
          <w:jc w:val="center"/>
        </w:trPr>
        <w:tc>
          <w:tcPr>
            <w:tcW w:w="853" w:type="dxa"/>
            <w:vMerge w:val="continue"/>
            <w:noWrap w:val="0"/>
            <w:vAlign w:val="center"/>
          </w:tcPr>
          <w:p w14:paraId="6B4CEE0F">
            <w:pPr>
              <w:widowControl/>
              <w:spacing w:line="360" w:lineRule="auto"/>
              <w:jc w:val="left"/>
              <w:rPr>
                <w:color w:val="000000"/>
                <w:kern w:val="0"/>
                <w:szCs w:val="21"/>
                <w:highlight w:val="none"/>
              </w:rPr>
            </w:pPr>
          </w:p>
        </w:tc>
        <w:tc>
          <w:tcPr>
            <w:tcW w:w="960" w:type="dxa"/>
            <w:vMerge w:val="continue"/>
            <w:noWrap w:val="0"/>
            <w:vAlign w:val="center"/>
          </w:tcPr>
          <w:p w14:paraId="1C5F5CBA">
            <w:pPr>
              <w:widowControl/>
              <w:spacing w:line="360" w:lineRule="auto"/>
              <w:jc w:val="left"/>
              <w:rPr>
                <w:color w:val="000000"/>
                <w:kern w:val="0"/>
                <w:szCs w:val="21"/>
                <w:highlight w:val="none"/>
              </w:rPr>
            </w:pPr>
          </w:p>
        </w:tc>
        <w:tc>
          <w:tcPr>
            <w:tcW w:w="2818" w:type="dxa"/>
            <w:noWrap w:val="0"/>
            <w:vAlign w:val="center"/>
          </w:tcPr>
          <w:p w14:paraId="2ABDC6DB">
            <w:pPr>
              <w:spacing w:line="320" w:lineRule="exact"/>
              <w:jc w:val="center"/>
              <w:rPr>
                <w:rFonts w:hint="eastAsia" w:cs="Times New Roman"/>
                <w:color w:val="000000"/>
                <w:szCs w:val="21"/>
                <w:highlight w:val="none"/>
                <w:lang w:eastAsia="zh-CN"/>
              </w:rPr>
            </w:pPr>
            <w:r>
              <w:rPr>
                <w:rFonts w:hint="eastAsia" w:cs="Times New Roman"/>
                <w:color w:val="000000"/>
                <w:szCs w:val="21"/>
                <w:highlight w:val="none"/>
                <w:lang w:eastAsia="zh-CN"/>
              </w:rPr>
              <w:t>技术参数要求响应</w:t>
            </w:r>
          </w:p>
        </w:tc>
        <w:tc>
          <w:tcPr>
            <w:tcW w:w="4836" w:type="dxa"/>
            <w:noWrap w:val="0"/>
            <w:vAlign w:val="center"/>
          </w:tcPr>
          <w:p w14:paraId="1EA36D0A">
            <w:pPr>
              <w:spacing w:line="320" w:lineRule="exact"/>
              <w:jc w:val="both"/>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eastAsia="zh-CN"/>
              </w:rPr>
              <w:t>符合第四章“采购需求”的规定</w:t>
            </w:r>
          </w:p>
        </w:tc>
      </w:tr>
      <w:tr w14:paraId="3C89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30" w:hRule="atLeast"/>
          <w:jc w:val="center"/>
        </w:trPr>
        <w:tc>
          <w:tcPr>
            <w:tcW w:w="853" w:type="dxa"/>
            <w:vMerge w:val="continue"/>
            <w:noWrap w:val="0"/>
            <w:vAlign w:val="center"/>
          </w:tcPr>
          <w:p w14:paraId="06F20775">
            <w:pPr>
              <w:widowControl/>
              <w:spacing w:line="360" w:lineRule="auto"/>
              <w:jc w:val="left"/>
              <w:rPr>
                <w:color w:val="000000"/>
                <w:kern w:val="0"/>
                <w:szCs w:val="21"/>
                <w:highlight w:val="none"/>
              </w:rPr>
            </w:pPr>
          </w:p>
        </w:tc>
        <w:tc>
          <w:tcPr>
            <w:tcW w:w="960" w:type="dxa"/>
            <w:vMerge w:val="continue"/>
            <w:noWrap w:val="0"/>
            <w:vAlign w:val="center"/>
          </w:tcPr>
          <w:p w14:paraId="475AF8B4">
            <w:pPr>
              <w:widowControl/>
              <w:spacing w:line="360" w:lineRule="auto"/>
              <w:jc w:val="left"/>
              <w:rPr>
                <w:color w:val="000000"/>
                <w:kern w:val="0"/>
                <w:szCs w:val="21"/>
                <w:highlight w:val="none"/>
              </w:rPr>
            </w:pPr>
          </w:p>
        </w:tc>
        <w:tc>
          <w:tcPr>
            <w:tcW w:w="2818" w:type="dxa"/>
            <w:noWrap w:val="0"/>
            <w:vAlign w:val="center"/>
          </w:tcPr>
          <w:p w14:paraId="76E26DF1">
            <w:pPr>
              <w:spacing w:line="320" w:lineRule="exact"/>
              <w:jc w:val="center"/>
              <w:rPr>
                <w:color w:val="000000"/>
                <w:szCs w:val="21"/>
                <w:highlight w:val="none"/>
              </w:rPr>
            </w:pPr>
            <w:r>
              <w:rPr>
                <w:rFonts w:hint="eastAsia"/>
                <w:color w:val="000000"/>
                <w:szCs w:val="21"/>
                <w:highlight w:val="none"/>
                <w:lang w:eastAsia="zh-CN"/>
              </w:rPr>
              <w:t>谈判</w:t>
            </w:r>
            <w:r>
              <w:rPr>
                <w:rFonts w:hint="eastAsia"/>
                <w:color w:val="000000"/>
                <w:szCs w:val="21"/>
                <w:highlight w:val="none"/>
              </w:rPr>
              <w:t>有效期</w:t>
            </w:r>
          </w:p>
        </w:tc>
        <w:tc>
          <w:tcPr>
            <w:tcW w:w="4836" w:type="dxa"/>
            <w:noWrap w:val="0"/>
            <w:vAlign w:val="center"/>
          </w:tcPr>
          <w:p w14:paraId="4383591D">
            <w:pPr>
              <w:spacing w:line="320" w:lineRule="exact"/>
              <w:rPr>
                <w:color w:val="000000"/>
                <w:szCs w:val="21"/>
                <w:highlight w:val="none"/>
              </w:rPr>
            </w:pPr>
            <w:r>
              <w:rPr>
                <w:rFonts w:hint="eastAsia"/>
                <w:color w:val="000000"/>
                <w:szCs w:val="21"/>
                <w:highlight w:val="none"/>
              </w:rPr>
              <w:t>符合第二章</w:t>
            </w:r>
            <w:r>
              <w:rPr>
                <w:color w:val="000000"/>
                <w:szCs w:val="21"/>
                <w:highlight w:val="none"/>
              </w:rPr>
              <w:t>“</w:t>
            </w:r>
            <w:r>
              <w:rPr>
                <w:rFonts w:hint="eastAsia"/>
                <w:color w:val="000000"/>
                <w:szCs w:val="21"/>
                <w:highlight w:val="none"/>
                <w:lang w:eastAsia="zh-CN"/>
              </w:rPr>
              <w:t>供应商</w:t>
            </w:r>
            <w:r>
              <w:rPr>
                <w:rFonts w:hint="eastAsia"/>
                <w:color w:val="000000"/>
                <w:szCs w:val="21"/>
                <w:highlight w:val="none"/>
              </w:rPr>
              <w:t>须知前附表</w:t>
            </w:r>
            <w:r>
              <w:rPr>
                <w:color w:val="000000"/>
                <w:szCs w:val="21"/>
                <w:highlight w:val="none"/>
              </w:rPr>
              <w:t>”</w:t>
            </w:r>
            <w:r>
              <w:rPr>
                <w:rFonts w:hint="eastAsia"/>
                <w:color w:val="000000"/>
                <w:szCs w:val="21"/>
                <w:highlight w:val="none"/>
              </w:rPr>
              <w:t>规定</w:t>
            </w:r>
          </w:p>
        </w:tc>
      </w:tr>
      <w:tr w14:paraId="275A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0" w:hRule="atLeast"/>
          <w:jc w:val="center"/>
        </w:trPr>
        <w:tc>
          <w:tcPr>
            <w:tcW w:w="853" w:type="dxa"/>
            <w:vMerge w:val="continue"/>
            <w:noWrap w:val="0"/>
            <w:vAlign w:val="center"/>
          </w:tcPr>
          <w:p w14:paraId="464BF173">
            <w:pPr>
              <w:widowControl/>
              <w:spacing w:line="360" w:lineRule="auto"/>
              <w:jc w:val="left"/>
              <w:rPr>
                <w:color w:val="000000"/>
                <w:kern w:val="0"/>
                <w:szCs w:val="21"/>
                <w:highlight w:val="none"/>
              </w:rPr>
            </w:pPr>
          </w:p>
        </w:tc>
        <w:tc>
          <w:tcPr>
            <w:tcW w:w="960" w:type="dxa"/>
            <w:vMerge w:val="continue"/>
            <w:noWrap w:val="0"/>
            <w:vAlign w:val="center"/>
          </w:tcPr>
          <w:p w14:paraId="2887521C">
            <w:pPr>
              <w:widowControl/>
              <w:spacing w:line="360" w:lineRule="auto"/>
              <w:jc w:val="left"/>
              <w:rPr>
                <w:color w:val="000000"/>
                <w:kern w:val="0"/>
                <w:szCs w:val="21"/>
                <w:highlight w:val="none"/>
              </w:rPr>
            </w:pPr>
          </w:p>
        </w:tc>
        <w:tc>
          <w:tcPr>
            <w:tcW w:w="2818" w:type="dxa"/>
            <w:noWrap w:val="0"/>
            <w:vAlign w:val="center"/>
          </w:tcPr>
          <w:p w14:paraId="15915258">
            <w:pPr>
              <w:spacing w:line="320" w:lineRule="exact"/>
              <w:jc w:val="center"/>
              <w:rPr>
                <w:color w:val="000000"/>
                <w:szCs w:val="21"/>
                <w:highlight w:val="none"/>
              </w:rPr>
            </w:pPr>
            <w:r>
              <w:rPr>
                <w:rFonts w:hint="eastAsia"/>
                <w:color w:val="000000"/>
                <w:szCs w:val="21"/>
                <w:highlight w:val="none"/>
                <w:lang w:eastAsia="zh-CN"/>
              </w:rPr>
              <w:t>响应</w:t>
            </w:r>
            <w:r>
              <w:rPr>
                <w:rFonts w:hint="eastAsia"/>
                <w:color w:val="000000"/>
                <w:szCs w:val="21"/>
                <w:highlight w:val="none"/>
              </w:rPr>
              <w:t>人报价</w:t>
            </w:r>
          </w:p>
        </w:tc>
        <w:tc>
          <w:tcPr>
            <w:tcW w:w="4836" w:type="dxa"/>
            <w:noWrap w:val="0"/>
            <w:vAlign w:val="center"/>
          </w:tcPr>
          <w:p w14:paraId="5C71F0A0">
            <w:pPr>
              <w:spacing w:line="320" w:lineRule="exact"/>
              <w:rPr>
                <w:color w:val="000000"/>
                <w:szCs w:val="21"/>
                <w:highlight w:val="none"/>
              </w:rPr>
            </w:pPr>
            <w:r>
              <w:rPr>
                <w:rFonts w:hint="eastAsia"/>
                <w:color w:val="000000"/>
                <w:szCs w:val="21"/>
                <w:highlight w:val="none"/>
              </w:rPr>
              <w:t>总报价不得高于招标控制价</w:t>
            </w:r>
          </w:p>
        </w:tc>
      </w:tr>
      <w:tr w14:paraId="71B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0" w:hRule="atLeast"/>
          <w:jc w:val="center"/>
        </w:trPr>
        <w:tc>
          <w:tcPr>
            <w:tcW w:w="9467" w:type="dxa"/>
            <w:gridSpan w:val="4"/>
            <w:noWrap w:val="0"/>
            <w:vAlign w:val="center"/>
          </w:tcPr>
          <w:p w14:paraId="59599766">
            <w:pPr>
              <w:tabs>
                <w:tab w:val="left" w:pos="616"/>
              </w:tabs>
              <w:spacing w:line="320" w:lineRule="exact"/>
              <w:rPr>
                <w:rFonts w:hint="eastAsia" w:eastAsia="宋体"/>
                <w:color w:val="000000"/>
                <w:szCs w:val="21"/>
                <w:highlight w:val="none"/>
                <w:lang w:eastAsia="zh-CN"/>
              </w:rPr>
            </w:pPr>
            <w:r>
              <w:rPr>
                <w:rFonts w:hint="eastAsia"/>
                <w:b/>
                <w:bCs/>
                <w:color w:val="000000"/>
                <w:highlight w:val="none"/>
                <w:lang w:eastAsia="zh-CN"/>
              </w:rPr>
              <w:t>注：以上涉及的资格证明文件，投标人应根据《商丘市公共资源交易平台操作指南</w:t>
            </w:r>
            <w:r>
              <w:rPr>
                <w:rFonts w:hint="eastAsia"/>
                <w:b/>
                <w:bCs/>
                <w:color w:val="000000"/>
                <w:highlight w:val="none"/>
                <w:lang w:val="en-US" w:eastAsia="zh-CN"/>
              </w:rPr>
              <w:t xml:space="preserve"> 2019-12-31版本</w:t>
            </w:r>
            <w:r>
              <w:rPr>
                <w:rFonts w:hint="eastAsia"/>
                <w:b/>
                <w:bCs/>
                <w:color w:val="000000"/>
                <w:highlight w:val="none"/>
                <w:lang w:eastAsia="zh-CN"/>
              </w:rPr>
              <w:t>》要求上传至“市场主体诚信库”对应位置，投标文件中需附与“市场主体诚信库”上传资格证明文件一致的扫描件，否则视为不能通过资格评审。</w:t>
            </w:r>
          </w:p>
        </w:tc>
      </w:tr>
    </w:tbl>
    <w:p w14:paraId="4B9C34B1">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4谈判办法：本次竞争性谈判，首先对响应单位的谈判报价由记录人员记录留档；其次对响应单位进行资格审查，对资格审查不合格的单位，取消进入下一轮的第二次报价。资格审查合格的单位进入下一轮的第二次报价，第二次报价即为最终报价，二次报价不得高于本单位首次报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否则以托标、围标为依据，做废标处理。响应报价不得低于成本价，否则以恶意抢标为依据，做废标处理。在排除恶意竞争的前提下，原则上，价格最低者成交。</w:t>
      </w:r>
    </w:p>
    <w:p w14:paraId="184B774E">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详细谈判：</w:t>
      </w:r>
    </w:p>
    <w:p w14:paraId="71AB82F9">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谈判小组分别与通过初步审核的供应商集中与单一供应商分别进行谈判。谈判顺序为签到逆顺序，在谈判中，谈判双方可以就谈判项目所涉及的价格、技术、服务等进行实质性谈判，但谈判的任何一方不得透露与谈判有关的其他供应商的技术资料、价格和其他信息，不得变动谈判文件中的其他内容。</w:t>
      </w:r>
    </w:p>
    <w:p w14:paraId="1CB0CED3">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谈判小组将允许供应商修改其谈判响应文件中不构成重大偏离的微小的、非正规的、不一致的或不规则的地方，但这些修改不能影响任何供应商的名次相应排列。为有助于对谈判响应文件的审查、评价和比较，谈判小组可分别要求供应商对谈判响应文件中含义不清的内容进行澄清。有关澄清的要求和答复均须以网上形式，但谈判的实质性内容不得更改。</w:t>
      </w:r>
    </w:p>
    <w:p w14:paraId="109CE3B9">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（3）若谈判内容有实质性变动的，谈判小组应当以网上形式通知所有参加谈判的供应商。</w:t>
      </w:r>
    </w:p>
    <w:p w14:paraId="65D5DFDB">
      <w:pPr>
        <w:spacing w:line="580" w:lineRule="exact"/>
        <w:ind w:firstLine="480" w:firstLine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（4）所有供应商谈判结束后，谈判小组将要求所有符合采购需求的供应商在规定的时间内同时进行报价（二次报价），即最终报价。【注：1、竞标人第二次报价不得超出本企业第一次报价；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不参与二次报价的，视为自动放弃本项目的谈判资格，作无效投标处理。</w:t>
      </w:r>
    </w:p>
    <w:p w14:paraId="50718602">
      <w:pPr>
        <w:spacing w:line="580" w:lineRule="exact"/>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2、最终报价明显低于成本价的，供应商需做出合理说明，否则将承担不被接受的风险】。</w:t>
      </w:r>
    </w:p>
    <w:p w14:paraId="3339552E">
      <w:pPr>
        <w:spacing w:line="580" w:lineRule="exact"/>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1.5 </w:t>
      </w:r>
      <w:r>
        <w:rPr>
          <w:rFonts w:hint="eastAsia" w:asciiTheme="minorEastAsia" w:hAnsiTheme="minorEastAsia" w:eastAsiaTheme="minorEastAsia"/>
          <w:color w:val="000000" w:themeColor="text1"/>
          <w:sz w:val="24"/>
          <w:highlight w:val="none"/>
          <w14:textFill>
            <w14:solidFill>
              <w14:schemeClr w14:val="tx1"/>
            </w14:solidFill>
          </w14:textFill>
        </w:rPr>
        <w:t>在确定成交</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响应单位</w:t>
      </w:r>
      <w:r>
        <w:rPr>
          <w:rFonts w:hint="eastAsia" w:asciiTheme="minorEastAsia" w:hAnsiTheme="minorEastAsia" w:eastAsiaTheme="minorEastAsia"/>
          <w:color w:val="000000" w:themeColor="text1"/>
          <w:sz w:val="24"/>
          <w:highlight w:val="none"/>
          <w14:textFill>
            <w14:solidFill>
              <w14:schemeClr w14:val="tx1"/>
            </w14:solidFill>
          </w14:textFill>
        </w:rPr>
        <w:t>之前，谈判小组认为排在前面的成交候选</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响应单位</w:t>
      </w:r>
      <w:r>
        <w:rPr>
          <w:rFonts w:hint="eastAsia" w:asciiTheme="minorEastAsia" w:hAnsiTheme="minorEastAsia" w:eastAsiaTheme="minorEastAsia"/>
          <w:color w:val="000000" w:themeColor="text1"/>
          <w:sz w:val="24"/>
          <w:highlight w:val="none"/>
          <w14:textFill>
            <w14:solidFill>
              <w14:schemeClr w14:val="tx1"/>
            </w14:solidFill>
          </w14:textFill>
        </w:rPr>
        <w:t>的最低报价或某些分项报价明显不合理或者低于成本，有可能影响质量和不能诚信履约的，应当要求其在规定的期限内提供书面文件予以解释说明，并提交相关证明村料，否则，谈判小组可以取消该</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响应单位</w:t>
      </w:r>
      <w:r>
        <w:rPr>
          <w:rFonts w:hint="eastAsia" w:asciiTheme="minorEastAsia" w:hAnsiTheme="minorEastAsia" w:eastAsiaTheme="minorEastAsia"/>
          <w:color w:val="000000" w:themeColor="text1"/>
          <w:sz w:val="24"/>
          <w:highlight w:val="none"/>
          <w14:textFill>
            <w14:solidFill>
              <w14:schemeClr w14:val="tx1"/>
            </w14:solidFill>
          </w14:textFill>
        </w:rPr>
        <w:t>的成交候选资格，按顺序由排在后面的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响应单位</w:t>
      </w:r>
      <w:r>
        <w:rPr>
          <w:rFonts w:hint="eastAsia" w:asciiTheme="minorEastAsia" w:hAnsiTheme="minorEastAsia" w:eastAsiaTheme="minorEastAsia"/>
          <w:color w:val="000000" w:themeColor="text1"/>
          <w:sz w:val="24"/>
          <w:highlight w:val="none"/>
          <w14:textFill>
            <w14:solidFill>
              <w14:schemeClr w14:val="tx1"/>
            </w14:solidFill>
          </w14:textFill>
        </w:rPr>
        <w:t>递补，以此类推。</w:t>
      </w:r>
    </w:p>
    <w:p w14:paraId="3387CA5B">
      <w:pPr>
        <w:bidi w:val="0"/>
        <w:rPr>
          <w:rFonts w:asciiTheme="minorEastAsia" w:hAnsiTheme="minorEastAsia" w:eastAsiaTheme="minorEastAsia"/>
          <w:b/>
          <w:color w:val="000000" w:themeColor="text1"/>
          <w:sz w:val="24"/>
          <w:highlight w:val="none"/>
          <w14:textFill>
            <w14:solidFill>
              <w14:schemeClr w14:val="tx1"/>
            </w14:solidFill>
          </w14:textFill>
        </w:rPr>
      </w:pPr>
      <w:bookmarkStart w:id="105" w:name="_Toc352679667"/>
      <w:bookmarkStart w:id="106" w:name="_Toc499803937"/>
      <w:bookmarkStart w:id="107" w:name="_Toc10924"/>
      <w:bookmarkStart w:id="108" w:name="_Toc32385"/>
      <w:bookmarkStart w:id="109" w:name="_Toc505088154"/>
      <w:bookmarkStart w:id="110" w:name="_Toc352325695"/>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谈判小组</w:t>
      </w:r>
      <w:bookmarkEnd w:id="105"/>
      <w:bookmarkEnd w:id="106"/>
      <w:bookmarkEnd w:id="107"/>
      <w:bookmarkEnd w:id="108"/>
      <w:bookmarkEnd w:id="109"/>
      <w:bookmarkEnd w:id="110"/>
    </w:p>
    <w:p w14:paraId="013FC056">
      <w:pPr>
        <w:spacing w:line="500" w:lineRule="exact"/>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采购人将根据工程的的特点组建谈判小组，谈判小组成员对谈判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进行审查、质疑、评估和比较。</w:t>
      </w:r>
    </w:p>
    <w:p w14:paraId="5A4046ED">
      <w:pPr>
        <w:spacing w:line="500" w:lineRule="exact"/>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3</w:t>
      </w:r>
      <w:r>
        <w:rPr>
          <w:rFonts w:hint="eastAsia" w:asciiTheme="minorEastAsia" w:hAnsiTheme="minorEastAsia" w:eastAsiaTheme="minorEastAsia"/>
          <w:b/>
          <w:sz w:val="24"/>
          <w:highlight w:val="none"/>
        </w:rPr>
        <w:t>纪律和监督</w:t>
      </w:r>
    </w:p>
    <w:p w14:paraId="70737982">
      <w:pPr>
        <w:spacing w:line="500" w:lineRule="exact"/>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.1 对采购人的纪律要求</w:t>
      </w:r>
    </w:p>
    <w:p w14:paraId="64753EC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采购人不得泄漏招标谈判活动中应当保密的情况和资料，不得与谈判申请人串通损害国家利益、社会公共利益或者他人合法权益。</w:t>
      </w:r>
    </w:p>
    <w:p w14:paraId="61B0ED0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.2 对谈判申请人的纪律要求</w:t>
      </w:r>
    </w:p>
    <w:p w14:paraId="59C740A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采购人不得相互串通谈判或者与采购人串通谈判，不得向采购人或者谈判小组成员行贿谋取中标，不得以他人名义谈判或者以其他方式弄虚作假骗取中标；谈判申请人不得以任何方式干扰、影响谈判工作。</w:t>
      </w:r>
    </w:p>
    <w:p w14:paraId="3806852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.3 对</w:t>
      </w:r>
      <w:r>
        <w:rPr>
          <w:rFonts w:hint="eastAsia" w:asciiTheme="minorEastAsia" w:hAnsiTheme="minorEastAsia" w:eastAsiaTheme="minorEastAsia"/>
          <w:sz w:val="24"/>
          <w:highlight w:val="none"/>
        </w:rPr>
        <w:t>谈判小组</w:t>
      </w:r>
      <w:r>
        <w:rPr>
          <w:rFonts w:hint="eastAsia" w:asciiTheme="minorEastAsia" w:hAnsiTheme="minorEastAsia" w:eastAsiaTheme="minorEastAsia"/>
          <w:bCs/>
          <w:sz w:val="24"/>
          <w:highlight w:val="none"/>
        </w:rPr>
        <w:t>成员的纪律要求</w:t>
      </w:r>
    </w:p>
    <w:p w14:paraId="3A5176C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谈判小组成员不得收受他人的财物或者其他好处，不得向他人透漏对谈判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的评审和比较、成交人的确定情况以及谈判有关的其他情况。在谈判活动中，谈判小组成员不得擅离职守，影响谈判程序正常进行，不得使用第三章“谈判办法”没有规定的因素和标准。</w:t>
      </w:r>
    </w:p>
    <w:p w14:paraId="6072271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.4 对与</w:t>
      </w:r>
      <w:r>
        <w:rPr>
          <w:rFonts w:hint="eastAsia" w:asciiTheme="minorEastAsia" w:hAnsiTheme="minorEastAsia" w:eastAsiaTheme="minorEastAsia"/>
          <w:sz w:val="24"/>
          <w:highlight w:val="none"/>
        </w:rPr>
        <w:t>谈判</w:t>
      </w:r>
      <w:r>
        <w:rPr>
          <w:rFonts w:hint="eastAsia" w:asciiTheme="minorEastAsia" w:hAnsiTheme="minorEastAsia" w:eastAsiaTheme="minorEastAsia"/>
          <w:bCs/>
          <w:sz w:val="24"/>
          <w:highlight w:val="none"/>
        </w:rPr>
        <w:t>活动有关的工作人员的纪律要求</w:t>
      </w:r>
    </w:p>
    <w:p w14:paraId="4DAAE87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与谈判活动有关的工作人员不得收受他人的财物或者其他好处，不得向他人透漏对谈判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的评审和比较、成交人的确定情况以及谈判有关的其他情况。在谈判活动中，与谈判活动有关的工作人员不得擅离职守，影响谈判工作正常进行。</w:t>
      </w:r>
    </w:p>
    <w:p w14:paraId="2C2E05FB">
      <w:pPr>
        <w:spacing w:line="500" w:lineRule="exact"/>
        <w:outlineLvl w:val="0"/>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bookmarkStart w:id="111" w:name="_Toc22976"/>
      <w:bookmarkStart w:id="112" w:name="_Toc23449"/>
      <w:bookmarkStart w:id="113" w:name="_Toc352679668"/>
      <w:bookmarkStart w:id="114" w:name="_Toc15862"/>
      <w:bookmarkStart w:id="115" w:name="_Toc499803938"/>
      <w:bookmarkStart w:id="116" w:name="_Toc505088155"/>
      <w:bookmarkStart w:id="117" w:name="_Toc352325696"/>
      <w:bookmarkStart w:id="118" w:name="_Toc11095"/>
      <w:r>
        <w:rPr>
          <w:rFonts w:hint="eastAsia" w:asciiTheme="minorEastAsia" w:hAnsiTheme="minorEastAsia" w:eastAsiaTheme="minorEastAsia"/>
          <w:b/>
          <w:sz w:val="24"/>
          <w:highlight w:val="none"/>
          <w:lang w:val="en-US" w:eastAsia="zh-CN"/>
        </w:rPr>
        <w:t>4</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谈判</w:t>
      </w:r>
      <w:r>
        <w:rPr>
          <w:rFonts w:hint="eastAsia" w:asciiTheme="minorEastAsia" w:hAnsiTheme="minorEastAsia" w:eastAsiaTheme="minorEastAsia"/>
          <w:b/>
          <w:sz w:val="24"/>
          <w:highlight w:val="none"/>
          <w:lang w:eastAsia="zh-CN"/>
        </w:rPr>
        <w:t>响应文件</w:t>
      </w:r>
      <w:r>
        <w:rPr>
          <w:rFonts w:hint="eastAsia" w:asciiTheme="minorEastAsia" w:hAnsiTheme="minorEastAsia" w:eastAsiaTheme="minorEastAsia"/>
          <w:b/>
          <w:sz w:val="24"/>
          <w:highlight w:val="none"/>
        </w:rPr>
        <w:t>的澄清</w:t>
      </w:r>
      <w:bookmarkEnd w:id="111"/>
      <w:bookmarkEnd w:id="112"/>
      <w:bookmarkEnd w:id="113"/>
      <w:bookmarkEnd w:id="114"/>
      <w:bookmarkEnd w:id="115"/>
      <w:bookmarkEnd w:id="116"/>
      <w:bookmarkEnd w:id="117"/>
      <w:bookmarkEnd w:id="118"/>
    </w:p>
    <w:p w14:paraId="0450060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4</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为了有助于对谈判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进行审查、评估与比较，谈判组有权向谈判申请人质疑，请谈判申请人澄清其谈判内容。谈判申请人有责任按照采购代理机构通知的时间、地点、方式指派专人进行答疑和澄清。</w:t>
      </w:r>
    </w:p>
    <w:p w14:paraId="26147904">
      <w:pPr>
        <w:spacing w:line="360" w:lineRule="auto"/>
        <w:ind w:firstLine="240" w:firstLineChars="100"/>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.2  需要澄清的答复应是书面的,并由法人代表或其委托代理人签字。</w:t>
      </w:r>
    </w:p>
    <w:p w14:paraId="440BEACC">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.3  谈判申请人的澄清文件是谈判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的组成部分,并取代谈判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中被澄清的部分。</w:t>
      </w:r>
    </w:p>
    <w:p w14:paraId="6183D6F2">
      <w:pPr>
        <w:spacing w:line="500" w:lineRule="exact"/>
        <w:outlineLvl w:val="0"/>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sz w:val="24"/>
          <w:highlight w:val="none"/>
        </w:rPr>
        <w:t xml:space="preserve">  </w:t>
      </w:r>
      <w:bookmarkStart w:id="119" w:name="_Toc27440"/>
      <w:bookmarkStart w:id="120" w:name="_Toc499803939"/>
      <w:bookmarkStart w:id="121" w:name="_Toc22637"/>
      <w:bookmarkStart w:id="122" w:name="_Toc505088156"/>
      <w:bookmarkStart w:id="123" w:name="_Toc23128"/>
      <w:bookmarkStart w:id="124" w:name="_Toc352325697"/>
      <w:bookmarkStart w:id="125" w:name="_Toc3094"/>
      <w:bookmarkStart w:id="126" w:name="_Toc352679669"/>
      <w:r>
        <w:rPr>
          <w:rFonts w:hint="eastAsia" w:asciiTheme="minorEastAsia" w:hAnsiTheme="minorEastAsia" w:eastAsiaTheme="minorEastAsia"/>
          <w:b/>
          <w:sz w:val="24"/>
          <w:highlight w:val="none"/>
          <w:lang w:val="en-US" w:eastAsia="zh-CN"/>
        </w:rPr>
        <w:t>5</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成交原则和方法</w:t>
      </w:r>
      <w:bookmarkEnd w:id="119"/>
      <w:bookmarkEnd w:id="120"/>
      <w:bookmarkEnd w:id="121"/>
      <w:bookmarkEnd w:id="122"/>
      <w:bookmarkEnd w:id="123"/>
      <w:bookmarkEnd w:id="124"/>
      <w:bookmarkEnd w:id="125"/>
      <w:bookmarkEnd w:id="126"/>
    </w:p>
    <w:p w14:paraId="5DF3BBAE">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成交原则：</w:t>
      </w:r>
    </w:p>
    <w:p w14:paraId="2379933B">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（1）坚持公正、平等对待所有参加谈判的谈判申请人。</w:t>
      </w:r>
    </w:p>
    <w:p w14:paraId="6FA33E5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（2）坚持谈判文件的所有相关规定，择优确定成交方。</w:t>
      </w:r>
    </w:p>
    <w:p w14:paraId="622699E8">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实质性要求偏离过大或响应明显不力的谈判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，将不被接受。</w:t>
      </w:r>
    </w:p>
    <w:p w14:paraId="3B215485">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（4）对谈判文件中的主要技术参数指标有负偏离的，将导致废标。</w:t>
      </w:r>
    </w:p>
    <w:p w14:paraId="5219779B">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（5）工期有保留、不确切、不肯定的，将不被接受。</w:t>
      </w:r>
    </w:p>
    <w:p w14:paraId="21146D0E">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）符合采购需求,在质量和服务相等的情况下,价格最优者优先成交。</w:t>
      </w:r>
    </w:p>
    <w:p w14:paraId="19AF8B0A">
      <w:pPr>
        <w:spacing w:line="500" w:lineRule="exact"/>
        <w:ind w:firstLine="482" w:firstLineChars="200"/>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评审原则</w:t>
      </w:r>
    </w:p>
    <w:p w14:paraId="1FF4B8D4">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1、按照“公平、公正”的原则对待所有人；</w:t>
      </w:r>
    </w:p>
    <w:p w14:paraId="06A8E59B">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2、坚持谈判文件的所有相关规定，择优定标。</w:t>
      </w:r>
    </w:p>
    <w:p w14:paraId="6FBFD397">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二、评审办法（最低价法）</w:t>
      </w:r>
    </w:p>
    <w:p w14:paraId="45AE80C6">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1、经评审的最低价法：谈判小组通过对谈判供应商响应性文件评审并结合谈判情况，在全部满足谈判文件实质性要求前提下，按照符合采购需求、质量和服务相等且报价最低的原则（恶意低价的除外），推荐 1-3 名成交候选人。</w:t>
      </w:r>
    </w:p>
    <w:p w14:paraId="5278ABB9">
      <w:pPr>
        <w:spacing w:line="500" w:lineRule="exact"/>
        <w:ind w:firstLine="480" w:firstLineChars="200"/>
        <w:rPr>
          <w:rFonts w:hint="eastAsia" w:cs="Times New Roman" w:asciiTheme="minorEastAsia" w:hAnsiTheme="minorEastAsia" w:eastAsiaTheme="minorEastAsia"/>
          <w:color w:val="C00000"/>
          <w:sz w:val="24"/>
          <w:highlight w:val="none"/>
        </w:rPr>
      </w:pPr>
      <w:r>
        <w:rPr>
          <w:rFonts w:hint="eastAsia" w:cs="Times New Roman" w:asciiTheme="minorEastAsia" w:hAnsiTheme="minorEastAsia" w:eastAsiaTheme="minorEastAsia"/>
          <w:color w:val="auto"/>
          <w:sz w:val="24"/>
          <w:highlight w:val="none"/>
        </w:rPr>
        <w:t>投标文件应当对招标文件有关</w:t>
      </w:r>
      <w:r>
        <w:rPr>
          <w:rFonts w:hint="eastAsia" w:cs="Times New Roman" w:asciiTheme="minorEastAsia" w:hAnsiTheme="minorEastAsia" w:eastAsiaTheme="minorEastAsia"/>
          <w:color w:val="auto"/>
          <w:sz w:val="24"/>
          <w:highlight w:val="none"/>
          <w:lang w:eastAsia="zh-CN"/>
        </w:rPr>
        <w:t>供货地点</w:t>
      </w:r>
      <w:r>
        <w:rPr>
          <w:rFonts w:hint="eastAsia" w:cs="Times New Roman" w:asciiTheme="minorEastAsia" w:hAnsiTheme="minorEastAsia" w:eastAsiaTheme="minorEastAsia"/>
          <w:color w:val="auto"/>
          <w:sz w:val="24"/>
          <w:highlight w:val="none"/>
        </w:rPr>
        <w:t>、质量要求、</w:t>
      </w:r>
      <w:r>
        <w:rPr>
          <w:rFonts w:hint="eastAsia" w:cs="Times New Roman" w:asciiTheme="minorEastAsia" w:hAnsiTheme="minorEastAsia" w:eastAsiaTheme="minorEastAsia"/>
          <w:color w:val="auto"/>
          <w:sz w:val="24"/>
          <w:highlight w:val="none"/>
          <w:lang w:eastAsia="zh-CN"/>
        </w:rPr>
        <w:t>供货期、质保期</w:t>
      </w:r>
      <w:r>
        <w:rPr>
          <w:rFonts w:hint="eastAsia" w:cs="Times New Roman" w:asciiTheme="minorEastAsia" w:hAnsiTheme="minorEastAsia" w:eastAsiaTheme="minorEastAsia"/>
          <w:color w:val="auto"/>
          <w:sz w:val="24"/>
          <w:highlight w:val="none"/>
        </w:rPr>
        <w:t>和</w:t>
      </w:r>
      <w:r>
        <w:rPr>
          <w:rFonts w:hint="eastAsia" w:cs="Times New Roman" w:asciiTheme="minorEastAsia" w:hAnsiTheme="minorEastAsia" w:eastAsiaTheme="minorEastAsia"/>
          <w:color w:val="auto"/>
          <w:sz w:val="24"/>
          <w:highlight w:val="none"/>
          <w:lang w:eastAsia="zh-CN"/>
        </w:rPr>
        <w:t>投标内容</w:t>
      </w:r>
      <w:r>
        <w:rPr>
          <w:rFonts w:hint="eastAsia" w:cs="Times New Roman" w:asciiTheme="minorEastAsia" w:hAnsiTheme="minorEastAsia" w:eastAsiaTheme="minorEastAsia"/>
          <w:color w:val="auto"/>
          <w:sz w:val="24"/>
          <w:highlight w:val="none"/>
        </w:rPr>
        <w:t>等实质性内容作出书面响应。</w:t>
      </w:r>
    </w:p>
    <w:p w14:paraId="699300A9">
      <w:pPr>
        <w:spacing w:line="390" w:lineRule="exact"/>
        <w:ind w:firstLine="422" w:firstLineChars="200"/>
        <w:rPr>
          <w:rFonts w:hint="eastAsia" w:ascii="宋体" w:hAnsi="宋体"/>
          <w:b/>
          <w:bCs/>
          <w:color w:val="000000"/>
          <w:szCs w:val="21"/>
        </w:rPr>
      </w:pPr>
      <w:bookmarkStart w:id="127" w:name="_Toc362935834"/>
      <w:r>
        <w:rPr>
          <w:rFonts w:hint="eastAsia" w:ascii="宋体" w:hAnsi="宋体"/>
          <w:b/>
          <w:bCs/>
          <w:color w:val="000000"/>
          <w:szCs w:val="21"/>
        </w:rPr>
        <w:t>注1：</w:t>
      </w:r>
      <w:r>
        <w:rPr>
          <w:rFonts w:hint="eastAsia" w:ascii="宋体" w:hAnsi="宋体"/>
          <w:b/>
          <w:bCs/>
          <w:color w:val="000000"/>
          <w:szCs w:val="21"/>
          <w:lang w:val="en-US" w:eastAsia="zh-CN"/>
        </w:rPr>
        <w:t>专门面向中小企业采购的项目或者采购包，不再执行价格评审优惠的扶持政策。</w:t>
      </w:r>
    </w:p>
    <w:bookmarkEnd w:id="127"/>
    <w:p w14:paraId="20742E3B">
      <w:pPr>
        <w:spacing w:line="500" w:lineRule="exact"/>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2、采购人应当从谈判小组推荐的成交候选人中，根据质量和服务均能满足采购文件实质性响应要求且最后报价最低的原则确定成交供应商。</w:t>
      </w:r>
    </w:p>
    <w:p w14:paraId="193F2BE8">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.2本次谈判活动将采用有效最低价方法评审。</w:t>
      </w:r>
    </w:p>
    <w:p w14:paraId="45DEE817">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有效最低价法：以价格为主要因素确定成交候选供应商，即在全部满足谈判文件实质性要求（包含资格条件、</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内容、</w:t>
      </w:r>
      <w:r>
        <w:rPr>
          <w:rFonts w:hint="eastAsia" w:asciiTheme="minorEastAsia" w:hAnsiTheme="minorEastAsia" w:eastAsiaTheme="minorEastAsia"/>
          <w:sz w:val="24"/>
          <w:highlight w:val="none"/>
          <w:lang w:eastAsia="zh-CN"/>
        </w:rPr>
        <w:t>供货</w:t>
      </w:r>
      <w:r>
        <w:rPr>
          <w:rFonts w:hint="eastAsia" w:asciiTheme="minorEastAsia" w:hAnsiTheme="minorEastAsia" w:eastAsiaTheme="minorEastAsia"/>
          <w:sz w:val="24"/>
          <w:highlight w:val="none"/>
        </w:rPr>
        <w:t>期以及谈判过程中对以上内容的补充和修改等）前提下，根据各家最终承诺报价由低到高排出成交候选供应商。</w:t>
      </w:r>
    </w:p>
    <w:p w14:paraId="0D4960DD">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如果最低报价或次低报价出现两家或两家以上者，且均通过谈判小组评审，则确定</w:t>
      </w:r>
      <w:r>
        <w:rPr>
          <w:rFonts w:hint="eastAsia" w:asciiTheme="minorEastAsia" w:hAnsiTheme="minorEastAsia" w:eastAsiaTheme="minorEastAsia"/>
          <w:sz w:val="24"/>
          <w:highlight w:val="none"/>
          <w:lang w:eastAsia="zh-CN"/>
        </w:rPr>
        <w:t>供货期</w:t>
      </w:r>
      <w:r>
        <w:rPr>
          <w:rFonts w:hint="eastAsia" w:asciiTheme="minorEastAsia" w:hAnsiTheme="minorEastAsia" w:eastAsiaTheme="minorEastAsia"/>
          <w:sz w:val="24"/>
          <w:highlight w:val="none"/>
        </w:rPr>
        <w:t>承诺最短者为成交单位，如果</w:t>
      </w:r>
      <w:r>
        <w:rPr>
          <w:rFonts w:hint="eastAsia" w:asciiTheme="minorEastAsia" w:hAnsiTheme="minorEastAsia" w:eastAsiaTheme="minorEastAsia"/>
          <w:sz w:val="24"/>
          <w:highlight w:val="none"/>
          <w:lang w:eastAsia="zh-CN"/>
        </w:rPr>
        <w:t>供货期</w:t>
      </w:r>
      <w:r>
        <w:rPr>
          <w:rFonts w:hint="eastAsia" w:asciiTheme="minorEastAsia" w:hAnsiTheme="minorEastAsia" w:eastAsiaTheme="minorEastAsia"/>
          <w:sz w:val="24"/>
          <w:highlight w:val="none"/>
        </w:rPr>
        <w:t xml:space="preserve">承诺也一样，则采取谈判小组成员投票方式确定成交单位。 </w:t>
      </w:r>
    </w:p>
    <w:p w14:paraId="255BA847">
      <w:pPr>
        <w:spacing w:line="480" w:lineRule="exact"/>
        <w:ind w:firstLine="450"/>
        <w:rPr>
          <w:rFonts w:asciiTheme="minorEastAsia" w:hAnsiTheme="minorEastAsia" w:eastAsiaTheme="minorEastAsia"/>
          <w:color w:val="auto"/>
          <w:sz w:val="24"/>
          <w:highlight w:val="none"/>
        </w:rPr>
      </w:pPr>
      <w:r>
        <w:rPr>
          <w:rFonts w:hint="eastAsia" w:asciiTheme="minorEastAsia" w:hAnsiTheme="minorEastAsia" w:eastAsiaTheme="minorEastAsia"/>
          <w:sz w:val="24"/>
          <w:highlight w:val="none"/>
        </w:rPr>
        <w:t>“有效最低价”主要考虑：①报价是否响应谈判文件的实质性要求；②报价是否会降低谈判文件规定的质量、工期、服务内容、功能要求；③报价是否会低于投标成本；④是否有重大缺项漏项或错项。谈判申请人不得以低于成本价的价格投标；不合理的低价谈判无效。</w:t>
      </w:r>
      <w:r>
        <w:rPr>
          <w:rFonts w:hint="eastAsia" w:asciiTheme="minorEastAsia" w:hAnsiTheme="minorEastAsia" w:eastAsiaTheme="minorEastAsia"/>
          <w:color w:val="auto"/>
          <w:sz w:val="24"/>
          <w:highlight w:val="none"/>
          <w:lang w:eastAsia="zh-CN"/>
        </w:rPr>
        <w:t>响应文件应对</w:t>
      </w:r>
      <w:r>
        <w:rPr>
          <w:rFonts w:hint="eastAsia" w:cs="Times New Roman" w:asciiTheme="minorEastAsia" w:hAnsiTheme="minorEastAsia" w:eastAsiaTheme="minorEastAsia"/>
          <w:color w:val="auto"/>
          <w:sz w:val="24"/>
          <w:highlight w:val="none"/>
        </w:rPr>
        <w:t>实质性内容</w:t>
      </w:r>
      <w:r>
        <w:rPr>
          <w:rFonts w:hint="eastAsia" w:cs="Times New Roman" w:asciiTheme="minorEastAsia" w:hAnsiTheme="minorEastAsia" w:eastAsiaTheme="minorEastAsia"/>
          <w:color w:val="auto"/>
          <w:sz w:val="24"/>
          <w:highlight w:val="none"/>
          <w:lang w:eastAsia="zh-CN"/>
        </w:rPr>
        <w:t>做出响应，</w:t>
      </w:r>
      <w:r>
        <w:rPr>
          <w:rFonts w:hint="eastAsia" w:asciiTheme="minorEastAsia" w:hAnsiTheme="minorEastAsia" w:eastAsiaTheme="minorEastAsia"/>
          <w:color w:val="auto"/>
          <w:sz w:val="24"/>
          <w:highlight w:val="none"/>
          <w:lang w:eastAsia="zh-CN"/>
        </w:rPr>
        <w:t>否则</w:t>
      </w:r>
      <w:r>
        <w:rPr>
          <w:rFonts w:hint="eastAsia" w:cs="Times New Roman" w:asciiTheme="minorEastAsia" w:hAnsiTheme="minorEastAsia" w:eastAsiaTheme="minorEastAsia"/>
          <w:color w:val="auto"/>
          <w:sz w:val="24"/>
          <w:highlight w:val="none"/>
          <w:lang w:eastAsia="zh-CN"/>
        </w:rPr>
        <w:t>视为其无效投标。</w:t>
      </w:r>
    </w:p>
    <w:p w14:paraId="11C109E3">
      <w:pPr>
        <w:spacing w:line="500" w:lineRule="exact"/>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综合以上分析比较，最后得出评审结论。</w:t>
      </w:r>
    </w:p>
    <w:p w14:paraId="5E33463A">
      <w:pPr>
        <w:spacing w:line="480" w:lineRule="exact"/>
        <w:ind w:firstLine="450"/>
        <w:rPr>
          <w:rFonts w:hint="eastAsia"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 xml:space="preserve"> 谈判小组将根据采购方要求和成交原则，</w:t>
      </w:r>
      <w:r>
        <w:rPr>
          <w:rFonts w:hint="eastAsia" w:asciiTheme="minorEastAsia" w:hAnsiTheme="minorEastAsia" w:eastAsiaTheme="minorEastAsia"/>
          <w:color w:val="000000"/>
          <w:sz w:val="24"/>
          <w:highlight w:val="none"/>
        </w:rPr>
        <w:t>推荐出一家合格的成交人，并由谈判小组签字确认。</w:t>
      </w:r>
    </w:p>
    <w:p w14:paraId="47E60D65">
      <w:pPr>
        <w:spacing w:line="500" w:lineRule="exact"/>
        <w:outlineLvl w:val="0"/>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 xml:space="preserve"> </w:t>
      </w:r>
      <w:bookmarkStart w:id="128" w:name="_Toc499803940"/>
      <w:bookmarkStart w:id="129" w:name="_Toc303"/>
      <w:bookmarkStart w:id="130" w:name="_Toc29834"/>
      <w:bookmarkStart w:id="131" w:name="_Toc3916"/>
      <w:bookmarkStart w:id="132" w:name="_Toc352325698"/>
      <w:bookmarkStart w:id="133" w:name="_Toc505088157"/>
      <w:bookmarkStart w:id="134" w:name="_Toc352679670"/>
      <w:bookmarkStart w:id="135" w:name="_Toc15259"/>
      <w:r>
        <w:rPr>
          <w:rFonts w:hint="eastAsia" w:asciiTheme="minorEastAsia" w:hAnsiTheme="minorEastAsia" w:eastAsiaTheme="minorEastAsia"/>
          <w:b/>
          <w:sz w:val="24"/>
          <w:highlight w:val="none"/>
          <w:lang w:val="en-US" w:eastAsia="zh-CN"/>
        </w:rPr>
        <w:t>6</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保密及其他注意事项</w:t>
      </w:r>
      <w:bookmarkEnd w:id="128"/>
      <w:bookmarkEnd w:id="129"/>
      <w:bookmarkEnd w:id="130"/>
      <w:bookmarkEnd w:id="131"/>
      <w:bookmarkEnd w:id="132"/>
      <w:bookmarkEnd w:id="133"/>
      <w:bookmarkEnd w:id="134"/>
      <w:bookmarkEnd w:id="135"/>
    </w:p>
    <w:p w14:paraId="154A6F56">
      <w:pPr>
        <w:spacing w:line="500" w:lineRule="exact"/>
        <w:rPr>
          <w:rFonts w:asciiTheme="minorEastAsia" w:hAnsiTheme="minorEastAsia" w:eastAsiaTheme="minorEastAsia"/>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sz w:val="24"/>
          <w:highlight w:val="none"/>
          <w:lang w:val="en-US" w:eastAsia="zh-CN"/>
        </w:rPr>
        <w:t>6</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谈判小组将遵循成交原则，公平、公正、平等地对待每个参加谈判的谈判申请人。</w:t>
      </w:r>
    </w:p>
    <w:p w14:paraId="3C4E3E51">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sz w:val="24"/>
          <w:highlight w:val="none"/>
          <w:lang w:val="en-US" w:eastAsia="zh-CN"/>
        </w:rPr>
        <w:t>6</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rPr>
        <w:t>谈判小组将对谈判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中有关问题分别向谈判申请人进行询问，请各谈判申请人予以答复。重要或复杂问题答复后，须补充以书面形式，并经法定代表人或其委托代理人签署。回答文件将作为谈判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的组成部分。</w:t>
      </w:r>
    </w:p>
    <w:p w14:paraId="1FCCC623">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lang w:val="en-US" w:eastAsia="zh-CN"/>
        </w:rPr>
        <w:t>6</w:t>
      </w:r>
      <w:r>
        <w:rPr>
          <w:rFonts w:asciiTheme="minorEastAsia" w:hAnsiTheme="minorEastAsia" w:eastAsiaTheme="minorEastAsia"/>
          <w:sz w:val="24"/>
          <w:highlight w:val="none"/>
        </w:rPr>
        <w:t xml:space="preserve">.3  </w:t>
      </w:r>
      <w:r>
        <w:rPr>
          <w:rFonts w:hint="eastAsia" w:asciiTheme="minorEastAsia" w:hAnsiTheme="minorEastAsia" w:eastAsiaTheme="minorEastAsia"/>
          <w:sz w:val="24"/>
          <w:highlight w:val="none"/>
        </w:rPr>
        <w:t>在谈判期间，谈判申请人不得向谈判小组成员询问其它谈判申请人谈判情况，不得进行旨在影响成交结果的活动。</w:t>
      </w:r>
    </w:p>
    <w:p w14:paraId="47AFA64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b/>
          <w:sz w:val="24"/>
          <w:highlight w:val="none"/>
        </w:rPr>
        <w:t xml:space="preserve">    </w:t>
      </w:r>
      <w:r>
        <w:rPr>
          <w:rFonts w:hint="eastAsia" w:asciiTheme="minorEastAsia" w:hAnsiTheme="minorEastAsia" w:eastAsiaTheme="minorEastAsia"/>
          <w:sz w:val="24"/>
          <w:highlight w:val="none"/>
          <w:lang w:val="en-US" w:eastAsia="zh-CN"/>
        </w:rPr>
        <w:t>6</w:t>
      </w:r>
      <w:r>
        <w:rPr>
          <w:rFonts w:asciiTheme="minorEastAsia" w:hAnsiTheme="minorEastAsia" w:eastAsiaTheme="minorEastAsia"/>
          <w:sz w:val="24"/>
          <w:highlight w:val="none"/>
        </w:rPr>
        <w:t xml:space="preserve">.4  </w:t>
      </w:r>
      <w:r>
        <w:rPr>
          <w:rFonts w:hint="eastAsia" w:asciiTheme="minorEastAsia" w:hAnsiTheme="minorEastAsia" w:eastAsiaTheme="minorEastAsia"/>
          <w:sz w:val="24"/>
          <w:highlight w:val="none"/>
        </w:rPr>
        <w:t>为保证成交结果的公正性，谈判期间直至授予谈判申请人合同时，谈判小组成员不得与谈判申请人私下交换意见。在谈判结束后，凡与谈判情况有接触的任何人不得也不应将谈判情况扩散出谈判小组成员之外。</w:t>
      </w:r>
    </w:p>
    <w:p w14:paraId="2987AF27">
      <w:pPr>
        <w:keepNext w:val="0"/>
        <w:keepLines w:val="0"/>
        <w:pageBreakBefore w:val="0"/>
        <w:widowControl w:val="0"/>
        <w:kinsoku/>
        <w:wordWrap/>
        <w:overflowPunct/>
        <w:topLinePunct w:val="0"/>
        <w:autoSpaceDE/>
        <w:autoSpaceDN/>
        <w:bidi w:val="0"/>
        <w:adjustRightInd/>
        <w:snapToGrid/>
        <w:spacing w:line="480" w:lineRule="exact"/>
        <w:ind w:firstLine="481"/>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6</w:t>
      </w:r>
      <w:r>
        <w:rPr>
          <w:rFonts w:asciiTheme="minorEastAsia" w:hAnsiTheme="minorEastAsia" w:eastAsiaTheme="minorEastAsia"/>
          <w:sz w:val="24"/>
          <w:highlight w:val="none"/>
        </w:rPr>
        <w:t xml:space="preserve">.5  </w:t>
      </w:r>
      <w:r>
        <w:rPr>
          <w:rFonts w:hint="eastAsia" w:asciiTheme="minorEastAsia" w:hAnsiTheme="minorEastAsia" w:eastAsiaTheme="minorEastAsia"/>
          <w:sz w:val="24"/>
          <w:highlight w:val="none"/>
        </w:rPr>
        <w:t>谈判小组不向未成交方解释原因，不退还谈判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 xml:space="preserve"> </w:t>
      </w:r>
    </w:p>
    <w:p w14:paraId="369EF46D">
      <w:pPr>
        <w:keepNext w:val="0"/>
        <w:keepLines w:val="0"/>
        <w:pageBreakBefore w:val="0"/>
        <w:widowControl w:val="0"/>
        <w:kinsoku/>
        <w:wordWrap/>
        <w:overflowPunct/>
        <w:topLinePunct w:val="0"/>
        <w:autoSpaceDE/>
        <w:autoSpaceDN/>
        <w:bidi w:val="0"/>
        <w:adjustRightInd/>
        <w:snapToGrid/>
        <w:spacing w:line="480" w:lineRule="exact"/>
        <w:ind w:firstLine="481"/>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6.在本项目招标投标过程中，身份证正面特指国徽面，反面是指人像面</w:t>
      </w:r>
      <w:r>
        <w:rPr>
          <w:rFonts w:hint="eastAsia" w:asciiTheme="minorEastAsia" w:hAnsiTheme="minorEastAsia" w:eastAsiaTheme="minorEastAsia"/>
          <w:sz w:val="24"/>
          <w:highlight w:val="none"/>
          <w:lang w:eastAsia="zh-CN"/>
        </w:rPr>
        <w:t>。</w:t>
      </w:r>
    </w:p>
    <w:p w14:paraId="53FBE45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0"/>
        <w:rPr>
          <w:rFonts w:asciiTheme="minorEastAsia" w:hAnsiTheme="minorEastAsia" w:eastAsiaTheme="minorEastAsia"/>
          <w:sz w:val="24"/>
          <w:highlight w:val="none"/>
        </w:rPr>
      </w:pPr>
      <w:bookmarkStart w:id="136" w:name="_Toc352679671"/>
      <w:bookmarkStart w:id="137" w:name="_Toc11303"/>
      <w:bookmarkStart w:id="138" w:name="_Toc15475"/>
      <w:bookmarkStart w:id="139" w:name="_Toc352325699"/>
      <w:bookmarkStart w:id="140" w:name="_Toc15647"/>
      <w:bookmarkStart w:id="141" w:name="_Toc499803941"/>
      <w:bookmarkStart w:id="142" w:name="_Toc804"/>
      <w:bookmarkStart w:id="143" w:name="_Toc505088158"/>
      <w:r>
        <w:rPr>
          <w:rFonts w:asciiTheme="minorEastAsia" w:hAnsiTheme="minorEastAsia" w:eastAsiaTheme="minorEastAsia"/>
          <w:b/>
          <w:sz w:val="24"/>
          <w:highlight w:val="none"/>
        </w:rPr>
        <w:t xml:space="preserve">F  </w:t>
      </w:r>
      <w:r>
        <w:rPr>
          <w:rFonts w:hint="eastAsia" w:asciiTheme="minorEastAsia" w:hAnsiTheme="minorEastAsia" w:eastAsiaTheme="minorEastAsia"/>
          <w:b/>
          <w:sz w:val="24"/>
          <w:highlight w:val="none"/>
        </w:rPr>
        <w:t>授予合同</w:t>
      </w:r>
      <w:bookmarkEnd w:id="136"/>
      <w:bookmarkEnd w:id="137"/>
      <w:bookmarkEnd w:id="138"/>
      <w:bookmarkEnd w:id="139"/>
      <w:bookmarkEnd w:id="140"/>
      <w:bookmarkEnd w:id="141"/>
      <w:bookmarkEnd w:id="142"/>
      <w:bookmarkEnd w:id="143"/>
    </w:p>
    <w:p w14:paraId="43CF4801">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r>
        <w:rPr>
          <w:rFonts w:hint="eastAsia" w:cs="Times New Roman" w:asciiTheme="minorEastAsia" w:hAnsiTheme="minorEastAsia" w:eastAsiaTheme="minorEastAsia"/>
          <w:b/>
          <w:sz w:val="24"/>
          <w:highlight w:val="none"/>
        </w:rPr>
        <w:t xml:space="preserve"> </w:t>
      </w:r>
      <w:bookmarkStart w:id="144" w:name="_Toc352325700"/>
      <w:bookmarkStart w:id="145" w:name="_Toc499803942"/>
      <w:bookmarkStart w:id="146" w:name="_Toc11861"/>
      <w:bookmarkStart w:id="147" w:name="_Toc27964"/>
      <w:bookmarkStart w:id="148" w:name="_Toc352679672"/>
      <w:bookmarkStart w:id="149" w:name="_Toc29348"/>
      <w:bookmarkStart w:id="150" w:name="_Toc23350"/>
      <w:bookmarkStart w:id="151" w:name="_Toc505088159"/>
      <w:r>
        <w:rPr>
          <w:rFonts w:hint="eastAsia" w:cs="Times New Roman" w:asciiTheme="minorEastAsia" w:hAnsiTheme="minorEastAsia" w:eastAsiaTheme="minorEastAsia"/>
          <w:b/>
          <w:sz w:val="24"/>
          <w:highlight w:val="none"/>
          <w:lang w:val="en-US" w:eastAsia="zh-CN"/>
        </w:rPr>
        <w:t>7</w:t>
      </w:r>
      <w:r>
        <w:rPr>
          <w:rFonts w:hint="eastAsia" w:cs="Times New Roman" w:asciiTheme="minorEastAsia" w:hAnsiTheme="minorEastAsia" w:eastAsiaTheme="minorEastAsia"/>
          <w:b/>
          <w:sz w:val="24"/>
          <w:highlight w:val="none"/>
        </w:rPr>
        <w:t>.  授</w:t>
      </w:r>
      <w:r>
        <w:rPr>
          <w:rFonts w:hint="eastAsia" w:asciiTheme="minorEastAsia" w:hAnsiTheme="minorEastAsia" w:eastAsiaTheme="minorEastAsia"/>
          <w:b/>
          <w:sz w:val="24"/>
          <w:highlight w:val="none"/>
        </w:rPr>
        <w:t>予合同的原则</w:t>
      </w:r>
      <w:bookmarkEnd w:id="144"/>
      <w:bookmarkEnd w:id="145"/>
      <w:bookmarkEnd w:id="146"/>
      <w:bookmarkEnd w:id="147"/>
      <w:bookmarkEnd w:id="148"/>
      <w:bookmarkEnd w:id="149"/>
      <w:bookmarkEnd w:id="150"/>
      <w:bookmarkEnd w:id="151"/>
    </w:p>
    <w:p w14:paraId="19CC7AB5">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7</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本次采购合同将授予符合竞争性谈判文件的要求，并且综合比较最佳的谈判申请人。</w:t>
      </w:r>
    </w:p>
    <w:p w14:paraId="348F091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0"/>
        <w:rPr>
          <w:rFonts w:asciiTheme="minorEastAsia" w:hAnsiTheme="minorEastAsia" w:eastAsiaTheme="minorEastAsia"/>
          <w:b/>
          <w:sz w:val="24"/>
          <w:highlight w:val="none"/>
        </w:rPr>
      </w:pPr>
      <w:bookmarkStart w:id="152" w:name="_Toc28938"/>
      <w:bookmarkStart w:id="153" w:name="_Toc505088160"/>
      <w:bookmarkStart w:id="154" w:name="_Toc22128"/>
      <w:bookmarkStart w:id="155" w:name="_Toc499803943"/>
      <w:bookmarkStart w:id="156" w:name="_Toc2182"/>
      <w:bookmarkStart w:id="157" w:name="_Toc352325701"/>
      <w:bookmarkStart w:id="158" w:name="_Toc352679673"/>
      <w:bookmarkStart w:id="159" w:name="_Toc29746"/>
      <w:r>
        <w:rPr>
          <w:rFonts w:hint="eastAsia" w:asciiTheme="minorEastAsia" w:hAnsiTheme="minorEastAsia" w:eastAsiaTheme="minorEastAsia"/>
          <w:b/>
          <w:sz w:val="24"/>
          <w:highlight w:val="none"/>
          <w:lang w:val="en-US" w:eastAsia="zh-CN"/>
        </w:rPr>
        <w:t>8</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成交通知</w:t>
      </w:r>
      <w:bookmarkEnd w:id="152"/>
      <w:bookmarkEnd w:id="153"/>
      <w:bookmarkEnd w:id="154"/>
      <w:bookmarkEnd w:id="155"/>
      <w:bookmarkEnd w:id="156"/>
      <w:bookmarkEnd w:id="157"/>
      <w:bookmarkEnd w:id="158"/>
      <w:bookmarkEnd w:id="159"/>
    </w:p>
    <w:p w14:paraId="18A7C1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asciiTheme="minorEastAsia" w:hAnsiTheme="minorEastAsia" w:eastAsiaTheme="minorEastAsia"/>
          <w:sz w:val="24"/>
          <w:highlight w:val="none"/>
        </w:rPr>
      </w:pPr>
      <w:bookmarkStart w:id="160" w:name="_Toc352325702"/>
      <w:bookmarkStart w:id="161" w:name="_Toc21197"/>
      <w:bookmarkStart w:id="162" w:name="_Toc505088161"/>
      <w:bookmarkStart w:id="163" w:name="_Toc352679674"/>
      <w:bookmarkStart w:id="164" w:name="_Toc499803944"/>
      <w:bookmarkStart w:id="165" w:name="_Toc20899"/>
      <w:bookmarkStart w:id="166" w:name="_Toc7413"/>
      <w:bookmarkStart w:id="167" w:name="_Toc1127"/>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 xml:space="preserve">  各相关谈判申请人或机构认为公告结果有失公正或存在疑虑时，应在规定的质疑期限内，向组织采购活动的采购人或采购代理机构提出书面质疑。</w:t>
      </w:r>
      <w:bookmarkEnd w:id="160"/>
      <w:bookmarkEnd w:id="161"/>
      <w:bookmarkEnd w:id="162"/>
      <w:bookmarkEnd w:id="163"/>
      <w:bookmarkEnd w:id="164"/>
      <w:bookmarkEnd w:id="165"/>
      <w:bookmarkEnd w:id="166"/>
      <w:bookmarkEnd w:id="167"/>
    </w:p>
    <w:p w14:paraId="464E00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0"/>
        <w:rPr>
          <w:rFonts w:asciiTheme="minorEastAsia" w:hAnsiTheme="minorEastAsia" w:eastAsiaTheme="minorEastAsia"/>
          <w:sz w:val="24"/>
          <w:highlight w:val="none"/>
        </w:rPr>
      </w:pPr>
      <w:bookmarkStart w:id="168" w:name="_Toc26517"/>
      <w:bookmarkStart w:id="169" w:name="_Toc352325703"/>
      <w:bookmarkStart w:id="170" w:name="_Toc352679675"/>
      <w:bookmarkStart w:id="171" w:name="_Toc27801"/>
      <w:bookmarkStart w:id="172" w:name="_Toc505088162"/>
      <w:bookmarkStart w:id="173" w:name="_Toc30104"/>
      <w:bookmarkStart w:id="174" w:name="_Toc2987"/>
      <w:bookmarkStart w:id="175" w:name="_Toc499803945"/>
      <w:r>
        <w:rPr>
          <w:rFonts w:hint="eastAsia" w:asciiTheme="minorEastAsia" w:hAnsiTheme="minorEastAsia" w:eastAsiaTheme="minorEastAsia"/>
          <w:sz w:val="24"/>
          <w:highlight w:val="none"/>
          <w:lang w:val="en-US" w:eastAsia="zh-CN"/>
        </w:rPr>
        <w:t>8</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lang w:val="en-US" w:eastAsia="zh-CN"/>
        </w:rPr>
        <w:t>河南哲胜工程管理有限公司</w:t>
      </w:r>
      <w:bookmarkStart w:id="225" w:name="_GoBack"/>
      <w:bookmarkEnd w:id="225"/>
      <w:r>
        <w:rPr>
          <w:rFonts w:hint="eastAsia" w:asciiTheme="minorEastAsia" w:hAnsiTheme="minorEastAsia" w:eastAsiaTheme="minorEastAsia"/>
          <w:sz w:val="24"/>
          <w:highlight w:val="none"/>
        </w:rPr>
        <w:t>签发成交通知书，“成交通知书”将作为签订合同的依据。</w:t>
      </w:r>
      <w:bookmarkEnd w:id="168"/>
      <w:bookmarkEnd w:id="169"/>
      <w:bookmarkEnd w:id="170"/>
      <w:bookmarkEnd w:id="171"/>
      <w:bookmarkEnd w:id="172"/>
      <w:bookmarkEnd w:id="173"/>
      <w:bookmarkEnd w:id="174"/>
      <w:bookmarkEnd w:id="175"/>
    </w:p>
    <w:p w14:paraId="6CC534DC">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bookmarkStart w:id="176" w:name="_Toc9971"/>
      <w:bookmarkStart w:id="177" w:name="_Toc25756"/>
      <w:bookmarkStart w:id="178" w:name="_Toc505088163"/>
      <w:bookmarkStart w:id="179" w:name="_Toc499803946"/>
      <w:bookmarkStart w:id="180" w:name="_Toc352325704"/>
      <w:bookmarkStart w:id="181" w:name="_Toc5516"/>
      <w:bookmarkStart w:id="182" w:name="_Toc352679676"/>
      <w:bookmarkStart w:id="183" w:name="_Toc26947"/>
      <w:r>
        <w:rPr>
          <w:rFonts w:hint="eastAsia" w:asciiTheme="minorEastAsia" w:hAnsiTheme="minorEastAsia" w:eastAsiaTheme="minorEastAsia"/>
          <w:sz w:val="24"/>
          <w:highlight w:val="none"/>
          <w:lang w:val="en-US" w:eastAsia="zh-CN"/>
        </w:rPr>
        <w:t>9</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授予合同时变更数量的权利</w:t>
      </w:r>
      <w:bookmarkEnd w:id="176"/>
      <w:bookmarkEnd w:id="177"/>
      <w:bookmarkEnd w:id="178"/>
      <w:bookmarkEnd w:id="179"/>
      <w:bookmarkEnd w:id="180"/>
      <w:bookmarkEnd w:id="181"/>
      <w:bookmarkEnd w:id="182"/>
      <w:bookmarkEnd w:id="183"/>
    </w:p>
    <w:p w14:paraId="0C195828">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9</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采购人保留在授予合同时对第四部分中规定的</w:t>
      </w:r>
      <w:r>
        <w:rPr>
          <w:rFonts w:hint="eastAsia" w:asciiTheme="minorEastAsia" w:hAnsiTheme="minorEastAsia" w:eastAsiaTheme="minorEastAsia"/>
          <w:sz w:val="24"/>
          <w:highlight w:val="none"/>
          <w:lang w:eastAsia="zh-CN"/>
        </w:rPr>
        <w:t>采购需求</w:t>
      </w:r>
      <w:r>
        <w:rPr>
          <w:rFonts w:hint="eastAsia" w:asciiTheme="minorEastAsia" w:hAnsiTheme="minorEastAsia" w:eastAsiaTheme="minorEastAsia"/>
          <w:sz w:val="24"/>
          <w:highlight w:val="none"/>
        </w:rPr>
        <w:t>予以增加或减少，以及将项目拆开授予一个以上参与谈判的谈判申请人的权利。</w:t>
      </w:r>
    </w:p>
    <w:p w14:paraId="7EF2490D">
      <w:pPr>
        <w:keepNext w:val="0"/>
        <w:keepLines w:val="0"/>
        <w:pageBreakBefore w:val="0"/>
        <w:widowControl w:val="0"/>
        <w:kinsoku/>
        <w:wordWrap/>
        <w:overflowPunct/>
        <w:topLinePunct w:val="0"/>
        <w:autoSpaceDE/>
        <w:autoSpaceDN/>
        <w:bidi w:val="0"/>
        <w:adjustRightInd/>
        <w:snapToGrid/>
        <w:spacing w:line="480" w:lineRule="exact"/>
        <w:textAlignment w:val="auto"/>
        <w:outlineLvl w:val="0"/>
        <w:rPr>
          <w:rFonts w:asciiTheme="minorEastAsia" w:hAnsiTheme="minorEastAsia" w:eastAsiaTheme="minorEastAsia"/>
          <w:b/>
          <w:sz w:val="24"/>
          <w:highlight w:val="none"/>
        </w:rPr>
      </w:pPr>
      <w:r>
        <w:rPr>
          <w:rFonts w:asciiTheme="minorEastAsia" w:hAnsiTheme="minorEastAsia" w:eastAsiaTheme="minorEastAsia"/>
          <w:sz w:val="24"/>
          <w:highlight w:val="none"/>
        </w:rPr>
        <w:t xml:space="preserve">    </w:t>
      </w:r>
      <w:bookmarkStart w:id="184" w:name="_Toc11687"/>
      <w:bookmarkStart w:id="185" w:name="_Toc5091"/>
      <w:bookmarkStart w:id="186" w:name="_Toc10699"/>
      <w:bookmarkStart w:id="187" w:name="_Toc499803947"/>
      <w:bookmarkStart w:id="188" w:name="_Toc505088164"/>
      <w:bookmarkStart w:id="189" w:name="_Toc352325705"/>
      <w:bookmarkStart w:id="190" w:name="_Toc28917"/>
      <w:bookmarkStart w:id="191" w:name="_Toc352679677"/>
      <w:r>
        <w:rPr>
          <w:rFonts w:hint="eastAsia" w:asciiTheme="minorEastAsia" w:hAnsiTheme="minorEastAsia" w:eastAsiaTheme="minorEastAsia"/>
          <w:b/>
          <w:sz w:val="24"/>
          <w:highlight w:val="none"/>
          <w:lang w:val="en-US" w:eastAsia="zh-CN"/>
        </w:rPr>
        <w:t>10</w:t>
      </w:r>
      <w:r>
        <w:rPr>
          <w:rFonts w:asciiTheme="minorEastAsia" w:hAnsiTheme="minorEastAsia" w:eastAsiaTheme="minorEastAsia"/>
          <w:b/>
          <w:sz w:val="24"/>
          <w:highlight w:val="none"/>
        </w:rPr>
        <w:t xml:space="preserve">.  </w:t>
      </w:r>
      <w:r>
        <w:rPr>
          <w:rFonts w:hint="eastAsia" w:asciiTheme="minorEastAsia" w:hAnsiTheme="minorEastAsia" w:eastAsiaTheme="minorEastAsia"/>
          <w:b/>
          <w:sz w:val="24"/>
          <w:highlight w:val="none"/>
        </w:rPr>
        <w:t>签定合同及合同的执行</w:t>
      </w:r>
      <w:bookmarkEnd w:id="184"/>
      <w:bookmarkEnd w:id="185"/>
      <w:bookmarkEnd w:id="186"/>
      <w:bookmarkEnd w:id="187"/>
      <w:bookmarkEnd w:id="188"/>
      <w:bookmarkEnd w:id="189"/>
      <w:bookmarkEnd w:id="190"/>
      <w:bookmarkEnd w:id="191"/>
    </w:p>
    <w:p w14:paraId="3C1044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lang w:val="en-US" w:eastAsia="zh-CN"/>
        </w:rPr>
        <w:t>10</w:t>
      </w:r>
      <w:r>
        <w:rPr>
          <w:rFonts w:asciiTheme="minorEastAsia" w:hAnsiTheme="minorEastAsia" w:eastAsiaTheme="minorEastAsia"/>
          <w:sz w:val="24"/>
          <w:highlight w:val="none"/>
        </w:rPr>
        <w:t xml:space="preserve">.1  </w:t>
      </w:r>
      <w:r>
        <w:rPr>
          <w:rFonts w:hint="eastAsia" w:asciiTheme="minorEastAsia" w:hAnsiTheme="minorEastAsia" w:eastAsiaTheme="minorEastAsia"/>
          <w:sz w:val="24"/>
          <w:highlight w:val="none"/>
        </w:rPr>
        <w:t>在约定的时间、地点，需方与成交供应商根据有关谈判结果签订合同。签订合同时由采购方提供合同样本。合同签订须一式3份，</w:t>
      </w:r>
      <w:r>
        <w:rPr>
          <w:rFonts w:hint="eastAsia" w:asciiTheme="minorEastAsia" w:hAnsiTheme="minorEastAsia" w:eastAsiaTheme="minorEastAsia"/>
          <w:sz w:val="24"/>
          <w:highlight w:val="none"/>
          <w:lang w:eastAsia="zh-CN"/>
        </w:rPr>
        <w:t>采购人</w:t>
      </w:r>
      <w:r>
        <w:rPr>
          <w:rFonts w:hint="eastAsia" w:asciiTheme="minorEastAsia" w:hAnsiTheme="minorEastAsia" w:eastAsiaTheme="minorEastAsia"/>
          <w:sz w:val="24"/>
          <w:highlight w:val="none"/>
        </w:rPr>
        <w:t>和成交人各一份，另一份合同备案。</w:t>
      </w:r>
    </w:p>
    <w:p w14:paraId="7FD27A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10</w:t>
      </w:r>
      <w:r>
        <w:rPr>
          <w:rFonts w:asciiTheme="minorEastAsia" w:hAnsiTheme="minorEastAsia" w:eastAsiaTheme="minorEastAsia"/>
          <w:sz w:val="24"/>
          <w:highlight w:val="none"/>
        </w:rPr>
        <w:t xml:space="preserve">.2  </w:t>
      </w:r>
      <w:r>
        <w:rPr>
          <w:rFonts w:hint="eastAsia" w:asciiTheme="minorEastAsia" w:hAnsiTheme="minorEastAsia" w:eastAsiaTheme="minorEastAsia"/>
          <w:sz w:val="24"/>
          <w:highlight w:val="none"/>
        </w:rPr>
        <w:t>竞争性谈判文件、成交方的谈判</w:t>
      </w:r>
      <w:r>
        <w:rPr>
          <w:rFonts w:hint="eastAsia" w:asciiTheme="minorEastAsia" w:hAnsiTheme="minorEastAsia" w:eastAsiaTheme="minorEastAsia"/>
          <w:sz w:val="24"/>
          <w:highlight w:val="none"/>
          <w:lang w:eastAsia="zh-CN"/>
        </w:rPr>
        <w:t>响应文件</w:t>
      </w:r>
      <w:r>
        <w:rPr>
          <w:rFonts w:hint="eastAsia" w:asciiTheme="minorEastAsia" w:hAnsiTheme="minorEastAsia" w:eastAsiaTheme="minorEastAsia"/>
          <w:sz w:val="24"/>
          <w:highlight w:val="none"/>
        </w:rPr>
        <w:t>及其澄清文件等，均为签定合同的依据。</w:t>
      </w:r>
    </w:p>
    <w:p w14:paraId="6512495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heme="minorEastAsia" w:hAnsiTheme="minorEastAsia" w:eastAsiaTheme="minorEastAsia"/>
          <w:b/>
          <w:color w:val="000000"/>
          <w:sz w:val="24"/>
          <w:highlight w:val="none"/>
        </w:rPr>
      </w:pPr>
      <w:r>
        <w:rPr>
          <w:rFonts w:asciiTheme="minorEastAsia" w:hAnsiTheme="minorEastAsia" w:eastAsiaTheme="minorEastAsia"/>
          <w:sz w:val="24"/>
          <w:highlight w:val="none"/>
        </w:rPr>
        <w:t xml:space="preserve">    </w:t>
      </w:r>
      <w:r>
        <w:rPr>
          <w:rFonts w:hint="eastAsia" w:asciiTheme="minorEastAsia" w:hAnsiTheme="minorEastAsia" w:eastAsiaTheme="minorEastAsia"/>
          <w:color w:val="000000"/>
          <w:sz w:val="24"/>
          <w:highlight w:val="none"/>
          <w:lang w:val="en-US" w:eastAsia="zh-CN"/>
        </w:rPr>
        <w:t>11</w:t>
      </w:r>
      <w:r>
        <w:rPr>
          <w:rFonts w:asciiTheme="minorEastAsia" w:hAnsiTheme="minorEastAsia" w:eastAsiaTheme="minorEastAsia"/>
          <w:b/>
          <w:color w:val="000000"/>
          <w:sz w:val="24"/>
          <w:highlight w:val="none"/>
        </w:rPr>
        <w:t xml:space="preserve">.  </w:t>
      </w:r>
      <w:r>
        <w:rPr>
          <w:rFonts w:hint="eastAsia" w:asciiTheme="minorEastAsia" w:hAnsiTheme="minorEastAsia" w:eastAsiaTheme="minorEastAsia"/>
          <w:b/>
          <w:color w:val="000000"/>
          <w:sz w:val="24"/>
          <w:highlight w:val="none"/>
        </w:rPr>
        <w:t>成交服务费</w:t>
      </w:r>
    </w:p>
    <w:p w14:paraId="5EA7B0F0">
      <w:pPr>
        <w:keepNext w:val="0"/>
        <w:keepLines w:val="0"/>
        <w:pageBreakBefore w:val="0"/>
        <w:widowControl w:val="0"/>
        <w:kinsoku/>
        <w:wordWrap/>
        <w:overflowPunct/>
        <w:topLinePunct w:val="0"/>
        <w:autoSpaceDE/>
        <w:autoSpaceDN/>
        <w:bidi w:val="0"/>
        <w:adjustRightInd/>
        <w:snapToGrid/>
        <w:spacing w:line="480" w:lineRule="exact"/>
        <w:ind w:firstLine="204" w:firstLineChars="85"/>
        <w:textAlignment w:val="auto"/>
        <w:rPr>
          <w:rFonts w:hint="eastAsia" w:asciiTheme="minorEastAsia" w:hAnsiTheme="minorEastAsia" w:eastAsiaTheme="minorEastAsia"/>
          <w:sz w:val="24"/>
          <w:highlight w:val="none"/>
        </w:rPr>
        <w:sectPr>
          <w:footerReference r:id="rId6" w:type="first"/>
          <w:footerReference r:id="rId5" w:type="default"/>
          <w:pgSz w:w="11906" w:h="16838"/>
          <w:pgMar w:top="1440" w:right="1593" w:bottom="1440" w:left="1480" w:header="851" w:footer="567" w:gutter="0"/>
          <w:pgBorders w:display="notFirstPage">
            <w:top w:val="none" w:sz="0" w:space="0"/>
            <w:left w:val="none" w:sz="0" w:space="0"/>
            <w:bottom w:val="none" w:sz="0" w:space="0"/>
            <w:right w:val="none" w:sz="0" w:space="0"/>
          </w:pgBorders>
          <w:pgNumType w:fmt="numberInDash" w:start="1"/>
          <w:cols w:space="720" w:num="1"/>
          <w:docGrid w:type="lines" w:linePitch="312" w:charSpace="0"/>
        </w:sectPr>
      </w:pPr>
      <w:r>
        <w:rPr>
          <w:rFonts w:hint="eastAsia" w:asciiTheme="minorEastAsia" w:hAnsiTheme="minorEastAsia" w:eastAsiaTheme="minorEastAsia"/>
          <w:sz w:val="24"/>
          <w:highlight w:val="none"/>
          <w:lang w:val="en-US" w:eastAsia="zh-CN"/>
        </w:rPr>
        <w:t>11</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招标代理费由</w:t>
      </w:r>
      <w:r>
        <w:rPr>
          <w:rFonts w:hint="eastAsia" w:asciiTheme="minorEastAsia" w:hAnsiTheme="minorEastAsia" w:eastAsiaTheme="minorEastAsia"/>
          <w:sz w:val="24"/>
          <w:highlight w:val="none"/>
          <w:lang w:eastAsia="zh-CN"/>
        </w:rPr>
        <w:t>成交</w:t>
      </w:r>
      <w:r>
        <w:rPr>
          <w:rFonts w:hint="eastAsia" w:asciiTheme="minorEastAsia" w:hAnsiTheme="minorEastAsia" w:eastAsiaTheme="minorEastAsia"/>
          <w:sz w:val="24"/>
          <w:highlight w:val="none"/>
        </w:rPr>
        <w:t>人支付，具体标准</w:t>
      </w:r>
      <w:r>
        <w:rPr>
          <w:rFonts w:hint="eastAsia" w:asciiTheme="minorEastAsia" w:hAnsiTheme="minorEastAsia" w:eastAsiaTheme="minorEastAsia"/>
          <w:sz w:val="24"/>
          <w:highlight w:val="none"/>
          <w:lang w:val="en-US" w:eastAsia="zh-CN"/>
        </w:rPr>
        <w:t>依据河南省招标投标协会关于印发《河南省招标代理服务收费指导意见》的通知豫招协【2023】002号文件的</w:t>
      </w:r>
      <w:r>
        <w:rPr>
          <w:rFonts w:hint="eastAsia" w:asciiTheme="minorEastAsia" w:hAnsiTheme="minorEastAsia" w:eastAsiaTheme="minorEastAsia"/>
          <w:sz w:val="24"/>
          <w:highlight w:val="none"/>
        </w:rPr>
        <w:t>规定。</w:t>
      </w:r>
    </w:p>
    <w:p w14:paraId="0210EB5D">
      <w:pPr>
        <w:pStyle w:val="7"/>
        <w:numPr>
          <w:ilvl w:val="0"/>
          <w:numId w:val="4"/>
        </w:numPr>
        <w:bidi w:val="0"/>
        <w:jc w:val="center"/>
        <w:rPr>
          <w:rFonts w:hint="eastAsia"/>
          <w:lang w:val="en-US" w:eastAsia="zh-CN"/>
        </w:rPr>
      </w:pPr>
      <w:r>
        <w:rPr>
          <w:rFonts w:hint="eastAsia"/>
          <w:lang w:val="en-US" w:eastAsia="zh-CN"/>
        </w:rPr>
        <w:t>采购需求</w:t>
      </w:r>
    </w:p>
    <w:p w14:paraId="524DD382">
      <w:pPr>
        <w:jc w:val="center"/>
        <w:rPr>
          <w:rFonts w:hint="default"/>
          <w:b/>
          <w:bCs/>
          <w:sz w:val="28"/>
          <w:szCs w:val="36"/>
          <w:lang w:val="en-US" w:eastAsia="zh-CN"/>
        </w:rPr>
      </w:pPr>
      <w:bookmarkStart w:id="192" w:name="_Toc47416185"/>
      <w:bookmarkStart w:id="193" w:name="_Toc267383405"/>
      <w:bookmarkStart w:id="194" w:name="_Toc264990298"/>
      <w:bookmarkStart w:id="195" w:name="_Toc352679679"/>
      <w:bookmarkStart w:id="196" w:name="_Toc49019224"/>
      <w:bookmarkStart w:id="197" w:name="_Toc47415931"/>
      <w:bookmarkStart w:id="198" w:name="_Toc30067"/>
      <w:r>
        <w:rPr>
          <w:rFonts w:hint="eastAsia"/>
          <w:b/>
          <w:bCs/>
          <w:sz w:val="28"/>
          <w:szCs w:val="36"/>
          <w:lang w:val="en-US" w:eastAsia="zh-CN"/>
        </w:rPr>
        <w:t>民权县庄子镇老年人体育健身园项目-采购需求及技术要求</w:t>
      </w:r>
    </w:p>
    <w:p w14:paraId="401AADAE">
      <w:pPr>
        <w:jc w:val="both"/>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一、产品采购清单</w:t>
      </w:r>
    </w:p>
    <w:tbl>
      <w:tblPr>
        <w:tblStyle w:val="23"/>
        <w:tblW w:w="83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1080"/>
        <w:gridCol w:w="2856"/>
        <w:gridCol w:w="952"/>
        <w:gridCol w:w="1080"/>
        <w:gridCol w:w="1169"/>
      </w:tblGrid>
      <w:tr w14:paraId="4A7E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E5D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场地类别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B4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B2B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C328">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8A2E">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33A0">
            <w:pPr>
              <w:keepNext w:val="0"/>
              <w:keepLines w:val="0"/>
              <w:widowControl/>
              <w:suppressLineNumbers w:val="0"/>
              <w:spacing w:line="240" w:lineRule="auto"/>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4CF5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39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羽毛球、乒乓球运动场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F4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E7A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羽毛球柱</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2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7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01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20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2DFB2">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CE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D8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室外乒乓球台</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E8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1C8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C6B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7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1CB3">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C7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39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硅PU地面面层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40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AC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461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BE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C5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健身步道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13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7DD8">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EPDM地面面层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6F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EC3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16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C7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42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健身广场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27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58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智能健身驿站</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F62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54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B3A7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BB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6A84">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AD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C5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智能双位漫步机</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DA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52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92B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8A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A296">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1D2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74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智能扭腰器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D2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88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31B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3F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B569">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AD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FE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智能钟摆训练器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F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0E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C1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1F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B5C2">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41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82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智能坐蹬训练器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C8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450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8CA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80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CAA">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B1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A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智能太极揉推器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24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D9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FA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1C79">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F87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FD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智能划船器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DF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F52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3AF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D3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58C">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8C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DE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智能腹肌板</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F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EC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FB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ED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F78B">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54A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91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智能推举训练器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8C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01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5BB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1A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096">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6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8B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智能背部训练器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9D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DE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BC2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1DE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FC46">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4E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8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智能椭圆漫步机</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19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0B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C84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98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CDCC">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396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F23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智能健骑膝关节组合器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F0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046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0A3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3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CEA7">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2F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59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智能颈腰按摩器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23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2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62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E6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AA8">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EB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09C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智能跷跷板</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B8F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8F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267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B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B95B">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FDD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28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蹲举训练器（力量型）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D10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56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1E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E2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C1CE">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3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C2C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提拉训练器（力量型）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FF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EC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E6C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67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DBED">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54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3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卧推训练器（力量型）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84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F4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227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C1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7A3E">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D9A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FA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划船训练器（力量型）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0F0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D6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5C4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FC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0B2D">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F4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9B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提腿训练器（力量型）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97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41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EF5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26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EBB">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F28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26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坐式蹬力训练器（力量型）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4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EA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9B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96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3047">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39E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B6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推举训练器（力量型）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F3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A91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436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5F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733D">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8E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49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拉力训练器（力量型）</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59D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8D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F1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5C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373D">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5C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03B">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EPDM地面面层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DE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D88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686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8E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4C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棋牌长廊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D16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41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轨道象棋桌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F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4A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BFC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666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9883">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96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6E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围棋桌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7C6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AB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41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3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09D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益智休闲路径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3F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47C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肩关节训练器（塑木）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94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F4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14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73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48BA">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33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6D3E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腕关节训练器（塑木）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197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36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DC2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1E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0A033">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1B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85B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指关节训练器（塑木）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4C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5D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7CD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DE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28795">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86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E7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手脑并用训练器（塑木）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2D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B4A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C5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56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404F">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0F2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AB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双位漫步机（塑木）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41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A4F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D0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A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EFC4">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472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9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腰背按摩器（塑木）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1D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4E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1A8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4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6A83">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74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57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三位扭腰器（塑木）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6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A28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15A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AD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BC50">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40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6FA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健骑机（塑木）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765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A2E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083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8B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3913">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CC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56" w:type="dxa"/>
            <w:tcBorders>
              <w:top w:val="nil"/>
              <w:left w:val="nil"/>
              <w:bottom w:val="nil"/>
              <w:right w:val="nil"/>
            </w:tcBorders>
            <w:shd w:val="clear" w:color="auto" w:fill="auto"/>
            <w:noWrap/>
            <w:vAlign w:val="center"/>
          </w:tcPr>
          <w:p w14:paraId="74182F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双位钟摆器（塑木）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AC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6A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51A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D3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C76A">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1A3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6D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坐蹬训练器（塑木）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09A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38B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0B1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9C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6DFB">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7A2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C4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太极揉推器（塑木）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71D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DFE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38F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4C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4CA78">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4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694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上肢牵引器（塑木）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505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56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62C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4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C944">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D34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21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伸腰伸背器（塑木）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7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9A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280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1C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1D7D">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6C5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F2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腿部按摩器（塑木）</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E6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7DE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FD4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E5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02E9">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989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C592">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EPDM地面</w:t>
            </w:r>
            <w:r>
              <w:rPr>
                <w:rFonts w:hint="eastAsia" w:cs="宋体"/>
                <w:i w:val="0"/>
                <w:iCs w:val="0"/>
                <w:color w:val="000000"/>
                <w:kern w:val="0"/>
                <w:sz w:val="22"/>
                <w:szCs w:val="22"/>
                <w:u w:val="none"/>
                <w:lang w:val="en-US" w:eastAsia="zh-CN" w:bidi="ar"/>
              </w:rPr>
              <w:t>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1C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B1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261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4D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68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健步休闲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063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914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健走步道EPDM地面面层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51B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089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559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（共4条）</w:t>
            </w:r>
          </w:p>
        </w:tc>
      </w:tr>
      <w:tr w14:paraId="08AA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7B1C">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8D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68D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轨道象棋桌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3A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37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AC9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6B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2172">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B8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ABE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围棋桌</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DA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CC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29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4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25C6">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B6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5AA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棋牌休闲EPDM地面面层</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C3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FE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C95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F4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restart"/>
            <w:tcBorders>
              <w:top w:val="nil"/>
              <w:left w:val="single" w:color="000000" w:sz="4" w:space="0"/>
              <w:bottom w:val="single" w:color="000000" w:sz="4" w:space="0"/>
              <w:right w:val="single" w:color="000000" w:sz="4" w:space="0"/>
            </w:tcBorders>
            <w:shd w:val="clear" w:color="auto" w:fill="auto"/>
            <w:noWrap/>
            <w:vAlign w:val="center"/>
          </w:tcPr>
          <w:p w14:paraId="713D2D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33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49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场地硬化</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35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BE03">
            <w:pPr>
              <w:keepNext w:val="0"/>
              <w:keepLines w:val="0"/>
              <w:widowControl/>
              <w:suppressLineNumbers w:val="0"/>
              <w:spacing w:line="24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2414</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5C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E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222"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A5CB508">
            <w:pPr>
              <w:spacing w:line="240" w:lineRule="auto"/>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581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65C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排水管道</w:t>
            </w:r>
          </w:p>
        </w:tc>
        <w:tc>
          <w:tcPr>
            <w:tcW w:w="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20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1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AD2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06AB070">
      <w:pPr>
        <w:jc w:val="both"/>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二、详细技术参数</w:t>
      </w:r>
    </w:p>
    <w:p w14:paraId="425FFBAB">
      <w:pPr>
        <w:rPr>
          <w:rFonts w:hint="default"/>
          <w:b/>
          <w:bCs/>
          <w:lang w:val="en-US" w:eastAsia="zh-CN"/>
        </w:rPr>
      </w:pPr>
      <w:r>
        <w:rPr>
          <w:rFonts w:hint="eastAsia"/>
          <w:b/>
          <w:bCs/>
          <w:lang w:val="en-US" w:eastAsia="zh-CN"/>
        </w:rPr>
        <w:t>（一）</w:t>
      </w:r>
      <w:r>
        <w:rPr>
          <w:rFonts w:hint="default"/>
          <w:b/>
          <w:bCs/>
          <w:lang w:val="en-US" w:eastAsia="zh-CN"/>
        </w:rPr>
        <w:t>羽毛球、乒乓球运动场</w:t>
      </w:r>
    </w:p>
    <w:p w14:paraId="07800336">
      <w:pPr>
        <w:rPr>
          <w:rFonts w:hint="default"/>
          <w:b/>
          <w:bCs/>
          <w:lang w:val="en-US" w:eastAsia="zh-CN"/>
        </w:rPr>
      </w:pPr>
      <w:r>
        <w:rPr>
          <w:rFonts w:hint="default"/>
          <w:b/>
          <w:bCs/>
          <w:lang w:val="en-US" w:eastAsia="zh-CN"/>
        </w:rPr>
        <w:t>1</w:t>
      </w:r>
      <w:r>
        <w:rPr>
          <w:rFonts w:hint="eastAsia"/>
          <w:b/>
          <w:bCs/>
          <w:lang w:val="en-US" w:eastAsia="zh-CN"/>
        </w:rPr>
        <w:t>、</w:t>
      </w:r>
      <w:r>
        <w:rPr>
          <w:rFonts w:hint="default"/>
          <w:b/>
          <w:bCs/>
          <w:lang w:val="en-US" w:eastAsia="zh-CN"/>
        </w:rPr>
        <w:t>羽毛球柱</w:t>
      </w:r>
    </w:p>
    <w:p w14:paraId="07871B3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铸铁底座羽毛球柱，底座采用纯铸铁底座，底座平稳无晃动；</w:t>
      </w:r>
    </w:p>
    <w:p w14:paraId="0063FBC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底座尺寸</w:t>
      </w:r>
      <w:r>
        <w:rPr>
          <w:rFonts w:hint="eastAsia"/>
          <w:b w:val="0"/>
          <w:bCs w:val="0"/>
          <w:lang w:val="en-US" w:eastAsia="zh-CN"/>
        </w:rPr>
        <w:t>不小于</w:t>
      </w:r>
      <w:r>
        <w:rPr>
          <w:rFonts w:hint="default"/>
          <w:b w:val="0"/>
          <w:bCs w:val="0"/>
          <w:lang w:val="en-US" w:eastAsia="zh-CN"/>
        </w:rPr>
        <w:t>600×450×100（mm），</w:t>
      </w:r>
    </w:p>
    <w:p w14:paraId="483887C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底座重量</w:t>
      </w:r>
      <w:r>
        <w:rPr>
          <w:rFonts w:hint="eastAsia"/>
          <w:b w:val="0"/>
          <w:bCs w:val="0"/>
          <w:lang w:val="en-US" w:eastAsia="zh-CN"/>
        </w:rPr>
        <w:t>不小于</w:t>
      </w:r>
      <w:r>
        <w:rPr>
          <w:rFonts w:hint="default"/>
          <w:b w:val="0"/>
          <w:bCs w:val="0"/>
          <w:lang w:val="en-US" w:eastAsia="zh-CN"/>
        </w:rPr>
        <w:t>100公斤/副，</w:t>
      </w:r>
    </w:p>
    <w:p w14:paraId="292FC43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底座配有尼龙轮可移动，底座外表烤漆防锈，表面光滑无褶皱；</w:t>
      </w:r>
    </w:p>
    <w:p w14:paraId="261DE5E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立柱采用直径</w:t>
      </w:r>
      <w:r>
        <w:rPr>
          <w:rFonts w:hint="eastAsia"/>
          <w:b w:val="0"/>
          <w:bCs w:val="0"/>
          <w:lang w:val="en-US" w:eastAsia="zh-CN"/>
        </w:rPr>
        <w:t>不小于</w:t>
      </w:r>
      <w:r>
        <w:rPr>
          <w:rFonts w:hint="default"/>
          <w:b w:val="0"/>
          <w:bCs w:val="0"/>
          <w:lang w:val="en-US" w:eastAsia="zh-CN"/>
        </w:rPr>
        <w:t>∮4</w:t>
      </w:r>
      <w:r>
        <w:rPr>
          <w:rFonts w:hint="eastAsia"/>
          <w:b w:val="0"/>
          <w:bCs w:val="0"/>
          <w:lang w:val="en-US" w:eastAsia="zh-CN"/>
        </w:rPr>
        <w:t>0</w:t>
      </w:r>
      <w:r>
        <w:rPr>
          <w:rFonts w:hint="default"/>
          <w:b w:val="0"/>
          <w:bCs w:val="0"/>
          <w:lang w:val="en-US" w:eastAsia="zh-CN"/>
        </w:rPr>
        <w:t>mm×3.0mm钢管制成，表面采用抛丸除锈后静电喷涂处理，立柱配有紧绳装置，总高度</w:t>
      </w:r>
      <w:r>
        <w:rPr>
          <w:rFonts w:hint="eastAsia"/>
          <w:b w:val="0"/>
          <w:bCs w:val="0"/>
          <w:lang w:val="en-US" w:eastAsia="zh-CN"/>
        </w:rPr>
        <w:t>不小于</w:t>
      </w:r>
      <w:r>
        <w:rPr>
          <w:rFonts w:hint="default"/>
          <w:b w:val="0"/>
          <w:bCs w:val="0"/>
          <w:lang w:val="en-US" w:eastAsia="zh-CN"/>
        </w:rPr>
        <w:t>1.55米（含底座）；</w:t>
      </w:r>
    </w:p>
    <w:p w14:paraId="2328D45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产品符合GB/T19851.13-2007相关要求并提供国家认证认可监督管理委员会批准的第三方质量认证机构出具的认证证书及确认函。</w:t>
      </w:r>
    </w:p>
    <w:p w14:paraId="46B25353">
      <w:pPr>
        <w:rPr>
          <w:rFonts w:hint="default"/>
          <w:b/>
          <w:bCs/>
          <w:lang w:val="en-US" w:eastAsia="zh-CN"/>
        </w:rPr>
      </w:pPr>
      <w:r>
        <w:rPr>
          <w:rFonts w:hint="default"/>
          <w:b/>
          <w:bCs/>
          <w:lang w:val="en-US" w:eastAsia="zh-CN"/>
        </w:rPr>
        <w:t>2</w:t>
      </w:r>
      <w:r>
        <w:rPr>
          <w:rFonts w:hint="eastAsia"/>
          <w:b/>
          <w:bCs/>
          <w:lang w:val="en-US" w:eastAsia="zh-CN"/>
        </w:rPr>
        <w:t>、</w:t>
      </w:r>
      <w:r>
        <w:rPr>
          <w:rFonts w:hint="default"/>
          <w:b/>
          <w:bCs/>
          <w:lang w:val="en-US" w:eastAsia="zh-CN"/>
        </w:rPr>
        <w:t>室外乒乓球台</w:t>
      </w:r>
    </w:p>
    <w:p w14:paraId="609BBFB4">
      <w:pPr>
        <w:numPr>
          <w:ilvl w:val="0"/>
          <w:numId w:val="0"/>
        </w:numPr>
        <w:shd w:val="clea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highlight w:val="none"/>
          <w:lang w:val="en-US" w:eastAsia="zh-CN" w:bidi="ar-SA"/>
        </w:rPr>
        <w:t>(1)</w:t>
      </w:r>
      <w:r>
        <w:rPr>
          <w:rFonts w:hint="default"/>
          <w:b w:val="0"/>
          <w:bCs w:val="0"/>
          <w:highlight w:val="none"/>
          <w:lang w:val="en-US" w:eastAsia="zh-CN"/>
        </w:rPr>
        <w:t>球台腿管材</w:t>
      </w:r>
      <w:r>
        <w:rPr>
          <w:rFonts w:hint="eastAsia"/>
          <w:b w:val="0"/>
          <w:bCs w:val="0"/>
          <w:highlight w:val="none"/>
          <w:lang w:val="en-US" w:eastAsia="zh-CN"/>
        </w:rPr>
        <w:t>规格</w:t>
      </w:r>
      <w:r>
        <w:rPr>
          <w:rFonts w:hint="default"/>
          <w:b w:val="0"/>
          <w:bCs w:val="0"/>
          <w:highlight w:val="none"/>
          <w:lang w:val="en-US" w:eastAsia="zh-CN"/>
        </w:rPr>
        <w:t>不小于φ60mm×3mm；</w:t>
      </w:r>
    </w:p>
    <w:p w14:paraId="2BEA18BB">
      <w:pPr>
        <w:numPr>
          <w:ilvl w:val="0"/>
          <w:numId w:val="0"/>
        </w:numPr>
        <w:shd w:val="clea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highlight w:val="none"/>
          <w:lang w:val="en-US" w:eastAsia="zh-CN" w:bidi="ar-SA"/>
        </w:rPr>
        <w:t>(2)</w:t>
      </w:r>
      <w:r>
        <w:rPr>
          <w:rFonts w:hint="default"/>
          <w:b w:val="0"/>
          <w:bCs w:val="0"/>
          <w:highlight w:val="none"/>
          <w:lang w:val="en-US" w:eastAsia="zh-CN"/>
        </w:rPr>
        <w:t>台面采用SMC片状模塑料，整体高温模压一次成型。台面面板厚度4.5 mm，翻边宽度50mm，翻边厚度7mm。面板背面必须采用“井”字形加强筋并在内部预埋螺丝，加强筋厚度不低于4mm，“井”字形加强筋呈小长方形均匀排列，每个小长方形尺寸不大于160×140mm。两块台板与主架的连接均采用四角连接；</w:t>
      </w:r>
    </w:p>
    <w:p w14:paraId="47A8D2D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安装方式：预埋式。</w:t>
      </w:r>
    </w:p>
    <w:p w14:paraId="1B175BE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主要功能：通过进行乒乓球运动，可锻炼手眼协调能力及全身协作能力。</w:t>
      </w:r>
    </w:p>
    <w:p w14:paraId="31D8053C">
      <w:pPr>
        <w:numPr>
          <w:ilvl w:val="0"/>
          <w:numId w:val="0"/>
        </w:numPr>
        <w:ind w:left="425" w:leftChars="0" w:hanging="425" w:firstLineChars="0"/>
        <w:rPr>
          <w:rFonts w:hint="default"/>
          <w:b w:val="0"/>
          <w:bCs w:val="0"/>
          <w:highlight w:val="green"/>
          <w:lang w:val="en-US" w:eastAsia="zh-CN"/>
        </w:rPr>
      </w:pPr>
      <w:r>
        <w:rPr>
          <w:rFonts w:hint="default"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5</w:t>
      </w:r>
      <w:r>
        <w:rPr>
          <w:rFonts w:hint="default" w:ascii="宋体" w:hAnsi="宋体" w:eastAsia="宋体" w:cs="宋体"/>
          <w:b w:val="0"/>
          <w:bCs w:val="0"/>
          <w:kern w:val="2"/>
          <w:sz w:val="24"/>
          <w:szCs w:val="24"/>
          <w:highlight w:val="none"/>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5254AA39">
      <w:pPr>
        <w:rPr>
          <w:rFonts w:hint="default"/>
          <w:b/>
          <w:bCs/>
          <w:lang w:val="en-US" w:eastAsia="zh-CN"/>
        </w:rPr>
      </w:pPr>
      <w:r>
        <w:rPr>
          <w:rFonts w:hint="default"/>
          <w:b/>
          <w:bCs/>
          <w:lang w:val="en-US" w:eastAsia="zh-CN"/>
        </w:rPr>
        <w:t>3</w:t>
      </w:r>
      <w:r>
        <w:rPr>
          <w:rFonts w:hint="eastAsia"/>
          <w:b/>
          <w:bCs/>
          <w:lang w:val="en-US" w:eastAsia="zh-CN"/>
        </w:rPr>
        <w:t>、</w:t>
      </w:r>
      <w:r>
        <w:rPr>
          <w:rFonts w:hint="default"/>
          <w:b/>
          <w:bCs/>
          <w:lang w:val="en-US" w:eastAsia="zh-CN"/>
        </w:rPr>
        <w:t>硅PU地面面层</w:t>
      </w:r>
    </w:p>
    <w:p w14:paraId="27F95624">
      <w:pPr>
        <w:rPr>
          <w:rFonts w:hint="default"/>
          <w:b w:val="0"/>
          <w:bCs w:val="0"/>
          <w:lang w:val="en-US" w:eastAsia="zh-CN"/>
        </w:rPr>
      </w:pPr>
      <w:r>
        <w:rPr>
          <w:rFonts w:hint="eastAsia"/>
          <w:b w:val="0"/>
          <w:bCs w:val="0"/>
          <w:lang w:val="en-US" w:eastAsia="zh-CN"/>
        </w:rPr>
        <w:t>厚度不低于8mm（±1mm）</w:t>
      </w:r>
    </w:p>
    <w:p w14:paraId="2451528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外观要求：无裂纹、分层、龟裂、鳄鱼皮裂和玻璃裂纹等现象，无明显凹凸现象，表面色泽均匀、耐久。</w:t>
      </w:r>
    </w:p>
    <w:p w14:paraId="634BB65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6EB5AD2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硅PU球场符合 GB36246-2018《中小学合成材料面层运动场地》成品中有害物质限量要求</w:t>
      </w:r>
      <w:r>
        <w:rPr>
          <w:rFonts w:hint="eastAsia"/>
          <w:b w:val="0"/>
          <w:bCs w:val="0"/>
          <w:lang w:val="en-US" w:eastAsia="zh-CN"/>
        </w:rPr>
        <w:t>；</w:t>
      </w:r>
    </w:p>
    <w:p w14:paraId="2A36306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硅PU球场物理性能符合 GB36246-2018《中小学合成材料面层运动场地》的要求</w:t>
      </w:r>
      <w:r>
        <w:rPr>
          <w:rFonts w:hint="eastAsia"/>
          <w:b w:val="0"/>
          <w:bCs w:val="0"/>
          <w:lang w:val="en-US" w:eastAsia="zh-CN"/>
        </w:rPr>
        <w:t>；</w:t>
      </w:r>
    </w:p>
    <w:p w14:paraId="57A78D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硅PU球场通过60d耐湿热测定后，起泡、变色、开裂的综合破坏等级≤2级，符合GB/T 1740-2007检测标准要求,提供具有“CMA”或“CNAS”的合格检测报告</w:t>
      </w:r>
      <w:r>
        <w:rPr>
          <w:rFonts w:hint="eastAsia"/>
          <w:b w:val="0"/>
          <w:bCs w:val="0"/>
          <w:lang w:val="en-US" w:eastAsia="zh-CN"/>
        </w:rPr>
        <w:t>；</w:t>
      </w:r>
    </w:p>
    <w:p w14:paraId="58E9C2F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硅PU球场在室外经过春夏秋冬四季交替，潮湿、高温、低温、干燥等环境下正常使用1年，冲击吸收，垂直变形，拉伸强度和拉断伸长率保留率均≥95%，满足GB 36246-2018检测要求，提供具有“CMA”或“CNAS”的合格检测报告</w:t>
      </w:r>
      <w:r>
        <w:rPr>
          <w:rFonts w:hint="eastAsia"/>
          <w:b w:val="0"/>
          <w:bCs w:val="0"/>
          <w:lang w:val="en-US" w:eastAsia="zh-CN"/>
        </w:rPr>
        <w:t>；</w:t>
      </w:r>
    </w:p>
    <w:p w14:paraId="4A43009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聚氨酯球场材料具有满足CEC 074-2023 《重点管控新污染物限用（RoECs）认证技术规范》的重点管控新污染物限用（RoECs）认证证书，提供相关资料复印件及在国家认监委网站查询截图</w:t>
      </w:r>
      <w:r>
        <w:rPr>
          <w:rFonts w:hint="eastAsia"/>
          <w:b w:val="0"/>
          <w:bCs w:val="0"/>
          <w:lang w:val="en-US" w:eastAsia="zh-CN"/>
        </w:rPr>
        <w:t>。</w:t>
      </w:r>
    </w:p>
    <w:p w14:paraId="020DA609">
      <w:pPr>
        <w:rPr>
          <w:rFonts w:hint="default"/>
          <w:b/>
          <w:bCs/>
          <w:lang w:val="en-US" w:eastAsia="zh-CN"/>
        </w:rPr>
      </w:pPr>
      <w:r>
        <w:rPr>
          <w:rFonts w:hint="eastAsia"/>
          <w:b/>
          <w:bCs/>
          <w:lang w:val="en-US" w:eastAsia="zh-CN"/>
        </w:rPr>
        <w:t>（二）</w:t>
      </w:r>
      <w:r>
        <w:rPr>
          <w:rFonts w:hint="default"/>
          <w:b/>
          <w:bCs/>
          <w:lang w:val="en-US" w:eastAsia="zh-CN"/>
        </w:rPr>
        <w:t>健身步道</w:t>
      </w:r>
    </w:p>
    <w:p w14:paraId="55DA77D2">
      <w:pPr>
        <w:rPr>
          <w:rFonts w:hint="default"/>
          <w:b/>
          <w:bCs/>
          <w:lang w:val="en-US" w:eastAsia="zh-CN"/>
        </w:rPr>
      </w:pPr>
      <w:r>
        <w:rPr>
          <w:rFonts w:hint="eastAsia"/>
          <w:b/>
          <w:bCs/>
          <w:lang w:val="en-US" w:eastAsia="zh-CN"/>
        </w:rPr>
        <w:t>4.</w:t>
      </w:r>
      <w:r>
        <w:rPr>
          <w:rFonts w:hint="default"/>
          <w:b/>
          <w:bCs/>
          <w:lang w:val="en-US" w:eastAsia="zh-CN"/>
        </w:rPr>
        <w:t>EPDM地面面层</w:t>
      </w:r>
    </w:p>
    <w:p w14:paraId="06D5DB7E">
      <w:pPr>
        <w:rPr>
          <w:rFonts w:hint="default"/>
          <w:b w:val="0"/>
          <w:bCs w:val="0"/>
          <w:lang w:val="en-US" w:eastAsia="zh-CN"/>
        </w:rPr>
      </w:pPr>
      <w:r>
        <w:rPr>
          <w:rFonts w:hint="eastAsia"/>
          <w:b w:val="0"/>
          <w:bCs w:val="0"/>
          <w:lang w:val="en-US" w:eastAsia="zh-CN"/>
        </w:rPr>
        <w:t>厚度不低于13mm（±1mm）</w:t>
      </w:r>
    </w:p>
    <w:p w14:paraId="0863817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外观无裂痕或分层现象；防滑层与底胶层粘合牢固、无凹凸现象；表面色泽均匀、耐久。标志线：标志线应清晰、不反光，无明显虚边、与面层粘合牢固。</w:t>
      </w:r>
    </w:p>
    <w:p w14:paraId="1124B4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676781E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EPDM面层胶粘剂50℃贮存60天后，贮存稳定性检验结果通过GB/T 6753.3-1986检测标准要求。提供第三方检测机构出具的检验合格的报告。</w:t>
      </w:r>
    </w:p>
    <w:p w14:paraId="62EB9B0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EPDM材料通过GB36246-2018《中小学合成材料面层运动场地》的新国标检测合格。提供第三方检测机构出具的检验合格的报告。</w:t>
      </w:r>
    </w:p>
    <w:p w14:paraId="792A5C2B">
      <w:pPr>
        <w:rPr>
          <w:rFonts w:hint="default"/>
          <w:b/>
          <w:bCs/>
          <w:lang w:val="en-US" w:eastAsia="zh-CN"/>
        </w:rPr>
      </w:pPr>
      <w:r>
        <w:rPr>
          <w:rFonts w:hint="eastAsia"/>
          <w:b/>
          <w:bCs/>
          <w:lang w:val="en-US" w:eastAsia="zh-CN"/>
        </w:rPr>
        <w:t>（三）</w:t>
      </w:r>
      <w:r>
        <w:rPr>
          <w:rFonts w:hint="default"/>
          <w:b/>
          <w:bCs/>
          <w:lang w:val="en-US" w:eastAsia="zh-CN"/>
        </w:rPr>
        <w:t>健身广场</w:t>
      </w:r>
    </w:p>
    <w:p w14:paraId="41F8B295">
      <w:pPr>
        <w:rPr>
          <w:rFonts w:hint="default"/>
          <w:b/>
          <w:bCs/>
          <w:lang w:val="en-US" w:eastAsia="zh-CN"/>
        </w:rPr>
      </w:pPr>
      <w:r>
        <w:rPr>
          <w:rFonts w:hint="eastAsia"/>
          <w:b/>
          <w:bCs/>
          <w:lang w:val="en-US" w:eastAsia="zh-CN"/>
        </w:rPr>
        <w:t>5、</w:t>
      </w:r>
      <w:r>
        <w:rPr>
          <w:rFonts w:hint="default"/>
          <w:b/>
          <w:bCs/>
          <w:lang w:val="en-US" w:eastAsia="zh-CN"/>
        </w:rPr>
        <w:t>智能健身驿站</w:t>
      </w:r>
    </w:p>
    <w:p w14:paraId="3110DD12">
      <w:pPr>
        <w:rPr>
          <w:rFonts w:hint="default"/>
          <w:b w:val="0"/>
          <w:bCs w:val="0"/>
          <w:lang w:val="en-US" w:eastAsia="zh-CN"/>
        </w:rPr>
      </w:pPr>
      <w:r>
        <w:rPr>
          <w:rFonts w:hint="eastAsia"/>
          <w:b w:val="0"/>
          <w:bCs w:val="0"/>
          <w:lang w:val="en-US" w:eastAsia="zh-CN"/>
        </w:rPr>
        <w:t>（1）</w:t>
      </w:r>
      <w:r>
        <w:rPr>
          <w:rFonts w:hint="default"/>
          <w:b w:val="0"/>
          <w:bCs w:val="0"/>
          <w:lang w:val="en-US" w:eastAsia="zh-CN"/>
        </w:rPr>
        <w:t>主体结构</w:t>
      </w:r>
    </w:p>
    <w:p w14:paraId="2B0DBAA5">
      <w:pPr>
        <w:rPr>
          <w:rFonts w:hint="default"/>
          <w:b w:val="0"/>
          <w:bCs w:val="0"/>
          <w:lang w:val="en-US" w:eastAsia="zh-CN"/>
        </w:rPr>
      </w:pPr>
      <w:r>
        <w:rPr>
          <w:rFonts w:hint="default"/>
          <w:b w:val="0"/>
          <w:bCs w:val="0"/>
          <w:lang w:val="en-US" w:eastAsia="zh-CN"/>
        </w:rPr>
        <w:t>1）主体外形结构呈伞形，伞膜由主立柱、横支撑管、斜拉管共同支撑设置；</w:t>
      </w:r>
    </w:p>
    <w:p w14:paraId="7F1C200A">
      <w:pPr>
        <w:rPr>
          <w:rFonts w:hint="default"/>
          <w:b w:val="0"/>
          <w:bCs w:val="0"/>
          <w:lang w:val="en-US" w:eastAsia="zh-CN"/>
        </w:rPr>
      </w:pPr>
      <w:r>
        <w:rPr>
          <w:rFonts w:hint="default"/>
          <w:b w:val="0"/>
          <w:bCs w:val="0"/>
          <w:lang w:val="en-US" w:eastAsia="zh-CN"/>
        </w:rPr>
        <w:t>2）伞膜由上、下固定支架夹紧后采用顶紧装置进行涨紧，涨紧装置位于伞膜的下方；</w:t>
      </w:r>
    </w:p>
    <w:p w14:paraId="1B76D110">
      <w:pPr>
        <w:rPr>
          <w:rFonts w:hint="default"/>
          <w:b w:val="0"/>
          <w:bCs w:val="0"/>
          <w:lang w:val="en-US" w:eastAsia="zh-CN"/>
        </w:rPr>
      </w:pPr>
      <w:r>
        <w:rPr>
          <w:rFonts w:hint="default"/>
          <w:b w:val="0"/>
          <w:bCs w:val="0"/>
          <w:lang w:val="en-US" w:eastAsia="zh-CN"/>
        </w:rPr>
        <w:t>3）6根立柱均匀分布，12件运动器材固定于立柱之上，其中智能器材不少于6种；伞膜正下方放置1台棋牌桌；告示牌设置于驿站外合适位置。</w:t>
      </w:r>
    </w:p>
    <w:p w14:paraId="0EE21A5A">
      <w:pPr>
        <w:rPr>
          <w:rFonts w:hint="default"/>
          <w:b w:val="0"/>
          <w:bCs w:val="0"/>
          <w:lang w:val="en-US" w:eastAsia="zh-CN"/>
        </w:rPr>
      </w:pPr>
      <w:r>
        <w:rPr>
          <w:rFonts w:hint="default"/>
          <w:b w:val="0"/>
          <w:bCs w:val="0"/>
          <w:lang w:val="en-US" w:eastAsia="zh-CN"/>
        </w:rPr>
        <w:t>4）伞立柱的固定采用地埋结构，主立柱采用钢、塑木、铝结构；</w:t>
      </w:r>
    </w:p>
    <w:p w14:paraId="4DF5FD3D">
      <w:pPr>
        <w:rPr>
          <w:rFonts w:hint="default"/>
          <w:b w:val="0"/>
          <w:bCs w:val="0"/>
          <w:lang w:val="en-US" w:eastAsia="zh-CN"/>
        </w:rPr>
      </w:pPr>
      <w:r>
        <w:rPr>
          <w:rFonts w:hint="default"/>
          <w:b w:val="0"/>
          <w:bCs w:val="0"/>
          <w:lang w:val="en-US" w:eastAsia="zh-CN"/>
        </w:rPr>
        <w:t>5）主立柱规格不小于120mm×215mm，内衬不小于120mm×165mm×3mm矩管；横支撑管不小于φ89mm×3mm，斜拉管不小于φ50mm×2mm；</w:t>
      </w:r>
    </w:p>
    <w:p w14:paraId="444F8FB6">
      <w:pPr>
        <w:rPr>
          <w:rFonts w:hint="default"/>
          <w:b w:val="0"/>
          <w:bCs w:val="0"/>
          <w:lang w:val="en-US" w:eastAsia="zh-CN"/>
        </w:rPr>
      </w:pPr>
      <w:r>
        <w:rPr>
          <w:rFonts w:hint="default"/>
          <w:b w:val="0"/>
          <w:bCs w:val="0"/>
          <w:lang w:val="en-US" w:eastAsia="zh-CN"/>
        </w:rPr>
        <w:t>6）驿站整体高度不低于5米，驿站水平投影面积不小于40平方米；</w:t>
      </w:r>
    </w:p>
    <w:p w14:paraId="2618CD29">
      <w:pPr>
        <w:rPr>
          <w:rFonts w:hint="default"/>
          <w:b w:val="0"/>
          <w:bCs w:val="0"/>
          <w:lang w:val="en-US" w:eastAsia="zh-CN"/>
        </w:rPr>
      </w:pPr>
      <w:r>
        <w:rPr>
          <w:rFonts w:hint="default"/>
          <w:b w:val="0"/>
          <w:bCs w:val="0"/>
          <w:lang w:val="en-US" w:eastAsia="zh-CN"/>
        </w:rPr>
        <w:t>7）驿站内需配置照明灯、智能语音系统、USB充电口，手机放置盒等。</w:t>
      </w:r>
    </w:p>
    <w:p w14:paraId="5561362E">
      <w:pPr>
        <w:rPr>
          <w:rFonts w:hint="default"/>
          <w:b w:val="0"/>
          <w:bCs w:val="0"/>
          <w:lang w:val="en-US" w:eastAsia="zh-CN"/>
        </w:rPr>
      </w:pPr>
      <w:r>
        <w:rPr>
          <w:rFonts w:hint="eastAsia"/>
          <w:b w:val="0"/>
          <w:bCs w:val="0"/>
          <w:lang w:val="en-US" w:eastAsia="zh-CN"/>
        </w:rPr>
        <w:t>（2）</w:t>
      </w:r>
      <w:r>
        <w:rPr>
          <w:rFonts w:hint="default"/>
          <w:b w:val="0"/>
          <w:bCs w:val="0"/>
          <w:lang w:val="en-US" w:eastAsia="zh-CN"/>
        </w:rPr>
        <w:t>器材安全通用要求</w:t>
      </w:r>
    </w:p>
    <w:p w14:paraId="38C497CE">
      <w:pPr>
        <w:rPr>
          <w:rFonts w:hint="default"/>
          <w:b w:val="0"/>
          <w:bCs w:val="0"/>
          <w:lang w:val="en-US" w:eastAsia="zh-CN"/>
        </w:rPr>
      </w:pPr>
      <w:r>
        <w:rPr>
          <w:rFonts w:hint="default"/>
          <w:b w:val="0"/>
          <w:bCs w:val="0"/>
          <w:lang w:val="en-US" w:eastAsia="zh-CN"/>
        </w:rPr>
        <w:t>1）器材应具有数据采集、数据传输、数据处理等功能，加遮阳棚并与安装环境相融合；</w:t>
      </w:r>
    </w:p>
    <w:p w14:paraId="381CE8FB">
      <w:pPr>
        <w:rPr>
          <w:rFonts w:hint="default"/>
          <w:b w:val="0"/>
          <w:bCs w:val="0"/>
          <w:lang w:val="en-US" w:eastAsia="zh-CN"/>
        </w:rPr>
      </w:pPr>
      <w:r>
        <w:rPr>
          <w:rFonts w:hint="default"/>
          <w:b w:val="0"/>
          <w:bCs w:val="0"/>
          <w:lang w:val="en-US" w:eastAsia="zh-CN"/>
        </w:rPr>
        <w:t>2）工作电压：DC 12V；</w:t>
      </w:r>
    </w:p>
    <w:p w14:paraId="311CC685">
      <w:pPr>
        <w:rPr>
          <w:rFonts w:hint="default"/>
          <w:b w:val="0"/>
          <w:bCs w:val="0"/>
          <w:lang w:val="en-US" w:eastAsia="zh-CN"/>
        </w:rPr>
      </w:pPr>
      <w:r>
        <w:rPr>
          <w:rFonts w:hint="default"/>
          <w:b w:val="0"/>
          <w:bCs w:val="0"/>
          <w:lang w:val="en-US" w:eastAsia="zh-CN"/>
        </w:rPr>
        <w:t>3）数据采集：运动时间、运动次数；</w:t>
      </w:r>
    </w:p>
    <w:p w14:paraId="0F933491">
      <w:pPr>
        <w:rPr>
          <w:rFonts w:hint="default"/>
          <w:b w:val="0"/>
          <w:bCs w:val="0"/>
          <w:lang w:val="en-US" w:eastAsia="zh-CN"/>
        </w:rPr>
      </w:pPr>
      <w:r>
        <w:rPr>
          <w:rFonts w:hint="default"/>
          <w:b w:val="0"/>
          <w:bCs w:val="0"/>
          <w:lang w:val="en-US" w:eastAsia="zh-CN"/>
        </w:rPr>
        <w:t>4）数据传输方式：无线传输；</w:t>
      </w:r>
    </w:p>
    <w:p w14:paraId="0FE2B53C">
      <w:pPr>
        <w:rPr>
          <w:rFonts w:hint="default"/>
          <w:b w:val="0"/>
          <w:bCs w:val="0"/>
          <w:lang w:val="en-US" w:eastAsia="zh-CN"/>
        </w:rPr>
      </w:pPr>
      <w:r>
        <w:rPr>
          <w:rFonts w:hint="default"/>
          <w:b w:val="0"/>
          <w:bCs w:val="0"/>
          <w:lang w:val="en-US" w:eastAsia="zh-CN"/>
        </w:rPr>
        <w:t>5）数据呈现方式：语音播报、固定显示屏、智能终端；</w:t>
      </w:r>
    </w:p>
    <w:p w14:paraId="1A252930">
      <w:pPr>
        <w:rPr>
          <w:rFonts w:hint="default"/>
          <w:b w:val="0"/>
          <w:bCs w:val="0"/>
          <w:lang w:val="en-US" w:eastAsia="zh-CN"/>
        </w:rPr>
      </w:pPr>
      <w:r>
        <w:rPr>
          <w:rFonts w:hint="default"/>
          <w:b w:val="0"/>
          <w:bCs w:val="0"/>
          <w:lang w:val="en-US" w:eastAsia="zh-CN"/>
        </w:rPr>
        <w:t>6）智能驿站使用太阳能供电模式，采用锂电池或胶体蓄电池，充电后应能满足24小时内器材正常使用。太阳能板到蓄电池的连线及蓄电池要密封，不得暴露在外。器材安全使用寿命不低于8年；其中作为易损部件的电子部件及供电系统使用寿命应不小于2年。</w:t>
      </w:r>
    </w:p>
    <w:p w14:paraId="315CAD91">
      <w:pPr>
        <w:rPr>
          <w:rFonts w:hint="default"/>
          <w:b w:val="0"/>
          <w:bCs w:val="0"/>
          <w:lang w:val="en-US" w:eastAsia="zh-CN"/>
        </w:rPr>
      </w:pPr>
      <w:r>
        <w:rPr>
          <w:rFonts w:hint="eastAsia"/>
          <w:b w:val="0"/>
          <w:bCs w:val="0"/>
          <w:lang w:val="en-US" w:eastAsia="zh-CN"/>
        </w:rPr>
        <w:t>7</w:t>
      </w:r>
      <w:r>
        <w:rPr>
          <w:rFonts w:hint="default"/>
          <w:b w:val="0"/>
          <w:bCs w:val="0"/>
          <w:lang w:val="en-US" w:eastAsia="zh-CN"/>
        </w:rPr>
        <w:t>）器材各部位螺钉、螺母等紧固件应紧固可靠且防锈、防松和防盗；</w:t>
      </w:r>
    </w:p>
    <w:p w14:paraId="2424D80C">
      <w:pPr>
        <w:rPr>
          <w:rFonts w:hint="default"/>
          <w:b w:val="0"/>
          <w:bCs w:val="0"/>
          <w:lang w:val="en-US" w:eastAsia="zh-CN"/>
        </w:rPr>
      </w:pPr>
      <w:r>
        <w:rPr>
          <w:rFonts w:hint="eastAsia"/>
          <w:b w:val="0"/>
          <w:bCs w:val="0"/>
          <w:lang w:val="en-US" w:eastAsia="zh-CN"/>
        </w:rPr>
        <w:t>8</w:t>
      </w:r>
      <w:r>
        <w:rPr>
          <w:rFonts w:hint="default"/>
          <w:b w:val="0"/>
          <w:bCs w:val="0"/>
          <w:lang w:val="en-US" w:eastAsia="zh-CN"/>
        </w:rPr>
        <w:t>）螺纹突出部分不应超过其螺距3倍的长度</w:t>
      </w:r>
      <w:r>
        <w:rPr>
          <w:rFonts w:hint="eastAsia"/>
          <w:b w:val="0"/>
          <w:bCs w:val="0"/>
          <w:lang w:val="en-US" w:eastAsia="zh-CN"/>
        </w:rPr>
        <w:t>；</w:t>
      </w:r>
      <w:r>
        <w:rPr>
          <w:rFonts w:hint="default"/>
          <w:b w:val="0"/>
          <w:bCs w:val="0"/>
          <w:lang w:val="en-US" w:eastAsia="zh-CN"/>
        </w:rPr>
        <w:t>易接触区域的螺栓、螺钉应永久的覆盖住突出的螺栓螺纹或采用覆盖件在其安装面以上直角部分的高度不应超过3mm或采用突出部分外角应不小于105°或不应有易钩挂形状。</w:t>
      </w:r>
    </w:p>
    <w:p w14:paraId="18BB4176">
      <w:pPr>
        <w:rPr>
          <w:rFonts w:hint="default"/>
          <w:b w:val="0"/>
          <w:bCs w:val="0"/>
          <w:lang w:val="en-US" w:eastAsia="zh-CN"/>
        </w:rPr>
      </w:pPr>
      <w:r>
        <w:rPr>
          <w:rFonts w:hint="eastAsia"/>
          <w:b w:val="0"/>
          <w:bCs w:val="0"/>
          <w:lang w:val="en-US" w:eastAsia="zh-CN"/>
        </w:rPr>
        <w:t>9</w:t>
      </w:r>
      <w:r>
        <w:rPr>
          <w:rFonts w:hint="default"/>
          <w:b w:val="0"/>
          <w:bCs w:val="0"/>
          <w:lang w:val="en-US" w:eastAsia="zh-CN"/>
        </w:rPr>
        <w:t>）器材各支撑人体的表面所有棱边和尖角，应使其半径不小于3.0mm；使用者或第三者易接触的零部件的其他所有棱边应予以圆滑过渡或加以防护。扶手直径应不小于16mm且不大于45mm。</w:t>
      </w:r>
    </w:p>
    <w:p w14:paraId="4C4B5729">
      <w:pPr>
        <w:rPr>
          <w:rFonts w:hint="default"/>
          <w:b w:val="0"/>
          <w:bCs w:val="0"/>
          <w:lang w:val="en-US" w:eastAsia="zh-CN"/>
        </w:rPr>
      </w:pPr>
      <w:r>
        <w:rPr>
          <w:rFonts w:hint="default"/>
          <w:b w:val="0"/>
          <w:bCs w:val="0"/>
          <w:lang w:val="en-US" w:eastAsia="zh-CN"/>
        </w:rPr>
        <w:t>1</w:t>
      </w:r>
      <w:r>
        <w:rPr>
          <w:rFonts w:hint="eastAsia"/>
          <w:b w:val="0"/>
          <w:bCs w:val="0"/>
          <w:lang w:val="en-US" w:eastAsia="zh-CN"/>
        </w:rPr>
        <w:t>0</w:t>
      </w:r>
      <w:r>
        <w:rPr>
          <w:rFonts w:hint="default"/>
          <w:b w:val="0"/>
          <w:bCs w:val="0"/>
          <w:lang w:val="en-US" w:eastAsia="zh-CN"/>
        </w:rPr>
        <w:t>）易接触的管材末端应采用零部件或管塞封住，且把手端部直径应不小于50mm，除使用工具外，应不可拆卸。</w:t>
      </w:r>
    </w:p>
    <w:p w14:paraId="69745641">
      <w:pPr>
        <w:rPr>
          <w:rFonts w:hint="default"/>
          <w:b w:val="0"/>
          <w:bCs w:val="0"/>
          <w:lang w:val="en-US" w:eastAsia="zh-CN"/>
        </w:rPr>
      </w:pPr>
      <w:r>
        <w:rPr>
          <w:rFonts w:hint="default"/>
          <w:b w:val="0"/>
          <w:bCs w:val="0"/>
          <w:lang w:val="en-US" w:eastAsia="zh-CN"/>
        </w:rPr>
        <w:t>1</w:t>
      </w:r>
      <w:r>
        <w:rPr>
          <w:rFonts w:hint="eastAsia"/>
          <w:b w:val="0"/>
          <w:bCs w:val="0"/>
          <w:lang w:val="en-US" w:eastAsia="zh-CN"/>
        </w:rPr>
        <w:t>1</w:t>
      </w:r>
      <w:r>
        <w:rPr>
          <w:rFonts w:hint="default"/>
          <w:b w:val="0"/>
          <w:bCs w:val="0"/>
          <w:lang w:val="en-US" w:eastAsia="zh-CN"/>
        </w:rPr>
        <w:t>）器材结构应防止有对人体头部、颈部、躯干、手、手指、脚部的挤压、剪切、卡夹伤害的可能；应防止有对衣物、头发产生钩挂、缠绕伤害的可能；在使用者头部或视线高度范围外，不应有不可预知的障碍物和突起物，防止产生碰撞伤害的可能。</w:t>
      </w:r>
    </w:p>
    <w:p w14:paraId="3D0DC8D2">
      <w:pPr>
        <w:rPr>
          <w:rFonts w:hint="default"/>
          <w:b w:val="0"/>
          <w:bCs w:val="0"/>
          <w:lang w:val="en-US" w:eastAsia="zh-CN"/>
        </w:rPr>
      </w:pPr>
      <w:r>
        <w:rPr>
          <w:rFonts w:hint="default"/>
          <w:b w:val="0"/>
          <w:bCs w:val="0"/>
          <w:lang w:val="en-US" w:eastAsia="zh-CN"/>
        </w:rPr>
        <w:t>1</w:t>
      </w:r>
      <w:r>
        <w:rPr>
          <w:rFonts w:hint="eastAsia"/>
          <w:b w:val="0"/>
          <w:bCs w:val="0"/>
          <w:lang w:val="en-US" w:eastAsia="zh-CN"/>
        </w:rPr>
        <w:t>2</w:t>
      </w:r>
      <w:r>
        <w:rPr>
          <w:rFonts w:hint="default"/>
          <w:b w:val="0"/>
          <w:bCs w:val="0"/>
          <w:lang w:val="en-US" w:eastAsia="zh-CN"/>
        </w:rPr>
        <w:t>）器材应配有完整的说明书，应包含三图（安装示意图、安装跌落空间图、碰撞区域图）、三表（器材安装检查表、器材定期检查表、易损件明细表）、器材安全使用寿命、器材维护保养注意事项、及寿命周期内对易损件及时更换的承诺等内容；</w:t>
      </w:r>
    </w:p>
    <w:p w14:paraId="57FFB156">
      <w:pPr>
        <w:rPr>
          <w:rFonts w:hint="default"/>
          <w:b w:val="0"/>
          <w:bCs w:val="0"/>
          <w:lang w:val="en-US" w:eastAsia="zh-CN"/>
        </w:rPr>
      </w:pPr>
      <w:r>
        <w:rPr>
          <w:rFonts w:hint="default"/>
          <w:b w:val="0"/>
          <w:bCs w:val="0"/>
          <w:lang w:val="en-US" w:eastAsia="zh-CN"/>
        </w:rPr>
        <w:t>1</w:t>
      </w:r>
      <w:r>
        <w:rPr>
          <w:rFonts w:hint="eastAsia"/>
          <w:b w:val="0"/>
          <w:bCs w:val="0"/>
          <w:lang w:val="en-US" w:eastAsia="zh-CN"/>
        </w:rPr>
        <w:t>3</w:t>
      </w:r>
      <w:r>
        <w:rPr>
          <w:rFonts w:hint="default"/>
          <w:b w:val="0"/>
          <w:bCs w:val="0"/>
          <w:lang w:val="en-US" w:eastAsia="zh-CN"/>
        </w:rPr>
        <w:t>）带有轴承的器材，轴承应采取防水、防尘措施；</w:t>
      </w:r>
    </w:p>
    <w:p w14:paraId="40F531B7">
      <w:pPr>
        <w:rPr>
          <w:rFonts w:hint="default"/>
          <w:b w:val="0"/>
          <w:bCs w:val="0"/>
          <w:lang w:val="en-US" w:eastAsia="zh-CN"/>
        </w:rPr>
      </w:pPr>
      <w:r>
        <w:rPr>
          <w:rFonts w:hint="default"/>
          <w:b w:val="0"/>
          <w:bCs w:val="0"/>
          <w:lang w:val="en-US" w:eastAsia="zh-CN"/>
        </w:rPr>
        <w:t>1</w:t>
      </w:r>
      <w:r>
        <w:rPr>
          <w:rFonts w:hint="eastAsia"/>
          <w:b w:val="0"/>
          <w:bCs w:val="0"/>
          <w:lang w:val="en-US" w:eastAsia="zh-CN"/>
        </w:rPr>
        <w:t>4</w:t>
      </w:r>
      <w:r>
        <w:rPr>
          <w:rFonts w:hint="default"/>
          <w:b w:val="0"/>
          <w:bCs w:val="0"/>
          <w:lang w:val="en-US" w:eastAsia="zh-CN"/>
        </w:rPr>
        <w:t>）器材篆刻“中国体育彩票捐赠”字样及logo图标。</w:t>
      </w:r>
    </w:p>
    <w:p w14:paraId="2B1B9623">
      <w:pPr>
        <w:rPr>
          <w:rFonts w:hint="default"/>
          <w:b/>
          <w:bCs/>
          <w:lang w:val="en-US" w:eastAsia="zh-CN"/>
        </w:rPr>
      </w:pPr>
      <w:r>
        <w:rPr>
          <w:rFonts w:hint="eastAsia"/>
          <w:b/>
          <w:bCs/>
          <w:lang w:val="en-US" w:eastAsia="zh-CN"/>
        </w:rPr>
        <w:t>6、</w:t>
      </w:r>
      <w:r>
        <w:rPr>
          <w:rFonts w:hint="default"/>
          <w:b/>
          <w:bCs/>
          <w:lang w:val="en-US" w:eastAsia="zh-CN"/>
        </w:rPr>
        <w:t>智能双位漫步机</w:t>
      </w:r>
    </w:p>
    <w:p w14:paraId="4C907F2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1D737EC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7F96043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3A58461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摆杆应有可靠限位装置，且单侧摆动幅度不大于65°，摆杆选用不小于φ60mm×3mm或等强度规格的管材，扶手管材实际壁厚不小于2.5mm；摆杆与主立柱内侧的最小距离应大于60mm；踏板的主运动方向和易滑脱方向应设置高度不小于30mm、长度大于踏板周长2/3的防滑脱的凸台或护板；凸台顶部棱边R弧应不小于2mm；</w:t>
      </w:r>
    </w:p>
    <w:p w14:paraId="426FE01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应有防滑措施，站立使用的单脚防滑面应不小于（3×10000）mm²，摩擦系数应不小于0.5；摆动部件下缘距地面或底面最小高度应不小于80mm；相邻运动的两踏板的间距应不小于100mm；转轴直径不小于30mm并辅以调质热处理，轴承座最薄处壁厚不小于6mm，轴承选用不小于6206承载能力的深沟球轴；踏板前后应采取防止碰撞第三者的缓冲措施；不允许存在衣服、头发钩挂或缠绕危险；</w:t>
      </w:r>
    </w:p>
    <w:p w14:paraId="6BB1513F">
      <w:pPr>
        <w:pStyle w:val="2"/>
        <w:ind w:left="0" w:leftChars="0" w:firstLine="0" w:firstLineChars="0"/>
        <w:rPr>
          <w:rFonts w:hint="default"/>
          <w:highlight w:val="none"/>
          <w:lang w:val="en-US" w:eastAsia="zh-CN"/>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35971B4B">
      <w:pPr>
        <w:rPr>
          <w:rFonts w:hint="default"/>
          <w:b/>
          <w:bCs/>
          <w:lang w:val="en-US" w:eastAsia="zh-CN"/>
        </w:rPr>
      </w:pPr>
      <w:r>
        <w:rPr>
          <w:rFonts w:hint="eastAsia"/>
          <w:b/>
          <w:bCs/>
          <w:lang w:val="en-US" w:eastAsia="zh-CN"/>
        </w:rPr>
        <w:t>7、</w:t>
      </w:r>
      <w:r>
        <w:rPr>
          <w:rFonts w:hint="default"/>
          <w:b/>
          <w:bCs/>
          <w:lang w:val="en-US" w:eastAsia="zh-CN"/>
        </w:rPr>
        <w:t>智能扭腰器</w:t>
      </w:r>
    </w:p>
    <w:p w14:paraId="380E1ED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39B4EBD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7967A88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 xml:space="preserve">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 </w:t>
      </w:r>
    </w:p>
    <w:p w14:paraId="3B26531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扭腰盘设置防止超速转动的阻尼装置；扭腰盘不应使用塑料材质；脚踏部位有防滑措施，站立使用的单脚防滑面积不小于30000mm²，站立使用的防滑面摩擦系数不小于0.5；转动部位采用深沟球轴承+推力球轴承；深沟球轴承选用6205承载能力的深沟球轴；推力球轴承选用30205承载能力的圆锥柱推力球轴承；</w:t>
      </w:r>
    </w:p>
    <w:p w14:paraId="09626FA6">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729003CD">
      <w:pPr>
        <w:rPr>
          <w:rFonts w:hint="default"/>
          <w:b/>
          <w:bCs/>
          <w:lang w:val="en-US" w:eastAsia="zh-CN"/>
        </w:rPr>
      </w:pPr>
      <w:r>
        <w:rPr>
          <w:rFonts w:hint="eastAsia"/>
          <w:b/>
          <w:bCs/>
          <w:lang w:val="en-US" w:eastAsia="zh-CN"/>
        </w:rPr>
        <w:t>8、</w:t>
      </w:r>
      <w:r>
        <w:rPr>
          <w:rFonts w:hint="default"/>
          <w:b/>
          <w:bCs/>
          <w:lang w:val="en-US" w:eastAsia="zh-CN"/>
        </w:rPr>
        <w:t>智能钟摆训练器</w:t>
      </w:r>
    </w:p>
    <w:p w14:paraId="323ABFA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130BCDF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0E3FB7A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6AC56B3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脚踏部位应有防滑措施，站立使用的单脚防滑面面积不小于30000mm2，站立使用的防滑面摩擦系数不小于0.5</w:t>
      </w:r>
      <w:r>
        <w:rPr>
          <w:rFonts w:hint="eastAsia"/>
          <w:b w:val="0"/>
          <w:bCs w:val="0"/>
          <w:lang w:val="en-US" w:eastAsia="zh-CN"/>
        </w:rPr>
        <w:t>；</w:t>
      </w:r>
      <w:r>
        <w:rPr>
          <w:rFonts w:hint="default"/>
          <w:b w:val="0"/>
          <w:bCs w:val="0"/>
          <w:lang w:val="en-US" w:eastAsia="zh-CN"/>
        </w:rPr>
        <w:t>摆杆有可靠限位装置，且单侧摆动幅度应不大于65°；脚踏板采用4mm厚钢板冲压一体成型，脚踏板左右两侧设有缓冲垫保护；踏板的主运动方向和易滑脱方向设置高度不小于30mm、长度大于踏板周长2/3的防滑脱的凸台或护板；凸台顶部棱边R弧3mm；摆动部件下缘距地面或底面高度最小高度不小于80mm；手及手指剪切、挤压和卡夹活动部件与邻近的活动部件或固定部件之间的距离应不小于60mm；转轴直径不小于φ25mm，选用6205深沟球轴承,并作防水、防尘密封，对轴承形成良好保护。</w:t>
      </w:r>
    </w:p>
    <w:p w14:paraId="7F4DEBA1">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1496E35B">
      <w:pPr>
        <w:rPr>
          <w:rFonts w:hint="default"/>
          <w:b/>
          <w:bCs/>
          <w:lang w:val="en-US" w:eastAsia="zh-CN"/>
        </w:rPr>
      </w:pPr>
      <w:r>
        <w:rPr>
          <w:rFonts w:hint="eastAsia"/>
          <w:b/>
          <w:bCs/>
          <w:lang w:val="en-US" w:eastAsia="zh-CN"/>
        </w:rPr>
        <w:t>9、</w:t>
      </w:r>
      <w:r>
        <w:rPr>
          <w:rFonts w:hint="default"/>
          <w:b/>
          <w:bCs/>
          <w:lang w:val="en-US" w:eastAsia="zh-CN"/>
        </w:rPr>
        <w:t>智能坐蹬训练器</w:t>
      </w:r>
    </w:p>
    <w:p w14:paraId="3FBB343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72D852B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6667910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2195212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座椅、靠背上表面边缘应以R不小于3mm的圆弧过渡；座椅下部、靠背后侧棱边应以R不小于2mm的圆弧过渡；蹬力器摆杆应有限制摆幅的限位装置，蹬力器摆杆规格不小于φ60mm×3mm钢管；坐板板材壁厚不小于2.5mm；轴承座支架、耳片壁厚不小于6mm；采用轴承结构的，轴承座壁厚不小于6mm；轴承规格不小于6205深沟球轴承；不允许存在剪切点、挤压点、引入点，不允许存在刚性碰撞；脚踏部位应有防滑措施；身体卡夹器材活动部件与地面可能挤压使用者身体时，则活动部件下底面距地面距离不小于400mm；不允许存在衣服、头发钩挂或缠绕危险。</w:t>
      </w:r>
    </w:p>
    <w:p w14:paraId="7161C296">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64EBB1A8">
      <w:pPr>
        <w:rPr>
          <w:rFonts w:hint="default"/>
          <w:b/>
          <w:bCs/>
          <w:lang w:val="en-US" w:eastAsia="zh-CN"/>
        </w:rPr>
      </w:pPr>
      <w:r>
        <w:rPr>
          <w:rFonts w:hint="eastAsia"/>
          <w:b/>
          <w:bCs/>
          <w:lang w:val="en-US" w:eastAsia="zh-CN"/>
        </w:rPr>
        <w:t>10、</w:t>
      </w:r>
      <w:r>
        <w:rPr>
          <w:rFonts w:hint="default"/>
          <w:b/>
          <w:bCs/>
          <w:lang w:val="en-US" w:eastAsia="zh-CN"/>
        </w:rPr>
        <w:t>智能太极揉推器</w:t>
      </w:r>
    </w:p>
    <w:p w14:paraId="1AE6A1B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5D2D7B9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4F6732C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5D9181E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揉推轮盘支撑管采用不小于φ60mm×3.0mm钢管；轮盘采用钢板一次卷边成型，不应使用塑料材质，两轮盘内侧距离不小于230mm，揉推轮盘应采用阻尼装置。</w:t>
      </w:r>
    </w:p>
    <w:p w14:paraId="2D54DC99">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731DD333">
      <w:pPr>
        <w:rPr>
          <w:rFonts w:hint="default"/>
          <w:b/>
          <w:bCs/>
          <w:lang w:val="en-US" w:eastAsia="zh-CN"/>
        </w:rPr>
      </w:pPr>
      <w:r>
        <w:rPr>
          <w:rFonts w:hint="eastAsia"/>
          <w:b/>
          <w:bCs/>
          <w:lang w:val="en-US" w:eastAsia="zh-CN"/>
        </w:rPr>
        <w:t>11、</w:t>
      </w:r>
      <w:r>
        <w:rPr>
          <w:rFonts w:hint="default"/>
          <w:b/>
          <w:bCs/>
          <w:lang w:val="en-US" w:eastAsia="zh-CN"/>
        </w:rPr>
        <w:t>智能划船器</w:t>
      </w:r>
    </w:p>
    <w:p w14:paraId="3D36698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6FE908F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6C74071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49C9415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应有限位装置，有效防止卡夹伤人；脚踏部位应有防滑措施；器材各支撑人体表面的所有棱边和尖角应使其半径不小于3.0mm；使用者或第三者易接触的零部件的其他所有棱边应予以圆滑过渡或加以防护；用于握持的支撑部位的横截面在任何方向上尺寸在16~45mm之间，把手端部直径不小于50mm；身体卡夹器材活动部件与地面可能挤压使用者身体时，则活动部件下底面距地面距离不小于400mm；脚或腿的卡夹活动部件底面与地面或其他部件的间距不小于80mm；</w:t>
      </w:r>
    </w:p>
    <w:p w14:paraId="58CF8843">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102A30BF">
      <w:pPr>
        <w:rPr>
          <w:rFonts w:hint="default"/>
          <w:b/>
          <w:bCs/>
          <w:lang w:val="en-US" w:eastAsia="zh-CN"/>
        </w:rPr>
      </w:pPr>
      <w:r>
        <w:rPr>
          <w:rFonts w:hint="eastAsia"/>
          <w:b/>
          <w:bCs/>
          <w:lang w:val="en-US" w:eastAsia="zh-CN"/>
        </w:rPr>
        <w:t>12、</w:t>
      </w:r>
      <w:r>
        <w:rPr>
          <w:rFonts w:hint="default"/>
          <w:b/>
          <w:bCs/>
          <w:lang w:val="en-US" w:eastAsia="zh-CN"/>
        </w:rPr>
        <w:t>智能腹肌板</w:t>
      </w:r>
    </w:p>
    <w:p w14:paraId="50EB7B2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4A8B88A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31AA1AE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3B0BA60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腹肌板各支撑梁间隙应小于8mm或采取整体式板面；</w:t>
      </w:r>
    </w:p>
    <w:p w14:paraId="54532F8F">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3F18AC70">
      <w:pPr>
        <w:rPr>
          <w:rFonts w:hint="default"/>
          <w:b/>
          <w:bCs/>
          <w:lang w:val="en-US" w:eastAsia="zh-CN"/>
        </w:rPr>
      </w:pPr>
      <w:r>
        <w:rPr>
          <w:rFonts w:hint="eastAsia"/>
          <w:b/>
          <w:bCs/>
          <w:lang w:val="en-US" w:eastAsia="zh-CN"/>
        </w:rPr>
        <w:t>13、</w:t>
      </w:r>
      <w:r>
        <w:rPr>
          <w:rFonts w:hint="default"/>
          <w:b/>
          <w:bCs/>
          <w:lang w:val="en-US" w:eastAsia="zh-CN"/>
        </w:rPr>
        <w:t>智能推举训练器</w:t>
      </w:r>
    </w:p>
    <w:p w14:paraId="1A89E80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12F62BF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3A5DA25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428CCBE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有限制摆幅的限位装置；身体卡夹器材活动部件下底面距地面距离净高度不小于400mm，脚踏部位有防滑措施。</w:t>
      </w:r>
    </w:p>
    <w:p w14:paraId="16D825DB">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2FA8E4A6">
      <w:pPr>
        <w:rPr>
          <w:rFonts w:hint="default"/>
          <w:b/>
          <w:bCs/>
          <w:lang w:val="en-US" w:eastAsia="zh-CN"/>
        </w:rPr>
      </w:pPr>
      <w:r>
        <w:rPr>
          <w:rFonts w:hint="eastAsia"/>
          <w:b/>
          <w:bCs/>
          <w:lang w:val="en-US" w:eastAsia="zh-CN"/>
        </w:rPr>
        <w:t>14、</w:t>
      </w:r>
      <w:r>
        <w:rPr>
          <w:rFonts w:hint="default"/>
          <w:b/>
          <w:bCs/>
          <w:lang w:val="en-US" w:eastAsia="zh-CN"/>
        </w:rPr>
        <w:t>智能背部训练器</w:t>
      </w:r>
    </w:p>
    <w:p w14:paraId="08D81EC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13084B1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0EC773C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3F7CC9D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有限制摆动幅度的限位装置；身体卡夹器材活动部件下底面距地面距离净高度不小于400mm；脚或腿的卡夹活动部件底面与其他部件的间距不小于80mm；脚踏部位有防滑措施。</w:t>
      </w:r>
    </w:p>
    <w:p w14:paraId="02768C25">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25BAF442">
      <w:pPr>
        <w:rPr>
          <w:rFonts w:hint="default"/>
          <w:b/>
          <w:bCs/>
          <w:lang w:val="en-US" w:eastAsia="zh-CN"/>
        </w:rPr>
      </w:pPr>
      <w:r>
        <w:rPr>
          <w:rFonts w:hint="eastAsia"/>
          <w:b/>
          <w:bCs/>
          <w:lang w:val="en-US" w:eastAsia="zh-CN"/>
        </w:rPr>
        <w:t>15、</w:t>
      </w:r>
      <w:r>
        <w:rPr>
          <w:rFonts w:hint="default"/>
          <w:b/>
          <w:bCs/>
          <w:lang w:val="en-US" w:eastAsia="zh-CN"/>
        </w:rPr>
        <w:t>智能椭圆漫步机</w:t>
      </w:r>
    </w:p>
    <w:p w14:paraId="779537F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102B5B7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661D267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0B730B0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踏板的主运动方向和易滑脱方向应设置高度不小于30mm、长度大于踏板周长2/3的防滑脱的凸台或护板；凸台顶部棱边应全部以不小于3mm的R圆弧过渡；脚踏部位有防滑措施，站立使用的单脚防滑面面积不小于30000mm²，摩擦系数不小于0.5；摆杆与立柱最小距离不小于60mm；摆动部件下缘距地面或底面高度不小于80mm；相邻运动的两踏板间距不小于100mm。</w:t>
      </w:r>
    </w:p>
    <w:p w14:paraId="07E1DC45">
      <w:pPr>
        <w:pStyle w:val="2"/>
        <w:ind w:left="0" w:leftChars="0" w:firstLine="0" w:firstLineChars="0"/>
        <w:rPr>
          <w:rFonts w:hint="default"/>
          <w:highlight w:val="none"/>
          <w:lang w:val="en-US" w:eastAsia="zh-CN"/>
        </w:rPr>
      </w:pPr>
      <w:r>
        <w:rPr>
          <w:rFonts w:hint="eastAsia"/>
          <w:b w:val="0"/>
          <w:bCs w:val="0"/>
          <w:lang w:val="en-US" w:eastAsia="zh-CN"/>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336EE102">
      <w:pPr>
        <w:rPr>
          <w:rFonts w:hint="default"/>
          <w:b/>
          <w:bCs/>
          <w:lang w:val="en-US" w:eastAsia="zh-CN"/>
        </w:rPr>
      </w:pPr>
      <w:r>
        <w:rPr>
          <w:rFonts w:hint="eastAsia"/>
          <w:b/>
          <w:bCs/>
          <w:lang w:val="en-US" w:eastAsia="zh-CN"/>
        </w:rPr>
        <w:t>16、</w:t>
      </w:r>
      <w:r>
        <w:rPr>
          <w:rFonts w:hint="default"/>
          <w:b/>
          <w:bCs/>
          <w:lang w:val="en-US" w:eastAsia="zh-CN"/>
        </w:rPr>
        <w:t>智能健骑膝关节组合器</w:t>
      </w:r>
    </w:p>
    <w:p w14:paraId="28D3237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7D94C68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061C008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34581B7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运运动幅度过大的器材应有限位装置；身体卡夹器材活动部件下底面距地面距离净高度不小于400mm；脚或腿的卡夹活动部件底面与其他部件的间距不小于80mm；脚踏部位有防滑措施；座椅、靠背上表面边缘应以R不小于3mm的圆弧过渡；座椅下部、靠背后侧棱边应圆滑过渡。</w:t>
      </w:r>
    </w:p>
    <w:p w14:paraId="76B73FBF">
      <w:pPr>
        <w:pStyle w:val="2"/>
        <w:ind w:left="0" w:leftChars="0" w:firstLine="0" w:firstLineChars="0"/>
        <w:rPr>
          <w:rFonts w:hint="default"/>
          <w:highlight w:val="none"/>
          <w:lang w:val="en-US" w:eastAsia="zh-CN"/>
        </w:rPr>
      </w:pP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65A41C09">
      <w:pPr>
        <w:rPr>
          <w:rFonts w:hint="default"/>
          <w:b/>
          <w:bCs/>
          <w:lang w:val="en-US" w:eastAsia="zh-CN"/>
        </w:rPr>
      </w:pPr>
      <w:r>
        <w:rPr>
          <w:rFonts w:hint="eastAsia"/>
          <w:b/>
          <w:bCs/>
          <w:lang w:val="en-US" w:eastAsia="zh-CN"/>
        </w:rPr>
        <w:t>17、</w:t>
      </w:r>
      <w:r>
        <w:rPr>
          <w:rFonts w:hint="default"/>
          <w:b/>
          <w:bCs/>
          <w:lang w:val="en-US" w:eastAsia="zh-CN"/>
        </w:rPr>
        <w:t>智能颈腰按摩器</w:t>
      </w:r>
    </w:p>
    <w:p w14:paraId="12AAD8D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设备采用光控+时控光电控制系统，配置太阳能电池板、锂电池，满足器材24小时使用，LED光源；</w:t>
      </w:r>
    </w:p>
    <w:p w14:paraId="247DFE9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5A0B703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按摩轮与刚性固定部件间最小距离应大于30mm；不允许存在剪切点、挤压点、引入点，不允许存在刚性碰撞；主立柱以外其他各连接管实际壁厚不小于2.5mm,各连接片、耳片实际壁厚不小于5mm；腰部按摩轮可以上下移动，并采取限位措施；按摩轮转轴直径不小于25mm，转动轴心处应采用滚动轴承，轴承选用不小于6205承载能力的深沟球轴；座椅表面边缘应以R不小于3mm的圆弧过渡；</w:t>
      </w:r>
    </w:p>
    <w:p w14:paraId="6F88BBA6">
      <w:pPr>
        <w:pStyle w:val="2"/>
        <w:ind w:left="0" w:leftChars="0" w:firstLine="0" w:firstLineChars="0"/>
        <w:rPr>
          <w:rFonts w:hint="default"/>
          <w:highlight w:val="none"/>
          <w:lang w:val="en-US" w:eastAsia="zh-CN"/>
        </w:rPr>
      </w:pPr>
      <w:r>
        <w:rPr>
          <w:rFonts w:hint="eastAsia"/>
          <w:b w:val="0"/>
          <w:bCs w:val="0"/>
          <w:lang w:val="en-US" w:eastAsia="zh-CN"/>
        </w:rPr>
        <w:t>（4）</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4DEF5241">
      <w:pPr>
        <w:rPr>
          <w:rFonts w:hint="default"/>
          <w:b/>
          <w:bCs/>
          <w:lang w:val="en-US" w:eastAsia="zh-CN"/>
        </w:rPr>
      </w:pPr>
      <w:r>
        <w:rPr>
          <w:rFonts w:hint="eastAsia"/>
          <w:b/>
          <w:bCs/>
          <w:lang w:val="en-US" w:eastAsia="zh-CN"/>
        </w:rPr>
        <w:t>18、</w:t>
      </w:r>
      <w:r>
        <w:rPr>
          <w:rFonts w:hint="default"/>
          <w:b/>
          <w:bCs/>
          <w:lang w:val="en-US" w:eastAsia="zh-CN"/>
        </w:rPr>
        <w:t>智能跷跷板</w:t>
      </w:r>
    </w:p>
    <w:p w14:paraId="6000949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遮阳棚材质为PC耐力板或膜材；</w:t>
      </w:r>
    </w:p>
    <w:p w14:paraId="0213562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设备采用光控+时控光电控制系统，配置太阳能电池板、锂电池，满足器材24小时使用，LED光源；</w:t>
      </w:r>
    </w:p>
    <w:p w14:paraId="19AB3DF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具有数据采集、数据传输、数据处理等功能，加遮阳棚并与安装环境相融合；数据采集包括运动次数、运动时间等参数；数据处理的结果采用固定显示屏呈现方式，器材具备后台数据统计和处理系统平台并可以手机APP或显示屏方式查询。</w:t>
      </w:r>
    </w:p>
    <w:p w14:paraId="75BA343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各支撑人体表面的所有棱边和尖角应使其半径不小于3.0mm；使用者或第三者易接触的零部件的其他所有棱边应予以圆滑过渡或加以防护；使用者在器材上面，运动至下极限位置时，活动杆件底部距地面的距离不小于230mm；跌落预防应有前扶手，跌落高度不大于1000mm，倾斜角度不大于20°；跷跷板（杆）类器材在坐位的中心侧向施加695N的力，跷跷板（杆类）器材单侧偏摆量不大于7%；器材上无易接近且与使用功能无关的突出物，器材结构无头颈卡夹的完全闭合开口、未完全闭合开口及衣服、头发钩挂等结构；</w:t>
      </w:r>
    </w:p>
    <w:p w14:paraId="2D3454BD">
      <w:pPr>
        <w:rPr>
          <w:rFonts w:hint="default"/>
          <w:b/>
          <w:bCs/>
          <w:lang w:val="en-US" w:eastAsia="zh-CN"/>
        </w:rPr>
      </w:pPr>
      <w:r>
        <w:rPr>
          <w:rFonts w:hint="eastAsia"/>
          <w:b/>
          <w:bCs/>
          <w:lang w:val="en-US" w:eastAsia="zh-CN"/>
        </w:rPr>
        <w:t>19、</w:t>
      </w:r>
      <w:r>
        <w:rPr>
          <w:rFonts w:hint="default"/>
          <w:b/>
          <w:bCs/>
          <w:lang w:val="en-US" w:eastAsia="zh-CN"/>
        </w:rPr>
        <w:t>蹲举训练器（力量型）</w:t>
      </w:r>
    </w:p>
    <w:p w14:paraId="4B4B329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088D883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186777D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0861B58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关键特性：内限位结构，带配重片调节；</w:t>
      </w:r>
    </w:p>
    <w:p w14:paraId="725DA1E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锻炼部位：腹肌、臀大肌、股外侧肌、股二头肌、腓肠肌；</w:t>
      </w:r>
    </w:p>
    <w:p w14:paraId="54495FA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主要功能：运动轨迹符合人体工程学，遵循人体自然地生理运动，通过重复的上下蹲举运动来锻炼腹部及腿部肌肉。</w:t>
      </w:r>
    </w:p>
    <w:p w14:paraId="70C8C5B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6DAD0F84">
      <w:pPr>
        <w:rPr>
          <w:rFonts w:hint="default"/>
          <w:b/>
          <w:bCs/>
          <w:lang w:val="en-US" w:eastAsia="zh-CN"/>
        </w:rPr>
      </w:pPr>
      <w:r>
        <w:rPr>
          <w:rFonts w:hint="eastAsia"/>
          <w:b/>
          <w:bCs/>
          <w:lang w:val="en-US" w:eastAsia="zh-CN"/>
        </w:rPr>
        <w:t>20、</w:t>
      </w:r>
      <w:r>
        <w:rPr>
          <w:rFonts w:hint="default"/>
          <w:b/>
          <w:bCs/>
          <w:lang w:val="en-US" w:eastAsia="zh-CN"/>
        </w:rPr>
        <w:t>提拉训练器（力量型）</w:t>
      </w:r>
    </w:p>
    <w:p w14:paraId="0177D8A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5528149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6342E97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3F3FDAF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2C25554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5AB85CE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锻炼部位：胸大肌、肱二头肌；</w:t>
      </w:r>
    </w:p>
    <w:p w14:paraId="4F68C37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主要功能：运动轨迹符合人体工程学，遵循人体自然地生理运动，在器材正面进行重复的提拉运动，锻炼手臂和胸部肌肉。</w:t>
      </w:r>
    </w:p>
    <w:p w14:paraId="410C1EA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0C249825">
      <w:pPr>
        <w:rPr>
          <w:rFonts w:hint="default"/>
          <w:b/>
          <w:bCs/>
          <w:lang w:val="en-US" w:eastAsia="zh-CN"/>
        </w:rPr>
      </w:pPr>
      <w:r>
        <w:rPr>
          <w:rFonts w:hint="eastAsia"/>
          <w:b/>
          <w:bCs/>
          <w:lang w:val="en-US" w:eastAsia="zh-CN"/>
        </w:rPr>
        <w:t>21、</w:t>
      </w:r>
      <w:r>
        <w:rPr>
          <w:rFonts w:hint="default"/>
          <w:b/>
          <w:bCs/>
          <w:lang w:val="en-US" w:eastAsia="zh-CN"/>
        </w:rPr>
        <w:t>卧推训练器（力量型）</w:t>
      </w:r>
    </w:p>
    <w:p w14:paraId="7FB8719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0105D40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157C2F7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29436DA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6EBACA6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6607F07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主要锻炼部位：胸大肌，肱二头肌。</w:t>
      </w:r>
    </w:p>
    <w:p w14:paraId="75DF0EF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w:t>
      </w:r>
    </w:p>
    <w:p w14:paraId="66800BF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动。通过重复的推举运动来锻炼胸部和手臂肌肉。</w:t>
      </w:r>
    </w:p>
    <w:p w14:paraId="19C88ED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(9)</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5921CD50">
      <w:pPr>
        <w:rPr>
          <w:rFonts w:hint="default"/>
          <w:b/>
          <w:bCs/>
          <w:lang w:val="en-US" w:eastAsia="zh-CN"/>
        </w:rPr>
      </w:pPr>
      <w:r>
        <w:rPr>
          <w:rFonts w:hint="eastAsia"/>
          <w:b/>
          <w:bCs/>
          <w:lang w:val="en-US" w:eastAsia="zh-CN"/>
        </w:rPr>
        <w:t>22、</w:t>
      </w:r>
      <w:r>
        <w:rPr>
          <w:rFonts w:hint="default"/>
          <w:b/>
          <w:bCs/>
          <w:lang w:val="en-US" w:eastAsia="zh-CN"/>
        </w:rPr>
        <w:t>划船训练器（力量型）</w:t>
      </w:r>
    </w:p>
    <w:p w14:paraId="6C0EB06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2C9A258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主主要承载横梁材料及尺寸：不小于¢76mm×3mm钢管；</w:t>
      </w:r>
    </w:p>
    <w:p w14:paraId="2409F6C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2606C73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710D9DC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77E2CB9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锻炼部位：胸大肌，肱二头肌，三角肌等；</w:t>
      </w:r>
    </w:p>
    <w:p w14:paraId="586FEEE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主要功能：运动轨迹符合人体工程学，遵循人体自然地生理运动。通过重复的前后划船运动来锻炼腹部及腿部肌肉。</w:t>
      </w:r>
    </w:p>
    <w:p w14:paraId="1639B6B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332632F4">
      <w:pPr>
        <w:rPr>
          <w:rFonts w:hint="default"/>
          <w:b/>
          <w:bCs/>
          <w:lang w:val="en-US" w:eastAsia="zh-CN"/>
        </w:rPr>
      </w:pPr>
      <w:r>
        <w:rPr>
          <w:rFonts w:hint="eastAsia"/>
          <w:b/>
          <w:bCs/>
          <w:lang w:val="en-US" w:eastAsia="zh-CN"/>
        </w:rPr>
        <w:t>23、</w:t>
      </w:r>
      <w:r>
        <w:rPr>
          <w:rFonts w:hint="default"/>
          <w:b/>
          <w:bCs/>
          <w:lang w:val="en-US" w:eastAsia="zh-CN"/>
        </w:rPr>
        <w:t>提腿训练器（力量型）</w:t>
      </w:r>
    </w:p>
    <w:p w14:paraId="2ACB55F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2A18F27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1FF07B8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157DDDD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77B8938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3C945A7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锻炼部位：腓肠肌、股二头肌；</w:t>
      </w:r>
    </w:p>
    <w:p w14:paraId="7019099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主要功能：运动轨迹符合人体工程学，遵循人体自然地生理运动，在器材正面进行重复的踢腿运动，用于雕塑股四头肌的形状和线条，通过此动作会让大腿前侧的肌肉线条更加清晰。</w:t>
      </w:r>
    </w:p>
    <w:p w14:paraId="7FE8E55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1503C029">
      <w:pPr>
        <w:rPr>
          <w:rFonts w:hint="default"/>
          <w:b/>
          <w:bCs/>
          <w:lang w:val="en-US" w:eastAsia="zh-CN"/>
        </w:rPr>
      </w:pPr>
      <w:r>
        <w:rPr>
          <w:rFonts w:hint="eastAsia"/>
          <w:b/>
          <w:bCs/>
          <w:lang w:val="en-US" w:eastAsia="zh-CN"/>
        </w:rPr>
        <w:t>24、</w:t>
      </w:r>
      <w:r>
        <w:rPr>
          <w:rFonts w:hint="default"/>
          <w:b/>
          <w:bCs/>
          <w:lang w:val="en-US" w:eastAsia="zh-CN"/>
        </w:rPr>
        <w:t>坐式蹬力训练器（力量型）</w:t>
      </w:r>
    </w:p>
    <w:p w14:paraId="46D6837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372F4DA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2F75FD1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52D94B6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5FDF384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3DE368C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锻炼部位：股二头肌、腓肠肌、股外侧肌；</w:t>
      </w:r>
    </w:p>
    <w:p w14:paraId="764F54E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主要功能：运动轨迹符合人体工程学，遵循人体自然地生理运动，在器材正面进行重复的蹬腿运动，锻炼腿部肌肉。</w:t>
      </w:r>
    </w:p>
    <w:p w14:paraId="1A3F49B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2B03AF60">
      <w:pPr>
        <w:rPr>
          <w:rFonts w:hint="default"/>
          <w:b/>
          <w:bCs/>
          <w:lang w:val="en-US" w:eastAsia="zh-CN"/>
        </w:rPr>
      </w:pPr>
      <w:r>
        <w:rPr>
          <w:rFonts w:hint="eastAsia"/>
          <w:b/>
          <w:bCs/>
          <w:lang w:val="en-US" w:eastAsia="zh-CN"/>
        </w:rPr>
        <w:t>25、</w:t>
      </w:r>
      <w:r>
        <w:rPr>
          <w:rFonts w:hint="default"/>
          <w:b/>
          <w:bCs/>
          <w:lang w:val="en-US" w:eastAsia="zh-CN"/>
        </w:rPr>
        <w:t>推举训练器（力量型）</w:t>
      </w:r>
    </w:p>
    <w:p w14:paraId="3ADFEC2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7E4CA05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7871799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692B273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座椅或靠背板采用PE板；</w:t>
      </w:r>
    </w:p>
    <w:p w14:paraId="4BC88A6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关键特性：内限位结构，带配重片调节；</w:t>
      </w:r>
    </w:p>
    <w:p w14:paraId="2F99801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锻炼部位：胸大肌、肱二头肌；</w:t>
      </w:r>
    </w:p>
    <w:p w14:paraId="6DEA503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主要功能：运动轨迹符合人体工程学，遵循人体自然地生理运动。通过重复推举运动来锻炼胸部和手臂肌肉。</w:t>
      </w:r>
    </w:p>
    <w:p w14:paraId="4ECE514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(8)</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6CE9988A">
      <w:pPr>
        <w:rPr>
          <w:rFonts w:hint="default"/>
          <w:b/>
          <w:bCs/>
          <w:lang w:val="en-US" w:eastAsia="zh-CN"/>
        </w:rPr>
      </w:pPr>
      <w:r>
        <w:rPr>
          <w:rFonts w:hint="eastAsia"/>
          <w:b/>
          <w:bCs/>
          <w:lang w:val="en-US" w:eastAsia="zh-CN"/>
        </w:rPr>
        <w:t>26、</w:t>
      </w:r>
      <w:r>
        <w:rPr>
          <w:rFonts w:hint="default"/>
          <w:b/>
          <w:bCs/>
          <w:lang w:val="en-US" w:eastAsia="zh-CN"/>
        </w:rPr>
        <w:t>拉力训练器（力量型）</w:t>
      </w:r>
    </w:p>
    <w:p w14:paraId="4FD2E32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主要承载立柱材料及尺寸：不小于150mm×100mm×3mm钢管；</w:t>
      </w:r>
    </w:p>
    <w:p w14:paraId="127E36B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主要承载横梁材料及尺寸：不小于¢76mm×3mm钢管；</w:t>
      </w:r>
    </w:p>
    <w:p w14:paraId="3C17C93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配重调节杆采用不锈钢材质；</w:t>
      </w:r>
    </w:p>
    <w:p w14:paraId="05D0224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关键特性：内限位结构，带配重片调节；</w:t>
      </w:r>
    </w:p>
    <w:p w14:paraId="5CFCA54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锻炼部位：肱二头肌；</w:t>
      </w:r>
    </w:p>
    <w:p w14:paraId="383C6C6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主要功能：运动轨迹符合人体工程学，遵循人体自然地生理运动，在器材正面进行重复的下拉运动，锻炼腹部肌肉。</w:t>
      </w:r>
    </w:p>
    <w:p w14:paraId="4B8AEDE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重量调节：可自由调节重量，同时配重片固定在器材上，不可拿下。配重块的结构设计应方便使用者快速调整，不应与使用者的运动范围干涉；</w:t>
      </w:r>
    </w:p>
    <w:p w14:paraId="13A7DB3C">
      <w:pPr>
        <w:rPr>
          <w:rFonts w:hint="default"/>
          <w:b/>
          <w:bCs/>
          <w:lang w:val="en-US" w:eastAsia="zh-CN"/>
        </w:rPr>
      </w:pPr>
      <w:r>
        <w:rPr>
          <w:rFonts w:hint="eastAsia"/>
          <w:b/>
          <w:bCs/>
          <w:lang w:val="en-US" w:eastAsia="zh-CN"/>
        </w:rPr>
        <w:t>27、</w:t>
      </w:r>
      <w:r>
        <w:rPr>
          <w:rFonts w:hint="default"/>
          <w:b/>
          <w:bCs/>
          <w:lang w:val="en-US" w:eastAsia="zh-CN"/>
        </w:rPr>
        <w:t>EPDM地面面层</w:t>
      </w:r>
    </w:p>
    <w:p w14:paraId="3F727614">
      <w:pPr>
        <w:rPr>
          <w:rFonts w:hint="default"/>
          <w:b w:val="0"/>
          <w:bCs w:val="0"/>
          <w:lang w:val="en-US" w:eastAsia="zh-CN"/>
        </w:rPr>
      </w:pPr>
      <w:r>
        <w:rPr>
          <w:rFonts w:hint="eastAsia"/>
          <w:b w:val="0"/>
          <w:bCs w:val="0"/>
          <w:lang w:val="en-US" w:eastAsia="zh-CN"/>
        </w:rPr>
        <w:t>厚度不低于13mm（±1mm）</w:t>
      </w:r>
    </w:p>
    <w:p w14:paraId="5551F1F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外观无裂痕或分层现象；防滑层与底胶层粘合牢固、无凹凸现象；表面色泽均匀、耐久。标志线：标志线应清晰、不反光，无明显虚边、与面层粘合牢固。</w:t>
      </w:r>
    </w:p>
    <w:p w14:paraId="6340401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3CD2CA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EPDM面层胶粘剂50℃贮存60天后，贮存稳定性检验结果通过GB/T 6753.3-1986检测标准要求。提供第三方检测机构出具的检验合格的报告。</w:t>
      </w:r>
    </w:p>
    <w:p w14:paraId="4DB9FBF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EPDM材料通过GB36246-2018《中小学合成材料面层运动场地》的新国标检测合格。提供第三方检测机构出具的检验合格的报告。</w:t>
      </w:r>
    </w:p>
    <w:p w14:paraId="1BEBB4BF">
      <w:pPr>
        <w:rPr>
          <w:rFonts w:hint="default"/>
          <w:b/>
          <w:bCs/>
          <w:lang w:val="en-US" w:eastAsia="zh-CN"/>
        </w:rPr>
      </w:pPr>
      <w:r>
        <w:rPr>
          <w:rFonts w:hint="eastAsia"/>
          <w:b/>
          <w:bCs/>
          <w:lang w:val="en-US" w:eastAsia="zh-CN"/>
        </w:rPr>
        <w:t>（四）</w:t>
      </w:r>
      <w:r>
        <w:rPr>
          <w:rFonts w:hint="default"/>
          <w:b/>
          <w:bCs/>
          <w:lang w:val="en-US" w:eastAsia="zh-CN"/>
        </w:rPr>
        <w:t>棋牌长廊</w:t>
      </w:r>
    </w:p>
    <w:p w14:paraId="3E9DEB32">
      <w:pPr>
        <w:rPr>
          <w:rFonts w:hint="default"/>
          <w:b/>
          <w:bCs/>
          <w:lang w:val="en-US" w:eastAsia="zh-CN"/>
        </w:rPr>
      </w:pPr>
      <w:r>
        <w:rPr>
          <w:rFonts w:hint="eastAsia"/>
          <w:b/>
          <w:bCs/>
          <w:lang w:val="en-US" w:eastAsia="zh-CN"/>
        </w:rPr>
        <w:t>28、</w:t>
      </w:r>
      <w:r>
        <w:rPr>
          <w:rFonts w:hint="default"/>
          <w:b/>
          <w:bCs/>
          <w:lang w:val="en-US" w:eastAsia="zh-CN"/>
        </w:rPr>
        <w:t>轨道象棋桌</w:t>
      </w:r>
    </w:p>
    <w:p w14:paraId="32F9E08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主要承载立柱尺寸</w:t>
      </w:r>
      <w:r>
        <w:rPr>
          <w:rFonts w:hint="eastAsia"/>
          <w:b w:val="0"/>
          <w:bCs w:val="0"/>
          <w:lang w:val="en-US" w:eastAsia="zh-CN"/>
        </w:rPr>
        <w:t>：</w:t>
      </w:r>
      <w:r>
        <w:rPr>
          <w:rFonts w:hint="default"/>
          <w:b w:val="0"/>
          <w:bCs w:val="0"/>
          <w:lang w:val="en-US" w:eastAsia="zh-CN"/>
        </w:rPr>
        <w:t>不小于φ114mm×3.0mm钢管</w:t>
      </w:r>
      <w:r>
        <w:rPr>
          <w:rFonts w:hint="eastAsia"/>
          <w:b w:val="0"/>
          <w:bCs w:val="0"/>
          <w:lang w:val="en-US" w:eastAsia="zh-CN"/>
        </w:rPr>
        <w:t>；</w:t>
      </w:r>
    </w:p>
    <w:p w14:paraId="18E209C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棋牌桌面材质要求高强度材料制成，表面光滑平整，轨道式棋桌自带棋子且棋子镶嵌在轨道上和棋桌连为一体，不可取下，以轨道方式行棋，多余棋子可移到棋盘四周，不影响行棋。</w:t>
      </w:r>
    </w:p>
    <w:p w14:paraId="5886563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棋盘及座椅边缘无刃口毛茬和尖角、棱边R角符合要求；</w:t>
      </w:r>
    </w:p>
    <w:p w14:paraId="1E56186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座位立柱采用φ76mm×3.0mm钢管</w:t>
      </w:r>
      <w:r>
        <w:rPr>
          <w:rFonts w:hint="eastAsia"/>
          <w:b w:val="0"/>
          <w:bCs w:val="0"/>
          <w:lang w:val="en-US" w:eastAsia="zh-CN"/>
        </w:rPr>
        <w:t>；</w:t>
      </w:r>
    </w:p>
    <w:p w14:paraId="401C739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表面处理工艺：脱脂-抛丸-静电喷涂；</w:t>
      </w:r>
    </w:p>
    <w:p w14:paraId="413B71F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安装方式：直埋式；</w:t>
      </w:r>
    </w:p>
    <w:p w14:paraId="34EEBC42">
      <w:pPr>
        <w:rPr>
          <w:rFonts w:hint="default"/>
          <w:b/>
          <w:bCs/>
          <w:lang w:val="en-US" w:eastAsia="zh-CN"/>
        </w:rPr>
      </w:pPr>
      <w:r>
        <w:rPr>
          <w:rFonts w:hint="eastAsia"/>
          <w:b/>
          <w:bCs/>
          <w:lang w:val="en-US" w:eastAsia="zh-CN"/>
        </w:rPr>
        <w:t>29、</w:t>
      </w:r>
      <w:r>
        <w:rPr>
          <w:rFonts w:hint="default"/>
          <w:b/>
          <w:bCs/>
          <w:lang w:val="en-US" w:eastAsia="zh-CN"/>
        </w:rPr>
        <w:t>围棋桌</w:t>
      </w:r>
      <w:r>
        <w:rPr>
          <w:rFonts w:hint="eastAsia"/>
          <w:b/>
          <w:bCs/>
          <w:lang w:val="en-US" w:eastAsia="zh-CN"/>
        </w:rPr>
        <w:t>（五子棋桌）</w:t>
      </w:r>
    </w:p>
    <w:p w14:paraId="361A3D2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主要承载立柱尺寸</w:t>
      </w:r>
      <w:r>
        <w:rPr>
          <w:rFonts w:hint="eastAsia"/>
          <w:b w:val="0"/>
          <w:bCs w:val="0"/>
          <w:lang w:val="en-US" w:eastAsia="zh-CN"/>
        </w:rPr>
        <w:t>：</w:t>
      </w:r>
      <w:r>
        <w:rPr>
          <w:rFonts w:hint="default"/>
          <w:b w:val="0"/>
          <w:bCs w:val="0"/>
          <w:lang w:val="en-US" w:eastAsia="zh-CN"/>
        </w:rPr>
        <w:t>不小于φ114mm×3.0mm钢管</w:t>
      </w:r>
      <w:r>
        <w:rPr>
          <w:rFonts w:hint="eastAsia"/>
          <w:b w:val="0"/>
          <w:bCs w:val="0"/>
          <w:lang w:val="en-US" w:eastAsia="zh-CN"/>
        </w:rPr>
        <w:t>；</w:t>
      </w:r>
    </w:p>
    <w:p w14:paraId="25E7D1F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器材各支撑人体的表面所有棱边和尖角应使其半径不小于 3.0mm；</w:t>
      </w:r>
    </w:p>
    <w:p w14:paraId="2BFEB2E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座位立柱采用φ76mm×3.0mm钢管</w:t>
      </w:r>
      <w:r>
        <w:rPr>
          <w:rFonts w:hint="eastAsia"/>
          <w:b w:val="0"/>
          <w:bCs w:val="0"/>
          <w:lang w:val="en-US" w:eastAsia="zh-CN"/>
        </w:rPr>
        <w:t>；</w:t>
      </w:r>
    </w:p>
    <w:p w14:paraId="73C8C34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表面处理工艺：脱脂-抛丸-静电喷涂；</w:t>
      </w:r>
    </w:p>
    <w:p w14:paraId="76B58C5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安装方式：直埋式；</w:t>
      </w:r>
    </w:p>
    <w:p w14:paraId="7343B18D">
      <w:pPr>
        <w:rPr>
          <w:rFonts w:hint="default"/>
          <w:b/>
          <w:bCs/>
          <w:lang w:val="en-US" w:eastAsia="zh-CN"/>
        </w:rPr>
      </w:pPr>
      <w:r>
        <w:rPr>
          <w:rFonts w:hint="eastAsia"/>
          <w:b/>
          <w:bCs/>
          <w:lang w:val="en-US" w:eastAsia="zh-CN"/>
        </w:rPr>
        <w:t>（五）</w:t>
      </w:r>
      <w:r>
        <w:rPr>
          <w:rFonts w:hint="default"/>
          <w:b/>
          <w:bCs/>
          <w:lang w:val="en-US" w:eastAsia="zh-CN"/>
        </w:rPr>
        <w:t>益智休闲路径</w:t>
      </w:r>
    </w:p>
    <w:p w14:paraId="2A70390C">
      <w:pPr>
        <w:rPr>
          <w:rFonts w:hint="default"/>
          <w:b/>
          <w:bCs/>
          <w:lang w:val="en-US" w:eastAsia="zh-CN"/>
        </w:rPr>
      </w:pPr>
      <w:r>
        <w:rPr>
          <w:rFonts w:hint="eastAsia"/>
          <w:b/>
          <w:bCs/>
          <w:lang w:val="en-US" w:eastAsia="zh-CN"/>
        </w:rPr>
        <w:t>30、</w:t>
      </w:r>
      <w:r>
        <w:rPr>
          <w:rFonts w:hint="default"/>
          <w:b/>
          <w:bCs/>
          <w:lang w:val="en-US" w:eastAsia="zh-CN"/>
        </w:rPr>
        <w:t>肩关节训练器（塑木）</w:t>
      </w:r>
    </w:p>
    <w:p w14:paraId="5FB96A6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主要承载立柱材料及尺寸：主立柱规格不小于132mm×120mm，钢管、铝边条、塑木复合结构，内衬不小于120mm×80mm×3mm钢管；</w:t>
      </w:r>
    </w:p>
    <w:p w14:paraId="53AF227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主要承载横梁采用不小于Φ48mm×3mm优质钢管；</w:t>
      </w:r>
    </w:p>
    <w:p w14:paraId="2DDCF44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面板规格不小于900mm×600mm，采用不小于2mm厚钢板，框架采用规格不小于50mm×50mm×3mm方管焊接而成，面板表面喷绘文字使用说明；</w:t>
      </w:r>
    </w:p>
    <w:p w14:paraId="0FB0A39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转动把手采用ABS材质, 转轴采用不小于Φ25圆钢并经调制热处理，轴承采用不小于6205深沟球轴承并做防水防尘密封处理，轴套内设置防止超速运转的阻尼装置；</w:t>
      </w:r>
    </w:p>
    <w:p w14:paraId="5C39AF3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适宜人群：不宜剧烈运动，手臂关节需要锻炼的成年人、老年人；</w:t>
      </w:r>
    </w:p>
    <w:p w14:paraId="7476583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主要功能：运动上肢双臂，使肩关节相关肌肉群得到锻炼，保持身体协调性、柔韧性；</w:t>
      </w:r>
    </w:p>
    <w:p w14:paraId="6476E4F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锻炼方法：双手握住把手，沿圆周轨迹做转动，进行腕关节、肘关节、肩关节的训练，以增加肌力、耐力，改善关节活动的范围；重复上述动作，适当反复练习</w:t>
      </w:r>
      <w:r>
        <w:rPr>
          <w:rFonts w:hint="eastAsia"/>
          <w:b w:val="0"/>
          <w:bCs w:val="0"/>
          <w:lang w:val="en-US" w:eastAsia="zh-CN"/>
        </w:rPr>
        <w:t>。</w:t>
      </w:r>
    </w:p>
    <w:p w14:paraId="69E30C78">
      <w:pPr>
        <w:rPr>
          <w:rFonts w:hint="default"/>
          <w:b/>
          <w:bCs/>
          <w:lang w:val="en-US" w:eastAsia="zh-CN"/>
        </w:rPr>
      </w:pPr>
      <w:r>
        <w:rPr>
          <w:rFonts w:hint="eastAsia"/>
          <w:b/>
          <w:bCs/>
          <w:lang w:val="en-US" w:eastAsia="zh-CN"/>
        </w:rPr>
        <w:t>31、</w:t>
      </w:r>
      <w:r>
        <w:rPr>
          <w:rFonts w:hint="default"/>
          <w:b/>
          <w:bCs/>
          <w:lang w:val="en-US" w:eastAsia="zh-CN"/>
        </w:rPr>
        <w:t>腕关节训练器（塑木）</w:t>
      </w:r>
    </w:p>
    <w:p w14:paraId="0B6378C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主要承载立柱材料及尺寸：主立柱规格不小于132mm×120mm，钢管、铝边条、塑木复合结构，内衬不小于120mm×80mm×3mm钢管；</w:t>
      </w:r>
    </w:p>
    <w:p w14:paraId="2AEE2D6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主要承载横梁采用不小于Φ48mm×3mm优质钢管；</w:t>
      </w:r>
    </w:p>
    <w:p w14:paraId="45921A7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面板规格不小于900mm×600mm，采用不小于2mm厚钢板，框架采用规格不小于50mm×50mm×3mm方管焊接而成，面板表面喷绘文字使用说明；</w:t>
      </w:r>
    </w:p>
    <w:p w14:paraId="52F321A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握持手柄采用不小于Φ38mm×2.5花纹管，转轴采用不小于Φ25圆钢并经调制热处理，轴承采用不小于6205深沟球轴承并做防水防尘密封处理，轴套内设置防止超速运转的阻尼装置；</w:t>
      </w:r>
    </w:p>
    <w:p w14:paraId="53774C6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适宜人群：不宜剧烈运动，肘、腕关节需要锻炼的成年人、老年人；</w:t>
      </w:r>
    </w:p>
    <w:p w14:paraId="1309040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主要功能：发展腕关节、肘关节活动能力，以增加肌力、耐力，改善关节活动的范围，保持关节的灵活性；</w:t>
      </w:r>
    </w:p>
    <w:p w14:paraId="232E78C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锻炼方法：双手握住把手，随意做顺时针或逆时针的转动，进行腕关节、肘关节、肩关节的锻练；重复上述动作，适当反复练习</w:t>
      </w:r>
      <w:r>
        <w:rPr>
          <w:rFonts w:hint="eastAsia"/>
          <w:b w:val="0"/>
          <w:bCs w:val="0"/>
          <w:lang w:val="en-US" w:eastAsia="zh-CN"/>
        </w:rPr>
        <w:t>。</w:t>
      </w:r>
    </w:p>
    <w:p w14:paraId="45D65339">
      <w:pPr>
        <w:rPr>
          <w:rFonts w:hint="default"/>
          <w:b/>
          <w:bCs/>
          <w:lang w:val="en-US" w:eastAsia="zh-CN"/>
        </w:rPr>
      </w:pPr>
      <w:r>
        <w:rPr>
          <w:rFonts w:hint="eastAsia"/>
          <w:b/>
          <w:bCs/>
          <w:lang w:val="en-US" w:eastAsia="zh-CN"/>
        </w:rPr>
        <w:t>32、</w:t>
      </w:r>
      <w:r>
        <w:rPr>
          <w:rFonts w:hint="default"/>
          <w:b/>
          <w:bCs/>
          <w:lang w:val="en-US" w:eastAsia="zh-CN"/>
        </w:rPr>
        <w:t>指关节训练器（塑木）</w:t>
      </w:r>
    </w:p>
    <w:p w14:paraId="704EE84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主要承载立柱材料及尺寸：主立柱规格不小于132mm×120mm，钢管、铝边条、塑木复合结构，内衬不小于120mm×80mm×3mm钢管；</w:t>
      </w:r>
    </w:p>
    <w:p w14:paraId="1321560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主要承载横梁采用不小于Φ48mm×3mm优质钢管；</w:t>
      </w:r>
    </w:p>
    <w:p w14:paraId="1D02216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面板规格不小于900mm×600mm，采用不小于2mm厚钢板，框架采用规格不小于50mm×50mm×3mm方管焊接而成，面板表面喷绘文字使用说明；</w:t>
      </w:r>
    </w:p>
    <w:p w14:paraId="61180FE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覆板采用PE板雕刻成型，上刻中心距46mm深5mm的异型栅格，下垫不小于5mm厚钢板；</w:t>
      </w:r>
    </w:p>
    <w:p w14:paraId="5539681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适宜人群：不宜剧烈运动，手指关节需要锻炼的成年人、老年人；</w:t>
      </w:r>
    </w:p>
    <w:p w14:paraId="352F593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主要功能：锻炼手指，提高手指灵活性；保持指关节的灵活性；</w:t>
      </w:r>
    </w:p>
    <w:p w14:paraId="79C4E18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锻炼方法：双手手指从下部栅格开始，每个手指逐格爬升直至最上部，再逐格返回；重复上述动作，适当反复练习</w:t>
      </w:r>
      <w:r>
        <w:rPr>
          <w:rFonts w:hint="eastAsia"/>
          <w:b w:val="0"/>
          <w:bCs w:val="0"/>
          <w:lang w:val="en-US" w:eastAsia="zh-CN"/>
        </w:rPr>
        <w:t>。</w:t>
      </w:r>
    </w:p>
    <w:p w14:paraId="5B617E00">
      <w:pPr>
        <w:rPr>
          <w:rFonts w:hint="default"/>
          <w:b/>
          <w:bCs/>
          <w:lang w:val="en-US" w:eastAsia="zh-CN"/>
        </w:rPr>
      </w:pPr>
      <w:r>
        <w:rPr>
          <w:rFonts w:hint="eastAsia"/>
          <w:b/>
          <w:bCs/>
          <w:lang w:val="en-US" w:eastAsia="zh-CN"/>
        </w:rPr>
        <w:t>33、</w:t>
      </w:r>
      <w:r>
        <w:rPr>
          <w:rFonts w:hint="default"/>
          <w:b/>
          <w:bCs/>
          <w:lang w:val="en-US" w:eastAsia="zh-CN"/>
        </w:rPr>
        <w:t>手脑并用训练器（塑木）</w:t>
      </w:r>
    </w:p>
    <w:p w14:paraId="0FE2440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主要承载立柱材料及尺寸：主立柱规格不小于132mm×120mm，钢管、铝边条、塑木复合结构，内衬不小于120mm×80mm×3mm钢管；</w:t>
      </w:r>
    </w:p>
    <w:p w14:paraId="7583DB0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主要承载横梁采用不小于Φ48mm×3mm优质钢管；</w:t>
      </w:r>
    </w:p>
    <w:p w14:paraId="13EAA43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面板规格不小于900mm×600mm，采用不小于2mm厚钢板，框架采用规格不小于50mm×50mm×3mm方管焊接而成，面板表面喷绘文字使用说明；</w:t>
      </w:r>
    </w:p>
    <w:p w14:paraId="67ADE93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槽板采用PE板雕刻成型，下垫不小于5mm厚钢板，两块固定槽板上安装POM材质活动把手,内部装有转轴和弹簧；</w:t>
      </w:r>
    </w:p>
    <w:p w14:paraId="528F525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适宜人群：不宜剧烈运动，手脑协调需要锻炼的成年人、老年人；</w:t>
      </w:r>
    </w:p>
    <w:p w14:paraId="57D5C22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主要功能：有统感训练作用的游戏，既动脑又动手，有助于影响大脑各功能区、感觉器官及身体的协调发挥，维持思维活跃、延缓认知功能衰退，改善记忆力和专注力；</w:t>
      </w:r>
    </w:p>
    <w:p w14:paraId="2CB15A2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(7)</w:t>
      </w:r>
      <w:r>
        <w:rPr>
          <w:rFonts w:hint="default"/>
          <w:b w:val="0"/>
          <w:bCs w:val="0"/>
          <w:lang w:val="en-US" w:eastAsia="zh-CN"/>
        </w:rPr>
        <w:t>锻炼方法：双手各握一个手柄按下，移动中需要按柱手柄，从各自的起点位置开始沿槽板移动，控制好不同速度，完成一周的移动；同步启动同步到达原起点位置为合格，适当反复练习轻松完成时即达到锻炼效果</w:t>
      </w:r>
      <w:r>
        <w:rPr>
          <w:rFonts w:hint="eastAsia"/>
          <w:b w:val="0"/>
          <w:bCs w:val="0"/>
          <w:lang w:val="en-US" w:eastAsia="zh-CN"/>
        </w:rPr>
        <w:t>。</w:t>
      </w:r>
    </w:p>
    <w:p w14:paraId="05F919D5">
      <w:pPr>
        <w:rPr>
          <w:rFonts w:hint="default"/>
          <w:b/>
          <w:bCs/>
          <w:lang w:val="en-US" w:eastAsia="zh-CN"/>
        </w:rPr>
      </w:pPr>
      <w:r>
        <w:rPr>
          <w:rFonts w:hint="eastAsia"/>
          <w:b/>
          <w:bCs/>
          <w:lang w:val="en-US" w:eastAsia="zh-CN"/>
        </w:rPr>
        <w:t>34、</w:t>
      </w:r>
      <w:r>
        <w:rPr>
          <w:rFonts w:hint="default"/>
          <w:b/>
          <w:bCs/>
          <w:lang w:val="en-US" w:eastAsia="zh-CN"/>
        </w:rPr>
        <w:t>双位漫步机（塑木）</w:t>
      </w:r>
    </w:p>
    <w:p w14:paraId="68756A0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5722017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摆杆应有可靠限位装置，且单侧摆动幅度不大于</w:t>
      </w:r>
      <w:r>
        <w:rPr>
          <w:rFonts w:hint="eastAsia"/>
          <w:b w:val="0"/>
          <w:bCs w:val="0"/>
          <w:lang w:val="en-US" w:eastAsia="zh-CN"/>
        </w:rPr>
        <w:t>70</w:t>
      </w:r>
      <w:r>
        <w:rPr>
          <w:rFonts w:hint="default"/>
          <w:b w:val="0"/>
          <w:bCs w:val="0"/>
          <w:lang w:val="en-US" w:eastAsia="zh-CN"/>
        </w:rPr>
        <w:t>°，摆杆选用不小于φ60mm×3mm或等强度规格管材，扶手管材实际壁厚不小于2.5mm。</w:t>
      </w:r>
    </w:p>
    <w:p w14:paraId="6E8FB4E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摆杆与主立柱内侧的最小距离不小于60mm；踏板的主运动方向和易滑脱方向应设置高度不小于30mm、长度大于踏板周长2/3的防滑脱的凸台或护板；凸台顶部棱边R弧应不小于2mm。</w:t>
      </w:r>
    </w:p>
    <w:p w14:paraId="6C0A418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脚踏部位应有防滑措施，站立使用的单脚防滑面应不小于30000mm²，摩擦系数不小于0.6。</w:t>
      </w:r>
    </w:p>
    <w:p w14:paraId="003F67A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转轴直径不小于25mm并辅以调质热处理，轴承座最薄处壁厚不小于6mm，轴承选用不小于6205承载能力的深沟球轴。</w:t>
      </w:r>
    </w:p>
    <w:p w14:paraId="75E1F6E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主要功能：增强下肢的活动能力，提高身体的协调性、平衡能力和有氧能力，器材为2站位，可供二人同时使用。</w:t>
      </w:r>
    </w:p>
    <w:p w14:paraId="1D9958E3">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4C9D978A">
      <w:pPr>
        <w:rPr>
          <w:rFonts w:hint="default"/>
          <w:b/>
          <w:bCs/>
          <w:lang w:val="en-US" w:eastAsia="zh-CN"/>
        </w:rPr>
      </w:pPr>
      <w:r>
        <w:rPr>
          <w:rFonts w:hint="eastAsia"/>
          <w:b/>
          <w:bCs/>
          <w:lang w:val="en-US" w:eastAsia="zh-CN"/>
        </w:rPr>
        <w:t>35、</w:t>
      </w:r>
      <w:r>
        <w:rPr>
          <w:rFonts w:hint="default"/>
          <w:b/>
          <w:bCs/>
          <w:lang w:val="en-US" w:eastAsia="zh-CN"/>
        </w:rPr>
        <w:t>腰背按摩器（塑木）</w:t>
      </w:r>
    </w:p>
    <w:p w14:paraId="0444E14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6C1715C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按摩轮与刚性固定部件间最小距离应不小于30mm；</w:t>
      </w:r>
    </w:p>
    <w:p w14:paraId="7705920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不允许存在剪切点、挤压点、引入点，不允许存在刚性碰撞；</w:t>
      </w:r>
    </w:p>
    <w:p w14:paraId="29210C9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主立柱以外其他各连接管实际壁厚不小于2.5mm,各连接片、耳片实际壁厚不小于5mm；</w:t>
      </w:r>
    </w:p>
    <w:p w14:paraId="10AD4A5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按摩轮转轴直径不小于25mm；</w:t>
      </w:r>
    </w:p>
    <w:p w14:paraId="4424B90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按摩轮转动轴心处应采用滚动轴承，轴承选用不小于6205承载能力的深沟球轴。</w:t>
      </w:r>
    </w:p>
    <w:p w14:paraId="3A49671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主要功能：器材为2站位，可供两人同时使用，放松背部、腰部肌肉，消除疲劳，调节神经系统。</w:t>
      </w:r>
    </w:p>
    <w:p w14:paraId="7BCC6E89">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7811DA96">
      <w:pPr>
        <w:rPr>
          <w:rFonts w:hint="default"/>
          <w:b/>
          <w:bCs/>
          <w:lang w:val="en-US" w:eastAsia="zh-CN"/>
        </w:rPr>
      </w:pPr>
      <w:r>
        <w:rPr>
          <w:rFonts w:hint="eastAsia"/>
          <w:b/>
          <w:bCs/>
          <w:lang w:val="en-US" w:eastAsia="zh-CN"/>
        </w:rPr>
        <w:t>36、</w:t>
      </w:r>
      <w:r>
        <w:rPr>
          <w:rFonts w:hint="default"/>
          <w:b/>
          <w:bCs/>
          <w:lang w:val="en-US" w:eastAsia="zh-CN"/>
        </w:rPr>
        <w:t>三位扭腰器（塑木）</w:t>
      </w:r>
    </w:p>
    <w:p w14:paraId="05B327B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458023D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转动部位采用深沟球轴承+推力球轴承；深沟球轴承选用不小于6205承载能力的深沟球轴；推力球轴承选用不小于30205承载能力的圆锥柱推力球轴承；</w:t>
      </w:r>
    </w:p>
    <w:p w14:paraId="38CE9FB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扭腰盘不应使用塑料材质；</w:t>
      </w:r>
    </w:p>
    <w:p w14:paraId="73F0B57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器材各支撑人体表面的所有棱边和尖角应使其半径不小于3.0mm，用于握持的支撑部位的横截面在任何方向上在16~45mm之间；</w:t>
      </w:r>
    </w:p>
    <w:p w14:paraId="4DE4A9E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脚或腿的卡夹活动部件底面与底面或其他部件的间距不小于80mm；</w:t>
      </w:r>
    </w:p>
    <w:p w14:paraId="6A414D0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脚踏部位有防滑措施，站立使用的单脚防滑面积不小于30000mm²，站立使用的防滑面摩擦摩擦系数不小于0.5；</w:t>
      </w:r>
    </w:p>
    <w:p w14:paraId="122D7C1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扭腰盘应设置防止超速运转的阻尼装置；</w:t>
      </w:r>
    </w:p>
    <w:p w14:paraId="4BC419E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主要功能：器材为3站位，可供三人同时使用，主要锻炼腰、髋部，增强腰部的灵活性和柔韧性。</w:t>
      </w:r>
    </w:p>
    <w:p w14:paraId="19EF67E7">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470CC8FE">
      <w:pPr>
        <w:rPr>
          <w:rFonts w:hint="default"/>
          <w:b/>
          <w:bCs/>
          <w:lang w:val="en-US" w:eastAsia="zh-CN"/>
        </w:rPr>
      </w:pPr>
      <w:r>
        <w:rPr>
          <w:rFonts w:hint="eastAsia"/>
          <w:b/>
          <w:bCs/>
          <w:lang w:val="en-US" w:eastAsia="zh-CN"/>
        </w:rPr>
        <w:t>37、</w:t>
      </w:r>
      <w:r>
        <w:rPr>
          <w:rFonts w:hint="default"/>
          <w:b/>
          <w:bCs/>
          <w:lang w:val="en-US" w:eastAsia="zh-CN"/>
        </w:rPr>
        <w:t>健骑机（塑木）</w:t>
      </w:r>
    </w:p>
    <w:p w14:paraId="2A0F522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0971C6B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转轴直径不小于25mm，采用不小于6205承载能力的深沟球轴承；</w:t>
      </w:r>
    </w:p>
    <w:p w14:paraId="19A34F8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不存在卡夹，衣服、头发钩挂或缠绕结构。</w:t>
      </w:r>
    </w:p>
    <w:p w14:paraId="6D046C5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身体卡夹器材活动部件与地面可能挤压使用者身体时，则活动部件下底面距地面距离应不小于400mm；</w:t>
      </w:r>
    </w:p>
    <w:p w14:paraId="0FCE60E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脚或腿的卡夹活动部件底面与地面或其他部件的间距应不小于80mm；</w:t>
      </w:r>
    </w:p>
    <w:p w14:paraId="4905608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手及手指剪切、挤压和卡夹活动部件与邻近的活动部件或固定部件之间的距离应不小于30mm；</w:t>
      </w:r>
    </w:p>
    <w:p w14:paraId="5A06E18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运动幅度过大的器材应有限位装置；</w:t>
      </w:r>
    </w:p>
    <w:p w14:paraId="46932A4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脚踏位应有防滑措施；</w:t>
      </w:r>
    </w:p>
    <w:p w14:paraId="404B431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立柱采用外扣式钢制封头，可防止雨水流入。</w:t>
      </w:r>
    </w:p>
    <w:p w14:paraId="6E2BC16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10</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主要功能：锻炼腿部及胸部肌群，能使四肢得到充分运动，增强心、肺功能。</w:t>
      </w:r>
    </w:p>
    <w:p w14:paraId="367BE151">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(1</w:t>
      </w:r>
      <w:r>
        <w:rPr>
          <w:rFonts w:hint="eastAsia" w:ascii="宋体" w:hAnsi="宋体" w:cs="宋体"/>
          <w:b w:val="0"/>
          <w:bCs w:val="0"/>
          <w:kern w:val="2"/>
          <w:sz w:val="24"/>
          <w:szCs w:val="24"/>
          <w:lang w:val="en-US" w:eastAsia="zh-CN" w:bidi="ar-SA"/>
        </w:rPr>
        <w:t>1</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797BBBE1">
      <w:pPr>
        <w:rPr>
          <w:rFonts w:hint="default"/>
          <w:b/>
          <w:bCs/>
          <w:highlight w:val="none"/>
          <w:lang w:val="en-US" w:eastAsia="zh-CN"/>
        </w:rPr>
      </w:pPr>
      <w:r>
        <w:rPr>
          <w:rFonts w:hint="eastAsia"/>
          <w:b/>
          <w:bCs/>
          <w:highlight w:val="none"/>
          <w:lang w:val="en-US" w:eastAsia="zh-CN"/>
        </w:rPr>
        <w:t>38、</w:t>
      </w:r>
      <w:r>
        <w:rPr>
          <w:rFonts w:hint="default"/>
          <w:b/>
          <w:bCs/>
          <w:highlight w:val="none"/>
          <w:lang w:val="en-US" w:eastAsia="zh-CN"/>
        </w:rPr>
        <w:t>双位钟摆器（塑木）</w:t>
      </w:r>
    </w:p>
    <w:p w14:paraId="10EC2B7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57A74632">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脚踏部位应有防滑措施，站立使用的单脚防滑面面积不小于30000mm2，站立使用的防滑面摩擦系数不小于0.5</w:t>
      </w:r>
      <w:r>
        <w:rPr>
          <w:rFonts w:hint="eastAsia"/>
          <w:b w:val="0"/>
          <w:bCs w:val="0"/>
          <w:lang w:val="en-US" w:eastAsia="zh-CN"/>
        </w:rPr>
        <w:t>；</w:t>
      </w:r>
    </w:p>
    <w:p w14:paraId="68ADDB3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摆杆有可靠限位装置，且单侧摆动幅度应不大于65°；</w:t>
      </w:r>
    </w:p>
    <w:p w14:paraId="3818C1C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脚踏板采用4mm厚钢板冲压一体成型，脚踏板左右两侧设有缓冲垫保护；踏板的主运动方向和易滑脱方向设置高度不小于30mm、长度大于踏板周长2/3的防滑脱的凸台或护板；凸台顶部棱边R弧3mm；</w:t>
      </w:r>
    </w:p>
    <w:p w14:paraId="18ABC02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摆动部件下缘距地面或底面高度最小高度不小于80mm；</w:t>
      </w:r>
    </w:p>
    <w:p w14:paraId="6FC672E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手及手指剪切、挤压和卡夹活动部件与邻近的活动部件或固定部件之间的距离应不小于60mm；</w:t>
      </w:r>
    </w:p>
    <w:p w14:paraId="44B0C13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转轴直径不小于φ25mm，选用不小于6205深沟球轴承,并作防水、防尘密封，对轴承形成良好保护。</w:t>
      </w:r>
    </w:p>
    <w:p w14:paraId="4EFDD04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主要功能：器材为2站位，可供两人同时使用，可增强身体的血液循环，促进陈新代谢；活动腰部关节、增强腰侧肌群的柔韧性及心肺功能。</w:t>
      </w:r>
    </w:p>
    <w:p w14:paraId="22C13BF7">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38304E72">
      <w:pPr>
        <w:rPr>
          <w:rFonts w:hint="default"/>
          <w:b/>
          <w:bCs/>
          <w:lang w:val="en-US" w:eastAsia="zh-CN"/>
        </w:rPr>
      </w:pPr>
      <w:r>
        <w:rPr>
          <w:rFonts w:hint="eastAsia"/>
          <w:b/>
          <w:bCs/>
          <w:lang w:val="en-US" w:eastAsia="zh-CN"/>
        </w:rPr>
        <w:t>39、</w:t>
      </w:r>
      <w:r>
        <w:rPr>
          <w:rFonts w:hint="default"/>
          <w:b/>
          <w:bCs/>
          <w:lang w:val="en-US" w:eastAsia="zh-CN"/>
        </w:rPr>
        <w:t>坐蹬训练器（塑木）</w:t>
      </w:r>
    </w:p>
    <w:p w14:paraId="160539E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060538B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座椅、靠背上表面边缘以R3mm的圆弧过渡；座椅下部、靠背后侧棱边以R2mm的圆弧过渡；</w:t>
      </w:r>
    </w:p>
    <w:p w14:paraId="455F07C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蹬力器摆杆应有限制摆幅的限位装置，蹬力器摆杆采用不小于φ60mm×3mm优质钢管；</w:t>
      </w:r>
    </w:p>
    <w:p w14:paraId="606264A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坐板采用钢板一次冲压成形，板材壁厚不小于2.5mm；</w:t>
      </w:r>
    </w:p>
    <w:p w14:paraId="2FC43DE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轴承座支架、耳片壁厚不小于6mm；采用轴承结构的，轴承座壁厚不小于6mm；轴承规格不小于6205深沟球轴承；</w:t>
      </w:r>
    </w:p>
    <w:p w14:paraId="66C9820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不存在剪切点、挤压点、引入点，不存在刚性碰撞；</w:t>
      </w:r>
    </w:p>
    <w:p w14:paraId="02FB372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脚踏部位应有防滑措施；</w:t>
      </w:r>
    </w:p>
    <w:p w14:paraId="6D3052A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身体卡夹器材活动部件与地面可能挤压使用者身体时，则活动部件下底面距地面距离不小于400mm；</w:t>
      </w:r>
    </w:p>
    <w:p w14:paraId="5353768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9</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不存在衣服、头发钩挂或缠绕危险；</w:t>
      </w:r>
    </w:p>
    <w:p w14:paraId="5A140CA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eastAsia" w:ascii="宋体" w:hAnsi="宋体" w:cs="宋体"/>
          <w:b w:val="0"/>
          <w:bCs w:val="0"/>
          <w:kern w:val="2"/>
          <w:sz w:val="24"/>
          <w:szCs w:val="24"/>
          <w:lang w:val="en-US" w:eastAsia="zh-CN" w:bidi="ar-SA"/>
        </w:rPr>
        <w:t>0</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主要功能：器材为2站位，可供两人同时使用，可锻炼大腿肌肉，增强腰部力量。</w:t>
      </w:r>
    </w:p>
    <w:p w14:paraId="6BCB23EF">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(1</w:t>
      </w:r>
      <w:r>
        <w:rPr>
          <w:rFonts w:hint="eastAsia" w:ascii="宋体" w:hAnsi="宋体" w:cs="宋体"/>
          <w:b w:val="0"/>
          <w:bCs w:val="0"/>
          <w:kern w:val="2"/>
          <w:sz w:val="24"/>
          <w:szCs w:val="24"/>
          <w:lang w:val="en-US" w:eastAsia="zh-CN" w:bidi="ar-SA"/>
        </w:rPr>
        <w:t>1</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54B29D90">
      <w:pPr>
        <w:rPr>
          <w:rFonts w:hint="default"/>
          <w:b/>
          <w:bCs/>
          <w:lang w:val="en-US" w:eastAsia="zh-CN"/>
        </w:rPr>
      </w:pPr>
      <w:r>
        <w:rPr>
          <w:rFonts w:hint="eastAsia"/>
          <w:b/>
          <w:bCs/>
          <w:lang w:val="en-US" w:eastAsia="zh-CN"/>
        </w:rPr>
        <w:t>40、</w:t>
      </w:r>
      <w:r>
        <w:rPr>
          <w:rFonts w:hint="default"/>
          <w:b/>
          <w:bCs/>
          <w:lang w:val="en-US" w:eastAsia="zh-CN"/>
        </w:rPr>
        <w:t>太极揉推器（塑木）</w:t>
      </w:r>
    </w:p>
    <w:p w14:paraId="693B3F2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51657BF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揉推轮盘支撑管采用不小于φ60mm×3.0mm钢管；</w:t>
      </w:r>
    </w:p>
    <w:p w14:paraId="1BCA716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揉推轮盘应采用阻尼装置，两轮盘内侧距离不小于230mm。</w:t>
      </w:r>
    </w:p>
    <w:p w14:paraId="6BC6A81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主要功能：器材为2站位，可供两人同时使用，增强肩肘髋膝等部位的活动能力，适于老年人。</w:t>
      </w:r>
    </w:p>
    <w:p w14:paraId="307EFC8F">
      <w:pPr>
        <w:numPr>
          <w:ilvl w:val="0"/>
          <w:numId w:val="0"/>
        </w:numPr>
        <w:ind w:left="425" w:leftChars="0" w:hanging="425" w:firstLineChars="0"/>
        <w:rPr>
          <w:rFonts w:hint="default"/>
          <w:b w:val="0"/>
          <w:bCs w:val="0"/>
          <w:highlight w:val="green"/>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2CD82287">
      <w:pPr>
        <w:rPr>
          <w:rFonts w:hint="default"/>
          <w:b/>
          <w:bCs/>
          <w:lang w:val="en-US" w:eastAsia="zh-CN"/>
        </w:rPr>
      </w:pPr>
      <w:r>
        <w:rPr>
          <w:rFonts w:hint="eastAsia"/>
          <w:b/>
          <w:bCs/>
          <w:lang w:val="en-US" w:eastAsia="zh-CN"/>
        </w:rPr>
        <w:t>41、</w:t>
      </w:r>
      <w:r>
        <w:rPr>
          <w:rFonts w:hint="default"/>
          <w:b/>
          <w:bCs/>
          <w:lang w:val="en-US" w:eastAsia="zh-CN"/>
        </w:rPr>
        <w:t>上肢牵引器（塑木）</w:t>
      </w:r>
    </w:p>
    <w:p w14:paraId="7F3F685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2FBCF43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上肢牵引类器材活动把手（不含柔性部件）质量不大于600g，且把手端部直径不小于50mm；</w:t>
      </w:r>
    </w:p>
    <w:p w14:paraId="1E47A39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活动把手若使用链环结构时，链扣之间最大间隙小于8mm；活动把手若采用非链环结构时，采用包覆钢丝绳，每股钢丝绳都应用合成纤维或植物纤维包覆，包覆层应无断裂接口或单股断裂钢丝。</w:t>
      </w:r>
    </w:p>
    <w:p w14:paraId="6669D110">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运动幅度过大的器材应有限位装置；</w:t>
      </w:r>
    </w:p>
    <w:p w14:paraId="52DB31A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使用者在器材下面的杠杆类器材，摆杆运动至极限位置时，其活动杆件底部距地面间的距离应不小于1850mm；</w:t>
      </w:r>
    </w:p>
    <w:p w14:paraId="211115E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主要功能：器材为2站位，可供两人同时使用，可锻炼手腕，手臂肌肉，促进上肢灵活性。</w:t>
      </w:r>
    </w:p>
    <w:p w14:paraId="09CE050C">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7</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094EE79D">
      <w:pPr>
        <w:rPr>
          <w:rFonts w:hint="default"/>
          <w:b/>
          <w:bCs/>
          <w:lang w:val="en-US" w:eastAsia="zh-CN"/>
        </w:rPr>
      </w:pPr>
      <w:r>
        <w:rPr>
          <w:rFonts w:hint="eastAsia"/>
          <w:b/>
          <w:bCs/>
          <w:lang w:val="en-US" w:eastAsia="zh-CN"/>
        </w:rPr>
        <w:t>42、</w:t>
      </w:r>
      <w:r>
        <w:rPr>
          <w:rFonts w:hint="default"/>
          <w:b/>
          <w:bCs/>
          <w:lang w:val="en-US" w:eastAsia="zh-CN"/>
        </w:rPr>
        <w:t>伸腰伸背器（塑木）</w:t>
      </w:r>
    </w:p>
    <w:p w14:paraId="58E11B85">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206E499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靠背采取整体式板面，并设置符合人体工学按摩点。</w:t>
      </w:r>
    </w:p>
    <w:p w14:paraId="3B212FBF">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器材结构无头颈卡夹的完全闭合开口及未完全闭合开口；不允许存在衣服、头发钩挂或缠绕危险；</w:t>
      </w:r>
    </w:p>
    <w:p w14:paraId="59E83BB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器材各部位螺钉、螺母等紧固件紧固可靠且防锈、防松和防盗；</w:t>
      </w:r>
    </w:p>
    <w:p w14:paraId="543A2A6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主要功能：锻炼臂力、躯干肌肉及身体的协调性和平衡性。</w:t>
      </w:r>
    </w:p>
    <w:p w14:paraId="25477589">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426E60F0">
      <w:pPr>
        <w:rPr>
          <w:rFonts w:hint="default"/>
          <w:b/>
          <w:bCs/>
          <w:lang w:val="en-US" w:eastAsia="zh-CN"/>
        </w:rPr>
      </w:pPr>
      <w:r>
        <w:rPr>
          <w:rFonts w:hint="eastAsia"/>
          <w:b/>
          <w:bCs/>
          <w:lang w:val="en-US" w:eastAsia="zh-CN"/>
        </w:rPr>
        <w:t>43、</w:t>
      </w:r>
      <w:r>
        <w:rPr>
          <w:rFonts w:hint="default"/>
          <w:b/>
          <w:bCs/>
          <w:lang w:val="en-US" w:eastAsia="zh-CN"/>
        </w:rPr>
        <w:t>腿部按摩器（塑木）</w:t>
      </w:r>
    </w:p>
    <w:p w14:paraId="2A9BDF2D">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主要材质/料（三材质）：钢管、铝型材、塑木复合结构。</w:t>
      </w:r>
    </w:p>
    <w:p w14:paraId="72CB42F6">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扶手选用不小于Φ32mm×3.0mm优质钢管；</w:t>
      </w:r>
    </w:p>
    <w:p w14:paraId="5DCE1247">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按摩轮转轴直径不小于25mm；</w:t>
      </w:r>
    </w:p>
    <w:p w14:paraId="6E4C5F6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4</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不允许存在衣服、头发钩挂或缠绕危险，不允许存在和使用功能无关的凸出物；</w:t>
      </w:r>
    </w:p>
    <w:p w14:paraId="5DE284D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default" w:ascii="宋体" w:hAnsi="宋体" w:eastAsia="宋体" w:cs="宋体"/>
          <w:b w:val="0"/>
          <w:bCs w:val="0"/>
          <w:kern w:val="2"/>
          <w:sz w:val="24"/>
          <w:szCs w:val="24"/>
          <w:lang w:val="en-US" w:eastAsia="zh-CN" w:bidi="ar-SA"/>
        </w:rPr>
        <w:t>)</w:t>
      </w:r>
      <w:r>
        <w:rPr>
          <w:rFonts w:hint="default"/>
          <w:b w:val="0"/>
          <w:bCs w:val="0"/>
          <w:lang w:val="en-US" w:eastAsia="zh-CN"/>
        </w:rPr>
        <w:t>主要功能：器材为2站位，可供两人同时使用，舒筋活络，缓解腿部疲劳；</w:t>
      </w:r>
    </w:p>
    <w:p w14:paraId="7F467A77">
      <w:pPr>
        <w:numPr>
          <w:ilvl w:val="0"/>
          <w:numId w:val="0"/>
        </w:numPr>
        <w:ind w:left="425" w:leftChars="0" w:hanging="425" w:firstLineChars="0"/>
        <w:rPr>
          <w:rFonts w:hint="default"/>
          <w:b w:val="0"/>
          <w:bCs w:val="0"/>
          <w:highlight w:val="none"/>
          <w:lang w:val="en-US" w:eastAsia="zh-CN"/>
        </w:rPr>
      </w:pPr>
      <w:r>
        <w:rPr>
          <w:rFonts w:hint="default"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6</w:t>
      </w:r>
      <w:r>
        <w:rPr>
          <w:rFonts w:hint="default" w:ascii="宋体" w:hAnsi="宋体" w:eastAsia="宋体" w:cs="宋体"/>
          <w:b w:val="0"/>
          <w:bCs w:val="0"/>
          <w:kern w:val="2"/>
          <w:sz w:val="24"/>
          <w:szCs w:val="24"/>
          <w:lang w:val="en-US" w:eastAsia="zh-CN" w:bidi="ar-SA"/>
        </w:rPr>
        <w:t>)</w:t>
      </w:r>
      <w:r>
        <w:rPr>
          <w:rFonts w:hint="eastAsia" w:ascii="宋体" w:hAnsi="宋体" w:eastAsia="宋体" w:cs="宋体"/>
          <w:b w:val="0"/>
          <w:bCs w:val="0"/>
          <w:kern w:val="2"/>
          <w:sz w:val="24"/>
          <w:szCs w:val="24"/>
          <w:highlight w:val="none"/>
          <w:lang w:val="en-US" w:eastAsia="zh-CN" w:bidi="ar-SA"/>
        </w:rPr>
        <w:t>★</w:t>
      </w:r>
      <w:r>
        <w:rPr>
          <w:rFonts w:hint="default"/>
          <w:b w:val="0"/>
          <w:bCs w:val="0"/>
          <w:highlight w:val="none"/>
          <w:lang w:val="en-US" w:eastAsia="zh-CN"/>
        </w:rPr>
        <w:t>产品符合</w:t>
      </w:r>
      <w:r>
        <w:rPr>
          <w:rFonts w:hint="eastAsia"/>
          <w:b w:val="0"/>
          <w:bCs w:val="0"/>
          <w:highlight w:val="none"/>
          <w:lang w:val="en-US" w:eastAsia="zh-CN"/>
        </w:rPr>
        <w:t>《</w:t>
      </w:r>
      <w:r>
        <w:rPr>
          <w:rFonts w:hint="default"/>
          <w:b w:val="0"/>
          <w:bCs w:val="0"/>
          <w:highlight w:val="none"/>
          <w:lang w:val="en-US" w:eastAsia="zh-CN"/>
        </w:rPr>
        <w:t>室外健身器材的安全 通用要求</w:t>
      </w:r>
      <w:r>
        <w:rPr>
          <w:rFonts w:hint="eastAsia"/>
          <w:b w:val="0"/>
          <w:bCs w:val="0"/>
          <w:highlight w:val="none"/>
          <w:lang w:val="en-US" w:eastAsia="zh-CN"/>
        </w:rPr>
        <w:t>》</w:t>
      </w:r>
      <w:r>
        <w:rPr>
          <w:rFonts w:hint="default"/>
          <w:b w:val="0"/>
          <w:bCs w:val="0"/>
          <w:highlight w:val="none"/>
          <w:lang w:val="en-US" w:eastAsia="zh-CN"/>
        </w:rPr>
        <w:t>相关标准要求并提供国家认证认可监督管理委员会批准的第三方质量认证机构出具的认证证书及确认函。</w:t>
      </w:r>
    </w:p>
    <w:p w14:paraId="1845F382">
      <w:pPr>
        <w:rPr>
          <w:rFonts w:hint="default"/>
          <w:b/>
          <w:bCs/>
          <w:lang w:val="en-US" w:eastAsia="zh-CN"/>
        </w:rPr>
      </w:pPr>
      <w:r>
        <w:rPr>
          <w:rFonts w:hint="eastAsia"/>
          <w:b/>
          <w:bCs/>
          <w:lang w:val="en-US" w:eastAsia="zh-CN"/>
        </w:rPr>
        <w:t>44、</w:t>
      </w:r>
      <w:r>
        <w:rPr>
          <w:rFonts w:hint="default"/>
          <w:b/>
          <w:bCs/>
          <w:lang w:val="en-US" w:eastAsia="zh-CN"/>
        </w:rPr>
        <w:t>EPDM地面面层</w:t>
      </w:r>
    </w:p>
    <w:p w14:paraId="42A308CB">
      <w:pPr>
        <w:rPr>
          <w:rFonts w:hint="default"/>
          <w:b w:val="0"/>
          <w:bCs w:val="0"/>
          <w:lang w:val="en-US" w:eastAsia="zh-CN"/>
        </w:rPr>
      </w:pPr>
      <w:r>
        <w:rPr>
          <w:rFonts w:hint="eastAsia"/>
          <w:b w:val="0"/>
          <w:bCs w:val="0"/>
          <w:lang w:val="en-US" w:eastAsia="zh-CN"/>
        </w:rPr>
        <w:t>厚度不低于13mm（±1mm）</w:t>
      </w:r>
    </w:p>
    <w:p w14:paraId="667089A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外观无裂痕或分层现象；防滑层与底胶层粘合牢固、无凹凸现象；表面色泽均匀、耐久。标志线：标志线应清晰、不反光，无明显虚边、与面层粘合牢固。</w:t>
      </w:r>
    </w:p>
    <w:p w14:paraId="214768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5A797EC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EPDM面层胶粘剂50℃贮存60天后，贮存稳定性检验结果通过GB/T 6753.3-1986检测标准要求。提供第三方检测机构出具的检验合格的报告。</w:t>
      </w:r>
    </w:p>
    <w:p w14:paraId="08CF3AC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EPDM材料通过GB36246-2018《中小学合成材料面层运动场地》的新国标检测合格。提供第三方检测机构出具的检验合格的报告。</w:t>
      </w:r>
    </w:p>
    <w:p w14:paraId="356C0847">
      <w:pPr>
        <w:rPr>
          <w:rFonts w:hint="default"/>
          <w:b/>
          <w:bCs/>
          <w:lang w:val="en-US" w:eastAsia="zh-CN"/>
        </w:rPr>
      </w:pPr>
      <w:r>
        <w:rPr>
          <w:rFonts w:hint="eastAsia"/>
          <w:b/>
          <w:bCs/>
          <w:lang w:val="en-US" w:eastAsia="zh-CN"/>
        </w:rPr>
        <w:t>（六）</w:t>
      </w:r>
      <w:r>
        <w:rPr>
          <w:rFonts w:hint="default"/>
          <w:b/>
          <w:bCs/>
          <w:lang w:val="en-US" w:eastAsia="zh-CN"/>
        </w:rPr>
        <w:t>健步休闲</w:t>
      </w:r>
    </w:p>
    <w:p w14:paraId="64C0DB44">
      <w:pPr>
        <w:rPr>
          <w:rFonts w:hint="default"/>
          <w:b/>
          <w:bCs/>
          <w:lang w:val="en-US" w:eastAsia="zh-CN"/>
        </w:rPr>
      </w:pPr>
      <w:r>
        <w:rPr>
          <w:rFonts w:hint="eastAsia"/>
          <w:b/>
          <w:bCs/>
          <w:lang w:val="en-US" w:eastAsia="zh-CN"/>
        </w:rPr>
        <w:t>45、</w:t>
      </w:r>
      <w:r>
        <w:rPr>
          <w:rFonts w:hint="default"/>
          <w:b/>
          <w:bCs/>
          <w:lang w:val="en-US" w:eastAsia="zh-CN"/>
        </w:rPr>
        <w:t>健走步道EPDM地面面层</w:t>
      </w:r>
    </w:p>
    <w:p w14:paraId="2F0B6506">
      <w:pPr>
        <w:rPr>
          <w:rFonts w:hint="default"/>
          <w:b w:val="0"/>
          <w:bCs w:val="0"/>
          <w:lang w:val="en-US" w:eastAsia="zh-CN"/>
        </w:rPr>
      </w:pPr>
      <w:r>
        <w:rPr>
          <w:rFonts w:hint="eastAsia"/>
          <w:b w:val="0"/>
          <w:bCs w:val="0"/>
          <w:lang w:val="en-US" w:eastAsia="zh-CN"/>
        </w:rPr>
        <w:t>厚度不低于13mm（±1mm）</w:t>
      </w:r>
    </w:p>
    <w:p w14:paraId="0A3940B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外观无裂痕或分层现象；防滑层与底胶层粘合牢固、无凹凸现象；表面色泽均匀、耐久。标志线：标志线应清晰、不反光，无明显虚边、与面层粘合牢固。</w:t>
      </w:r>
    </w:p>
    <w:p w14:paraId="1FB7618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2E2C5B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EPDM面层胶粘剂50℃贮存60天后，贮存稳定性检验结果通过GB/T 6753.3-1986检测标准要求。提供第三方检测机构出具的检验合格的报告。</w:t>
      </w:r>
    </w:p>
    <w:p w14:paraId="5927824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EPDM材料通过GB36246-2018《中小学合成材料面层运动场地》的新国标检测合格。提供第三方检测机构出具的检验合格的报告。</w:t>
      </w:r>
    </w:p>
    <w:p w14:paraId="2E46C42F">
      <w:pPr>
        <w:rPr>
          <w:rFonts w:hint="default"/>
          <w:b/>
          <w:bCs/>
          <w:lang w:val="en-US" w:eastAsia="zh-CN"/>
        </w:rPr>
      </w:pPr>
      <w:r>
        <w:rPr>
          <w:rFonts w:hint="eastAsia"/>
          <w:b/>
          <w:bCs/>
          <w:lang w:val="en-US" w:eastAsia="zh-CN"/>
        </w:rPr>
        <w:t>46、</w:t>
      </w:r>
      <w:r>
        <w:rPr>
          <w:rFonts w:hint="default"/>
          <w:b/>
          <w:bCs/>
          <w:lang w:val="en-US" w:eastAsia="zh-CN"/>
        </w:rPr>
        <w:t>轨道象棋桌</w:t>
      </w:r>
    </w:p>
    <w:p w14:paraId="59C35FD4">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主要承载立柱尺寸</w:t>
      </w:r>
      <w:r>
        <w:rPr>
          <w:rFonts w:hint="eastAsia"/>
          <w:b w:val="0"/>
          <w:bCs w:val="0"/>
          <w:lang w:val="en-US" w:eastAsia="zh-CN"/>
        </w:rPr>
        <w:t>：</w:t>
      </w:r>
      <w:r>
        <w:rPr>
          <w:rFonts w:hint="default"/>
          <w:b w:val="0"/>
          <w:bCs w:val="0"/>
          <w:lang w:val="en-US" w:eastAsia="zh-CN"/>
        </w:rPr>
        <w:t>不小于φ114mm×3.0mm钢管</w:t>
      </w:r>
      <w:r>
        <w:rPr>
          <w:rFonts w:hint="eastAsia"/>
          <w:b w:val="0"/>
          <w:bCs w:val="0"/>
          <w:lang w:val="en-US" w:eastAsia="zh-CN"/>
        </w:rPr>
        <w:t>；</w:t>
      </w:r>
    </w:p>
    <w:p w14:paraId="73569E4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棋牌桌面材质要求高强度材料制成，表面光滑平整，轨道式棋桌自带棋子且棋子镶嵌在轨道上和棋桌连为一体，不可取下，以轨道方式行棋，多余棋子可移到棋盘四周，不影响行棋。</w:t>
      </w:r>
    </w:p>
    <w:p w14:paraId="2CE8156A">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棋盘及座椅边缘无刃口毛茬和尖角、棱边R角符合要求；</w:t>
      </w:r>
    </w:p>
    <w:p w14:paraId="138F77DB">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座位立柱采用φ76mm×3.0mm钢管</w:t>
      </w:r>
      <w:r>
        <w:rPr>
          <w:rFonts w:hint="eastAsia"/>
          <w:b w:val="0"/>
          <w:bCs w:val="0"/>
          <w:lang w:val="en-US" w:eastAsia="zh-CN"/>
        </w:rPr>
        <w:t>；</w:t>
      </w:r>
    </w:p>
    <w:p w14:paraId="5F6C5B8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表面处理工艺：脱脂-抛丸-静电喷涂；</w:t>
      </w:r>
    </w:p>
    <w:p w14:paraId="51214113">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(6)</w:t>
      </w:r>
      <w:r>
        <w:rPr>
          <w:rFonts w:hint="default"/>
          <w:b w:val="0"/>
          <w:bCs w:val="0"/>
          <w:lang w:val="en-US" w:eastAsia="zh-CN"/>
        </w:rPr>
        <w:t>安装方式：直埋式；</w:t>
      </w:r>
    </w:p>
    <w:p w14:paraId="185968F7">
      <w:pPr>
        <w:rPr>
          <w:rFonts w:hint="default"/>
          <w:b/>
          <w:bCs/>
          <w:lang w:val="en-US" w:eastAsia="zh-CN"/>
        </w:rPr>
      </w:pPr>
      <w:r>
        <w:rPr>
          <w:rFonts w:hint="eastAsia"/>
          <w:b/>
          <w:bCs/>
          <w:lang w:val="en-US" w:eastAsia="zh-CN"/>
        </w:rPr>
        <w:t>47、</w:t>
      </w:r>
      <w:r>
        <w:rPr>
          <w:rFonts w:hint="default"/>
          <w:b/>
          <w:bCs/>
          <w:lang w:val="en-US" w:eastAsia="zh-CN"/>
        </w:rPr>
        <w:t>围棋桌</w:t>
      </w:r>
      <w:r>
        <w:rPr>
          <w:rFonts w:hint="eastAsia"/>
          <w:b/>
          <w:bCs/>
          <w:lang w:val="en-US" w:eastAsia="zh-CN"/>
        </w:rPr>
        <w:t>（五子棋桌）</w:t>
      </w:r>
    </w:p>
    <w:p w14:paraId="6A12F778">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主要承载立柱尺寸</w:t>
      </w:r>
      <w:r>
        <w:rPr>
          <w:rFonts w:hint="eastAsia"/>
          <w:b w:val="0"/>
          <w:bCs w:val="0"/>
          <w:lang w:val="en-US" w:eastAsia="zh-CN"/>
        </w:rPr>
        <w:t>：</w:t>
      </w:r>
      <w:r>
        <w:rPr>
          <w:rFonts w:hint="default"/>
          <w:b w:val="0"/>
          <w:bCs w:val="0"/>
          <w:lang w:val="en-US" w:eastAsia="zh-CN"/>
        </w:rPr>
        <w:t>不小于φ114mm×3.0mm钢管</w:t>
      </w:r>
      <w:r>
        <w:rPr>
          <w:rFonts w:hint="eastAsia"/>
          <w:b w:val="0"/>
          <w:bCs w:val="0"/>
          <w:lang w:val="en-US" w:eastAsia="zh-CN"/>
        </w:rPr>
        <w:t>；</w:t>
      </w:r>
    </w:p>
    <w:p w14:paraId="1DF30009">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器材各支撑人体的表面所有棱边和尖角应使其半径不小于3.0mm；</w:t>
      </w:r>
    </w:p>
    <w:p w14:paraId="573D8C3C">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default"/>
          <w:b w:val="0"/>
          <w:bCs w:val="0"/>
          <w:lang w:val="en-US" w:eastAsia="zh-CN"/>
        </w:rPr>
        <w:t>座位立柱采用φ76mm×3.0mm钢管</w:t>
      </w:r>
      <w:r>
        <w:rPr>
          <w:rFonts w:hint="eastAsia"/>
          <w:b w:val="0"/>
          <w:bCs w:val="0"/>
          <w:lang w:val="en-US" w:eastAsia="zh-CN"/>
        </w:rPr>
        <w:t>；</w:t>
      </w:r>
    </w:p>
    <w:p w14:paraId="55F0188E">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default"/>
          <w:b w:val="0"/>
          <w:bCs w:val="0"/>
          <w:lang w:val="en-US" w:eastAsia="zh-CN"/>
        </w:rPr>
        <w:t>表面处理工艺：脱脂-抛丸-静电喷涂；</w:t>
      </w:r>
    </w:p>
    <w:p w14:paraId="66A52461">
      <w:pPr>
        <w:numPr>
          <w:ilvl w:val="0"/>
          <w:numId w:val="0"/>
        </w:numPr>
        <w:ind w:left="425" w:leftChars="0" w:hanging="425" w:firstLineChars="0"/>
        <w:rPr>
          <w:rFonts w:hint="default"/>
          <w:b w:val="0"/>
          <w:bCs w:val="0"/>
          <w:lang w:val="en-US" w:eastAsia="zh-CN"/>
        </w:rPr>
      </w:pPr>
      <w:r>
        <w:rPr>
          <w:rFonts w:hint="default" w:ascii="宋体" w:hAnsi="宋体" w:eastAsia="宋体" w:cs="宋体"/>
          <w:b w:val="0"/>
          <w:bCs w:val="0"/>
          <w:kern w:val="2"/>
          <w:sz w:val="24"/>
          <w:szCs w:val="24"/>
          <w:lang w:val="en-US" w:eastAsia="zh-CN" w:bidi="ar-SA"/>
        </w:rPr>
        <w:t>(5)</w:t>
      </w:r>
      <w:r>
        <w:rPr>
          <w:rFonts w:hint="default"/>
          <w:b w:val="0"/>
          <w:bCs w:val="0"/>
          <w:lang w:val="en-US" w:eastAsia="zh-CN"/>
        </w:rPr>
        <w:t>安装方式：直埋式；</w:t>
      </w:r>
    </w:p>
    <w:p w14:paraId="492CD68C">
      <w:pPr>
        <w:rPr>
          <w:rFonts w:hint="default"/>
          <w:b/>
          <w:bCs/>
          <w:lang w:val="en-US" w:eastAsia="zh-CN"/>
        </w:rPr>
      </w:pPr>
      <w:r>
        <w:rPr>
          <w:rFonts w:hint="eastAsia"/>
          <w:b/>
          <w:bCs/>
          <w:lang w:val="en-US" w:eastAsia="zh-CN"/>
        </w:rPr>
        <w:t>48、</w:t>
      </w:r>
      <w:r>
        <w:rPr>
          <w:rFonts w:hint="default"/>
          <w:b/>
          <w:bCs/>
          <w:lang w:val="en-US" w:eastAsia="zh-CN"/>
        </w:rPr>
        <w:t>棋牌休闲EPDM地面面层</w:t>
      </w:r>
    </w:p>
    <w:p w14:paraId="2BFC5DF0">
      <w:pPr>
        <w:rPr>
          <w:rFonts w:hint="default"/>
          <w:b w:val="0"/>
          <w:bCs w:val="0"/>
          <w:lang w:val="en-US" w:eastAsia="zh-CN"/>
        </w:rPr>
      </w:pPr>
      <w:r>
        <w:rPr>
          <w:rFonts w:hint="eastAsia"/>
          <w:b w:val="0"/>
          <w:bCs w:val="0"/>
          <w:lang w:val="en-US" w:eastAsia="zh-CN"/>
        </w:rPr>
        <w:t>厚度不低于13mm（±1mm）</w:t>
      </w:r>
    </w:p>
    <w:p w14:paraId="6B20EA0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(1)</w:t>
      </w:r>
      <w:r>
        <w:rPr>
          <w:rFonts w:hint="default"/>
          <w:b w:val="0"/>
          <w:bCs w:val="0"/>
          <w:lang w:val="en-US" w:eastAsia="zh-CN"/>
        </w:rPr>
        <w:t>外观无裂痕或分层现象；防滑层与底胶层粘合牢固、无凹凸现象；表面色泽均匀、耐久。标志线：标志线应清晰、不反光，无明显虚边、与面层粘合牢固。</w:t>
      </w:r>
    </w:p>
    <w:p w14:paraId="4C525F0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(2)</w:t>
      </w:r>
      <w:r>
        <w:rPr>
          <w:rFonts w:hint="default"/>
          <w:b w:val="0"/>
          <w:bCs w:val="0"/>
          <w:lang w:val="en-US" w:eastAsia="zh-CN"/>
        </w:rPr>
        <w:t>标志线：标志线应清晰、不反光，无明显虚边、与面层粘合牢固。</w:t>
      </w:r>
    </w:p>
    <w:p w14:paraId="552435B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EPDM面层胶粘剂50℃贮存60天后，贮存稳定性检验结果通过GB/T 6753.3-1986检测标准要求。提供第三方检测机构出具的检验合格的报告。</w:t>
      </w:r>
    </w:p>
    <w:p w14:paraId="6F4DA39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b w:val="0"/>
          <w:bCs w:val="0"/>
          <w:lang w:val="en-US" w:eastAsia="zh-CN"/>
        </w:rPr>
      </w:pPr>
      <w:r>
        <w:rPr>
          <w:rFonts w:hint="default" w:ascii="宋体" w:hAnsi="宋体" w:eastAsia="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hint="default"/>
          <w:b w:val="0"/>
          <w:bCs w:val="0"/>
          <w:lang w:val="en-US" w:eastAsia="zh-CN"/>
        </w:rPr>
        <w:t>EPDM材料通过GB36246-2018《中小学合成材料面层运动场地》的新国标检测合格。提供第三方检测机构出具的检验合格的报告。</w:t>
      </w:r>
    </w:p>
    <w:p w14:paraId="183FAB1D">
      <w:pPr>
        <w:rPr>
          <w:rFonts w:hint="default"/>
          <w:b/>
          <w:bCs/>
          <w:highlight w:val="none"/>
          <w:lang w:val="en-US" w:eastAsia="zh-CN"/>
        </w:rPr>
      </w:pPr>
      <w:r>
        <w:rPr>
          <w:rFonts w:hint="eastAsia"/>
          <w:b/>
          <w:bCs/>
          <w:highlight w:val="none"/>
          <w:lang w:val="en-US" w:eastAsia="zh-CN"/>
        </w:rPr>
        <w:t>（七）</w:t>
      </w:r>
      <w:r>
        <w:rPr>
          <w:rFonts w:hint="default"/>
          <w:b/>
          <w:bCs/>
          <w:highlight w:val="none"/>
          <w:lang w:val="en-US" w:eastAsia="zh-CN"/>
        </w:rPr>
        <w:t>硬化</w:t>
      </w:r>
    </w:p>
    <w:p w14:paraId="591DEDCD">
      <w:pPr>
        <w:rPr>
          <w:rFonts w:hint="default"/>
          <w:b/>
          <w:bCs/>
          <w:highlight w:val="none"/>
          <w:lang w:val="en-US" w:eastAsia="zh-CN"/>
        </w:rPr>
      </w:pPr>
      <w:r>
        <w:rPr>
          <w:rFonts w:hint="eastAsia"/>
          <w:b/>
          <w:bCs/>
          <w:highlight w:val="none"/>
          <w:lang w:val="en-US" w:eastAsia="zh-CN"/>
        </w:rPr>
        <w:t>49、</w:t>
      </w:r>
      <w:r>
        <w:rPr>
          <w:rFonts w:hint="default"/>
          <w:b/>
          <w:bCs/>
          <w:highlight w:val="none"/>
          <w:lang w:val="en-US" w:eastAsia="zh-CN"/>
        </w:rPr>
        <w:t>场地硬化</w:t>
      </w:r>
    </w:p>
    <w:p w14:paraId="267EBA40">
      <w:pPr>
        <w:pStyle w:val="2"/>
        <w:ind w:left="0" w:leftChars="0" w:firstLine="0" w:firstLineChars="0"/>
        <w:rPr>
          <w:rFonts w:hint="default"/>
          <w:highlight w:val="none"/>
          <w:lang w:val="en-US" w:eastAsia="zh-CN"/>
        </w:rPr>
      </w:pPr>
      <w:r>
        <w:rPr>
          <w:rFonts w:hint="eastAsia"/>
          <w:highlight w:val="none"/>
          <w:lang w:val="en-US" w:eastAsia="zh-CN"/>
        </w:rPr>
        <w:t>详见图纸</w:t>
      </w:r>
    </w:p>
    <w:p w14:paraId="0E857EC5">
      <w:pPr>
        <w:rPr>
          <w:rFonts w:hint="default"/>
          <w:b/>
          <w:bCs/>
          <w:highlight w:val="none"/>
          <w:lang w:val="en-US" w:eastAsia="zh-CN"/>
        </w:rPr>
      </w:pPr>
      <w:r>
        <w:rPr>
          <w:rFonts w:hint="eastAsia"/>
          <w:b/>
          <w:bCs/>
          <w:highlight w:val="none"/>
          <w:lang w:val="en-US" w:eastAsia="zh-CN"/>
        </w:rPr>
        <w:t>50、</w:t>
      </w:r>
      <w:r>
        <w:rPr>
          <w:rFonts w:hint="default"/>
          <w:b/>
          <w:bCs/>
          <w:highlight w:val="none"/>
          <w:lang w:val="en-US" w:eastAsia="zh-CN"/>
        </w:rPr>
        <w:t>排水管道</w:t>
      </w:r>
    </w:p>
    <w:p w14:paraId="1E9AD804">
      <w:pPr>
        <w:pStyle w:val="2"/>
        <w:ind w:left="0" w:leftChars="0" w:firstLine="0" w:firstLineChars="0"/>
        <w:rPr>
          <w:rFonts w:hint="eastAsia"/>
          <w:highlight w:val="none"/>
          <w:lang w:val="en-US" w:eastAsia="zh-CN"/>
        </w:rPr>
      </w:pPr>
      <w:r>
        <w:rPr>
          <w:rFonts w:hint="eastAsia"/>
          <w:highlight w:val="none"/>
          <w:lang w:val="en-US" w:eastAsia="zh-CN"/>
        </w:rPr>
        <w:t>详见图纸</w:t>
      </w:r>
    </w:p>
    <w:p w14:paraId="4A7C7AA5">
      <w:pPr>
        <w:pStyle w:val="5"/>
        <w:rPr>
          <w:rFonts w:hint="default"/>
          <w:b/>
          <w:bCs/>
          <w:color w:val="auto"/>
          <w:highlight w:val="none"/>
          <w:lang w:val="en-US" w:eastAsia="zh-CN"/>
        </w:rPr>
      </w:pPr>
      <w:r>
        <w:rPr>
          <w:rFonts w:hint="eastAsia" w:ascii="宋体" w:hAnsi="宋体" w:cs="宋体"/>
          <w:b/>
          <w:bCs/>
          <w:color w:val="auto"/>
          <w:kern w:val="2"/>
          <w:sz w:val="24"/>
          <w:szCs w:val="24"/>
          <w:highlight w:val="none"/>
          <w:lang w:val="en-US" w:eastAsia="zh-CN" w:bidi="ar-SA"/>
        </w:rPr>
        <w:t>备注：谈判文件标注“</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”项为实质性要求，响应文件需提供证明材料加以佐证，不提供将被视为无效响应。</w:t>
      </w:r>
      <w:r>
        <w:rPr>
          <w:rFonts w:hint="eastAsia" w:asciiTheme="minorEastAsia" w:hAnsiTheme="minorEastAsia" w:eastAsiaTheme="minorEastAsia"/>
          <w:b/>
          <w:bCs/>
          <w:color w:val="auto"/>
          <w:sz w:val="24"/>
          <w:highlight w:val="none"/>
          <w:lang w:val="en-US" w:eastAsia="zh-CN"/>
        </w:rPr>
        <w:t>因本项目处于新旧标准实施过渡期，投标人所投室外健身器材产品(序号2、序号6-17、序号34-43)提供符合GB19272-2011或GB19272-2024两种标准的第三方质量认证机构出具的认证证书及确认函均予以认可，若提供符合GB19272-2011标准的第三方质量认证机构出具的认证证书及确认函，投标人还需附自拟格式的承诺函，承诺供货时将根据器材生产时间执行最新标准，并在验收时提供符合GB19272-2024标准的第三方质量认证机构出具的认证证书及确认函。</w:t>
      </w:r>
    </w:p>
    <w:p w14:paraId="57B5FFFB">
      <w:pPr>
        <w:pStyle w:val="7"/>
        <w:bidi w:val="0"/>
        <w:jc w:val="center"/>
        <w:rPr>
          <w:rFonts w:hint="eastAsia"/>
          <w:lang w:val="en-US" w:eastAsia="zh-CN"/>
        </w:rPr>
      </w:pPr>
    </w:p>
    <w:p w14:paraId="4D999D46">
      <w:pPr>
        <w:pStyle w:val="7"/>
        <w:bidi w:val="0"/>
        <w:jc w:val="center"/>
      </w:pPr>
      <w:r>
        <w:rPr>
          <w:rFonts w:hint="eastAsia"/>
          <w:lang w:val="en-US" w:eastAsia="zh-CN"/>
        </w:rPr>
        <w:t xml:space="preserve">第五章 </w:t>
      </w:r>
      <w:r>
        <w:t>政府采购合同条款</w:t>
      </w:r>
    </w:p>
    <w:p w14:paraId="065406C2">
      <w:pPr>
        <w:spacing w:before="365"/>
        <w:ind w:left="0" w:right="17" w:firstLine="0"/>
        <w:jc w:val="center"/>
        <w:rPr>
          <w:b/>
          <w:sz w:val="84"/>
        </w:rPr>
      </w:pPr>
      <w:r>
        <w:rPr>
          <w:b/>
          <w:sz w:val="44"/>
          <w:szCs w:val="44"/>
        </w:rPr>
        <w:t>政府采购合同</w:t>
      </w:r>
    </w:p>
    <w:p w14:paraId="635069C4">
      <w:pPr>
        <w:pStyle w:val="4"/>
        <w:spacing w:before="517"/>
        <w:ind w:right="2354"/>
        <w:jc w:val="center"/>
      </w:pPr>
      <w:r>
        <w:t>合同编号：</w:t>
      </w:r>
    </w:p>
    <w:p w14:paraId="57825862">
      <w:pPr>
        <w:pStyle w:val="4"/>
        <w:rPr>
          <w:sz w:val="20"/>
        </w:rPr>
      </w:pPr>
    </w:p>
    <w:p w14:paraId="1ACFD49B">
      <w:pPr>
        <w:pStyle w:val="4"/>
        <w:rPr>
          <w:sz w:val="20"/>
        </w:rPr>
      </w:pPr>
    </w:p>
    <w:p w14:paraId="7AB797FA">
      <w:pPr>
        <w:pStyle w:val="4"/>
        <w:rPr>
          <w:sz w:val="20"/>
        </w:rPr>
      </w:pPr>
    </w:p>
    <w:p w14:paraId="7958E810">
      <w:pPr>
        <w:pStyle w:val="4"/>
        <w:rPr>
          <w:sz w:val="20"/>
        </w:rPr>
      </w:pPr>
    </w:p>
    <w:p w14:paraId="2D24DA68">
      <w:pPr>
        <w:pStyle w:val="4"/>
        <w:rPr>
          <w:sz w:val="20"/>
        </w:rPr>
      </w:pPr>
    </w:p>
    <w:p w14:paraId="7C7127A0">
      <w:pPr>
        <w:bidi w:val="0"/>
      </w:pPr>
    </w:p>
    <w:p w14:paraId="5B2F2445">
      <w:pPr>
        <w:bidi w:val="0"/>
        <w:ind w:firstLine="720" w:firstLineChars="300"/>
        <w:rPr>
          <w:sz w:val="24"/>
          <w:szCs w:val="24"/>
        </w:rPr>
      </w:pPr>
      <w:r>
        <w:rPr>
          <w:sz w:val="24"/>
          <w:szCs w:val="24"/>
        </w:rPr>
        <w:t xml:space="preserve">项目名称： </w:t>
      </w:r>
    </w:p>
    <w:p w14:paraId="5697E365">
      <w:pPr>
        <w:bidi w:val="0"/>
        <w:ind w:firstLine="240" w:firstLineChars="100"/>
        <w:rPr>
          <w:sz w:val="24"/>
          <w:szCs w:val="24"/>
        </w:rPr>
      </w:pPr>
    </w:p>
    <w:p w14:paraId="4E379FA7">
      <w:pPr>
        <w:bidi w:val="0"/>
        <w:ind w:firstLine="720" w:firstLineChars="300"/>
        <w:rPr>
          <w:sz w:val="24"/>
          <w:szCs w:val="24"/>
        </w:rPr>
      </w:pPr>
      <w:r>
        <w:rPr>
          <w:sz w:val="24"/>
          <w:szCs w:val="24"/>
        </w:rPr>
        <w:t xml:space="preserve">货物名称： </w:t>
      </w:r>
    </w:p>
    <w:p w14:paraId="6C6DEC98">
      <w:pPr>
        <w:bidi w:val="0"/>
        <w:ind w:firstLine="240" w:firstLineChars="100"/>
        <w:rPr>
          <w:sz w:val="24"/>
          <w:szCs w:val="24"/>
        </w:rPr>
      </w:pPr>
    </w:p>
    <w:p w14:paraId="3D3B9339">
      <w:pPr>
        <w:bidi w:val="0"/>
        <w:ind w:firstLine="720" w:firstLineChars="300"/>
        <w:rPr>
          <w:sz w:val="24"/>
          <w:szCs w:val="24"/>
        </w:rPr>
      </w:pPr>
      <w:r>
        <w:rPr>
          <w:sz w:val="24"/>
          <w:szCs w:val="24"/>
        </w:rPr>
        <w:t>甲 方 ：</w:t>
      </w:r>
    </w:p>
    <w:p w14:paraId="6BF713CF">
      <w:pPr>
        <w:bidi w:val="0"/>
        <w:ind w:firstLine="240" w:firstLineChars="100"/>
        <w:rPr>
          <w:sz w:val="24"/>
          <w:szCs w:val="24"/>
        </w:rPr>
      </w:pPr>
    </w:p>
    <w:p w14:paraId="1F2EFC44">
      <w:pPr>
        <w:bidi w:val="0"/>
        <w:ind w:firstLine="720" w:firstLineChars="300"/>
        <w:rPr>
          <w:sz w:val="24"/>
          <w:szCs w:val="24"/>
        </w:rPr>
      </w:pPr>
      <w:r>
        <w:rPr>
          <w:sz w:val="24"/>
          <w:szCs w:val="24"/>
        </w:rPr>
        <w:t xml:space="preserve">乙 方 ： </w:t>
      </w:r>
    </w:p>
    <w:p w14:paraId="35B28E7A">
      <w:pPr>
        <w:bidi w:val="0"/>
        <w:ind w:firstLine="240" w:firstLineChars="100"/>
        <w:rPr>
          <w:sz w:val="24"/>
          <w:szCs w:val="24"/>
        </w:rPr>
      </w:pPr>
    </w:p>
    <w:p w14:paraId="4FD2846F">
      <w:pPr>
        <w:bidi w:val="0"/>
        <w:ind w:firstLine="720" w:firstLineChars="300"/>
        <w:rPr>
          <w:sz w:val="24"/>
          <w:szCs w:val="24"/>
        </w:rPr>
      </w:pPr>
      <w:r>
        <w:rPr>
          <w:sz w:val="24"/>
          <w:szCs w:val="24"/>
        </w:rPr>
        <w:t>签署日期：</w:t>
      </w:r>
    </w:p>
    <w:p w14:paraId="04D1BDCD">
      <w:pPr>
        <w:bidi w:val="0"/>
        <w:sectPr>
          <w:pgSz w:w="12240" w:h="15840"/>
          <w:pgMar w:top="1500" w:right="680" w:bottom="1080" w:left="980" w:header="0" w:footer="802" w:gutter="0"/>
          <w:cols w:space="720" w:num="1"/>
        </w:sectPr>
      </w:pPr>
    </w:p>
    <w:p w14:paraId="105EBCEC">
      <w:pPr>
        <w:pStyle w:val="7"/>
        <w:tabs>
          <w:tab w:val="left" w:pos="1123"/>
          <w:tab w:val="left" w:pos="2248"/>
        </w:tabs>
        <w:spacing w:before="37"/>
        <w:ind w:left="0" w:right="14"/>
        <w:jc w:val="center"/>
      </w:pPr>
      <w:r>
        <w:t>合</w:t>
      </w:r>
      <w:r>
        <w:tab/>
      </w:r>
      <w:r>
        <w:t>同</w:t>
      </w:r>
      <w:r>
        <w:tab/>
      </w:r>
      <w:r>
        <w:t>书</w:t>
      </w:r>
    </w:p>
    <w:p w14:paraId="2328ED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（仅供参考）</w:t>
      </w:r>
    </w:p>
    <w:p w14:paraId="085EED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C6534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(项目名称)中所需</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(货物名称)以</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号《</w:t>
      </w:r>
      <w:r>
        <w:rPr>
          <w:rFonts w:hint="eastAsia" w:ascii="宋体" w:hAnsi="宋体" w:eastAsia="宋体" w:cs="宋体"/>
          <w:sz w:val="24"/>
          <w:szCs w:val="24"/>
          <w:lang w:eastAsia="zh-CN"/>
        </w:rPr>
        <w:t>谈判</w:t>
      </w:r>
      <w:r>
        <w:rPr>
          <w:rFonts w:hint="eastAsia" w:ascii="宋体" w:hAnsi="宋体" w:eastAsia="宋体" w:cs="宋体"/>
          <w:sz w:val="24"/>
          <w:szCs w:val="24"/>
        </w:rPr>
        <w:t>文件》进行竞争性</w:t>
      </w:r>
      <w:r>
        <w:rPr>
          <w:rFonts w:hint="eastAsia" w:ascii="宋体" w:hAnsi="宋体" w:eastAsia="宋体" w:cs="宋体"/>
          <w:sz w:val="24"/>
          <w:szCs w:val="24"/>
          <w:lang w:eastAsia="zh-CN"/>
        </w:rPr>
        <w:t>谈判</w:t>
      </w:r>
      <w:r>
        <w:rPr>
          <w:rFonts w:hint="eastAsia" w:ascii="宋体" w:hAnsi="宋体" w:eastAsia="宋体" w:cs="宋体"/>
          <w:sz w:val="24"/>
          <w:szCs w:val="24"/>
        </w:rPr>
        <w:t>。经</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小组评定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(乙方)为成交供应商。买、卖双方依据《中华人民共和国政府采购法》、《中华人民共和国合同法》，在平等自愿的基础上，同意按照下面的条款和条件，签署本合同。</w:t>
      </w:r>
    </w:p>
    <w:p w14:paraId="2E8ED2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合同文件</w:t>
      </w:r>
    </w:p>
    <w:p w14:paraId="4DAD5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下列文件构成本合同的组成部分，应该认为是一个整体，彼此相互解释，相互补充。组成合同的多个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文件的优先支配地位的次序如下：</w:t>
      </w:r>
    </w:p>
    <w:p w14:paraId="224340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本合同书</w:t>
      </w:r>
    </w:p>
    <w:p w14:paraId="15C992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成交通知书</w:t>
      </w:r>
    </w:p>
    <w:p w14:paraId="42C278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协议</w:t>
      </w:r>
    </w:p>
    <w:p w14:paraId="30D084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响应文件</w:t>
      </w:r>
      <w:r>
        <w:rPr>
          <w:rFonts w:hint="eastAsia" w:ascii="宋体" w:hAnsi="宋体" w:eastAsia="宋体" w:cs="宋体"/>
          <w:sz w:val="24"/>
          <w:szCs w:val="24"/>
        </w:rPr>
        <w:tab/>
      </w:r>
      <w:r>
        <w:rPr>
          <w:rFonts w:hint="eastAsia" w:ascii="宋体" w:hAnsi="宋体" w:eastAsia="宋体" w:cs="宋体"/>
          <w:sz w:val="24"/>
          <w:szCs w:val="24"/>
        </w:rPr>
        <w:t>(含澄清文件)</w:t>
      </w:r>
    </w:p>
    <w:p w14:paraId="62F15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竞争性谈判</w:t>
      </w:r>
      <w:r>
        <w:rPr>
          <w:rFonts w:hint="eastAsia" w:ascii="宋体" w:hAnsi="宋体" w:eastAsia="宋体" w:cs="宋体"/>
          <w:sz w:val="24"/>
          <w:szCs w:val="24"/>
        </w:rPr>
        <w:t>文件</w:t>
      </w:r>
      <w:r>
        <w:rPr>
          <w:rFonts w:hint="eastAsia" w:ascii="宋体" w:hAnsi="宋体" w:eastAsia="宋体" w:cs="宋体"/>
          <w:sz w:val="24"/>
          <w:szCs w:val="24"/>
        </w:rPr>
        <w:tab/>
      </w:r>
      <w:r>
        <w:rPr>
          <w:rFonts w:hint="eastAsia" w:ascii="宋体" w:hAnsi="宋体" w:eastAsia="宋体" w:cs="宋体"/>
          <w:sz w:val="24"/>
          <w:szCs w:val="24"/>
        </w:rPr>
        <w:t>(含</w:t>
      </w:r>
      <w:r>
        <w:rPr>
          <w:rFonts w:hint="eastAsia" w:ascii="宋体" w:hAnsi="宋体" w:cs="宋体"/>
          <w:sz w:val="24"/>
          <w:szCs w:val="24"/>
          <w:lang w:eastAsia="zh-CN"/>
        </w:rPr>
        <w:t>竞争性谈判</w:t>
      </w:r>
      <w:r>
        <w:rPr>
          <w:rFonts w:hint="eastAsia" w:ascii="宋体" w:hAnsi="宋体" w:eastAsia="宋体" w:cs="宋体"/>
          <w:sz w:val="24"/>
          <w:szCs w:val="24"/>
        </w:rPr>
        <w:t>文件补充通知) 2、</w:t>
      </w:r>
      <w:r>
        <w:rPr>
          <w:rFonts w:hint="eastAsia" w:ascii="宋体" w:hAnsi="宋体" w:eastAsia="宋体" w:cs="宋体"/>
          <w:sz w:val="24"/>
          <w:szCs w:val="24"/>
        </w:rPr>
        <w:tab/>
      </w:r>
      <w:r>
        <w:rPr>
          <w:rFonts w:hint="eastAsia" w:ascii="宋体" w:hAnsi="宋体" w:eastAsia="宋体" w:cs="宋体"/>
          <w:sz w:val="24"/>
          <w:szCs w:val="24"/>
        </w:rPr>
        <w:t>服务内容</w:t>
      </w:r>
    </w:p>
    <w:p w14:paraId="74DD77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1188085</wp:posOffset>
                </wp:positionH>
                <wp:positionV relativeFrom="paragraph">
                  <wp:posOffset>149860</wp:posOffset>
                </wp:positionV>
                <wp:extent cx="439928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439928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55pt;margin-top:11.8pt;height:0pt;width:346.4pt;mso-position-horizontal-relative:page;mso-wrap-distance-bottom:0pt;mso-wrap-distance-top:0pt;z-index:-251656192;mso-width-relative:page;mso-height-relative:page;" filled="f" stroked="t" coordsize="21600,21600" o:gfxdata="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CIb+/XAAAACQEAAA8AAAAAAAAAAQAgAAAAIgAAAGRycy9kb3ducmV2LnhtbFBLAQIU&#10;ABQAAAAIAIdO4kAdCR8g9AEAAOQDAAAOAAAAAAAAAAEAIAAAACYBAABkcnMvZTJvRG9jLnhtbFBL&#10;BQYAAAAABgAGAFkBAACMBQAAAAA=&#10;">
                <v:fill on="f" focussize="0,0"/>
                <v:stroke weight="0.48pt" color="#000000" joinstyle="round"/>
                <v:imagedata o:title=""/>
                <o:lock v:ext="edit" aspectratio="f"/>
                <w10:wrap type="topAndBottom"/>
              </v:line>
            </w:pict>
          </mc:Fallback>
        </mc:AlternateContent>
      </w:r>
    </w:p>
    <w:p w14:paraId="4A1E0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合同总价</w:t>
      </w:r>
    </w:p>
    <w:p w14:paraId="48530C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元人民币。</w:t>
      </w:r>
    </w:p>
    <w:p w14:paraId="5ED272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分项价格：</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379BE7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A92EC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付款方式</w:t>
      </w:r>
    </w:p>
    <w:p w14:paraId="0AEF8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本合同的付款方式为：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tab/>
      </w:r>
    </w:p>
    <w:p w14:paraId="1D8011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履行地点及期限</w:t>
      </w:r>
      <w:r>
        <w:rPr>
          <w:rFonts w:hint="eastAsia" w:ascii="宋体" w:hAnsi="宋体" w:eastAsia="宋体" w:cs="宋体"/>
          <w:sz w:val="24"/>
          <w:szCs w:val="24"/>
          <w:lang w:eastAsia="zh-CN"/>
        </w:rPr>
        <w:t>：</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1C15A5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1" locked="0" layoutInCell="1" allowOverlap="1">
                <wp:simplePos x="0" y="0"/>
                <wp:positionH relativeFrom="page">
                  <wp:posOffset>1299210</wp:posOffset>
                </wp:positionH>
                <wp:positionV relativeFrom="paragraph">
                  <wp:posOffset>165735</wp:posOffset>
                </wp:positionV>
                <wp:extent cx="300037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30003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3pt;margin-top:13.05pt;height:0pt;width:236.25pt;mso-position-horizontal-relative:page;mso-wrap-distance-bottom:0pt;mso-wrap-distance-top:0pt;z-index:-251656192;mso-width-relative:page;mso-height-relative:page;" filled="f" stroked="t" coordsize="21600,21600" o:gfxdata="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z1td1wAAAAkBAAAPAAAAAAAAAAEAIAAAACIAAABkcnMvZG93bnJldi54bWxQSwEC&#10;FAAUAAAACACHTuJA4s5khfUBAADkAwAADgAAAAAAAAABACAAAAAmAQAAZHJzL2Uyb0RvYy54bWxQ&#10;SwUGAAAAAAYABgBZAQAAjQUAAAAA&#10;">
                <v:fill on="f" focussize="0,0"/>
                <v:stroke weight="0.48pt" color="#000000" joinstyle="round"/>
                <v:imagedata o:title=""/>
                <o:lock v:ext="edit" aspectratio="f"/>
                <w10:wrap type="topAndBottom"/>
              </v:line>
            </w:pict>
          </mc:Fallback>
        </mc:AlternateContent>
      </w:r>
    </w:p>
    <w:p w14:paraId="685A9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合同的生效</w:t>
      </w:r>
    </w:p>
    <w:p w14:paraId="0679A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DCCA2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本合同经双方全权代表签署、加盖单位公章后生效。</w:t>
      </w:r>
    </w:p>
    <w:p w14:paraId="3C133F48">
      <w:pPr>
        <w:ind w:firstLine="480" w:firstLineChars="200"/>
        <w:rPr>
          <w:rFonts w:hint="eastAsia" w:ascii="宋体" w:hAnsi="宋体" w:eastAsia="宋体" w:cs="宋体"/>
          <w:sz w:val="24"/>
          <w:szCs w:val="24"/>
          <w:lang w:eastAsia="zh-CN"/>
        </w:rPr>
      </w:pPr>
    </w:p>
    <w:p w14:paraId="11B438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甲方</w:t>
      </w:r>
      <w:r>
        <w:rPr>
          <w:rFonts w:hint="eastAsia" w:ascii="宋体" w:hAnsi="宋体" w:eastAsia="宋体" w:cs="宋体"/>
          <w:sz w:val="24"/>
          <w:szCs w:val="24"/>
          <w:lang w:val="en-US" w:eastAsia="zh-CN"/>
        </w:rPr>
        <w:t xml:space="preserve">                                乙方</w:t>
      </w:r>
    </w:p>
    <w:p w14:paraId="17756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称：(公章)</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r>
        <w:rPr>
          <w:rFonts w:hint="eastAsia" w:ascii="宋体" w:hAnsi="宋体" w:eastAsia="宋体" w:cs="宋体"/>
          <w:sz w:val="24"/>
          <w:szCs w:val="24"/>
        </w:rPr>
        <w:tab/>
      </w:r>
      <w:r>
        <w:rPr>
          <w:rFonts w:hint="eastAsia" w:ascii="宋体" w:hAnsi="宋体" w:eastAsia="宋体" w:cs="宋体"/>
          <w:sz w:val="24"/>
          <w:szCs w:val="24"/>
        </w:rPr>
        <w:t>称：(公章)</w:t>
      </w:r>
    </w:p>
    <w:p w14:paraId="2ECA3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rPr>
        <w:tab/>
      </w:r>
      <w:r>
        <w:rPr>
          <w:rFonts w:hint="eastAsia" w:ascii="宋体" w:hAnsi="宋体" w:eastAsia="宋体" w:cs="宋体"/>
          <w:sz w:val="24"/>
          <w:szCs w:val="24"/>
        </w:rPr>
        <w:t>月</w:t>
      </w:r>
      <w:r>
        <w:rPr>
          <w:rFonts w:hint="eastAsia" w:ascii="宋体" w:hAnsi="宋体" w:eastAsia="宋体" w:cs="宋体"/>
          <w:sz w:val="24"/>
          <w:szCs w:val="24"/>
        </w:rPr>
        <w:tab/>
      </w:r>
      <w:r>
        <w:rPr>
          <w:rFonts w:hint="eastAsia" w:ascii="宋体" w:hAnsi="宋体" w:eastAsia="宋体" w:cs="宋体"/>
          <w:sz w:val="24"/>
          <w:szCs w:val="24"/>
        </w:rPr>
        <w:t>日</w:t>
      </w:r>
    </w:p>
    <w:p w14:paraId="670D8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授权代表(签字)：</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授权代表(签字)：</w:t>
      </w:r>
    </w:p>
    <w:p w14:paraId="1A0E0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w:t>
      </w:r>
      <w:r>
        <w:rPr>
          <w:rFonts w:hint="eastAsia" w:ascii="宋体" w:hAnsi="宋体" w:eastAsia="宋体" w:cs="宋体"/>
          <w:sz w:val="24"/>
          <w:szCs w:val="24"/>
        </w:rPr>
        <w:tab/>
      </w:r>
      <w:r>
        <w:rPr>
          <w:rFonts w:hint="eastAsia" w:ascii="宋体" w:hAnsi="宋体" w:eastAsia="宋体" w:cs="宋体"/>
          <w:sz w:val="24"/>
          <w:szCs w:val="24"/>
        </w:rPr>
        <w:t>址</w:t>
      </w:r>
    </w:p>
    <w:p w14:paraId="2D1CE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sectPr>
          <w:pgSz w:w="12240" w:h="15840"/>
          <w:pgMar w:top="1220" w:right="1361" w:bottom="1080" w:left="1321" w:header="0" w:footer="802" w:gutter="0"/>
          <w:cols w:space="720" w:num="1"/>
        </w:sectPr>
      </w:pPr>
      <w:r>
        <w:rPr>
          <w:rFonts w:hint="eastAsia" w:ascii="宋体" w:hAnsi="宋体" w:eastAsia="宋体" w:cs="宋体"/>
          <w:sz w:val="24"/>
          <w:szCs w:val="24"/>
          <w:lang w:eastAsia="zh-CN"/>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话</w:t>
      </w:r>
    </w:p>
    <w:bookmarkEnd w:id="192"/>
    <w:bookmarkEnd w:id="193"/>
    <w:bookmarkEnd w:id="194"/>
    <w:bookmarkEnd w:id="195"/>
    <w:bookmarkEnd w:id="196"/>
    <w:bookmarkEnd w:id="197"/>
    <w:bookmarkEnd w:id="198"/>
    <w:p w14:paraId="3FD3B87A">
      <w:pPr>
        <w:bidi w:val="0"/>
        <w:rPr>
          <w:rFonts w:hint="eastAsia"/>
        </w:rPr>
      </w:pPr>
    </w:p>
    <w:p w14:paraId="52DCEA9C">
      <w:pPr>
        <w:pStyle w:val="6"/>
        <w:numPr>
          <w:ilvl w:val="0"/>
          <w:numId w:val="0"/>
        </w:numPr>
        <w:rPr>
          <w:highlight w:val="none"/>
        </w:rPr>
      </w:pPr>
      <w:bookmarkStart w:id="199" w:name="_Toc20477"/>
      <w:bookmarkStart w:id="200" w:name="_Toc5962"/>
      <w:bookmarkStart w:id="201" w:name="_Toc352679683"/>
      <w:bookmarkStart w:id="202" w:name="_Toc18266"/>
      <w:r>
        <w:rPr>
          <w:rFonts w:hint="eastAsia"/>
          <w:highlight w:val="none"/>
          <w:lang w:eastAsia="zh-CN"/>
        </w:rPr>
        <w:t>第六章</w:t>
      </w:r>
      <w:r>
        <w:rPr>
          <w:rFonts w:hint="eastAsia"/>
          <w:highlight w:val="none"/>
          <w:lang w:val="en-US" w:eastAsia="zh-CN"/>
        </w:rPr>
        <w:t xml:space="preserve"> </w:t>
      </w:r>
      <w:r>
        <w:rPr>
          <w:rFonts w:hint="eastAsia"/>
          <w:highlight w:val="none"/>
        </w:rPr>
        <w:t>谈判</w:t>
      </w:r>
      <w:r>
        <w:rPr>
          <w:rFonts w:hint="eastAsia"/>
          <w:highlight w:val="none"/>
          <w:lang w:eastAsia="zh-CN"/>
        </w:rPr>
        <w:t>响应文件</w:t>
      </w:r>
      <w:r>
        <w:rPr>
          <w:rFonts w:hint="eastAsia"/>
          <w:highlight w:val="none"/>
        </w:rPr>
        <w:t>格式</w:t>
      </w:r>
      <w:bookmarkEnd w:id="199"/>
      <w:bookmarkEnd w:id="200"/>
      <w:bookmarkEnd w:id="201"/>
      <w:bookmarkEnd w:id="202"/>
    </w:p>
    <w:p w14:paraId="3DA3ED2F">
      <w:pPr>
        <w:wordWrap w:val="0"/>
        <w:jc w:val="right"/>
        <w:rPr>
          <w:rFonts w:hint="eastAsia"/>
          <w:sz w:val="36"/>
          <w:szCs w:val="36"/>
          <w:highlight w:val="none"/>
        </w:rPr>
      </w:pPr>
      <w:r>
        <w:rPr>
          <w:rFonts w:hint="eastAsia"/>
          <w:highlight w:val="none"/>
        </w:rPr>
        <w:t xml:space="preserve">                                                                  </w:t>
      </w:r>
      <w:r>
        <w:rPr>
          <w:rFonts w:hint="eastAsia"/>
          <w:sz w:val="36"/>
          <w:szCs w:val="36"/>
          <w:highlight w:val="none"/>
        </w:rPr>
        <w:t xml:space="preserve"> </w:t>
      </w:r>
    </w:p>
    <w:p w14:paraId="4B164835">
      <w:pPr>
        <w:rPr>
          <w:highlight w:val="none"/>
        </w:rPr>
      </w:pPr>
    </w:p>
    <w:p w14:paraId="213CABD2">
      <w:pPr>
        <w:rPr>
          <w:rFonts w:hint="eastAsia"/>
          <w:b/>
          <w:sz w:val="72"/>
          <w:szCs w:val="72"/>
          <w:highlight w:val="none"/>
        </w:rPr>
      </w:pPr>
    </w:p>
    <w:p w14:paraId="0E191099">
      <w:pPr>
        <w:pStyle w:val="7"/>
        <w:rPr>
          <w:rFonts w:hint="eastAsia"/>
        </w:rPr>
      </w:pPr>
    </w:p>
    <w:p w14:paraId="2FC47711">
      <w:pPr>
        <w:pStyle w:val="7"/>
        <w:jc w:val="center"/>
        <w:rPr>
          <w:rFonts w:hint="eastAsia" w:ascii="宋体" w:hAnsi="宋体" w:eastAsia="宋体" w:cs="宋体"/>
          <w:sz w:val="52"/>
          <w:szCs w:val="52"/>
          <w:lang w:eastAsia="zh-CN"/>
        </w:rPr>
      </w:pPr>
      <w:r>
        <w:rPr>
          <w:rFonts w:hint="eastAsia"/>
          <w:b/>
          <w:bCs w:val="0"/>
          <w:sz w:val="30"/>
          <w:szCs w:val="30"/>
          <w:highlight w:val="none"/>
          <w:u w:val="single"/>
        </w:rPr>
        <w:t xml:space="preserve">      </w:t>
      </w:r>
      <w:r>
        <w:rPr>
          <w:rFonts w:hint="eastAsia"/>
          <w:b/>
          <w:bCs w:val="0"/>
          <w:sz w:val="30"/>
          <w:szCs w:val="30"/>
          <w:highlight w:val="none"/>
          <w:u w:val="single"/>
          <w:lang w:val="en-US" w:eastAsia="zh-CN"/>
        </w:rPr>
        <w:t xml:space="preserve">      </w:t>
      </w:r>
      <w:r>
        <w:rPr>
          <w:rFonts w:hint="eastAsia"/>
          <w:b/>
          <w:bCs w:val="0"/>
          <w:sz w:val="30"/>
          <w:szCs w:val="30"/>
          <w:highlight w:val="none"/>
          <w:u w:val="single"/>
        </w:rPr>
        <w:t xml:space="preserve">     </w:t>
      </w:r>
      <w:r>
        <w:rPr>
          <w:rFonts w:hint="eastAsia" w:ascii="宋体" w:hAnsi="宋体" w:eastAsia="宋体" w:cs="宋体"/>
          <w:b/>
          <w:bCs w:val="0"/>
          <w:sz w:val="52"/>
          <w:szCs w:val="52"/>
          <w:highlight w:val="none"/>
          <w:u w:val="none"/>
          <w:lang w:eastAsia="zh-CN"/>
        </w:rPr>
        <w:t>项目名称</w:t>
      </w:r>
    </w:p>
    <w:p w14:paraId="1ACF638A">
      <w:pPr>
        <w:jc w:val="center"/>
        <w:rPr>
          <w:b/>
          <w:sz w:val="48"/>
          <w:szCs w:val="48"/>
          <w:highlight w:val="none"/>
        </w:rPr>
      </w:pPr>
      <w:r>
        <w:rPr>
          <w:rFonts w:hint="eastAsia"/>
          <w:b/>
          <w:sz w:val="48"/>
          <w:szCs w:val="48"/>
          <w:highlight w:val="none"/>
        </w:rPr>
        <w:t>谈判</w:t>
      </w:r>
      <w:r>
        <w:rPr>
          <w:rFonts w:hint="eastAsia"/>
          <w:b/>
          <w:sz w:val="48"/>
          <w:szCs w:val="48"/>
          <w:highlight w:val="none"/>
          <w:lang w:eastAsia="zh-CN"/>
        </w:rPr>
        <w:t>响应</w:t>
      </w:r>
      <w:r>
        <w:rPr>
          <w:rFonts w:hint="eastAsia"/>
          <w:b/>
          <w:sz w:val="48"/>
          <w:szCs w:val="48"/>
          <w:highlight w:val="none"/>
        </w:rPr>
        <w:t>文件</w:t>
      </w:r>
    </w:p>
    <w:p w14:paraId="690675B6">
      <w:pPr>
        <w:rPr>
          <w:highlight w:val="none"/>
        </w:rPr>
      </w:pPr>
    </w:p>
    <w:p w14:paraId="0B51AD1A">
      <w:pPr>
        <w:pStyle w:val="34"/>
        <w:rPr>
          <w:highlight w:val="none"/>
        </w:rPr>
      </w:pPr>
    </w:p>
    <w:p w14:paraId="28CBF7F4">
      <w:pPr>
        <w:rPr>
          <w:sz w:val="44"/>
          <w:szCs w:val="44"/>
          <w:highlight w:val="none"/>
        </w:rPr>
      </w:pPr>
    </w:p>
    <w:p w14:paraId="70FA193B">
      <w:pPr>
        <w:pStyle w:val="4"/>
        <w:rPr>
          <w:sz w:val="44"/>
          <w:szCs w:val="44"/>
          <w:highlight w:val="none"/>
        </w:rPr>
      </w:pPr>
    </w:p>
    <w:p w14:paraId="422C428A">
      <w:pPr>
        <w:pStyle w:val="4"/>
        <w:rPr>
          <w:sz w:val="44"/>
          <w:szCs w:val="44"/>
          <w:highlight w:val="none"/>
        </w:rPr>
      </w:pPr>
    </w:p>
    <w:p w14:paraId="0EE6A72D">
      <w:pPr>
        <w:ind w:firstLine="660" w:firstLineChars="150"/>
        <w:rPr>
          <w:sz w:val="44"/>
          <w:szCs w:val="44"/>
          <w:highlight w:val="none"/>
        </w:rPr>
      </w:pPr>
    </w:p>
    <w:p w14:paraId="495CAB7B">
      <w:pPr>
        <w:pStyle w:val="7"/>
      </w:pPr>
    </w:p>
    <w:p w14:paraId="3DD6CC80">
      <w:pPr>
        <w:ind w:firstLine="1355" w:firstLineChars="450"/>
        <w:rPr>
          <w:b/>
          <w:bCs w:val="0"/>
          <w:color w:val="auto"/>
          <w:sz w:val="30"/>
          <w:szCs w:val="30"/>
          <w:highlight w:val="none"/>
          <w:u w:val="single"/>
        </w:rPr>
      </w:pPr>
      <w:r>
        <w:rPr>
          <w:rFonts w:hint="eastAsia"/>
          <w:b/>
          <w:bCs w:val="0"/>
          <w:sz w:val="30"/>
          <w:szCs w:val="30"/>
          <w:highlight w:val="none"/>
        </w:rPr>
        <w:t>谈判</w:t>
      </w:r>
      <w:r>
        <w:rPr>
          <w:rFonts w:hint="eastAsia"/>
          <w:b/>
          <w:bCs w:val="0"/>
          <w:sz w:val="30"/>
          <w:szCs w:val="30"/>
          <w:highlight w:val="none"/>
          <w:lang w:eastAsia="zh-CN"/>
        </w:rPr>
        <w:t>响应人：</w:t>
      </w:r>
      <w:r>
        <w:rPr>
          <w:rFonts w:hint="eastAsia"/>
          <w:b/>
          <w:bCs w:val="0"/>
          <w:sz w:val="30"/>
          <w:szCs w:val="30"/>
          <w:highlight w:val="none"/>
          <w:u w:val="single"/>
        </w:rPr>
        <w:t xml:space="preserve">                </w:t>
      </w:r>
      <w:r>
        <w:rPr>
          <w:rFonts w:hint="eastAsia"/>
          <w:b/>
          <w:bCs w:val="0"/>
          <w:color w:val="auto"/>
          <w:sz w:val="30"/>
          <w:szCs w:val="30"/>
          <w:highlight w:val="none"/>
        </w:rPr>
        <w:t>（</w:t>
      </w:r>
      <w:r>
        <w:rPr>
          <w:rFonts w:hint="eastAsia"/>
          <w:b/>
          <w:bCs w:val="0"/>
          <w:color w:val="auto"/>
          <w:sz w:val="30"/>
          <w:szCs w:val="30"/>
          <w:highlight w:val="none"/>
          <w:lang w:eastAsia="zh-CN"/>
        </w:rPr>
        <w:t>单位章</w:t>
      </w:r>
      <w:r>
        <w:rPr>
          <w:rFonts w:hint="eastAsia"/>
          <w:b/>
          <w:bCs w:val="0"/>
          <w:color w:val="auto"/>
          <w:sz w:val="30"/>
          <w:szCs w:val="30"/>
          <w:highlight w:val="none"/>
        </w:rPr>
        <w:t>）</w:t>
      </w:r>
    </w:p>
    <w:p w14:paraId="0100BBA4">
      <w:pPr>
        <w:ind w:firstLine="1506" w:firstLineChars="500"/>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法定代表人或委托代理人：</w:t>
      </w:r>
      <w:r>
        <w:rPr>
          <w:rFonts w:hint="eastAsia"/>
          <w:b/>
          <w:bCs w:val="0"/>
          <w:color w:val="auto"/>
          <w:sz w:val="30"/>
          <w:szCs w:val="30"/>
          <w:highlight w:val="none"/>
          <w:u w:val="single"/>
        </w:rPr>
        <w:t xml:space="preserve">         </w:t>
      </w:r>
      <w:r>
        <w:rPr>
          <w:rFonts w:hint="eastAsia" w:ascii="宋体" w:hAnsi="宋体" w:eastAsia="宋体" w:cs="宋体"/>
          <w:b/>
          <w:bCs w:val="0"/>
          <w:color w:val="auto"/>
          <w:sz w:val="30"/>
          <w:szCs w:val="30"/>
          <w:highlight w:val="none"/>
        </w:rPr>
        <w:t>（签字</w:t>
      </w:r>
      <w:r>
        <w:rPr>
          <w:rFonts w:hint="eastAsia" w:ascii="宋体" w:hAnsi="宋体" w:cs="宋体"/>
          <w:b/>
          <w:bCs w:val="0"/>
          <w:color w:val="auto"/>
          <w:sz w:val="30"/>
          <w:szCs w:val="30"/>
          <w:highlight w:val="none"/>
          <w:lang w:eastAsia="zh-CN"/>
        </w:rPr>
        <w:t>或</w:t>
      </w:r>
      <w:r>
        <w:rPr>
          <w:rFonts w:hint="eastAsia" w:ascii="宋体" w:hAnsi="宋体" w:eastAsia="宋体" w:cs="宋体"/>
          <w:b/>
          <w:bCs w:val="0"/>
          <w:color w:val="auto"/>
          <w:sz w:val="30"/>
          <w:szCs w:val="30"/>
          <w:highlight w:val="none"/>
        </w:rPr>
        <w:t>盖章）</w:t>
      </w:r>
    </w:p>
    <w:p w14:paraId="361F6B04">
      <w:pPr>
        <w:ind w:firstLine="1355" w:firstLineChars="450"/>
        <w:rPr>
          <w:rFonts w:ascii="宋体" w:hAnsi="宋体"/>
          <w:b/>
          <w:sz w:val="28"/>
          <w:highlight w:val="none"/>
        </w:rPr>
      </w:pPr>
      <w:r>
        <w:rPr>
          <w:rFonts w:hint="eastAsia"/>
          <w:b/>
          <w:bCs w:val="0"/>
          <w:sz w:val="30"/>
          <w:szCs w:val="30"/>
          <w:highlight w:val="none"/>
        </w:rPr>
        <w:t>日  期：</w:t>
      </w:r>
      <w:r>
        <w:rPr>
          <w:rFonts w:hint="eastAsia"/>
          <w:b/>
          <w:bCs w:val="0"/>
          <w:sz w:val="30"/>
          <w:szCs w:val="30"/>
          <w:highlight w:val="none"/>
          <w:u w:val="single"/>
        </w:rPr>
        <w:t xml:space="preserve">                        </w:t>
      </w:r>
    </w:p>
    <w:p w14:paraId="3E370D13">
      <w:pPr>
        <w:bidi w:val="0"/>
        <w:rPr>
          <w:rFonts w:hint="eastAsia"/>
          <w:lang w:val="en-US" w:eastAsia="zh-CN"/>
        </w:rPr>
      </w:pPr>
    </w:p>
    <w:p w14:paraId="63CE969C">
      <w:pPr>
        <w:spacing w:line="360" w:lineRule="auto"/>
        <w:jc w:val="center"/>
        <w:rPr>
          <w:rFonts w:hint="eastAsia"/>
          <w:b/>
          <w:color w:val="000000"/>
          <w:sz w:val="36"/>
          <w:szCs w:val="36"/>
          <w:highlight w:val="none"/>
        </w:rPr>
      </w:pPr>
    </w:p>
    <w:p w14:paraId="3E50C388">
      <w:pPr>
        <w:spacing w:line="360" w:lineRule="auto"/>
        <w:jc w:val="center"/>
        <w:rPr>
          <w:rFonts w:hint="eastAsia"/>
          <w:b/>
          <w:color w:val="000000"/>
          <w:sz w:val="36"/>
          <w:szCs w:val="36"/>
          <w:highlight w:val="none"/>
        </w:rPr>
      </w:pPr>
    </w:p>
    <w:p w14:paraId="10D90231">
      <w:pPr>
        <w:spacing w:line="360" w:lineRule="auto"/>
        <w:jc w:val="center"/>
        <w:rPr>
          <w:b/>
          <w:color w:val="000000"/>
          <w:sz w:val="36"/>
          <w:szCs w:val="36"/>
          <w:highlight w:val="none"/>
        </w:rPr>
      </w:pPr>
      <w:r>
        <w:rPr>
          <w:rFonts w:hint="eastAsia"/>
          <w:b/>
          <w:color w:val="000000"/>
          <w:sz w:val="36"/>
          <w:szCs w:val="36"/>
          <w:highlight w:val="none"/>
        </w:rPr>
        <w:t>目</w:t>
      </w:r>
      <w:r>
        <w:rPr>
          <w:b/>
          <w:color w:val="000000"/>
          <w:sz w:val="36"/>
          <w:szCs w:val="36"/>
          <w:highlight w:val="none"/>
        </w:rPr>
        <w:t xml:space="preserve">  </w:t>
      </w:r>
      <w:r>
        <w:rPr>
          <w:rFonts w:hint="eastAsia"/>
          <w:b/>
          <w:color w:val="000000"/>
          <w:sz w:val="36"/>
          <w:szCs w:val="36"/>
          <w:highlight w:val="none"/>
        </w:rPr>
        <w:t>录</w:t>
      </w:r>
    </w:p>
    <w:p w14:paraId="78CDA98B">
      <w:pPr>
        <w:spacing w:line="360" w:lineRule="auto"/>
        <w:jc w:val="center"/>
        <w:rPr>
          <w:b/>
          <w:color w:val="000000"/>
          <w:sz w:val="44"/>
          <w:szCs w:val="44"/>
          <w:highlight w:val="none"/>
        </w:rPr>
      </w:pPr>
    </w:p>
    <w:p w14:paraId="33F70517">
      <w:pPr>
        <w:pStyle w:val="77"/>
        <w:numPr>
          <w:ilvl w:val="0"/>
          <w:numId w:val="0"/>
        </w:numPr>
        <w:tabs>
          <w:tab w:val="left" w:pos="1484"/>
        </w:tabs>
        <w:spacing w:before="232" w:after="0" w:line="240" w:lineRule="auto"/>
        <w:ind w:left="956" w:leftChars="0" w:right="0" w:rightChars="0"/>
        <w:jc w:val="left"/>
        <w:rPr>
          <w:sz w:val="24"/>
          <w:szCs w:val="24"/>
        </w:rPr>
      </w:pPr>
      <w:r>
        <w:rPr>
          <w:rFonts w:hint="eastAsia"/>
          <w:sz w:val="24"/>
          <w:szCs w:val="24"/>
          <w:lang w:eastAsia="zh-CN"/>
        </w:rPr>
        <w:t>一、</w:t>
      </w:r>
      <w:r>
        <w:rPr>
          <w:sz w:val="24"/>
          <w:szCs w:val="24"/>
        </w:rPr>
        <w:t>响应函</w:t>
      </w:r>
    </w:p>
    <w:p w14:paraId="4973D59A">
      <w:pPr>
        <w:pStyle w:val="77"/>
        <w:numPr>
          <w:ilvl w:val="0"/>
          <w:numId w:val="0"/>
        </w:numPr>
        <w:tabs>
          <w:tab w:val="left" w:pos="1484"/>
        </w:tabs>
        <w:spacing w:before="130" w:after="0" w:line="240" w:lineRule="auto"/>
        <w:ind w:left="956" w:leftChars="0" w:right="0" w:rightChars="0"/>
        <w:jc w:val="left"/>
        <w:rPr>
          <w:sz w:val="24"/>
          <w:szCs w:val="24"/>
        </w:rPr>
      </w:pPr>
      <w:r>
        <w:rPr>
          <w:rFonts w:hint="eastAsia"/>
          <w:spacing w:val="-3"/>
          <w:sz w:val="24"/>
          <w:szCs w:val="24"/>
          <w:lang w:eastAsia="zh-CN"/>
        </w:rPr>
        <w:t>二、</w:t>
      </w:r>
      <w:r>
        <w:rPr>
          <w:spacing w:val="-3"/>
          <w:sz w:val="24"/>
          <w:szCs w:val="24"/>
        </w:rPr>
        <w:t>首次报价一览表</w:t>
      </w:r>
    </w:p>
    <w:p w14:paraId="2A73E9C2">
      <w:pPr>
        <w:pStyle w:val="77"/>
        <w:numPr>
          <w:ilvl w:val="0"/>
          <w:numId w:val="0"/>
        </w:numPr>
        <w:tabs>
          <w:tab w:val="left" w:pos="1484"/>
        </w:tabs>
        <w:spacing w:before="131" w:after="0" w:line="240" w:lineRule="auto"/>
        <w:ind w:left="956" w:leftChars="0" w:right="0" w:rightChars="0"/>
        <w:jc w:val="left"/>
        <w:rPr>
          <w:sz w:val="24"/>
          <w:szCs w:val="24"/>
        </w:rPr>
      </w:pPr>
      <w:r>
        <w:rPr>
          <w:rFonts w:hint="eastAsia"/>
          <w:spacing w:val="-3"/>
          <w:sz w:val="24"/>
          <w:szCs w:val="24"/>
          <w:lang w:eastAsia="zh-CN"/>
        </w:rPr>
        <w:t>三、</w:t>
      </w:r>
      <w:r>
        <w:rPr>
          <w:spacing w:val="-3"/>
          <w:sz w:val="24"/>
          <w:szCs w:val="24"/>
        </w:rPr>
        <w:t>法定代表人（单位负责人）</w:t>
      </w:r>
      <w:r>
        <w:rPr>
          <w:spacing w:val="-2"/>
          <w:sz w:val="24"/>
          <w:szCs w:val="24"/>
        </w:rPr>
        <w:t>身份证明</w:t>
      </w:r>
    </w:p>
    <w:p w14:paraId="3F07B95D">
      <w:pPr>
        <w:pStyle w:val="77"/>
        <w:numPr>
          <w:ilvl w:val="0"/>
          <w:numId w:val="0"/>
        </w:numPr>
        <w:tabs>
          <w:tab w:val="left" w:pos="1484"/>
        </w:tabs>
        <w:spacing w:before="132" w:after="0" w:line="240" w:lineRule="auto"/>
        <w:ind w:left="956" w:leftChars="0" w:right="0" w:rightChars="0"/>
        <w:jc w:val="left"/>
        <w:rPr>
          <w:sz w:val="24"/>
          <w:szCs w:val="24"/>
        </w:rPr>
      </w:pPr>
      <w:r>
        <w:rPr>
          <w:rFonts w:hint="eastAsia"/>
          <w:spacing w:val="-3"/>
          <w:sz w:val="24"/>
          <w:szCs w:val="24"/>
          <w:lang w:eastAsia="zh-CN"/>
        </w:rPr>
        <w:t>四、</w:t>
      </w:r>
      <w:r>
        <w:rPr>
          <w:spacing w:val="-3"/>
          <w:sz w:val="24"/>
          <w:szCs w:val="24"/>
        </w:rPr>
        <w:t>授权委托书</w:t>
      </w:r>
    </w:p>
    <w:p w14:paraId="0E0B4315">
      <w:pPr>
        <w:pStyle w:val="77"/>
        <w:numPr>
          <w:ilvl w:val="0"/>
          <w:numId w:val="0"/>
        </w:numPr>
        <w:tabs>
          <w:tab w:val="left" w:pos="1489"/>
        </w:tabs>
        <w:spacing w:before="129" w:after="0" w:line="240" w:lineRule="auto"/>
        <w:ind w:left="964" w:leftChars="0" w:right="0" w:rightChars="0"/>
        <w:jc w:val="left"/>
        <w:rPr>
          <w:sz w:val="24"/>
          <w:szCs w:val="24"/>
        </w:rPr>
      </w:pPr>
      <w:r>
        <w:rPr>
          <w:rFonts w:hint="eastAsia"/>
          <w:spacing w:val="-3"/>
          <w:sz w:val="24"/>
          <w:szCs w:val="24"/>
          <w:lang w:eastAsia="zh-CN"/>
        </w:rPr>
        <w:t>五、</w:t>
      </w:r>
      <w:r>
        <w:rPr>
          <w:spacing w:val="-3"/>
          <w:sz w:val="24"/>
          <w:szCs w:val="24"/>
        </w:rPr>
        <w:t>商务和技术偏差表</w:t>
      </w:r>
    </w:p>
    <w:p w14:paraId="443803BC">
      <w:pPr>
        <w:pStyle w:val="77"/>
        <w:numPr>
          <w:ilvl w:val="0"/>
          <w:numId w:val="0"/>
        </w:numPr>
        <w:tabs>
          <w:tab w:val="left" w:pos="1484"/>
        </w:tabs>
        <w:spacing w:before="132" w:after="0" w:line="240" w:lineRule="auto"/>
        <w:ind w:right="0" w:rightChars="0" w:firstLine="936" w:firstLineChars="400"/>
        <w:jc w:val="left"/>
        <w:rPr>
          <w:sz w:val="24"/>
          <w:szCs w:val="24"/>
        </w:rPr>
      </w:pPr>
      <w:r>
        <w:rPr>
          <w:rFonts w:hint="eastAsia"/>
          <w:spacing w:val="-3"/>
          <w:sz w:val="24"/>
          <w:szCs w:val="24"/>
          <w:lang w:eastAsia="zh-CN"/>
        </w:rPr>
        <w:t>六、</w:t>
      </w:r>
      <w:r>
        <w:rPr>
          <w:spacing w:val="-3"/>
          <w:sz w:val="24"/>
          <w:szCs w:val="24"/>
        </w:rPr>
        <w:t>分项报价表</w:t>
      </w:r>
    </w:p>
    <w:p w14:paraId="016A40B9">
      <w:pPr>
        <w:pStyle w:val="77"/>
        <w:numPr>
          <w:ilvl w:val="0"/>
          <w:numId w:val="0"/>
        </w:numPr>
        <w:tabs>
          <w:tab w:val="left" w:pos="1484"/>
        </w:tabs>
        <w:spacing w:before="132" w:after="0" w:line="240" w:lineRule="auto"/>
        <w:ind w:left="956" w:leftChars="0" w:right="0" w:rightChars="0"/>
        <w:jc w:val="left"/>
        <w:rPr>
          <w:sz w:val="24"/>
          <w:szCs w:val="24"/>
        </w:rPr>
      </w:pPr>
      <w:r>
        <w:rPr>
          <w:rFonts w:hint="eastAsia"/>
          <w:sz w:val="24"/>
          <w:szCs w:val="24"/>
          <w:lang w:eastAsia="zh-CN"/>
        </w:rPr>
        <w:t>七、</w:t>
      </w:r>
      <w:r>
        <w:rPr>
          <w:sz w:val="24"/>
          <w:szCs w:val="24"/>
        </w:rPr>
        <w:t>售后服务</w:t>
      </w:r>
    </w:p>
    <w:p w14:paraId="0E454937">
      <w:pPr>
        <w:pStyle w:val="77"/>
        <w:numPr>
          <w:ilvl w:val="0"/>
          <w:numId w:val="0"/>
        </w:numPr>
        <w:tabs>
          <w:tab w:val="left" w:pos="1484"/>
        </w:tabs>
        <w:spacing w:before="129" w:after="0" w:line="240" w:lineRule="auto"/>
        <w:ind w:left="956" w:leftChars="0" w:right="0" w:rightChars="0"/>
        <w:jc w:val="left"/>
        <w:rPr>
          <w:sz w:val="24"/>
          <w:szCs w:val="24"/>
        </w:rPr>
      </w:pPr>
      <w:r>
        <w:rPr>
          <w:rFonts w:hint="eastAsia"/>
          <w:spacing w:val="-3"/>
          <w:sz w:val="24"/>
          <w:szCs w:val="24"/>
          <w:lang w:eastAsia="zh-CN"/>
        </w:rPr>
        <w:t>八、</w:t>
      </w:r>
      <w:r>
        <w:rPr>
          <w:spacing w:val="-3"/>
          <w:sz w:val="24"/>
          <w:szCs w:val="24"/>
        </w:rPr>
        <w:t>资格审查资料</w:t>
      </w:r>
    </w:p>
    <w:p w14:paraId="5059B613">
      <w:pPr>
        <w:pStyle w:val="77"/>
        <w:numPr>
          <w:ilvl w:val="0"/>
          <w:numId w:val="0"/>
        </w:numPr>
        <w:tabs>
          <w:tab w:val="left" w:pos="1484"/>
        </w:tabs>
        <w:spacing w:before="132" w:after="0" w:line="240" w:lineRule="auto"/>
        <w:ind w:left="956" w:leftChars="0" w:right="0" w:rightChars="0"/>
        <w:jc w:val="left"/>
        <w:rPr>
          <w:sz w:val="24"/>
          <w:szCs w:val="24"/>
        </w:rPr>
      </w:pPr>
      <w:r>
        <w:rPr>
          <w:rFonts w:hint="eastAsia"/>
          <w:spacing w:val="-5"/>
          <w:sz w:val="24"/>
          <w:szCs w:val="24"/>
          <w:lang w:eastAsia="zh-CN"/>
        </w:rPr>
        <w:t>九、</w:t>
      </w:r>
      <w:r>
        <w:rPr>
          <w:spacing w:val="-5"/>
          <w:sz w:val="24"/>
          <w:szCs w:val="24"/>
        </w:rPr>
        <w:t>供应商反商业贿赂书</w:t>
      </w:r>
    </w:p>
    <w:p w14:paraId="68E7342B">
      <w:pPr>
        <w:pStyle w:val="77"/>
        <w:numPr>
          <w:ilvl w:val="0"/>
          <w:numId w:val="0"/>
        </w:numPr>
        <w:tabs>
          <w:tab w:val="left" w:pos="1588"/>
        </w:tabs>
        <w:spacing w:before="132" w:after="0" w:line="240" w:lineRule="auto"/>
        <w:ind w:left="956" w:leftChars="0" w:right="0" w:rightChars="0"/>
        <w:jc w:val="left"/>
        <w:rPr>
          <w:sz w:val="24"/>
          <w:szCs w:val="24"/>
        </w:rPr>
      </w:pPr>
      <w:r>
        <w:rPr>
          <w:rFonts w:hint="eastAsia"/>
          <w:sz w:val="24"/>
          <w:szCs w:val="24"/>
          <w:lang w:eastAsia="zh-CN"/>
        </w:rPr>
        <w:t>十、</w:t>
      </w:r>
      <w:r>
        <w:rPr>
          <w:sz w:val="24"/>
          <w:szCs w:val="24"/>
        </w:rPr>
        <w:t>备品备件及附送工具清单</w:t>
      </w:r>
    </w:p>
    <w:p w14:paraId="5906A66D">
      <w:pPr>
        <w:pStyle w:val="77"/>
        <w:numPr>
          <w:ilvl w:val="0"/>
          <w:numId w:val="0"/>
        </w:numPr>
        <w:tabs>
          <w:tab w:val="left" w:pos="1588"/>
        </w:tabs>
        <w:spacing w:before="129" w:after="0" w:line="240" w:lineRule="auto"/>
        <w:ind w:left="956" w:leftChars="0" w:right="0" w:rightChars="0"/>
        <w:jc w:val="left"/>
        <w:rPr>
          <w:sz w:val="24"/>
          <w:szCs w:val="24"/>
        </w:rPr>
      </w:pPr>
      <w:r>
        <w:rPr>
          <w:rFonts w:hint="eastAsia"/>
          <w:sz w:val="24"/>
          <w:szCs w:val="24"/>
          <w:lang w:eastAsia="zh-CN"/>
        </w:rPr>
        <w:t>十一、</w:t>
      </w:r>
      <w:r>
        <w:rPr>
          <w:sz w:val="24"/>
          <w:szCs w:val="24"/>
        </w:rPr>
        <w:t>相关证明材料</w:t>
      </w:r>
    </w:p>
    <w:p w14:paraId="25201EA6">
      <w:pPr>
        <w:tabs>
          <w:tab w:val="left" w:pos="851"/>
          <w:tab w:val="left" w:pos="2552"/>
        </w:tabs>
        <w:spacing w:line="360" w:lineRule="auto"/>
        <w:ind w:firstLine="702" w:firstLineChars="270"/>
        <w:rPr>
          <w:color w:val="000000"/>
          <w:sz w:val="26"/>
          <w:highlight w:val="none"/>
        </w:rPr>
      </w:pPr>
    </w:p>
    <w:p w14:paraId="72A47984">
      <w:pPr>
        <w:pStyle w:val="6"/>
        <w:spacing w:before="45"/>
        <w:ind w:right="15"/>
        <w:rPr>
          <w:rFonts w:hint="eastAsia" w:ascii="宋体" w:hAnsi="宋体" w:eastAsia="宋体" w:cs="宋体"/>
          <w:b/>
          <w:sz w:val="24"/>
          <w:szCs w:val="24"/>
        </w:rPr>
      </w:pPr>
      <w:r>
        <w:rPr>
          <w:color w:val="000000"/>
          <w:szCs w:val="28"/>
          <w:highlight w:val="none"/>
        </w:rPr>
        <w:br w:type="page"/>
      </w:r>
      <w:bookmarkStart w:id="203" w:name="_Toc32134"/>
      <w:r>
        <w:rPr>
          <w:rFonts w:hint="eastAsia" w:ascii="宋体" w:hAnsi="宋体" w:eastAsia="宋体" w:cs="宋体"/>
          <w:b/>
          <w:bCs/>
          <w:color w:val="000000"/>
          <w:kern w:val="0"/>
          <w:sz w:val="24"/>
          <w:szCs w:val="24"/>
          <w:highlight w:val="none"/>
          <w:lang w:val="en-US" w:eastAsia="zh-CN" w:bidi="ar"/>
        </w:rPr>
        <w:t>一</w:t>
      </w:r>
      <w:bookmarkEnd w:id="203"/>
      <w:r>
        <w:rPr>
          <w:rFonts w:hint="eastAsia" w:ascii="宋体" w:hAnsi="宋体" w:eastAsia="宋体" w:cs="宋体"/>
          <w:b/>
          <w:bCs/>
          <w:color w:val="000000"/>
          <w:kern w:val="0"/>
          <w:sz w:val="24"/>
          <w:szCs w:val="24"/>
          <w:highlight w:val="none"/>
          <w:lang w:val="en-US" w:eastAsia="zh-CN" w:bidi="ar"/>
        </w:rPr>
        <w:t>、响应函</w:t>
      </w:r>
    </w:p>
    <w:p w14:paraId="26ACF7D9">
      <w:pPr>
        <w:pStyle w:val="4"/>
        <w:tabs>
          <w:tab w:val="left" w:pos="2012"/>
        </w:tabs>
        <w:spacing w:before="267"/>
        <w:ind w:left="438"/>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(采购人)</w:t>
      </w:r>
      <w:r>
        <w:rPr>
          <w:rFonts w:hint="eastAsia" w:ascii="宋体" w:hAnsi="宋体" w:eastAsia="宋体" w:cs="宋体"/>
          <w:sz w:val="24"/>
          <w:szCs w:val="24"/>
        </w:rPr>
        <w:t>：</w:t>
      </w:r>
    </w:p>
    <w:p w14:paraId="34BDD74D">
      <w:pPr>
        <w:pStyle w:val="4"/>
        <w:tabs>
          <w:tab w:val="left" w:pos="3798"/>
          <w:tab w:val="left" w:pos="4139"/>
          <w:tab w:val="left" w:pos="6739"/>
          <w:tab w:val="left" w:pos="9244"/>
          <w:tab w:val="left" w:pos="9311"/>
        </w:tabs>
        <w:spacing w:before="139" w:line="364" w:lineRule="auto"/>
        <w:ind w:left="438" w:right="450" w:firstLine="420"/>
        <w:jc w:val="both"/>
        <w:rPr>
          <w:rFonts w:hint="eastAsia" w:ascii="宋体" w:hAnsi="宋体" w:eastAsia="宋体" w:cs="宋体"/>
          <w:sz w:val="24"/>
          <w:szCs w:val="24"/>
        </w:rPr>
      </w:pPr>
      <w:r>
        <w:rPr>
          <w:rFonts w:hint="eastAsia" w:ascii="宋体" w:hAnsi="宋体" w:eastAsia="宋体" w:cs="宋体"/>
          <w:sz w:val="24"/>
          <w:szCs w:val="24"/>
        </w:rPr>
        <w:t>我方己仔细研究了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(项目名称)的</w:t>
      </w:r>
      <w:r>
        <w:rPr>
          <w:rFonts w:hint="eastAsia" w:ascii="宋体" w:hAnsi="宋体" w:eastAsia="宋体" w:cs="宋体"/>
          <w:sz w:val="24"/>
          <w:szCs w:val="24"/>
          <w:lang w:eastAsia="zh-CN"/>
        </w:rPr>
        <w:t>竞争性谈判</w:t>
      </w:r>
      <w:r>
        <w:rPr>
          <w:rFonts w:hint="eastAsia" w:ascii="宋体" w:hAnsi="宋体" w:eastAsia="宋体" w:cs="宋体"/>
          <w:sz w:val="24"/>
          <w:szCs w:val="24"/>
        </w:rPr>
        <w:t>文</w:t>
      </w:r>
      <w:r>
        <w:rPr>
          <w:rFonts w:hint="eastAsia" w:ascii="宋体" w:hAnsi="宋体" w:eastAsia="宋体" w:cs="宋体"/>
          <w:spacing w:val="-27"/>
          <w:sz w:val="24"/>
          <w:szCs w:val="24"/>
        </w:rPr>
        <w:t>件</w:t>
      </w:r>
      <w:r>
        <w:rPr>
          <w:rFonts w:hint="eastAsia" w:ascii="宋体" w:hAnsi="宋体" w:eastAsia="宋体" w:cs="宋体"/>
          <w:sz w:val="24"/>
          <w:szCs w:val="24"/>
        </w:rPr>
        <w:t>（</w:t>
      </w:r>
      <w:r>
        <w:rPr>
          <w:rFonts w:hint="eastAsia" w:ascii="宋体" w:hAnsi="宋体" w:cs="宋体"/>
          <w:sz w:val="24"/>
          <w:szCs w:val="24"/>
          <w:lang w:eastAsia="zh-CN"/>
        </w:rPr>
        <w:t>项目</w:t>
      </w:r>
      <w:r>
        <w:rPr>
          <w:rFonts w:hint="eastAsia" w:ascii="宋体" w:hAnsi="宋体" w:eastAsia="宋体" w:cs="宋体"/>
          <w:sz w:val="24"/>
          <w:szCs w:val="24"/>
        </w:rPr>
        <w:t>编号</w:t>
      </w:r>
      <w:r>
        <w:rPr>
          <w:rFonts w:hint="eastAsia" w:ascii="宋体" w:hAnsi="宋体" w:eastAsia="宋体" w:cs="宋体"/>
          <w:spacing w:val="-25"/>
          <w:sz w:val="24"/>
          <w:szCs w:val="24"/>
        </w:rPr>
        <w:t>：</w:t>
      </w:r>
      <w:r>
        <w:rPr>
          <w:rFonts w:hint="eastAsia" w:ascii="宋体" w:hAnsi="宋体" w:eastAsia="宋体" w:cs="宋体"/>
          <w:spacing w:val="-25"/>
          <w:sz w:val="24"/>
          <w:szCs w:val="24"/>
          <w:u w:val="single"/>
        </w:rPr>
        <w:t xml:space="preserve"> </w:t>
      </w:r>
      <w:r>
        <w:rPr>
          <w:rFonts w:hint="eastAsia" w:ascii="宋体" w:hAnsi="宋体" w:eastAsia="宋体" w:cs="宋体"/>
          <w:spacing w:val="-25"/>
          <w:sz w:val="24"/>
          <w:szCs w:val="24"/>
          <w:u w:val="single"/>
          <w:lang w:val="en-US" w:eastAsia="zh-CN"/>
        </w:rPr>
        <w:t xml:space="preserve">   </w:t>
      </w:r>
      <w:r>
        <w:rPr>
          <w:rFonts w:hint="eastAsia" w:ascii="宋体" w:hAnsi="宋体" w:eastAsia="宋体" w:cs="宋体"/>
          <w:spacing w:val="-25"/>
          <w:sz w:val="24"/>
          <w:szCs w:val="24"/>
          <w:u w:val="single"/>
        </w:rPr>
        <w:tab/>
      </w:r>
      <w:r>
        <w:rPr>
          <w:rFonts w:hint="eastAsia" w:ascii="宋体" w:hAnsi="宋体" w:eastAsia="宋体" w:cs="宋体"/>
          <w:spacing w:val="-25"/>
          <w:sz w:val="24"/>
          <w:szCs w:val="24"/>
        </w:rPr>
        <w:t>）</w:t>
      </w:r>
      <w:r>
        <w:rPr>
          <w:rFonts w:hint="eastAsia" w:ascii="宋体" w:hAnsi="宋体" w:eastAsia="宋体" w:cs="宋体"/>
          <w:sz w:val="24"/>
          <w:szCs w:val="24"/>
        </w:rPr>
        <w:t>的全</w:t>
      </w:r>
      <w:r>
        <w:rPr>
          <w:rFonts w:hint="eastAsia" w:ascii="宋体" w:hAnsi="宋体" w:eastAsia="宋体" w:cs="宋体"/>
          <w:spacing w:val="-13"/>
          <w:sz w:val="24"/>
          <w:szCs w:val="24"/>
        </w:rPr>
        <w:t>部</w:t>
      </w:r>
      <w:r>
        <w:rPr>
          <w:rFonts w:hint="eastAsia" w:ascii="宋体" w:hAnsi="宋体" w:eastAsia="宋体" w:cs="宋体"/>
          <w:sz w:val="24"/>
          <w:szCs w:val="24"/>
        </w:rPr>
        <w:t>内容</w:t>
      </w:r>
      <w:r>
        <w:rPr>
          <w:rFonts w:hint="eastAsia" w:ascii="宋体" w:hAnsi="宋体" w:eastAsia="宋体" w:cs="宋体"/>
          <w:spacing w:val="-8"/>
          <w:sz w:val="24"/>
          <w:szCs w:val="24"/>
        </w:rPr>
        <w:t>，</w:t>
      </w:r>
      <w:r>
        <w:rPr>
          <w:rFonts w:hint="eastAsia" w:ascii="宋体" w:hAnsi="宋体" w:eastAsia="宋体" w:cs="宋体"/>
          <w:sz w:val="24"/>
          <w:szCs w:val="24"/>
          <w:lang w:eastAsia="zh-CN"/>
        </w:rPr>
        <w:t>响应</w:t>
      </w:r>
      <w:r>
        <w:rPr>
          <w:rFonts w:hint="eastAsia" w:ascii="宋体" w:hAnsi="宋体" w:eastAsia="宋体" w:cs="宋体"/>
          <w:sz w:val="24"/>
          <w:szCs w:val="24"/>
        </w:rPr>
        <w:t>报价</w:t>
      </w:r>
      <w:r>
        <w:rPr>
          <w:rFonts w:hint="eastAsia" w:ascii="宋体" w:hAnsi="宋体" w:eastAsia="宋体" w:cs="宋体"/>
          <w:spacing w:val="-8"/>
          <w:sz w:val="24"/>
          <w:szCs w:val="24"/>
        </w:rPr>
        <w:t>为</w:t>
      </w:r>
      <w:r>
        <w:rPr>
          <w:rFonts w:hint="eastAsia" w:ascii="宋体" w:hAnsi="宋体" w:eastAsia="宋体" w:cs="宋体"/>
          <w:sz w:val="24"/>
          <w:szCs w:val="24"/>
        </w:rPr>
        <w:t>（大写</w:t>
      </w:r>
      <w:r>
        <w:rPr>
          <w:rFonts w:hint="eastAsia" w:ascii="宋体" w:hAnsi="宋体" w:eastAsia="宋体" w:cs="宋体"/>
          <w:spacing w:val="-8"/>
          <w:sz w:val="24"/>
          <w:szCs w:val="24"/>
        </w:rPr>
        <w:t>）</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u w:val="single"/>
        </w:rPr>
        <w:tab/>
      </w:r>
      <w:r>
        <w:rPr>
          <w:rFonts w:hint="eastAsia" w:ascii="宋体" w:hAnsi="宋体" w:eastAsia="宋体" w:cs="宋体"/>
          <w:spacing w:val="-8"/>
          <w:sz w:val="24"/>
          <w:szCs w:val="24"/>
          <w:u w:val="single"/>
        </w:rPr>
        <w:tab/>
      </w:r>
      <w:r>
        <w:rPr>
          <w:rFonts w:hint="eastAsia" w:ascii="宋体" w:hAnsi="宋体" w:eastAsia="宋体" w:cs="宋体"/>
          <w:spacing w:val="-5"/>
          <w:sz w:val="24"/>
          <w:szCs w:val="24"/>
        </w:rPr>
        <w:t>，</w:t>
      </w:r>
      <w:r>
        <w:rPr>
          <w:rFonts w:hint="eastAsia" w:ascii="宋体" w:hAnsi="宋体" w:eastAsia="宋体" w:cs="宋体"/>
          <w:sz w:val="24"/>
          <w:szCs w:val="24"/>
        </w:rPr>
        <w:t>人民</w:t>
      </w:r>
      <w:r>
        <w:rPr>
          <w:rFonts w:hint="eastAsia" w:ascii="宋体" w:hAnsi="宋体" w:eastAsia="宋体" w:cs="宋体"/>
          <w:spacing w:val="-8"/>
          <w:sz w:val="24"/>
          <w:szCs w:val="24"/>
        </w:rPr>
        <w:t>币</w:t>
      </w:r>
      <w:r>
        <w:rPr>
          <w:rFonts w:hint="eastAsia" w:ascii="宋体" w:hAnsi="宋体" w:eastAsia="宋体" w:cs="宋体"/>
          <w:spacing w:val="-3"/>
          <w:sz w:val="24"/>
          <w:szCs w:val="24"/>
        </w:rPr>
        <w:t>（¥：</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u w:val="single"/>
        </w:rPr>
        <w:tab/>
      </w:r>
      <w:r>
        <w:rPr>
          <w:rFonts w:hint="eastAsia" w:ascii="宋体" w:hAnsi="宋体" w:eastAsia="宋体" w:cs="宋体"/>
          <w:sz w:val="24"/>
          <w:szCs w:val="24"/>
        </w:rPr>
        <w:t>元</w:t>
      </w:r>
      <w:r>
        <w:rPr>
          <w:rFonts w:hint="eastAsia" w:ascii="宋体" w:hAnsi="宋体" w:eastAsia="宋体" w:cs="宋体"/>
          <w:spacing w:val="-10"/>
          <w:sz w:val="24"/>
          <w:szCs w:val="24"/>
        </w:rPr>
        <w:t>）</w:t>
      </w:r>
      <w:r>
        <w:rPr>
          <w:rFonts w:hint="eastAsia" w:ascii="宋体" w:hAnsi="宋体" w:eastAsia="宋体" w:cs="宋体"/>
          <w:sz w:val="24"/>
          <w:szCs w:val="24"/>
        </w:rPr>
        <w:t>供货期</w:t>
      </w:r>
      <w:r>
        <w:rPr>
          <w:rFonts w:hint="eastAsia" w:ascii="宋体" w:hAnsi="宋体" w:eastAsia="宋体" w:cs="宋体"/>
          <w:spacing w:val="-9"/>
          <w:sz w:val="24"/>
          <w:szCs w:val="24"/>
        </w:rPr>
        <w:t>：</w:t>
      </w:r>
      <w:r>
        <w:rPr>
          <w:rFonts w:hint="eastAsia" w:ascii="宋体" w:hAnsi="宋体" w:eastAsia="宋体" w:cs="宋体"/>
          <w:spacing w:val="-9"/>
          <w:sz w:val="24"/>
          <w:szCs w:val="24"/>
          <w:u w:val="single"/>
        </w:rPr>
        <w:t xml:space="preserve"> </w:t>
      </w:r>
      <w:r>
        <w:rPr>
          <w:rFonts w:hint="eastAsia" w:ascii="宋体" w:hAnsi="宋体" w:eastAsia="宋体" w:cs="宋体"/>
          <w:spacing w:val="-9"/>
          <w:sz w:val="24"/>
          <w:szCs w:val="24"/>
          <w:u w:val="single"/>
        </w:rPr>
        <w:tab/>
      </w:r>
      <w:r>
        <w:rPr>
          <w:rFonts w:hint="eastAsia" w:ascii="宋体" w:hAnsi="宋体" w:eastAsia="宋体" w:cs="宋体"/>
          <w:spacing w:val="-8"/>
          <w:sz w:val="24"/>
          <w:szCs w:val="24"/>
        </w:rPr>
        <w:t>，</w:t>
      </w:r>
      <w:r>
        <w:rPr>
          <w:rFonts w:hint="eastAsia" w:ascii="宋体" w:hAnsi="宋体" w:eastAsia="宋体" w:cs="宋体"/>
          <w:sz w:val="24"/>
          <w:szCs w:val="24"/>
        </w:rPr>
        <w:t>并承</w:t>
      </w:r>
      <w:r>
        <w:rPr>
          <w:rFonts w:hint="eastAsia" w:ascii="宋体" w:hAnsi="宋体" w:eastAsia="宋体" w:cs="宋体"/>
          <w:spacing w:val="-15"/>
          <w:sz w:val="24"/>
          <w:szCs w:val="24"/>
        </w:rPr>
        <w:t>诺</w:t>
      </w:r>
      <w:r>
        <w:rPr>
          <w:rFonts w:hint="eastAsia" w:ascii="宋体" w:hAnsi="宋体" w:eastAsia="宋体" w:cs="宋体"/>
          <w:sz w:val="24"/>
          <w:szCs w:val="24"/>
        </w:rPr>
        <w:t>如下：</w:t>
      </w:r>
    </w:p>
    <w:p w14:paraId="1E52E257">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一、我方已详细研究</w:t>
      </w:r>
      <w:r>
        <w:rPr>
          <w:rFonts w:hint="eastAsia" w:ascii="宋体" w:hAnsi="宋体" w:cs="宋体"/>
          <w:sz w:val="24"/>
          <w:szCs w:val="24"/>
          <w:lang w:eastAsia="zh-CN"/>
        </w:rPr>
        <w:t>竞争性谈判</w:t>
      </w:r>
      <w:r>
        <w:rPr>
          <w:rFonts w:hint="eastAsia" w:ascii="宋体" w:hAnsi="宋体" w:eastAsia="宋体" w:cs="宋体"/>
          <w:sz w:val="24"/>
          <w:szCs w:val="24"/>
        </w:rPr>
        <w:t>文件及</w:t>
      </w:r>
      <w:r>
        <w:rPr>
          <w:rFonts w:hint="eastAsia" w:ascii="宋体" w:hAnsi="宋体" w:cs="宋体"/>
          <w:sz w:val="24"/>
          <w:szCs w:val="24"/>
          <w:lang w:eastAsia="zh-CN"/>
        </w:rPr>
        <w:t>竞争性谈判</w:t>
      </w:r>
      <w:r>
        <w:rPr>
          <w:rFonts w:hint="eastAsia" w:ascii="宋体" w:hAnsi="宋体" w:eastAsia="宋体" w:cs="宋体"/>
          <w:sz w:val="24"/>
          <w:szCs w:val="24"/>
        </w:rPr>
        <w:t>文件的澄清和修改（如有），我们完全理解并接受本</w:t>
      </w:r>
      <w:r>
        <w:rPr>
          <w:rFonts w:hint="eastAsia" w:ascii="宋体" w:hAnsi="宋体" w:cs="宋体"/>
          <w:sz w:val="24"/>
          <w:szCs w:val="24"/>
          <w:lang w:eastAsia="zh-CN"/>
        </w:rPr>
        <w:t>竞争性谈判</w:t>
      </w:r>
      <w:r>
        <w:rPr>
          <w:rFonts w:hint="eastAsia" w:ascii="宋体" w:hAnsi="宋体" w:eastAsia="宋体" w:cs="宋体"/>
          <w:sz w:val="24"/>
          <w:szCs w:val="24"/>
        </w:rPr>
        <w:t>文件的全部内容和要求，我方同意放弃对</w:t>
      </w:r>
      <w:r>
        <w:rPr>
          <w:rFonts w:hint="eastAsia" w:ascii="宋体" w:hAnsi="宋体" w:cs="宋体"/>
          <w:sz w:val="24"/>
          <w:szCs w:val="24"/>
          <w:lang w:eastAsia="zh-CN"/>
        </w:rPr>
        <w:t>竞争性谈判</w:t>
      </w:r>
      <w:r>
        <w:rPr>
          <w:rFonts w:hint="eastAsia" w:ascii="宋体" w:hAnsi="宋体" w:eastAsia="宋体" w:cs="宋体"/>
          <w:sz w:val="24"/>
          <w:szCs w:val="24"/>
        </w:rPr>
        <w:t>文件提出不明或误解的权力。</w:t>
      </w:r>
    </w:p>
    <w:p w14:paraId="15DA1310">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二、我方愿意遵守</w:t>
      </w:r>
      <w:r>
        <w:rPr>
          <w:rFonts w:hint="eastAsia" w:ascii="宋体" w:hAnsi="宋体" w:cs="宋体"/>
          <w:sz w:val="24"/>
          <w:szCs w:val="24"/>
          <w:lang w:eastAsia="zh-CN"/>
        </w:rPr>
        <w:t>竞争性谈判</w:t>
      </w:r>
      <w:r>
        <w:rPr>
          <w:rFonts w:hint="eastAsia" w:ascii="宋体" w:hAnsi="宋体" w:eastAsia="宋体" w:cs="宋体"/>
          <w:sz w:val="24"/>
          <w:szCs w:val="24"/>
        </w:rPr>
        <w:t>文件的各项规定，自愿参加</w:t>
      </w:r>
      <w:r>
        <w:rPr>
          <w:rFonts w:hint="eastAsia" w:ascii="宋体" w:hAnsi="宋体" w:cs="宋体"/>
          <w:sz w:val="24"/>
          <w:szCs w:val="24"/>
          <w:lang w:eastAsia="zh-CN"/>
        </w:rPr>
        <w:t>竞争性谈判</w:t>
      </w:r>
      <w:r>
        <w:rPr>
          <w:rFonts w:hint="eastAsia" w:ascii="宋体" w:hAnsi="宋体" w:eastAsia="宋体" w:cs="宋体"/>
          <w:sz w:val="24"/>
          <w:szCs w:val="24"/>
        </w:rPr>
        <w:t>,并将严格按照</w:t>
      </w:r>
      <w:r>
        <w:rPr>
          <w:rFonts w:hint="eastAsia" w:ascii="宋体" w:hAnsi="宋体" w:cs="宋体"/>
          <w:sz w:val="24"/>
          <w:szCs w:val="24"/>
          <w:lang w:eastAsia="zh-CN"/>
        </w:rPr>
        <w:t>竞争性谈判</w:t>
      </w:r>
      <w:r>
        <w:rPr>
          <w:rFonts w:hint="eastAsia" w:ascii="宋体" w:hAnsi="宋体" w:eastAsia="宋体" w:cs="宋体"/>
          <w:sz w:val="24"/>
          <w:szCs w:val="24"/>
        </w:rPr>
        <w:t>文件的规定履行全部责任和义务。</w:t>
      </w:r>
    </w:p>
    <w:p w14:paraId="65721DA2">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三、我方保证响应文件提供的数据和材料是真实、准确的。</w:t>
      </w:r>
    </w:p>
    <w:p w14:paraId="0DFFB26E">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四、我方愿意如实向</w:t>
      </w:r>
      <w:r>
        <w:rPr>
          <w:rFonts w:hint="eastAsia" w:ascii="宋体" w:hAnsi="宋体" w:cs="宋体"/>
          <w:sz w:val="24"/>
          <w:szCs w:val="24"/>
          <w:lang w:eastAsia="zh-CN"/>
        </w:rPr>
        <w:t>竞争性谈判</w:t>
      </w:r>
      <w:r>
        <w:rPr>
          <w:rFonts w:hint="eastAsia" w:ascii="宋体" w:hAnsi="宋体" w:eastAsia="宋体" w:cs="宋体"/>
          <w:sz w:val="24"/>
          <w:szCs w:val="24"/>
        </w:rPr>
        <w:t>小组提供与本此</w:t>
      </w:r>
      <w:r>
        <w:rPr>
          <w:rFonts w:hint="eastAsia" w:ascii="宋体" w:hAnsi="宋体" w:cs="宋体"/>
          <w:sz w:val="24"/>
          <w:szCs w:val="24"/>
          <w:lang w:eastAsia="zh-CN"/>
        </w:rPr>
        <w:t>竞争性谈判</w:t>
      </w:r>
      <w:r>
        <w:rPr>
          <w:rFonts w:hint="eastAsia" w:ascii="宋体" w:hAnsi="宋体" w:eastAsia="宋体" w:cs="宋体"/>
          <w:sz w:val="24"/>
          <w:szCs w:val="24"/>
        </w:rPr>
        <w:t xml:space="preserve">有关的任何数据、情况和技术资料。  </w:t>
      </w:r>
    </w:p>
    <w:p w14:paraId="538A3176">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五、我方承诺除商务和技术偏差表列出的偏差外</w:t>
      </w:r>
      <w:r>
        <w:rPr>
          <w:rFonts w:hint="eastAsia" w:ascii="宋体" w:hAnsi="宋体" w:cs="宋体"/>
          <w:sz w:val="24"/>
          <w:szCs w:val="24"/>
          <w:lang w:eastAsia="zh-CN"/>
        </w:rPr>
        <w:t>（如有）</w:t>
      </w:r>
      <w:r>
        <w:rPr>
          <w:rFonts w:hint="eastAsia" w:ascii="宋体" w:hAnsi="宋体" w:eastAsia="宋体" w:cs="宋体"/>
          <w:sz w:val="24"/>
          <w:szCs w:val="24"/>
        </w:rPr>
        <w:t>，我方响应</w:t>
      </w:r>
      <w:r>
        <w:rPr>
          <w:rFonts w:hint="eastAsia" w:ascii="宋体" w:hAnsi="宋体" w:cs="宋体"/>
          <w:sz w:val="24"/>
          <w:szCs w:val="24"/>
          <w:lang w:eastAsia="zh-CN"/>
        </w:rPr>
        <w:t>竞争性谈判</w:t>
      </w:r>
      <w:r>
        <w:rPr>
          <w:rFonts w:hint="eastAsia" w:ascii="宋体" w:hAnsi="宋体" w:eastAsia="宋体" w:cs="宋体"/>
          <w:sz w:val="24"/>
          <w:szCs w:val="24"/>
        </w:rPr>
        <w:t xml:space="preserve">文件的全部要求。  </w:t>
      </w:r>
    </w:p>
    <w:p w14:paraId="5CE9308E">
      <w:pPr>
        <w:pStyle w:val="4"/>
        <w:spacing w:line="364" w:lineRule="auto"/>
        <w:ind w:left="438" w:right="453" w:firstLine="420"/>
        <w:rPr>
          <w:rFonts w:hint="eastAsia" w:ascii="宋体" w:hAnsi="宋体" w:eastAsia="宋体" w:cs="宋体"/>
          <w:sz w:val="24"/>
          <w:szCs w:val="24"/>
        </w:rPr>
      </w:pPr>
      <w:r>
        <w:rPr>
          <w:rFonts w:hint="eastAsia" w:ascii="宋体" w:hAnsi="宋体" w:eastAsia="宋体" w:cs="宋体"/>
          <w:sz w:val="24"/>
          <w:szCs w:val="24"/>
        </w:rPr>
        <w:t>六、如我方成为成交供应商我方承诺：</w:t>
      </w:r>
    </w:p>
    <w:p w14:paraId="11BEF7F8">
      <w:pPr>
        <w:pStyle w:val="77"/>
        <w:numPr>
          <w:ilvl w:val="0"/>
          <w:numId w:val="5"/>
        </w:numPr>
        <w:tabs>
          <w:tab w:val="left" w:pos="1383"/>
        </w:tabs>
        <w:spacing w:before="0" w:after="0" w:line="269" w:lineRule="exact"/>
        <w:ind w:left="1382" w:right="0" w:hanging="524"/>
        <w:jc w:val="left"/>
        <w:rPr>
          <w:rFonts w:hint="eastAsia" w:ascii="宋体" w:hAnsi="宋体" w:eastAsia="宋体" w:cs="宋体"/>
          <w:sz w:val="24"/>
          <w:szCs w:val="24"/>
        </w:rPr>
      </w:pPr>
      <w:r>
        <w:rPr>
          <w:rFonts w:hint="eastAsia" w:ascii="宋体" w:hAnsi="宋体" w:eastAsia="宋体" w:cs="宋体"/>
          <w:sz w:val="24"/>
          <w:szCs w:val="24"/>
        </w:rPr>
        <w:t>在收到成交通知书后，在成交通知书规定的期限内与你方签订合同。</w:t>
      </w:r>
    </w:p>
    <w:p w14:paraId="002DF871">
      <w:pPr>
        <w:pStyle w:val="77"/>
        <w:numPr>
          <w:ilvl w:val="0"/>
          <w:numId w:val="5"/>
        </w:numPr>
        <w:tabs>
          <w:tab w:val="left" w:pos="1383"/>
        </w:tabs>
        <w:spacing w:before="139" w:after="0" w:line="240" w:lineRule="auto"/>
        <w:ind w:left="1382" w:right="0" w:hanging="524"/>
        <w:jc w:val="left"/>
        <w:rPr>
          <w:rFonts w:hint="eastAsia" w:ascii="宋体" w:hAnsi="宋体" w:eastAsia="宋体" w:cs="宋体"/>
          <w:sz w:val="24"/>
          <w:szCs w:val="24"/>
        </w:rPr>
      </w:pPr>
      <w:r>
        <w:rPr>
          <w:rFonts w:hint="eastAsia" w:cs="宋体"/>
          <w:sz w:val="24"/>
          <w:szCs w:val="24"/>
          <w:lang w:eastAsia="zh-CN"/>
        </w:rPr>
        <w:t>及时足额的缴纳代理服务费。</w:t>
      </w:r>
    </w:p>
    <w:p w14:paraId="3F0514EC">
      <w:pPr>
        <w:pStyle w:val="77"/>
        <w:numPr>
          <w:ilvl w:val="0"/>
          <w:numId w:val="5"/>
        </w:numPr>
        <w:tabs>
          <w:tab w:val="left" w:pos="1383"/>
        </w:tabs>
        <w:spacing w:before="139" w:after="0" w:line="240" w:lineRule="auto"/>
        <w:ind w:left="1382" w:right="0" w:hanging="524"/>
        <w:jc w:val="left"/>
        <w:rPr>
          <w:rFonts w:hint="eastAsia" w:ascii="宋体" w:hAnsi="宋体" w:eastAsia="宋体" w:cs="宋体"/>
          <w:sz w:val="24"/>
          <w:szCs w:val="24"/>
        </w:rPr>
      </w:pPr>
      <w:r>
        <w:rPr>
          <w:rFonts w:hint="eastAsia" w:ascii="宋体" w:hAnsi="宋体" w:eastAsia="宋体" w:cs="宋体"/>
          <w:sz w:val="24"/>
          <w:szCs w:val="24"/>
        </w:rPr>
        <w:t>在合同约定的期限内完成合同约定的全部义务。</w:t>
      </w:r>
    </w:p>
    <w:p w14:paraId="0C108200">
      <w:pPr>
        <w:pStyle w:val="77"/>
        <w:numPr>
          <w:ilvl w:val="0"/>
          <w:numId w:val="5"/>
        </w:numPr>
        <w:tabs>
          <w:tab w:val="left" w:pos="1383"/>
        </w:tabs>
        <w:spacing w:before="139" w:after="0" w:line="240" w:lineRule="auto"/>
        <w:ind w:left="1382" w:right="0" w:hanging="524"/>
        <w:jc w:val="left"/>
        <w:rPr>
          <w:rFonts w:hint="eastAsia" w:ascii="宋体" w:hAnsi="宋体" w:eastAsia="宋体" w:cs="宋体"/>
          <w:sz w:val="24"/>
          <w:szCs w:val="24"/>
        </w:rPr>
      </w:pPr>
      <w:r>
        <w:rPr>
          <w:rFonts w:hint="eastAsia" w:ascii="宋体" w:hAnsi="宋体" w:eastAsia="宋体" w:cs="宋体"/>
          <w:sz w:val="24"/>
          <w:szCs w:val="24"/>
        </w:rPr>
        <w:t>在签订合同时不向你方提出附加条件</w:t>
      </w:r>
      <w:r>
        <w:rPr>
          <w:rFonts w:hint="eastAsia" w:cs="宋体"/>
          <w:sz w:val="24"/>
          <w:szCs w:val="24"/>
          <w:lang w:eastAsia="zh-CN"/>
        </w:rPr>
        <w:t>。</w:t>
      </w:r>
    </w:p>
    <w:p w14:paraId="69E3A3C2">
      <w:pPr>
        <w:pStyle w:val="4"/>
        <w:numPr>
          <w:ilvl w:val="0"/>
          <w:numId w:val="6"/>
        </w:numPr>
        <w:tabs>
          <w:tab w:val="left" w:pos="4112"/>
        </w:tabs>
        <w:spacing w:before="139" w:line="364" w:lineRule="auto"/>
        <w:ind w:left="858" w:right="4576"/>
        <w:rPr>
          <w:rFonts w:hint="eastAsia" w:ascii="宋体" w:hAnsi="宋体" w:eastAsia="宋体" w:cs="宋体"/>
          <w:spacing w:val="-13"/>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（其他补充</w:t>
      </w:r>
      <w:r>
        <w:rPr>
          <w:rFonts w:hint="eastAsia" w:ascii="宋体" w:hAnsi="宋体" w:eastAsia="宋体" w:cs="宋体"/>
          <w:sz w:val="24"/>
          <w:szCs w:val="24"/>
          <w:lang w:eastAsia="zh-CN"/>
        </w:rPr>
        <w:t>说</w:t>
      </w:r>
      <w:r>
        <w:rPr>
          <w:rFonts w:hint="eastAsia" w:ascii="宋体" w:hAnsi="宋体" w:eastAsia="宋体" w:cs="宋体"/>
          <w:sz w:val="24"/>
          <w:szCs w:val="24"/>
        </w:rPr>
        <w:t>明）</w:t>
      </w:r>
      <w:r>
        <w:rPr>
          <w:rFonts w:hint="eastAsia" w:ascii="宋体" w:hAnsi="宋体" w:eastAsia="宋体" w:cs="宋体"/>
          <w:spacing w:val="-13"/>
          <w:sz w:val="24"/>
          <w:szCs w:val="24"/>
        </w:rPr>
        <w:t>。</w:t>
      </w:r>
    </w:p>
    <w:p w14:paraId="2A2D6253">
      <w:pPr>
        <w:pStyle w:val="4"/>
        <w:numPr>
          <w:ilvl w:val="0"/>
          <w:numId w:val="0"/>
        </w:numPr>
        <w:tabs>
          <w:tab w:val="left" w:pos="4112"/>
        </w:tabs>
        <w:spacing w:before="139" w:line="364" w:lineRule="auto"/>
        <w:ind w:right="4576" w:rightChars="0" w:firstLine="960" w:firstLineChars="400"/>
        <w:rPr>
          <w:rFonts w:hint="eastAsia" w:ascii="宋体" w:hAnsi="宋体" w:eastAsia="宋体" w:cs="宋体"/>
          <w:sz w:val="24"/>
          <w:szCs w:val="24"/>
        </w:rPr>
      </w:pPr>
      <w:r>
        <w:rPr>
          <w:rFonts w:hint="eastAsia" w:ascii="宋体" w:hAnsi="宋体" w:eastAsia="宋体" w:cs="宋体"/>
          <w:sz w:val="24"/>
          <w:szCs w:val="24"/>
        </w:rPr>
        <w:t>八、我方若违反本承诺，愿承担相应的法律责任。</w:t>
      </w:r>
    </w:p>
    <w:p w14:paraId="0CE171E9">
      <w:pPr>
        <w:pStyle w:val="4"/>
        <w:rPr>
          <w:rFonts w:hint="eastAsia" w:ascii="宋体" w:hAnsi="宋体" w:eastAsia="宋体" w:cs="宋体"/>
          <w:sz w:val="24"/>
          <w:szCs w:val="24"/>
        </w:rPr>
      </w:pPr>
    </w:p>
    <w:p w14:paraId="2EB46F76">
      <w:pPr>
        <w:pStyle w:val="4"/>
        <w:tabs>
          <w:tab w:val="left" w:pos="8444"/>
        </w:tabs>
        <w:spacing w:line="400" w:lineRule="atLeast"/>
        <w:ind w:right="454" w:firstLine="4800" w:firstLineChars="2000"/>
        <w:rPr>
          <w:rFonts w:hint="eastAsia" w:ascii="宋体" w:hAnsi="宋体" w:eastAsia="宋体" w:cs="宋体"/>
          <w:spacing w:val="-15"/>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章</w:t>
      </w:r>
      <w:r>
        <w:rPr>
          <w:rFonts w:hint="eastAsia" w:ascii="宋体" w:hAnsi="宋体" w:eastAsia="宋体" w:cs="宋体"/>
          <w:spacing w:val="-15"/>
          <w:sz w:val="24"/>
          <w:szCs w:val="24"/>
        </w:rPr>
        <w:t xml:space="preserve">） </w:t>
      </w:r>
    </w:p>
    <w:p w14:paraId="0E118C76">
      <w:pPr>
        <w:pStyle w:val="4"/>
        <w:tabs>
          <w:tab w:val="left" w:pos="8444"/>
        </w:tabs>
        <w:spacing w:line="400" w:lineRule="atLeast"/>
        <w:ind w:left="3090" w:right="454" w:firstLine="1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eastAsia="zh-CN"/>
        </w:rPr>
        <w:t>字</w:t>
      </w:r>
      <w:r>
        <w:rPr>
          <w:rFonts w:hint="eastAsia" w:ascii="宋体" w:hAnsi="宋体" w:cs="宋体"/>
          <w:color w:val="auto"/>
          <w:sz w:val="24"/>
          <w:szCs w:val="24"/>
          <w:highlight w:val="none"/>
          <w:lang w:eastAsia="zh-CN"/>
        </w:rPr>
        <w:t>或盖章</w:t>
      </w:r>
      <w:r>
        <w:rPr>
          <w:rFonts w:hint="eastAsia" w:ascii="宋体" w:hAnsi="宋体" w:eastAsia="宋体" w:cs="宋体"/>
          <w:color w:val="auto"/>
          <w:spacing w:val="-15"/>
          <w:sz w:val="24"/>
          <w:szCs w:val="24"/>
          <w:highlight w:val="none"/>
        </w:rPr>
        <w:t>）</w:t>
      </w:r>
    </w:p>
    <w:p w14:paraId="23C3AED2">
      <w:pPr>
        <w:pStyle w:val="4"/>
        <w:tabs>
          <w:tab w:val="left" w:pos="7395"/>
          <w:tab w:val="left" w:pos="8444"/>
          <w:tab w:val="left" w:pos="9495"/>
        </w:tabs>
        <w:spacing w:before="22"/>
        <w:ind w:left="5924"/>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AEA0D84">
      <w:pPr>
        <w:spacing w:after="0"/>
        <w:rPr>
          <w:rFonts w:hint="eastAsia" w:ascii="宋体" w:hAnsi="宋体" w:eastAsia="宋体" w:cs="宋体"/>
          <w:sz w:val="24"/>
          <w:szCs w:val="24"/>
        </w:rPr>
        <w:sectPr>
          <w:pgSz w:w="12240" w:h="15840"/>
          <w:pgMar w:top="1500" w:right="680" w:bottom="1080" w:left="980" w:header="0" w:footer="882" w:gutter="0"/>
          <w:cols w:space="720" w:num="1"/>
        </w:sectPr>
      </w:pPr>
    </w:p>
    <w:p w14:paraId="7D0031AC">
      <w:pPr>
        <w:spacing w:before="38"/>
        <w:ind w:left="0" w:right="17" w:firstLine="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b/>
          <w:color w:val="auto"/>
          <w:sz w:val="24"/>
          <w:szCs w:val="24"/>
          <w:highlight w:val="none"/>
        </w:rPr>
        <w:t>首次报价一览表</w:t>
      </w:r>
    </w:p>
    <w:p w14:paraId="48C4F8A6">
      <w:pPr>
        <w:pStyle w:val="4"/>
        <w:rPr>
          <w:rFonts w:hint="eastAsia" w:ascii="宋体" w:hAnsi="宋体" w:eastAsia="宋体" w:cs="宋体"/>
          <w:b/>
          <w:sz w:val="24"/>
          <w:szCs w:val="24"/>
        </w:rPr>
      </w:pPr>
    </w:p>
    <w:p w14:paraId="3A16FDCE">
      <w:pPr>
        <w:pStyle w:val="4"/>
        <w:spacing w:before="11" w:after="1"/>
        <w:rPr>
          <w:rFonts w:hint="eastAsia" w:ascii="宋体" w:hAnsi="宋体" w:eastAsia="宋体" w:cs="宋体"/>
          <w:b/>
          <w:sz w:val="24"/>
          <w:szCs w:val="24"/>
        </w:rPr>
      </w:pPr>
    </w:p>
    <w:tbl>
      <w:tblPr>
        <w:tblStyle w:val="23"/>
        <w:tblW w:w="0" w:type="auto"/>
        <w:tblInd w:w="481"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466"/>
        <w:gridCol w:w="6553"/>
      </w:tblGrid>
      <w:tr w14:paraId="3EB3566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98" w:hRule="atLeast"/>
        </w:trPr>
        <w:tc>
          <w:tcPr>
            <w:tcW w:w="2466" w:type="dxa"/>
            <w:tcBorders>
              <w:bottom w:val="single" w:color="000000" w:sz="6" w:space="0"/>
              <w:right w:val="single" w:color="000000" w:sz="6" w:space="0"/>
            </w:tcBorders>
          </w:tcPr>
          <w:p w14:paraId="41FC2421">
            <w:pPr>
              <w:pStyle w:val="76"/>
              <w:jc w:val="center"/>
              <w:rPr>
                <w:rFonts w:hint="eastAsia" w:ascii="宋体" w:hAnsi="宋体" w:eastAsia="宋体" w:cs="宋体"/>
                <w:kern w:val="2"/>
                <w:sz w:val="24"/>
                <w:szCs w:val="24"/>
                <w:lang w:val="zh-CN" w:eastAsia="zh-CN" w:bidi="zh-CN"/>
              </w:rPr>
            </w:pPr>
          </w:p>
          <w:p w14:paraId="11121C4B">
            <w:pPr>
              <w:pStyle w:val="76"/>
              <w:spacing w:before="165"/>
              <w:ind w:left="747"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项目名称</w:t>
            </w:r>
          </w:p>
        </w:tc>
        <w:tc>
          <w:tcPr>
            <w:tcW w:w="6553" w:type="dxa"/>
            <w:tcBorders>
              <w:left w:val="single" w:color="000000" w:sz="6" w:space="0"/>
              <w:bottom w:val="single" w:color="000000" w:sz="6" w:space="0"/>
            </w:tcBorders>
          </w:tcPr>
          <w:p w14:paraId="06125D66">
            <w:pPr>
              <w:pStyle w:val="76"/>
              <w:rPr>
                <w:rFonts w:hint="eastAsia" w:ascii="宋体" w:hAnsi="宋体" w:eastAsia="宋体" w:cs="宋体"/>
                <w:b w:val="0"/>
                <w:bCs/>
                <w:sz w:val="24"/>
                <w:szCs w:val="24"/>
              </w:rPr>
            </w:pPr>
          </w:p>
        </w:tc>
      </w:tr>
      <w:tr w14:paraId="15B3500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98" w:hRule="atLeast"/>
        </w:trPr>
        <w:tc>
          <w:tcPr>
            <w:tcW w:w="2466" w:type="dxa"/>
            <w:tcBorders>
              <w:top w:val="single" w:color="000000" w:sz="6" w:space="0"/>
              <w:bottom w:val="single" w:color="000000" w:sz="6" w:space="0"/>
              <w:right w:val="single" w:color="000000" w:sz="6" w:space="0"/>
            </w:tcBorders>
          </w:tcPr>
          <w:p w14:paraId="6E8ADD2D">
            <w:pPr>
              <w:pStyle w:val="76"/>
              <w:jc w:val="center"/>
              <w:rPr>
                <w:rFonts w:hint="eastAsia" w:ascii="宋体" w:hAnsi="宋体" w:eastAsia="宋体" w:cs="宋体"/>
                <w:kern w:val="2"/>
                <w:sz w:val="24"/>
                <w:szCs w:val="24"/>
                <w:lang w:val="zh-CN" w:eastAsia="zh-CN" w:bidi="zh-CN"/>
              </w:rPr>
            </w:pPr>
          </w:p>
          <w:p w14:paraId="50A1BF07">
            <w:pPr>
              <w:pStyle w:val="76"/>
              <w:spacing w:before="165"/>
              <w:ind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en-US" w:eastAsia="zh-CN" w:bidi="zh-CN"/>
              </w:rPr>
              <w:t xml:space="preserve">   </w:t>
            </w:r>
            <w:r>
              <w:rPr>
                <w:rFonts w:hint="eastAsia" w:cs="宋体"/>
                <w:kern w:val="2"/>
                <w:sz w:val="24"/>
                <w:szCs w:val="24"/>
                <w:lang w:val="en-US" w:eastAsia="zh-CN" w:bidi="zh-CN"/>
              </w:rPr>
              <w:t xml:space="preserve"> </w:t>
            </w:r>
            <w:r>
              <w:rPr>
                <w:rFonts w:hint="eastAsia" w:ascii="宋体" w:hAnsi="宋体" w:eastAsia="宋体" w:cs="宋体"/>
                <w:kern w:val="2"/>
                <w:sz w:val="24"/>
                <w:szCs w:val="24"/>
                <w:lang w:val="zh-CN" w:eastAsia="zh-CN" w:bidi="zh-CN"/>
              </w:rPr>
              <w:t>供应商名称</w:t>
            </w:r>
          </w:p>
        </w:tc>
        <w:tc>
          <w:tcPr>
            <w:tcW w:w="6553" w:type="dxa"/>
            <w:tcBorders>
              <w:top w:val="single" w:color="000000" w:sz="6" w:space="0"/>
              <w:left w:val="single" w:color="000000" w:sz="6" w:space="0"/>
              <w:bottom w:val="single" w:color="000000" w:sz="6" w:space="0"/>
            </w:tcBorders>
          </w:tcPr>
          <w:p w14:paraId="55B5EFED">
            <w:pPr>
              <w:pStyle w:val="76"/>
              <w:rPr>
                <w:rFonts w:hint="eastAsia" w:ascii="宋体" w:hAnsi="宋体" w:eastAsia="宋体" w:cs="宋体"/>
                <w:b w:val="0"/>
                <w:bCs/>
                <w:sz w:val="24"/>
                <w:szCs w:val="24"/>
              </w:rPr>
            </w:pPr>
          </w:p>
        </w:tc>
      </w:tr>
      <w:tr w14:paraId="4F43548B">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520" w:hRule="atLeast"/>
        </w:trPr>
        <w:tc>
          <w:tcPr>
            <w:tcW w:w="2466" w:type="dxa"/>
            <w:tcBorders>
              <w:top w:val="single" w:color="000000" w:sz="6" w:space="0"/>
              <w:bottom w:val="single" w:color="000000" w:sz="6" w:space="0"/>
              <w:right w:val="single" w:color="000000" w:sz="6" w:space="0"/>
            </w:tcBorders>
          </w:tcPr>
          <w:p w14:paraId="56896267">
            <w:pPr>
              <w:pStyle w:val="76"/>
              <w:jc w:val="center"/>
              <w:rPr>
                <w:rFonts w:hint="eastAsia" w:ascii="宋体" w:hAnsi="宋体" w:eastAsia="宋体" w:cs="宋体"/>
                <w:kern w:val="2"/>
                <w:sz w:val="24"/>
                <w:szCs w:val="24"/>
                <w:lang w:val="zh-CN" w:eastAsia="zh-CN" w:bidi="zh-CN"/>
              </w:rPr>
            </w:pPr>
          </w:p>
          <w:p w14:paraId="57B81085">
            <w:pPr>
              <w:pStyle w:val="76"/>
              <w:spacing w:before="166"/>
              <w:ind w:left="744"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报价</w:t>
            </w:r>
          </w:p>
        </w:tc>
        <w:tc>
          <w:tcPr>
            <w:tcW w:w="6553" w:type="dxa"/>
            <w:tcBorders>
              <w:top w:val="single" w:color="000000" w:sz="6" w:space="0"/>
              <w:left w:val="single" w:color="000000" w:sz="6" w:space="0"/>
              <w:bottom w:val="single" w:color="000000" w:sz="6" w:space="0"/>
            </w:tcBorders>
          </w:tcPr>
          <w:p w14:paraId="2E20EBCF">
            <w:pPr>
              <w:pStyle w:val="76"/>
              <w:spacing w:before="9"/>
              <w:rPr>
                <w:rFonts w:hint="eastAsia" w:ascii="宋体" w:hAnsi="宋体" w:eastAsia="宋体" w:cs="宋体"/>
                <w:b w:val="0"/>
                <w:bCs/>
                <w:sz w:val="24"/>
                <w:szCs w:val="24"/>
              </w:rPr>
            </w:pPr>
          </w:p>
          <w:p w14:paraId="5C21DA0C">
            <w:pPr>
              <w:pStyle w:val="76"/>
              <w:spacing w:before="165"/>
              <w:ind w:right="742"/>
              <w:jc w:val="both"/>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大写：</w:t>
            </w:r>
          </w:p>
          <w:p w14:paraId="7310F81A">
            <w:pPr>
              <w:pStyle w:val="76"/>
              <w:spacing w:before="165"/>
              <w:ind w:right="742"/>
              <w:jc w:val="both"/>
              <w:rPr>
                <w:rFonts w:hint="eastAsia" w:ascii="宋体" w:hAnsi="宋体" w:eastAsia="宋体" w:cs="宋体"/>
                <w:b w:val="0"/>
                <w:bCs/>
                <w:sz w:val="24"/>
                <w:szCs w:val="24"/>
              </w:rPr>
            </w:pPr>
            <w:r>
              <w:rPr>
                <w:rFonts w:hint="eastAsia" w:ascii="宋体" w:hAnsi="宋体" w:eastAsia="宋体" w:cs="宋体"/>
                <w:kern w:val="2"/>
                <w:sz w:val="24"/>
                <w:szCs w:val="24"/>
                <w:lang w:val="zh-CN" w:eastAsia="zh-CN" w:bidi="zh-CN"/>
              </w:rPr>
              <w:t>小写：</w:t>
            </w:r>
            <w:r>
              <w:rPr>
                <w:rFonts w:hint="eastAsia" w:ascii="宋体" w:hAnsi="宋体" w:eastAsia="宋体" w:cs="宋体"/>
                <w:kern w:val="2"/>
                <w:sz w:val="24"/>
                <w:szCs w:val="24"/>
                <w:lang w:val="zh-CN" w:eastAsia="zh-CN" w:bidi="zh-CN"/>
              </w:rPr>
              <w:tab/>
            </w:r>
            <w:r>
              <w:rPr>
                <w:rFonts w:hint="eastAsia" w:cs="宋体"/>
                <w:kern w:val="2"/>
                <w:sz w:val="24"/>
                <w:szCs w:val="24"/>
                <w:lang w:val="en-US" w:eastAsia="zh-CN" w:bidi="zh-CN"/>
              </w:rPr>
              <w:t xml:space="preserve">    </w:t>
            </w:r>
            <w:r>
              <w:rPr>
                <w:rFonts w:hint="eastAsia" w:ascii="宋体" w:hAnsi="宋体" w:eastAsia="宋体" w:cs="宋体"/>
                <w:kern w:val="2"/>
                <w:sz w:val="24"/>
                <w:szCs w:val="24"/>
                <w:lang w:val="zh-CN" w:eastAsia="zh-CN" w:bidi="zh-CN"/>
              </w:rPr>
              <w:t>（元）</w:t>
            </w:r>
          </w:p>
        </w:tc>
      </w:tr>
      <w:tr w14:paraId="3E45DD8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98" w:hRule="atLeast"/>
        </w:trPr>
        <w:tc>
          <w:tcPr>
            <w:tcW w:w="2466" w:type="dxa"/>
            <w:tcBorders>
              <w:top w:val="single" w:color="000000" w:sz="6" w:space="0"/>
              <w:bottom w:val="single" w:color="000000" w:sz="6" w:space="0"/>
              <w:right w:val="single" w:color="000000" w:sz="6" w:space="0"/>
            </w:tcBorders>
          </w:tcPr>
          <w:p w14:paraId="57BA31E7">
            <w:pPr>
              <w:pStyle w:val="76"/>
              <w:jc w:val="center"/>
              <w:rPr>
                <w:rFonts w:hint="eastAsia" w:ascii="宋体" w:hAnsi="宋体" w:eastAsia="宋体" w:cs="宋体"/>
                <w:kern w:val="2"/>
                <w:sz w:val="24"/>
                <w:szCs w:val="24"/>
                <w:lang w:val="zh-CN" w:eastAsia="zh-CN" w:bidi="zh-CN"/>
              </w:rPr>
            </w:pPr>
          </w:p>
          <w:p w14:paraId="2B4E3A6E">
            <w:pPr>
              <w:pStyle w:val="76"/>
              <w:spacing w:before="166"/>
              <w:ind w:left="747"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响应内容</w:t>
            </w:r>
          </w:p>
        </w:tc>
        <w:tc>
          <w:tcPr>
            <w:tcW w:w="6553" w:type="dxa"/>
            <w:tcBorders>
              <w:top w:val="single" w:color="000000" w:sz="6" w:space="0"/>
              <w:left w:val="single" w:color="000000" w:sz="6" w:space="0"/>
              <w:bottom w:val="single" w:color="000000" w:sz="6" w:space="0"/>
            </w:tcBorders>
          </w:tcPr>
          <w:p w14:paraId="3522D234">
            <w:pPr>
              <w:pStyle w:val="76"/>
              <w:rPr>
                <w:rFonts w:hint="eastAsia" w:ascii="宋体" w:hAnsi="宋体" w:eastAsia="宋体" w:cs="宋体"/>
                <w:b w:val="0"/>
                <w:bCs/>
                <w:sz w:val="24"/>
                <w:szCs w:val="24"/>
              </w:rPr>
            </w:pPr>
          </w:p>
        </w:tc>
      </w:tr>
      <w:tr w14:paraId="4AD3F5E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198" w:hRule="atLeast"/>
        </w:trPr>
        <w:tc>
          <w:tcPr>
            <w:tcW w:w="2466" w:type="dxa"/>
            <w:tcBorders>
              <w:top w:val="single" w:color="000000" w:sz="6" w:space="0"/>
              <w:bottom w:val="single" w:color="000000" w:sz="6" w:space="0"/>
              <w:right w:val="single" w:color="000000" w:sz="6" w:space="0"/>
            </w:tcBorders>
          </w:tcPr>
          <w:p w14:paraId="55846020">
            <w:pPr>
              <w:pStyle w:val="76"/>
              <w:jc w:val="center"/>
              <w:rPr>
                <w:rFonts w:hint="eastAsia" w:ascii="宋体" w:hAnsi="宋体" w:eastAsia="宋体" w:cs="宋体"/>
                <w:kern w:val="2"/>
                <w:sz w:val="24"/>
                <w:szCs w:val="24"/>
                <w:lang w:val="zh-CN" w:eastAsia="zh-CN" w:bidi="zh-CN"/>
              </w:rPr>
            </w:pPr>
          </w:p>
          <w:p w14:paraId="050E5843">
            <w:pPr>
              <w:pStyle w:val="76"/>
              <w:spacing w:before="166"/>
              <w:ind w:left="747"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质保期</w:t>
            </w:r>
          </w:p>
        </w:tc>
        <w:tc>
          <w:tcPr>
            <w:tcW w:w="6553" w:type="dxa"/>
            <w:tcBorders>
              <w:top w:val="single" w:color="000000" w:sz="6" w:space="0"/>
              <w:left w:val="single" w:color="000000" w:sz="6" w:space="0"/>
              <w:bottom w:val="single" w:color="000000" w:sz="6" w:space="0"/>
            </w:tcBorders>
          </w:tcPr>
          <w:p w14:paraId="580954D4">
            <w:pPr>
              <w:pStyle w:val="76"/>
              <w:rPr>
                <w:rFonts w:hint="eastAsia" w:ascii="宋体" w:hAnsi="宋体" w:eastAsia="宋体" w:cs="宋体"/>
                <w:b w:val="0"/>
                <w:bCs/>
                <w:sz w:val="24"/>
                <w:szCs w:val="24"/>
              </w:rPr>
            </w:pPr>
          </w:p>
        </w:tc>
      </w:tr>
      <w:tr w14:paraId="52B8E99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15" w:hRule="atLeast"/>
        </w:trPr>
        <w:tc>
          <w:tcPr>
            <w:tcW w:w="2466" w:type="dxa"/>
            <w:tcBorders>
              <w:top w:val="single" w:color="000000" w:sz="6" w:space="0"/>
              <w:right w:val="single" w:color="000000" w:sz="6" w:space="0"/>
            </w:tcBorders>
          </w:tcPr>
          <w:p w14:paraId="0A8D3ACD">
            <w:pPr>
              <w:pStyle w:val="76"/>
              <w:jc w:val="center"/>
              <w:rPr>
                <w:rFonts w:hint="eastAsia" w:ascii="宋体" w:hAnsi="宋体" w:eastAsia="宋体" w:cs="宋体"/>
                <w:kern w:val="2"/>
                <w:sz w:val="24"/>
                <w:szCs w:val="24"/>
                <w:lang w:val="zh-CN" w:eastAsia="zh-CN" w:bidi="zh-CN"/>
              </w:rPr>
            </w:pPr>
          </w:p>
          <w:p w14:paraId="434EE3F4">
            <w:pPr>
              <w:pStyle w:val="76"/>
              <w:spacing w:before="165"/>
              <w:ind w:left="747" w:right="742"/>
              <w:jc w:val="center"/>
              <w:rPr>
                <w:rFonts w:hint="eastAsia" w:ascii="宋体" w:hAnsi="宋体" w:eastAsia="宋体" w:cs="宋体"/>
                <w:kern w:val="2"/>
                <w:sz w:val="24"/>
                <w:szCs w:val="24"/>
                <w:lang w:val="zh-CN" w:eastAsia="zh-CN" w:bidi="zh-CN"/>
              </w:rPr>
            </w:pPr>
            <w:r>
              <w:rPr>
                <w:rFonts w:hint="eastAsia" w:ascii="宋体" w:hAnsi="宋体" w:eastAsia="宋体" w:cs="宋体"/>
                <w:kern w:val="2"/>
                <w:sz w:val="24"/>
                <w:szCs w:val="24"/>
                <w:lang w:val="zh-CN" w:eastAsia="zh-CN" w:bidi="zh-CN"/>
              </w:rPr>
              <w:t>其他声明</w:t>
            </w:r>
          </w:p>
        </w:tc>
        <w:tc>
          <w:tcPr>
            <w:tcW w:w="6553" w:type="dxa"/>
            <w:tcBorders>
              <w:top w:val="single" w:color="000000" w:sz="6" w:space="0"/>
              <w:left w:val="single" w:color="000000" w:sz="6" w:space="0"/>
            </w:tcBorders>
          </w:tcPr>
          <w:p w14:paraId="31A71788">
            <w:pPr>
              <w:pStyle w:val="76"/>
              <w:rPr>
                <w:rFonts w:hint="eastAsia" w:ascii="宋体" w:hAnsi="宋体" w:eastAsia="宋体" w:cs="宋体"/>
                <w:b w:val="0"/>
                <w:bCs/>
                <w:sz w:val="24"/>
                <w:szCs w:val="24"/>
              </w:rPr>
            </w:pPr>
          </w:p>
        </w:tc>
      </w:tr>
    </w:tbl>
    <w:p w14:paraId="51210E28">
      <w:pPr>
        <w:pStyle w:val="4"/>
        <w:rPr>
          <w:rFonts w:hint="eastAsia" w:ascii="宋体" w:hAnsi="宋体" w:eastAsia="宋体" w:cs="宋体"/>
          <w:b/>
          <w:sz w:val="24"/>
          <w:szCs w:val="24"/>
        </w:rPr>
      </w:pPr>
    </w:p>
    <w:p w14:paraId="79CBFB60">
      <w:pPr>
        <w:pStyle w:val="4"/>
        <w:rPr>
          <w:rFonts w:hint="eastAsia" w:ascii="宋体" w:hAnsi="宋体" w:eastAsia="宋体" w:cs="宋体"/>
          <w:b/>
          <w:sz w:val="24"/>
          <w:szCs w:val="24"/>
        </w:rPr>
      </w:pPr>
    </w:p>
    <w:p w14:paraId="5D0360CF">
      <w:pPr>
        <w:pStyle w:val="4"/>
        <w:spacing w:before="7"/>
        <w:rPr>
          <w:rFonts w:hint="eastAsia" w:ascii="宋体" w:hAnsi="宋体" w:eastAsia="宋体" w:cs="宋体"/>
          <w:b/>
          <w:sz w:val="24"/>
          <w:szCs w:val="24"/>
        </w:rPr>
      </w:pPr>
    </w:p>
    <w:p w14:paraId="72146FF7">
      <w:pPr>
        <w:pStyle w:val="4"/>
        <w:tabs>
          <w:tab w:val="left" w:pos="8444"/>
        </w:tabs>
        <w:spacing w:before="67" w:line="465" w:lineRule="auto"/>
        <w:ind w:left="3071" w:right="454" w:firstLine="1108"/>
        <w:rPr>
          <w:rFonts w:hint="eastAsia" w:ascii="宋体" w:hAnsi="宋体" w:eastAsia="宋体" w:cs="宋体"/>
          <w:spacing w:val="-15"/>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章</w:t>
      </w:r>
      <w:r>
        <w:rPr>
          <w:rFonts w:hint="eastAsia" w:ascii="宋体" w:hAnsi="宋体" w:eastAsia="宋体" w:cs="宋体"/>
          <w:spacing w:val="-15"/>
          <w:sz w:val="24"/>
          <w:szCs w:val="24"/>
        </w:rPr>
        <w:t xml:space="preserve">） </w:t>
      </w:r>
    </w:p>
    <w:p w14:paraId="00356DAA">
      <w:pPr>
        <w:pStyle w:val="4"/>
        <w:tabs>
          <w:tab w:val="left" w:pos="8444"/>
        </w:tabs>
        <w:spacing w:before="67" w:line="465" w:lineRule="auto"/>
        <w:ind w:left="3071" w:right="454" w:firstLine="1108"/>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或</w:t>
      </w: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eastAsia="zh-CN"/>
        </w:rPr>
        <w:t>签字</w:t>
      </w:r>
      <w:r>
        <w:rPr>
          <w:rFonts w:hint="eastAsia" w:ascii="宋体" w:hAnsi="宋体" w:cs="宋体"/>
          <w:sz w:val="24"/>
          <w:szCs w:val="24"/>
          <w:lang w:eastAsia="zh-CN"/>
        </w:rPr>
        <w:t>或盖章</w:t>
      </w:r>
      <w:r>
        <w:rPr>
          <w:rFonts w:hint="eastAsia" w:ascii="宋体" w:hAnsi="宋体" w:eastAsia="宋体" w:cs="宋体"/>
          <w:spacing w:val="-15"/>
          <w:sz w:val="24"/>
          <w:szCs w:val="24"/>
        </w:rPr>
        <w:t>）</w:t>
      </w:r>
    </w:p>
    <w:p w14:paraId="1A81C3ED">
      <w:pPr>
        <w:pStyle w:val="4"/>
        <w:tabs>
          <w:tab w:val="left" w:pos="7395"/>
          <w:tab w:val="left" w:pos="8444"/>
          <w:tab w:val="left" w:pos="9495"/>
        </w:tabs>
        <w:spacing w:before="159"/>
        <w:ind w:left="5924"/>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74338A9E">
      <w:pPr>
        <w:spacing w:after="0"/>
        <w:rPr>
          <w:rFonts w:hint="eastAsia" w:ascii="宋体" w:hAnsi="宋体" w:eastAsia="宋体" w:cs="宋体"/>
          <w:sz w:val="24"/>
          <w:szCs w:val="24"/>
        </w:rPr>
      </w:pPr>
    </w:p>
    <w:p w14:paraId="75E65B97">
      <w:pPr>
        <w:spacing w:after="0"/>
        <w:rPr>
          <w:rFonts w:hint="eastAsia" w:ascii="宋体" w:hAnsi="宋体" w:eastAsia="宋体" w:cs="宋体"/>
          <w:sz w:val="24"/>
          <w:szCs w:val="24"/>
        </w:rPr>
      </w:pPr>
    </w:p>
    <w:p w14:paraId="1858050E">
      <w:pPr>
        <w:spacing w:line="360" w:lineRule="auto"/>
        <w:jc w:val="center"/>
        <w:rPr>
          <w:rFonts w:hint="eastAsia" w:ascii="宋体" w:hAnsi="宋体"/>
          <w:b/>
          <w:sz w:val="28"/>
          <w:szCs w:val="28"/>
        </w:rPr>
      </w:pPr>
    </w:p>
    <w:p w14:paraId="70086FD7">
      <w:pPr>
        <w:spacing w:line="360" w:lineRule="auto"/>
        <w:jc w:val="center"/>
        <w:rPr>
          <w:rFonts w:hint="eastAsia" w:ascii="宋体" w:hAnsi="宋体"/>
          <w:b/>
          <w:sz w:val="28"/>
          <w:szCs w:val="28"/>
        </w:rPr>
      </w:pPr>
    </w:p>
    <w:p w14:paraId="719FD53C">
      <w:pPr>
        <w:spacing w:line="360" w:lineRule="auto"/>
        <w:jc w:val="center"/>
        <w:rPr>
          <w:rFonts w:ascii="宋体" w:hAnsi="宋体"/>
          <w:b/>
          <w:sz w:val="28"/>
          <w:szCs w:val="28"/>
        </w:rPr>
      </w:pPr>
      <w:r>
        <w:rPr>
          <w:rFonts w:hint="eastAsia" w:ascii="宋体" w:hAnsi="宋体"/>
          <w:b/>
          <w:sz w:val="28"/>
          <w:szCs w:val="28"/>
        </w:rPr>
        <w:t>第二轮（最终）报价函（格式）</w:t>
      </w:r>
    </w:p>
    <w:p w14:paraId="6763AB83">
      <w:pPr>
        <w:pStyle w:val="4"/>
        <w:spacing w:line="360" w:lineRule="auto"/>
        <w:jc w:val="center"/>
        <w:rPr>
          <w:rFonts w:ascii="宋体" w:hAnsi="宋体"/>
          <w:bCs/>
        </w:rPr>
      </w:pPr>
      <w:r>
        <w:rPr>
          <w:rFonts w:hint="eastAsia" w:ascii="宋体" w:hAnsi="宋体"/>
          <w:b/>
        </w:rPr>
        <w:t>最终报价函</w:t>
      </w:r>
    </w:p>
    <w:tbl>
      <w:tblPr>
        <w:tblStyle w:val="23"/>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480"/>
      </w:tblGrid>
      <w:tr w14:paraId="4DDC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rPr>
        <w:tc>
          <w:tcPr>
            <w:tcW w:w="2625" w:type="dxa"/>
            <w:vAlign w:val="center"/>
          </w:tcPr>
          <w:p w14:paraId="6A64F11E">
            <w:pPr>
              <w:rPr>
                <w:rFonts w:ascii="宋体" w:hAnsi="宋体"/>
                <w:sz w:val="28"/>
                <w:szCs w:val="28"/>
              </w:rPr>
            </w:pPr>
            <w:r>
              <w:rPr>
                <w:rFonts w:hint="eastAsia" w:ascii="宋体" w:hAnsi="宋体"/>
                <w:sz w:val="28"/>
                <w:szCs w:val="28"/>
                <w:lang w:eastAsia="zh-CN"/>
              </w:rPr>
              <w:t>供应商</w:t>
            </w:r>
            <w:r>
              <w:rPr>
                <w:rFonts w:hint="eastAsia" w:ascii="宋体" w:hAnsi="宋体"/>
                <w:sz w:val="28"/>
                <w:szCs w:val="28"/>
              </w:rPr>
              <w:t>名称</w:t>
            </w:r>
          </w:p>
        </w:tc>
        <w:tc>
          <w:tcPr>
            <w:tcW w:w="6480" w:type="dxa"/>
          </w:tcPr>
          <w:p w14:paraId="58765CDC">
            <w:pPr>
              <w:rPr>
                <w:rFonts w:ascii="宋体" w:hAnsi="宋体"/>
                <w:sz w:val="28"/>
                <w:szCs w:val="28"/>
              </w:rPr>
            </w:pPr>
          </w:p>
        </w:tc>
      </w:tr>
      <w:tr w14:paraId="648B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2625" w:type="dxa"/>
            <w:tcBorders>
              <w:bottom w:val="single" w:color="auto" w:sz="4" w:space="0"/>
            </w:tcBorders>
            <w:vAlign w:val="center"/>
          </w:tcPr>
          <w:p w14:paraId="150AEE2A">
            <w:pPr>
              <w:rPr>
                <w:rFonts w:ascii="宋体" w:hAnsi="宋体"/>
                <w:sz w:val="28"/>
                <w:szCs w:val="28"/>
              </w:rPr>
            </w:pPr>
            <w:r>
              <w:rPr>
                <w:rFonts w:hint="eastAsia" w:ascii="宋体" w:hAnsi="宋体"/>
                <w:sz w:val="28"/>
                <w:szCs w:val="28"/>
                <w:lang w:eastAsia="zh-CN"/>
              </w:rPr>
              <w:t>最终</w:t>
            </w:r>
            <w:r>
              <w:rPr>
                <w:rFonts w:hint="eastAsia" w:ascii="宋体" w:hAnsi="宋体"/>
                <w:sz w:val="28"/>
                <w:szCs w:val="28"/>
              </w:rPr>
              <w:t>报价</w:t>
            </w:r>
          </w:p>
        </w:tc>
        <w:tc>
          <w:tcPr>
            <w:tcW w:w="6480" w:type="dxa"/>
            <w:tcBorders>
              <w:bottom w:val="single" w:color="auto" w:sz="4" w:space="0"/>
            </w:tcBorders>
            <w:vAlign w:val="center"/>
          </w:tcPr>
          <w:p w14:paraId="3ECF4887">
            <w:pPr>
              <w:rPr>
                <w:rFonts w:ascii="宋体" w:hAnsi="宋体"/>
                <w:sz w:val="28"/>
                <w:szCs w:val="28"/>
              </w:rPr>
            </w:pPr>
            <w:r>
              <w:rPr>
                <w:rFonts w:hint="eastAsia" w:ascii="宋体" w:hAnsi="宋体"/>
                <w:sz w:val="28"/>
                <w:szCs w:val="28"/>
              </w:rPr>
              <w:t>人民币小写：</w:t>
            </w:r>
          </w:p>
          <w:p w14:paraId="551803AC">
            <w:pPr>
              <w:rPr>
                <w:rFonts w:ascii="宋体" w:hAnsi="宋体"/>
                <w:sz w:val="28"/>
                <w:szCs w:val="28"/>
              </w:rPr>
            </w:pPr>
            <w:r>
              <w:rPr>
                <w:rFonts w:hint="eastAsia" w:ascii="宋体" w:hAnsi="宋体"/>
                <w:sz w:val="28"/>
                <w:szCs w:val="28"/>
              </w:rPr>
              <w:t>人民币大写：</w:t>
            </w:r>
          </w:p>
        </w:tc>
      </w:tr>
      <w:tr w14:paraId="60AE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2625" w:type="dxa"/>
            <w:tcBorders>
              <w:bottom w:val="single" w:color="auto" w:sz="4" w:space="0"/>
            </w:tcBorders>
            <w:vAlign w:val="center"/>
          </w:tcPr>
          <w:p w14:paraId="67187E8C">
            <w:pPr>
              <w:rPr>
                <w:rFonts w:ascii="宋体" w:hAnsi="宋体"/>
                <w:sz w:val="28"/>
                <w:szCs w:val="28"/>
              </w:rPr>
            </w:pPr>
            <w:r>
              <w:rPr>
                <w:rFonts w:hint="eastAsia" w:ascii="宋体" w:hAnsi="宋体"/>
                <w:sz w:val="28"/>
                <w:szCs w:val="28"/>
              </w:rPr>
              <w:t>质量要求</w:t>
            </w:r>
          </w:p>
        </w:tc>
        <w:tc>
          <w:tcPr>
            <w:tcW w:w="6480" w:type="dxa"/>
            <w:tcBorders>
              <w:bottom w:val="single" w:color="auto" w:sz="4" w:space="0"/>
            </w:tcBorders>
            <w:vAlign w:val="center"/>
          </w:tcPr>
          <w:p w14:paraId="74E129EE">
            <w:pPr>
              <w:rPr>
                <w:rFonts w:ascii="宋体" w:hAnsi="宋体"/>
                <w:sz w:val="28"/>
                <w:szCs w:val="28"/>
              </w:rPr>
            </w:pPr>
          </w:p>
        </w:tc>
      </w:tr>
      <w:tr w14:paraId="5FAB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625" w:type="dxa"/>
            <w:vAlign w:val="center"/>
          </w:tcPr>
          <w:p w14:paraId="21EF6425">
            <w:pPr>
              <w:rPr>
                <w:rFonts w:ascii="宋体" w:hAnsi="宋体"/>
                <w:sz w:val="28"/>
                <w:szCs w:val="28"/>
              </w:rPr>
            </w:pPr>
            <w:r>
              <w:rPr>
                <w:rFonts w:hint="eastAsia" w:ascii="宋体" w:hAnsi="宋体"/>
                <w:sz w:val="28"/>
                <w:szCs w:val="28"/>
                <w:lang w:eastAsia="zh-CN"/>
              </w:rPr>
              <w:t>供货</w:t>
            </w:r>
            <w:r>
              <w:rPr>
                <w:rFonts w:hint="eastAsia" w:ascii="宋体" w:hAnsi="宋体"/>
                <w:sz w:val="28"/>
                <w:szCs w:val="28"/>
              </w:rPr>
              <w:t>期</w:t>
            </w:r>
          </w:p>
        </w:tc>
        <w:tc>
          <w:tcPr>
            <w:tcW w:w="6480" w:type="dxa"/>
            <w:vAlign w:val="center"/>
          </w:tcPr>
          <w:p w14:paraId="4A04C82D">
            <w:pPr>
              <w:rPr>
                <w:rFonts w:ascii="宋体" w:hAnsi="宋体"/>
                <w:sz w:val="28"/>
                <w:szCs w:val="28"/>
              </w:rPr>
            </w:pPr>
          </w:p>
        </w:tc>
      </w:tr>
      <w:tr w14:paraId="4852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625" w:type="dxa"/>
            <w:vAlign w:val="center"/>
          </w:tcPr>
          <w:p w14:paraId="03354748">
            <w:pPr>
              <w:rPr>
                <w:rFonts w:hint="eastAsia" w:ascii="宋体" w:hAnsi="宋体" w:eastAsia="宋体"/>
                <w:sz w:val="28"/>
                <w:szCs w:val="28"/>
                <w:lang w:eastAsia="zh-CN"/>
              </w:rPr>
            </w:pPr>
            <w:r>
              <w:rPr>
                <w:rFonts w:hint="eastAsia" w:ascii="宋体" w:hAnsi="宋体"/>
                <w:sz w:val="28"/>
                <w:szCs w:val="28"/>
                <w:lang w:eastAsia="zh-CN"/>
              </w:rPr>
              <w:t>质保期</w:t>
            </w:r>
          </w:p>
        </w:tc>
        <w:tc>
          <w:tcPr>
            <w:tcW w:w="6480" w:type="dxa"/>
            <w:vAlign w:val="center"/>
          </w:tcPr>
          <w:p w14:paraId="3E2FF729">
            <w:pPr>
              <w:ind w:firstLine="137" w:firstLineChars="49"/>
              <w:rPr>
                <w:rFonts w:hint="eastAsia" w:ascii="宋体" w:hAnsi="宋体"/>
                <w:sz w:val="28"/>
                <w:szCs w:val="28"/>
                <w:u w:val="single"/>
              </w:rPr>
            </w:pPr>
          </w:p>
        </w:tc>
      </w:tr>
      <w:tr w14:paraId="486A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9105" w:type="dxa"/>
            <w:gridSpan w:val="2"/>
          </w:tcPr>
          <w:p w14:paraId="3F35F18D">
            <w:pPr>
              <w:rPr>
                <w:rFonts w:ascii="宋体" w:hAnsi="宋体"/>
                <w:sz w:val="28"/>
                <w:szCs w:val="28"/>
              </w:rPr>
            </w:pPr>
            <w:r>
              <w:rPr>
                <w:rFonts w:hint="eastAsia" w:ascii="宋体" w:hAnsi="宋体"/>
                <w:sz w:val="28"/>
                <w:szCs w:val="28"/>
              </w:rPr>
              <w:t>其他说明：</w:t>
            </w:r>
          </w:p>
        </w:tc>
      </w:tr>
    </w:tbl>
    <w:p w14:paraId="6C59668C">
      <w:pPr>
        <w:rPr>
          <w:rFonts w:ascii="宋体" w:hAnsi="宋体"/>
          <w:b/>
          <w:sz w:val="24"/>
        </w:rPr>
      </w:pPr>
    </w:p>
    <w:p w14:paraId="19AF2A0C">
      <w:pPr>
        <w:rPr>
          <w:rFonts w:hint="eastAsia" w:ascii="宋体" w:hAnsi="宋体" w:eastAsia="宋体"/>
          <w:sz w:val="24"/>
          <w:u w:val="none"/>
          <w:lang w:eastAsia="zh-CN"/>
        </w:rPr>
      </w:pPr>
      <w:r>
        <w:rPr>
          <w:rFonts w:hint="eastAsia" w:ascii="宋体" w:hAnsi="宋体"/>
          <w:sz w:val="24"/>
          <w:lang w:eastAsia="zh-CN"/>
        </w:rPr>
        <w:t>供应商</w:t>
      </w:r>
      <w:r>
        <w:rPr>
          <w:rFonts w:hint="eastAsia" w:ascii="宋体" w:hAnsi="宋体"/>
          <w:sz w:val="24"/>
        </w:rPr>
        <w:t>名称：</w:t>
      </w:r>
      <w:r>
        <w:rPr>
          <w:rFonts w:hint="eastAsia" w:ascii="宋体" w:hAnsi="宋体"/>
          <w:sz w:val="24"/>
          <w:u w:val="thick"/>
        </w:rPr>
        <w:t xml:space="preserve">                           </w:t>
      </w:r>
      <w:r>
        <w:rPr>
          <w:rFonts w:hint="eastAsia" w:ascii="宋体" w:hAnsi="宋体"/>
          <w:sz w:val="24"/>
          <w:u w:val="none"/>
          <w:lang w:eastAsia="zh-CN"/>
        </w:rPr>
        <w:t>（单位章）</w:t>
      </w:r>
    </w:p>
    <w:p w14:paraId="0EF6D914">
      <w:pPr>
        <w:rPr>
          <w:rFonts w:ascii="宋体" w:hAnsi="宋体"/>
          <w:sz w:val="24"/>
          <w:u w:val="thick"/>
        </w:rPr>
      </w:pPr>
      <w:r>
        <w:rPr>
          <w:rFonts w:hint="eastAsia" w:ascii="宋体" w:hAnsi="宋体"/>
          <w:sz w:val="24"/>
          <w:szCs w:val="21"/>
        </w:rPr>
        <w:t>法定代表人或其委托代理人：</w:t>
      </w:r>
      <w:r>
        <w:rPr>
          <w:rFonts w:hint="eastAsia" w:ascii="宋体" w:hAnsi="宋体"/>
          <w:sz w:val="24"/>
        </w:rPr>
        <w:t>（签字或盖章）：</w:t>
      </w:r>
      <w:r>
        <w:rPr>
          <w:rFonts w:hint="eastAsia" w:ascii="宋体" w:hAnsi="宋体"/>
          <w:sz w:val="24"/>
          <w:u w:val="thick"/>
        </w:rPr>
        <w:t xml:space="preserve">                     </w:t>
      </w:r>
    </w:p>
    <w:p w14:paraId="6482ACCD">
      <w:pPr>
        <w:rPr>
          <w:rFonts w:ascii="宋体" w:hAnsi="宋体"/>
          <w:sz w:val="24"/>
        </w:rPr>
      </w:pPr>
      <w:r>
        <w:rPr>
          <w:rFonts w:hint="eastAsia" w:ascii="宋体" w:hAnsi="宋体"/>
          <w:sz w:val="24"/>
        </w:rPr>
        <w:t>日   期 ：</w:t>
      </w:r>
      <w:r>
        <w:rPr>
          <w:rFonts w:hint="eastAsia" w:ascii="宋体" w:hAnsi="宋体"/>
          <w:sz w:val="24"/>
          <w:u w:val="thick"/>
        </w:rPr>
        <w:t xml:space="preserve">                 </w:t>
      </w:r>
      <w:r>
        <w:rPr>
          <w:rFonts w:hint="eastAsia" w:ascii="宋体" w:hAnsi="宋体"/>
          <w:sz w:val="24"/>
        </w:rPr>
        <w:t xml:space="preserve">         </w:t>
      </w:r>
    </w:p>
    <w:p w14:paraId="2DEC2500">
      <w:pPr>
        <w:spacing w:line="480" w:lineRule="auto"/>
        <w:rPr>
          <w:rFonts w:ascii="宋体" w:hAnsi="宋体"/>
          <w:bCs/>
          <w:sz w:val="24"/>
        </w:rPr>
      </w:pPr>
    </w:p>
    <w:p w14:paraId="043FD657">
      <w:pPr>
        <w:spacing w:line="480" w:lineRule="auto"/>
        <w:rPr>
          <w:rFonts w:ascii="宋体" w:hAnsi="宋体"/>
          <w:b/>
          <w:sz w:val="32"/>
          <w:szCs w:val="32"/>
        </w:rPr>
      </w:pPr>
      <w:r>
        <w:rPr>
          <w:rFonts w:hint="eastAsia" w:ascii="宋体" w:hAnsi="宋体"/>
          <w:bCs/>
          <w:sz w:val="24"/>
        </w:rPr>
        <w:t>注：不需附响应文件中，谈判现场填写</w:t>
      </w:r>
    </w:p>
    <w:p w14:paraId="1CB5E763">
      <w:pPr>
        <w:spacing w:after="0"/>
        <w:rPr>
          <w:rFonts w:hint="eastAsia" w:ascii="宋体" w:hAnsi="宋体" w:eastAsia="宋体" w:cs="宋体"/>
          <w:sz w:val="24"/>
          <w:szCs w:val="24"/>
        </w:rPr>
        <w:sectPr>
          <w:pgSz w:w="12240" w:h="15840"/>
          <w:pgMar w:top="1100" w:right="680" w:bottom="1080" w:left="980" w:header="0" w:footer="882" w:gutter="0"/>
          <w:cols w:space="720" w:num="1"/>
        </w:sectPr>
      </w:pPr>
    </w:p>
    <w:p w14:paraId="76213F12">
      <w:pPr>
        <w:pStyle w:val="6"/>
        <w:spacing w:before="29"/>
        <w:ind w:left="2380"/>
        <w:jc w:val="left"/>
        <w:rPr>
          <w:rFonts w:hint="eastAsia" w:ascii="宋体" w:hAnsi="宋体" w:eastAsia="宋体" w:cs="宋体"/>
          <w:sz w:val="24"/>
          <w:szCs w:val="24"/>
        </w:rPr>
      </w:pPr>
      <w:r>
        <w:rPr>
          <w:rFonts w:hint="eastAsia" w:ascii="宋体" w:hAnsi="宋体" w:eastAsia="宋体" w:cs="宋体"/>
          <w:sz w:val="24"/>
          <w:szCs w:val="24"/>
        </w:rPr>
        <w:t>三、法定代表人（单位负责人）身份证明</w:t>
      </w:r>
    </w:p>
    <w:p w14:paraId="6F5AC568">
      <w:pPr>
        <w:pStyle w:val="4"/>
        <w:rPr>
          <w:rFonts w:hint="eastAsia" w:ascii="宋体" w:hAnsi="宋体" w:eastAsia="宋体" w:cs="宋体"/>
          <w:b/>
          <w:sz w:val="24"/>
          <w:szCs w:val="24"/>
        </w:rPr>
      </w:pPr>
    </w:p>
    <w:p w14:paraId="5EAE3AB4">
      <w:pPr>
        <w:pStyle w:val="4"/>
        <w:spacing w:before="2"/>
        <w:rPr>
          <w:rFonts w:hint="eastAsia" w:ascii="宋体" w:hAnsi="宋体" w:eastAsia="宋体" w:cs="宋体"/>
          <w:b/>
          <w:sz w:val="24"/>
          <w:szCs w:val="24"/>
        </w:rPr>
      </w:pPr>
    </w:p>
    <w:p w14:paraId="75808944">
      <w:pPr>
        <w:pStyle w:val="4"/>
        <w:tabs>
          <w:tab w:val="left" w:pos="5529"/>
        </w:tabs>
        <w:ind w:left="438"/>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1BC95EEC">
      <w:pPr>
        <w:pStyle w:val="4"/>
        <w:spacing w:before="9"/>
        <w:rPr>
          <w:rFonts w:hint="eastAsia" w:ascii="宋体" w:hAnsi="宋体" w:eastAsia="宋体" w:cs="宋体"/>
          <w:sz w:val="24"/>
          <w:szCs w:val="24"/>
        </w:rPr>
      </w:pPr>
    </w:p>
    <w:p w14:paraId="36AE0543">
      <w:pPr>
        <w:pStyle w:val="4"/>
        <w:tabs>
          <w:tab w:val="left" w:pos="5529"/>
        </w:tabs>
        <w:spacing w:before="76"/>
        <w:ind w:left="438"/>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FA399">
      <w:pPr>
        <w:pStyle w:val="4"/>
        <w:tabs>
          <w:tab w:val="left" w:pos="5529"/>
        </w:tabs>
        <w:spacing w:before="170"/>
        <w:ind w:left="438"/>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1E78B8B9">
      <w:pPr>
        <w:pStyle w:val="4"/>
        <w:tabs>
          <w:tab w:val="left" w:pos="2483"/>
          <w:tab w:val="left" w:pos="3535"/>
          <w:tab w:val="left" w:pos="4583"/>
        </w:tabs>
        <w:spacing w:before="173"/>
        <w:ind w:left="438"/>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6E93B0BC">
      <w:pPr>
        <w:pStyle w:val="4"/>
        <w:tabs>
          <w:tab w:val="left" w:pos="5529"/>
        </w:tabs>
        <w:spacing w:before="170"/>
        <w:ind w:left="438"/>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90D32B6">
      <w:pPr>
        <w:pStyle w:val="4"/>
        <w:tabs>
          <w:tab w:val="left" w:pos="8444"/>
        </w:tabs>
        <w:spacing w:before="67" w:line="465" w:lineRule="auto"/>
        <w:ind w:right="454" w:firstLine="480" w:firstLineChars="200"/>
        <w:rPr>
          <w:rFonts w:hint="eastAsia" w:ascii="宋体" w:hAnsi="宋体" w:eastAsia="宋体" w:cs="宋体"/>
          <w:sz w:val="24"/>
          <w:szCs w:val="24"/>
        </w:rPr>
      </w:pPr>
      <w:r>
        <w:rPr>
          <w:rFonts w:hint="eastAsia" w:ascii="宋体" w:hAnsi="宋体" w:eastAsia="宋体" w:cs="宋体"/>
          <w:color w:val="auto"/>
          <w:sz w:val="24"/>
          <w:szCs w:val="24"/>
        </w:rPr>
        <w:t>姓名：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highlight w:val="none"/>
          <w:u w:val="single"/>
        </w:rPr>
        <w:t>法定代表人</w:t>
      </w:r>
      <w:r>
        <w:rPr>
          <w:rFonts w:hint="eastAsia" w:ascii="宋体" w:hAnsi="宋体" w:cs="宋体"/>
          <w:color w:val="auto"/>
          <w:sz w:val="24"/>
          <w:szCs w:val="24"/>
          <w:highlight w:val="none"/>
          <w:u w:val="single"/>
          <w:lang w:eastAsia="zh-CN"/>
        </w:rPr>
        <w:t>签字）</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职务：</w:t>
      </w:r>
    </w:p>
    <w:p w14:paraId="6277D205">
      <w:pPr>
        <w:pStyle w:val="4"/>
        <w:tabs>
          <w:tab w:val="left" w:pos="3743"/>
        </w:tabs>
        <w:spacing w:before="173" w:line="391" w:lineRule="auto"/>
        <w:ind w:left="438" w:right="3630"/>
        <w:rPr>
          <w:rFonts w:hint="eastAsia" w:ascii="宋体" w:hAnsi="宋体" w:eastAsia="宋体" w:cs="宋体"/>
          <w:sz w:val="24"/>
          <w:szCs w:val="24"/>
        </w:rPr>
      </w:pPr>
      <w:r>
        <w:rPr>
          <w:rFonts w:hint="eastAsia" w:ascii="宋体" w:hAnsi="宋体" w:eastAsia="宋体" w:cs="宋体"/>
          <w:sz w:val="24"/>
          <w:szCs w:val="24"/>
        </w:rPr>
        <w:t xml:space="preserve">系 </w:t>
      </w:r>
      <w:r>
        <w:rPr>
          <w:rFonts w:hint="eastAsia" w:ascii="宋体" w:hAnsi="宋体" w:eastAsia="宋体" w:cs="宋体"/>
          <w:sz w:val="24"/>
          <w:szCs w:val="24"/>
          <w:u w:val="single"/>
          <w:lang w:val="en-US" w:eastAsia="zh-CN"/>
        </w:rPr>
        <w:t xml:space="preserve">           </w:t>
      </w:r>
      <w:r>
        <w:rPr>
          <w:rFonts w:hint="eastAsia" w:ascii="宋体" w:hAnsi="宋体" w:eastAsia="宋体" w:cs="宋体"/>
          <w:w w:val="95"/>
          <w:sz w:val="24"/>
          <w:szCs w:val="24"/>
        </w:rPr>
        <w:t>（</w:t>
      </w:r>
      <w:r>
        <w:rPr>
          <w:rFonts w:hint="eastAsia" w:ascii="宋体" w:hAnsi="宋体" w:eastAsia="宋体" w:cs="宋体"/>
          <w:sz w:val="24"/>
          <w:szCs w:val="24"/>
        </w:rPr>
        <w:t>供应商人名称</w:t>
      </w:r>
      <w:r>
        <w:rPr>
          <w:rFonts w:hint="eastAsia" w:ascii="宋体" w:hAnsi="宋体" w:eastAsia="宋体" w:cs="宋体"/>
          <w:w w:val="95"/>
          <w:sz w:val="24"/>
          <w:szCs w:val="24"/>
        </w:rPr>
        <w:t>）</w:t>
      </w:r>
      <w:r>
        <w:rPr>
          <w:rFonts w:hint="eastAsia" w:ascii="宋体" w:hAnsi="宋体" w:eastAsia="宋体" w:cs="宋体"/>
          <w:sz w:val="24"/>
          <w:szCs w:val="24"/>
        </w:rPr>
        <w:t>的法定代表</w:t>
      </w:r>
      <w:r>
        <w:rPr>
          <w:rFonts w:hint="eastAsia" w:ascii="宋体" w:hAnsi="宋体" w:eastAsia="宋体" w:cs="宋体"/>
          <w:w w:val="95"/>
          <w:sz w:val="24"/>
          <w:szCs w:val="24"/>
        </w:rPr>
        <w:t>人。</w:t>
      </w:r>
      <w:r>
        <w:rPr>
          <w:rFonts w:hint="eastAsia" w:ascii="宋体" w:hAnsi="宋体" w:eastAsia="宋体" w:cs="宋体"/>
          <w:sz w:val="24"/>
          <w:szCs w:val="24"/>
        </w:rPr>
        <w:t>特此证明。</w:t>
      </w:r>
    </w:p>
    <w:p w14:paraId="03E86922">
      <w:pPr>
        <w:pStyle w:val="4"/>
        <w:rPr>
          <w:rFonts w:hint="eastAsia" w:ascii="宋体" w:hAnsi="宋体" w:eastAsia="宋体" w:cs="宋体"/>
          <w:sz w:val="24"/>
          <w:szCs w:val="24"/>
        </w:rPr>
      </w:pPr>
    </w:p>
    <w:p w14:paraId="38D6436F">
      <w:pPr>
        <w:pStyle w:val="4"/>
        <w:rPr>
          <w:rFonts w:hint="eastAsia" w:ascii="宋体" w:hAnsi="宋体" w:eastAsia="宋体" w:cs="宋体"/>
          <w:sz w:val="24"/>
          <w:szCs w:val="24"/>
        </w:rPr>
      </w:pPr>
    </w:p>
    <w:p w14:paraId="39F34CE2">
      <w:pPr>
        <w:pStyle w:val="4"/>
        <w:spacing w:before="3"/>
        <w:rPr>
          <w:rFonts w:hint="eastAsia" w:ascii="宋体" w:hAnsi="宋体" w:eastAsia="宋体" w:cs="宋体"/>
          <w:sz w:val="24"/>
          <w:szCs w:val="24"/>
        </w:rPr>
      </w:pPr>
    </w:p>
    <w:p w14:paraId="2DC8AAE2">
      <w:pPr>
        <w:pStyle w:val="4"/>
        <w:ind w:left="438"/>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14:paraId="32E36774">
      <w:pPr>
        <w:pStyle w:val="4"/>
        <w:rPr>
          <w:rFonts w:hint="eastAsia" w:ascii="宋体" w:hAnsi="宋体" w:eastAsia="宋体" w:cs="宋体"/>
          <w:sz w:val="24"/>
          <w:szCs w:val="24"/>
        </w:rPr>
      </w:pPr>
    </w:p>
    <w:p w14:paraId="2C52B76E">
      <w:pPr>
        <w:pStyle w:val="4"/>
        <w:rPr>
          <w:rFonts w:hint="eastAsia" w:ascii="宋体" w:hAnsi="宋体" w:eastAsia="宋体" w:cs="宋体"/>
          <w:sz w:val="24"/>
          <w:szCs w:val="24"/>
        </w:rPr>
      </w:pPr>
    </w:p>
    <w:p w14:paraId="4CE6845E">
      <w:pPr>
        <w:pStyle w:val="4"/>
        <w:rPr>
          <w:rFonts w:hint="eastAsia" w:ascii="宋体" w:hAnsi="宋体" w:eastAsia="宋体" w:cs="宋体"/>
          <w:sz w:val="24"/>
          <w:szCs w:val="24"/>
        </w:rPr>
      </w:pPr>
    </w:p>
    <w:p w14:paraId="55D36B01">
      <w:pPr>
        <w:pStyle w:val="4"/>
        <w:rPr>
          <w:rFonts w:hint="eastAsia" w:ascii="宋体" w:hAnsi="宋体" w:eastAsia="宋体" w:cs="宋体"/>
          <w:sz w:val="24"/>
          <w:szCs w:val="24"/>
        </w:rPr>
      </w:pPr>
    </w:p>
    <w:p w14:paraId="67D01A83">
      <w:pPr>
        <w:pStyle w:val="4"/>
        <w:rPr>
          <w:rFonts w:hint="eastAsia" w:ascii="宋体" w:hAnsi="宋体" w:eastAsia="宋体" w:cs="宋体"/>
          <w:sz w:val="24"/>
          <w:szCs w:val="24"/>
        </w:rPr>
      </w:pPr>
    </w:p>
    <w:p w14:paraId="1D6F86FC">
      <w:pPr>
        <w:pStyle w:val="4"/>
        <w:rPr>
          <w:rFonts w:hint="eastAsia" w:ascii="宋体" w:hAnsi="宋体" w:eastAsia="宋体" w:cs="宋体"/>
          <w:sz w:val="24"/>
          <w:szCs w:val="24"/>
        </w:rPr>
      </w:pPr>
    </w:p>
    <w:p w14:paraId="61456198">
      <w:pPr>
        <w:pStyle w:val="4"/>
        <w:rPr>
          <w:rFonts w:hint="eastAsia" w:ascii="宋体" w:hAnsi="宋体" w:eastAsia="宋体" w:cs="宋体"/>
          <w:sz w:val="24"/>
          <w:szCs w:val="24"/>
        </w:rPr>
      </w:pPr>
    </w:p>
    <w:p w14:paraId="336BF0AB">
      <w:pPr>
        <w:pStyle w:val="4"/>
        <w:spacing w:before="5"/>
        <w:rPr>
          <w:rFonts w:hint="eastAsia" w:ascii="宋体" w:hAnsi="宋体" w:eastAsia="宋体" w:cs="宋体"/>
          <w:sz w:val="24"/>
          <w:szCs w:val="24"/>
        </w:rPr>
      </w:pPr>
    </w:p>
    <w:p w14:paraId="611921D5">
      <w:pPr>
        <w:pStyle w:val="4"/>
        <w:tabs>
          <w:tab w:val="left" w:pos="6423"/>
          <w:tab w:val="left" w:pos="7472"/>
          <w:tab w:val="left" w:pos="8444"/>
          <w:tab w:val="left" w:pos="8523"/>
        </w:tabs>
        <w:spacing w:line="259" w:lineRule="auto"/>
        <w:ind w:left="4952" w:right="454" w:firstLine="28"/>
        <w:rPr>
          <w:rFonts w:hint="eastAsia" w:ascii="宋体" w:hAnsi="宋体" w:eastAsia="宋体" w:cs="宋体"/>
          <w:spacing w:val="-15"/>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章</w:t>
      </w:r>
      <w:r>
        <w:rPr>
          <w:rFonts w:hint="eastAsia" w:ascii="宋体" w:hAnsi="宋体" w:eastAsia="宋体" w:cs="宋体"/>
          <w:spacing w:val="-15"/>
          <w:sz w:val="24"/>
          <w:szCs w:val="24"/>
        </w:rPr>
        <w:t xml:space="preserve">） </w:t>
      </w:r>
    </w:p>
    <w:p w14:paraId="0EC54995">
      <w:pPr>
        <w:pStyle w:val="4"/>
        <w:tabs>
          <w:tab w:val="left" w:pos="6423"/>
          <w:tab w:val="left" w:pos="7472"/>
          <w:tab w:val="left" w:pos="8444"/>
          <w:tab w:val="left" w:pos="8523"/>
        </w:tabs>
        <w:spacing w:line="259" w:lineRule="auto"/>
        <w:ind w:left="4952" w:right="454" w:firstLine="28"/>
        <w:rPr>
          <w:rFonts w:hint="eastAsia" w:ascii="宋体" w:hAnsi="宋体" w:eastAsia="宋体" w:cs="宋体"/>
          <w:sz w:val="24"/>
          <w:szCs w:val="24"/>
        </w:rPr>
      </w:pPr>
    </w:p>
    <w:p w14:paraId="2D2F0325">
      <w:pPr>
        <w:pStyle w:val="4"/>
        <w:tabs>
          <w:tab w:val="left" w:pos="6423"/>
          <w:tab w:val="left" w:pos="7472"/>
          <w:tab w:val="left" w:pos="8444"/>
          <w:tab w:val="left" w:pos="8523"/>
        </w:tabs>
        <w:spacing w:line="259" w:lineRule="auto"/>
        <w:ind w:left="4952" w:right="454" w:firstLine="28"/>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510FED4">
      <w:pPr>
        <w:spacing w:after="0" w:line="259" w:lineRule="auto"/>
        <w:rPr>
          <w:rFonts w:hint="eastAsia" w:ascii="宋体" w:hAnsi="宋体" w:eastAsia="宋体" w:cs="宋体"/>
          <w:sz w:val="24"/>
          <w:szCs w:val="24"/>
        </w:rPr>
        <w:sectPr>
          <w:pgSz w:w="12240" w:h="15840"/>
          <w:pgMar w:top="1380" w:right="680" w:bottom="1080" w:left="980" w:header="0" w:footer="882" w:gutter="0"/>
          <w:cols w:space="720" w:num="1"/>
        </w:sectPr>
      </w:pPr>
    </w:p>
    <w:p w14:paraId="741E704B">
      <w:pPr>
        <w:spacing w:line="440" w:lineRule="exact"/>
        <w:ind w:firstLine="482" w:firstLineChars="200"/>
        <w:jc w:val="center"/>
        <w:rPr>
          <w:rFonts w:hint="eastAsia" w:ascii="宋体" w:hAnsi="宋体" w:eastAsia="宋体" w:cs="宋体"/>
          <w:b/>
          <w:bCs/>
          <w:kern w:val="44"/>
          <w:sz w:val="24"/>
          <w:szCs w:val="24"/>
          <w:lang w:val="en-US" w:eastAsia="zh-CN" w:bidi="ar-SA"/>
        </w:rPr>
      </w:pPr>
      <w:bookmarkStart w:id="204" w:name="四、授权委托书"/>
      <w:bookmarkEnd w:id="204"/>
      <w:r>
        <w:rPr>
          <w:rFonts w:hint="eastAsia" w:ascii="宋体" w:hAnsi="宋体" w:eastAsia="宋体" w:cs="宋体"/>
          <w:b/>
          <w:bCs/>
          <w:kern w:val="44"/>
          <w:sz w:val="24"/>
          <w:szCs w:val="24"/>
          <w:lang w:val="en-US" w:eastAsia="zh-CN" w:bidi="ar-SA"/>
        </w:rPr>
        <w:t>四、授权委托书</w:t>
      </w:r>
    </w:p>
    <w:p w14:paraId="70A2679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1F5F9536">
      <w:pPr>
        <w:keepNext w:val="0"/>
        <w:keepLines w:val="0"/>
        <w:pageBreakBefore w:val="0"/>
        <w:widowControl w:val="0"/>
        <w:kinsoku/>
        <w:wordWrap/>
        <w:overflowPunct/>
        <w:topLinePunct w:val="0"/>
        <w:autoSpaceDE/>
        <w:autoSpaceDN/>
        <w:bidi w:val="0"/>
        <w:adjustRightInd/>
        <w:snapToGrid/>
        <w:spacing w:line="360" w:lineRule="auto"/>
        <w:ind w:left="479" w:leftChars="228"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（姓名）系</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名称）的法定代表人，现委托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（姓名）为我方代理人。代理人根据授权，以我方名义签署、澄清、说明、补正、递交、撤回、修改</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投标文件、签订合同和处理有关事宜，其法律后果由我方承担。</w:t>
      </w:r>
    </w:p>
    <w:p w14:paraId="3934DD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补充说明</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D756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代理人无转委托权。</w:t>
      </w:r>
    </w:p>
    <w:p w14:paraId="71108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w:t>
      </w:r>
      <w:r>
        <w:rPr>
          <w:rFonts w:hint="eastAsia" w:ascii="宋体" w:hAnsi="宋体"/>
          <w:color w:val="000000" w:themeColor="text1"/>
          <w:sz w:val="24"/>
          <w:szCs w:val="24"/>
          <w:highlight w:val="none"/>
          <w:lang w:eastAsia="zh-CN"/>
          <w14:textFill>
            <w14:solidFill>
              <w14:schemeClr w14:val="tx1"/>
            </w14:solidFill>
          </w14:textFill>
        </w:rPr>
        <w:t>法定代表人和</w:t>
      </w:r>
      <w:r>
        <w:rPr>
          <w:rFonts w:hint="eastAsia" w:ascii="宋体" w:hAnsi="宋体"/>
          <w:color w:val="000000" w:themeColor="text1"/>
          <w:sz w:val="24"/>
          <w:szCs w:val="24"/>
          <w:highlight w:val="none"/>
          <w14:textFill>
            <w14:solidFill>
              <w14:schemeClr w14:val="tx1"/>
            </w14:solidFill>
          </w14:textFill>
        </w:rPr>
        <w:t>委托人身份证复印件。</w:t>
      </w:r>
    </w:p>
    <w:p w14:paraId="7C65EB65">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3B3CD74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p>
    <w:p w14:paraId="4FB88178">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（单位章）</w:t>
      </w:r>
    </w:p>
    <w:p w14:paraId="55CD5BDB">
      <w:pPr>
        <w:spacing w:line="440" w:lineRule="exact"/>
        <w:rPr>
          <w:rFonts w:hint="eastAsia" w:ascii="宋体" w:hAnsi="宋体"/>
          <w:color w:val="000000" w:themeColor="text1"/>
          <w:sz w:val="24"/>
          <w:szCs w:val="24"/>
          <w:highlight w:val="none"/>
          <w14:textFill>
            <w14:solidFill>
              <w14:schemeClr w14:val="tx1"/>
            </w14:solidFill>
          </w14:textFill>
        </w:rPr>
      </w:pPr>
    </w:p>
    <w:p w14:paraId="7CBCA472">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14:paraId="5C9C6854">
      <w:pPr>
        <w:spacing w:line="440" w:lineRule="exact"/>
        <w:rPr>
          <w:rFonts w:hint="eastAsia" w:ascii="宋体" w:hAnsi="宋体"/>
          <w:color w:val="000000" w:themeColor="text1"/>
          <w:sz w:val="24"/>
          <w:szCs w:val="24"/>
          <w:highlight w:val="none"/>
          <w14:textFill>
            <w14:solidFill>
              <w14:schemeClr w14:val="tx1"/>
            </w14:solidFill>
          </w14:textFill>
        </w:rPr>
      </w:pPr>
    </w:p>
    <w:p w14:paraId="0BB441D1">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1DE60AF3">
      <w:pPr>
        <w:spacing w:after="0"/>
        <w:rPr>
          <w:rFonts w:hint="eastAsia" w:ascii="宋体" w:hAnsi="宋体" w:eastAsia="宋体" w:cs="宋体"/>
          <w:sz w:val="24"/>
          <w:szCs w:val="24"/>
        </w:rPr>
        <w:sectPr>
          <w:pgSz w:w="12240" w:h="15840"/>
          <w:pgMar w:top="1100" w:right="680" w:bottom="1080" w:left="980" w:header="0" w:footer="882" w:gutter="0"/>
          <w:cols w:space="720" w:num="1"/>
        </w:sectPr>
      </w:pPr>
    </w:p>
    <w:p w14:paraId="3E8EFF83">
      <w:pPr>
        <w:pStyle w:val="6"/>
        <w:spacing w:before="39"/>
        <w:ind w:left="837" w:right="851"/>
        <w:rPr>
          <w:rFonts w:hint="eastAsia" w:ascii="宋体" w:hAnsi="宋体" w:eastAsia="宋体" w:cs="宋体"/>
          <w:sz w:val="24"/>
          <w:szCs w:val="24"/>
        </w:rPr>
      </w:pPr>
      <w:bookmarkStart w:id="205" w:name="六、分项报价表"/>
      <w:bookmarkEnd w:id="205"/>
      <w:r>
        <w:rPr>
          <w:rFonts w:hint="eastAsia" w:ascii="宋体" w:hAnsi="宋体" w:eastAsia="宋体" w:cs="宋体"/>
          <w:sz w:val="24"/>
          <w:szCs w:val="24"/>
        </w:rPr>
        <w:t>五、</w:t>
      </w:r>
      <w:r>
        <w:rPr>
          <w:rFonts w:hint="eastAsia" w:ascii="宋体" w:hAnsi="宋体" w:cs="宋体"/>
          <w:sz w:val="24"/>
          <w:szCs w:val="24"/>
          <w:lang w:eastAsia="zh-CN"/>
        </w:rPr>
        <w:t>商务及</w:t>
      </w:r>
      <w:r>
        <w:rPr>
          <w:rFonts w:hint="eastAsia" w:ascii="宋体" w:hAnsi="宋体" w:eastAsia="宋体" w:cs="宋体"/>
          <w:sz w:val="24"/>
          <w:szCs w:val="24"/>
        </w:rPr>
        <w:t>技术偏差表</w:t>
      </w:r>
    </w:p>
    <w:p w14:paraId="61D95CAF">
      <w:pPr>
        <w:pStyle w:val="4"/>
        <w:spacing w:before="8"/>
        <w:rPr>
          <w:rFonts w:hint="eastAsia" w:ascii="宋体" w:hAnsi="宋体" w:eastAsia="宋体" w:cs="宋体"/>
          <w:b/>
          <w:sz w:val="24"/>
          <w:szCs w:val="24"/>
        </w:rPr>
      </w:pPr>
    </w:p>
    <w:p w14:paraId="199732C2">
      <w:pPr>
        <w:tabs>
          <w:tab w:val="left" w:pos="4535"/>
          <w:tab w:val="left" w:pos="5195"/>
          <w:tab w:val="left" w:pos="7962"/>
        </w:tabs>
        <w:spacing w:before="74"/>
        <w:ind w:left="1888" w:right="0" w:firstLine="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ab/>
      </w:r>
      <w:r>
        <w:rPr>
          <w:rFonts w:hint="eastAsia" w:ascii="宋体" w:hAnsi="宋体" w:cs="宋体"/>
          <w:sz w:val="24"/>
          <w:szCs w:val="24"/>
          <w:lang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690603A7">
      <w:pPr>
        <w:pStyle w:val="4"/>
        <w:spacing w:before="8" w:after="1"/>
        <w:rPr>
          <w:rFonts w:hint="eastAsia" w:ascii="宋体" w:hAnsi="宋体" w:eastAsia="宋体" w:cs="宋体"/>
          <w:sz w:val="24"/>
          <w:szCs w:val="24"/>
        </w:rPr>
      </w:pPr>
    </w:p>
    <w:tbl>
      <w:tblPr>
        <w:tblStyle w:val="23"/>
        <w:tblW w:w="0" w:type="auto"/>
        <w:tblInd w:w="5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2730"/>
        <w:gridCol w:w="3020"/>
        <w:gridCol w:w="1648"/>
      </w:tblGrid>
      <w:tr w14:paraId="78BE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39" w:type="dxa"/>
          </w:tcPr>
          <w:p w14:paraId="2C54C667">
            <w:pPr>
              <w:pStyle w:val="76"/>
              <w:spacing w:before="99"/>
              <w:ind w:left="227" w:right="237"/>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30" w:type="dxa"/>
          </w:tcPr>
          <w:p w14:paraId="70248632">
            <w:pPr>
              <w:pStyle w:val="76"/>
              <w:spacing w:before="99"/>
              <w:ind w:left="289"/>
              <w:rPr>
                <w:rFonts w:hint="eastAsia" w:ascii="宋体" w:hAnsi="宋体" w:eastAsia="宋体" w:cs="宋体"/>
                <w:sz w:val="24"/>
                <w:szCs w:val="24"/>
              </w:rPr>
            </w:pPr>
            <w:r>
              <w:rPr>
                <w:rFonts w:hint="eastAsia" w:ascii="宋体" w:hAnsi="宋体" w:eastAsia="宋体" w:cs="宋体"/>
                <w:sz w:val="24"/>
                <w:szCs w:val="24"/>
              </w:rPr>
              <w:t>采购文件章节及条款号</w:t>
            </w:r>
          </w:p>
        </w:tc>
        <w:tc>
          <w:tcPr>
            <w:tcW w:w="3020" w:type="dxa"/>
          </w:tcPr>
          <w:p w14:paraId="798D9ED0">
            <w:pPr>
              <w:pStyle w:val="76"/>
              <w:spacing w:before="99"/>
              <w:ind w:left="434"/>
              <w:rPr>
                <w:rFonts w:hint="eastAsia" w:ascii="宋体" w:hAnsi="宋体" w:eastAsia="宋体" w:cs="宋体"/>
                <w:sz w:val="24"/>
                <w:szCs w:val="24"/>
              </w:rPr>
            </w:pPr>
            <w:r>
              <w:rPr>
                <w:rFonts w:hint="eastAsia" w:ascii="宋体" w:hAnsi="宋体" w:eastAsia="宋体" w:cs="宋体"/>
                <w:sz w:val="24"/>
                <w:szCs w:val="24"/>
              </w:rPr>
              <w:t>响应文件章节及条款号</w:t>
            </w:r>
          </w:p>
        </w:tc>
        <w:tc>
          <w:tcPr>
            <w:tcW w:w="1648" w:type="dxa"/>
          </w:tcPr>
          <w:p w14:paraId="17F17FB9">
            <w:pPr>
              <w:pStyle w:val="76"/>
              <w:spacing w:before="99"/>
              <w:ind w:left="390"/>
              <w:rPr>
                <w:rFonts w:hint="eastAsia" w:ascii="宋体" w:hAnsi="宋体" w:eastAsia="宋体" w:cs="宋体"/>
                <w:sz w:val="24"/>
                <w:szCs w:val="24"/>
              </w:rPr>
            </w:pPr>
            <w:r>
              <w:rPr>
                <w:rFonts w:hint="eastAsia" w:ascii="宋体" w:hAnsi="宋体" w:eastAsia="宋体" w:cs="宋体"/>
                <w:sz w:val="24"/>
                <w:szCs w:val="24"/>
              </w:rPr>
              <w:t>偏差说明</w:t>
            </w:r>
          </w:p>
        </w:tc>
      </w:tr>
      <w:tr w14:paraId="0668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39" w:type="dxa"/>
          </w:tcPr>
          <w:p w14:paraId="3DD9FD55">
            <w:pPr>
              <w:pStyle w:val="76"/>
              <w:spacing w:before="9"/>
              <w:rPr>
                <w:rFonts w:hint="eastAsia" w:ascii="宋体" w:hAnsi="宋体" w:eastAsia="宋体" w:cs="宋体"/>
                <w:sz w:val="24"/>
                <w:szCs w:val="24"/>
              </w:rPr>
            </w:pPr>
          </w:p>
          <w:p w14:paraId="0776B1C5">
            <w:pPr>
              <w:pStyle w:val="76"/>
              <w:ind w:left="24"/>
              <w:jc w:val="center"/>
              <w:rPr>
                <w:rFonts w:hint="eastAsia" w:ascii="宋体" w:hAnsi="宋体" w:eastAsia="宋体" w:cs="宋体"/>
                <w:sz w:val="24"/>
                <w:szCs w:val="24"/>
              </w:rPr>
            </w:pPr>
            <w:r>
              <w:rPr>
                <w:rFonts w:hint="eastAsia" w:ascii="宋体" w:hAnsi="宋体" w:eastAsia="宋体" w:cs="宋体"/>
                <w:w w:val="99"/>
                <w:sz w:val="24"/>
                <w:szCs w:val="24"/>
              </w:rPr>
              <w:t>1</w:t>
            </w:r>
          </w:p>
        </w:tc>
        <w:tc>
          <w:tcPr>
            <w:tcW w:w="2730" w:type="dxa"/>
          </w:tcPr>
          <w:p w14:paraId="60A15775">
            <w:pPr>
              <w:pStyle w:val="76"/>
              <w:rPr>
                <w:rFonts w:hint="eastAsia" w:ascii="宋体" w:hAnsi="宋体" w:eastAsia="宋体" w:cs="宋体"/>
                <w:sz w:val="24"/>
                <w:szCs w:val="24"/>
              </w:rPr>
            </w:pPr>
          </w:p>
        </w:tc>
        <w:tc>
          <w:tcPr>
            <w:tcW w:w="3020" w:type="dxa"/>
          </w:tcPr>
          <w:p w14:paraId="722AA54E">
            <w:pPr>
              <w:pStyle w:val="76"/>
              <w:rPr>
                <w:rFonts w:hint="eastAsia" w:ascii="宋体" w:hAnsi="宋体" w:eastAsia="宋体" w:cs="宋体"/>
                <w:sz w:val="24"/>
                <w:szCs w:val="24"/>
              </w:rPr>
            </w:pPr>
          </w:p>
        </w:tc>
        <w:tc>
          <w:tcPr>
            <w:tcW w:w="1648" w:type="dxa"/>
          </w:tcPr>
          <w:p w14:paraId="17B85233">
            <w:pPr>
              <w:pStyle w:val="76"/>
              <w:rPr>
                <w:rFonts w:hint="eastAsia" w:ascii="宋体" w:hAnsi="宋体" w:eastAsia="宋体" w:cs="宋体"/>
                <w:sz w:val="24"/>
                <w:szCs w:val="24"/>
              </w:rPr>
            </w:pPr>
          </w:p>
        </w:tc>
      </w:tr>
      <w:tr w14:paraId="25DC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39" w:type="dxa"/>
          </w:tcPr>
          <w:p w14:paraId="44825377">
            <w:pPr>
              <w:pStyle w:val="76"/>
              <w:spacing w:before="6"/>
              <w:rPr>
                <w:rFonts w:hint="eastAsia" w:ascii="宋体" w:hAnsi="宋体" w:eastAsia="宋体" w:cs="宋体"/>
                <w:sz w:val="24"/>
                <w:szCs w:val="24"/>
              </w:rPr>
            </w:pPr>
          </w:p>
          <w:p w14:paraId="2D9A1703">
            <w:pPr>
              <w:pStyle w:val="76"/>
              <w:ind w:left="24"/>
              <w:jc w:val="center"/>
              <w:rPr>
                <w:rFonts w:hint="eastAsia" w:ascii="宋体" w:hAnsi="宋体" w:eastAsia="宋体" w:cs="宋体"/>
                <w:sz w:val="24"/>
                <w:szCs w:val="24"/>
              </w:rPr>
            </w:pPr>
            <w:r>
              <w:rPr>
                <w:rFonts w:hint="eastAsia" w:ascii="宋体" w:hAnsi="宋体" w:eastAsia="宋体" w:cs="宋体"/>
                <w:w w:val="99"/>
                <w:sz w:val="24"/>
                <w:szCs w:val="24"/>
              </w:rPr>
              <w:t>2</w:t>
            </w:r>
          </w:p>
        </w:tc>
        <w:tc>
          <w:tcPr>
            <w:tcW w:w="2730" w:type="dxa"/>
          </w:tcPr>
          <w:p w14:paraId="19E5DD01">
            <w:pPr>
              <w:pStyle w:val="76"/>
              <w:rPr>
                <w:rFonts w:hint="eastAsia" w:ascii="宋体" w:hAnsi="宋体" w:eastAsia="宋体" w:cs="宋体"/>
                <w:sz w:val="24"/>
                <w:szCs w:val="24"/>
              </w:rPr>
            </w:pPr>
          </w:p>
        </w:tc>
        <w:tc>
          <w:tcPr>
            <w:tcW w:w="3020" w:type="dxa"/>
          </w:tcPr>
          <w:p w14:paraId="7E3B9627">
            <w:pPr>
              <w:pStyle w:val="76"/>
              <w:rPr>
                <w:rFonts w:hint="eastAsia" w:ascii="宋体" w:hAnsi="宋体" w:eastAsia="宋体" w:cs="宋体"/>
                <w:sz w:val="24"/>
                <w:szCs w:val="24"/>
              </w:rPr>
            </w:pPr>
          </w:p>
        </w:tc>
        <w:tc>
          <w:tcPr>
            <w:tcW w:w="1648" w:type="dxa"/>
          </w:tcPr>
          <w:p w14:paraId="59AE34A4">
            <w:pPr>
              <w:pStyle w:val="76"/>
              <w:rPr>
                <w:rFonts w:hint="eastAsia" w:ascii="宋体" w:hAnsi="宋体" w:eastAsia="宋体" w:cs="宋体"/>
                <w:sz w:val="24"/>
                <w:szCs w:val="24"/>
              </w:rPr>
            </w:pPr>
          </w:p>
        </w:tc>
      </w:tr>
      <w:tr w14:paraId="4C3F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39" w:type="dxa"/>
          </w:tcPr>
          <w:p w14:paraId="5D85D04A">
            <w:pPr>
              <w:pStyle w:val="76"/>
              <w:spacing w:before="7"/>
              <w:rPr>
                <w:rFonts w:hint="eastAsia" w:ascii="宋体" w:hAnsi="宋体" w:eastAsia="宋体" w:cs="宋体"/>
                <w:sz w:val="24"/>
                <w:szCs w:val="24"/>
              </w:rPr>
            </w:pPr>
          </w:p>
          <w:p w14:paraId="5942EC20">
            <w:pPr>
              <w:pStyle w:val="76"/>
              <w:ind w:left="24"/>
              <w:jc w:val="center"/>
              <w:rPr>
                <w:rFonts w:hint="eastAsia" w:ascii="宋体" w:hAnsi="宋体" w:eastAsia="宋体" w:cs="宋体"/>
                <w:sz w:val="24"/>
                <w:szCs w:val="24"/>
              </w:rPr>
            </w:pPr>
            <w:r>
              <w:rPr>
                <w:rFonts w:hint="eastAsia" w:ascii="宋体" w:hAnsi="宋体" w:eastAsia="宋体" w:cs="宋体"/>
                <w:w w:val="99"/>
                <w:sz w:val="24"/>
                <w:szCs w:val="24"/>
              </w:rPr>
              <w:t>3</w:t>
            </w:r>
          </w:p>
        </w:tc>
        <w:tc>
          <w:tcPr>
            <w:tcW w:w="2730" w:type="dxa"/>
          </w:tcPr>
          <w:p w14:paraId="53058708">
            <w:pPr>
              <w:pStyle w:val="76"/>
              <w:rPr>
                <w:rFonts w:hint="eastAsia" w:ascii="宋体" w:hAnsi="宋体" w:eastAsia="宋体" w:cs="宋体"/>
                <w:sz w:val="24"/>
                <w:szCs w:val="24"/>
              </w:rPr>
            </w:pPr>
          </w:p>
        </w:tc>
        <w:tc>
          <w:tcPr>
            <w:tcW w:w="3020" w:type="dxa"/>
          </w:tcPr>
          <w:p w14:paraId="0EF87060">
            <w:pPr>
              <w:pStyle w:val="76"/>
              <w:rPr>
                <w:rFonts w:hint="eastAsia" w:ascii="宋体" w:hAnsi="宋体" w:eastAsia="宋体" w:cs="宋体"/>
                <w:sz w:val="24"/>
                <w:szCs w:val="24"/>
              </w:rPr>
            </w:pPr>
          </w:p>
        </w:tc>
        <w:tc>
          <w:tcPr>
            <w:tcW w:w="1648" w:type="dxa"/>
          </w:tcPr>
          <w:p w14:paraId="2D9D42C1">
            <w:pPr>
              <w:pStyle w:val="76"/>
              <w:rPr>
                <w:rFonts w:hint="eastAsia" w:ascii="宋体" w:hAnsi="宋体" w:eastAsia="宋体" w:cs="宋体"/>
                <w:sz w:val="24"/>
                <w:szCs w:val="24"/>
              </w:rPr>
            </w:pPr>
          </w:p>
        </w:tc>
      </w:tr>
      <w:tr w14:paraId="28FF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39" w:type="dxa"/>
          </w:tcPr>
          <w:p w14:paraId="647A6F53">
            <w:pPr>
              <w:pStyle w:val="76"/>
              <w:spacing w:before="8"/>
              <w:rPr>
                <w:rFonts w:hint="eastAsia" w:ascii="宋体" w:hAnsi="宋体" w:eastAsia="宋体" w:cs="宋体"/>
                <w:sz w:val="24"/>
                <w:szCs w:val="24"/>
              </w:rPr>
            </w:pPr>
          </w:p>
          <w:p w14:paraId="6A8F260B">
            <w:pPr>
              <w:pStyle w:val="76"/>
              <w:spacing w:before="1"/>
              <w:ind w:left="24"/>
              <w:jc w:val="center"/>
              <w:rPr>
                <w:rFonts w:hint="eastAsia" w:ascii="宋体" w:hAnsi="宋体" w:eastAsia="宋体" w:cs="宋体"/>
                <w:sz w:val="24"/>
                <w:szCs w:val="24"/>
              </w:rPr>
            </w:pPr>
            <w:r>
              <w:rPr>
                <w:rFonts w:hint="eastAsia" w:ascii="宋体" w:hAnsi="宋体" w:eastAsia="宋体" w:cs="宋体"/>
                <w:w w:val="99"/>
                <w:sz w:val="24"/>
                <w:szCs w:val="24"/>
              </w:rPr>
              <w:t>4</w:t>
            </w:r>
          </w:p>
        </w:tc>
        <w:tc>
          <w:tcPr>
            <w:tcW w:w="2730" w:type="dxa"/>
          </w:tcPr>
          <w:p w14:paraId="252F7077">
            <w:pPr>
              <w:pStyle w:val="76"/>
              <w:rPr>
                <w:rFonts w:hint="eastAsia" w:ascii="宋体" w:hAnsi="宋体" w:eastAsia="宋体" w:cs="宋体"/>
                <w:sz w:val="24"/>
                <w:szCs w:val="24"/>
              </w:rPr>
            </w:pPr>
          </w:p>
        </w:tc>
        <w:tc>
          <w:tcPr>
            <w:tcW w:w="3020" w:type="dxa"/>
          </w:tcPr>
          <w:p w14:paraId="79594E3B">
            <w:pPr>
              <w:pStyle w:val="76"/>
              <w:rPr>
                <w:rFonts w:hint="eastAsia" w:ascii="宋体" w:hAnsi="宋体" w:eastAsia="宋体" w:cs="宋体"/>
                <w:sz w:val="24"/>
                <w:szCs w:val="24"/>
              </w:rPr>
            </w:pPr>
          </w:p>
        </w:tc>
        <w:tc>
          <w:tcPr>
            <w:tcW w:w="1648" w:type="dxa"/>
          </w:tcPr>
          <w:p w14:paraId="38CFDA8D">
            <w:pPr>
              <w:pStyle w:val="76"/>
              <w:rPr>
                <w:rFonts w:hint="eastAsia" w:ascii="宋体" w:hAnsi="宋体" w:eastAsia="宋体" w:cs="宋体"/>
                <w:sz w:val="24"/>
                <w:szCs w:val="24"/>
              </w:rPr>
            </w:pPr>
          </w:p>
        </w:tc>
      </w:tr>
      <w:tr w14:paraId="390D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39" w:type="dxa"/>
          </w:tcPr>
          <w:p w14:paraId="6380681A">
            <w:pPr>
              <w:pStyle w:val="76"/>
              <w:spacing w:before="10"/>
              <w:rPr>
                <w:rFonts w:hint="eastAsia" w:ascii="宋体" w:hAnsi="宋体" w:eastAsia="宋体" w:cs="宋体"/>
                <w:sz w:val="24"/>
                <w:szCs w:val="24"/>
              </w:rPr>
            </w:pPr>
          </w:p>
          <w:p w14:paraId="0491C0D6">
            <w:pPr>
              <w:pStyle w:val="76"/>
              <w:ind w:left="24"/>
              <w:jc w:val="center"/>
              <w:rPr>
                <w:rFonts w:hint="eastAsia" w:ascii="宋体" w:hAnsi="宋体" w:eastAsia="宋体" w:cs="宋体"/>
                <w:sz w:val="24"/>
                <w:szCs w:val="24"/>
              </w:rPr>
            </w:pPr>
            <w:r>
              <w:rPr>
                <w:rFonts w:hint="eastAsia" w:ascii="宋体" w:hAnsi="宋体" w:eastAsia="宋体" w:cs="宋体"/>
                <w:w w:val="99"/>
                <w:sz w:val="24"/>
                <w:szCs w:val="24"/>
              </w:rPr>
              <w:t>5</w:t>
            </w:r>
          </w:p>
        </w:tc>
        <w:tc>
          <w:tcPr>
            <w:tcW w:w="2730" w:type="dxa"/>
          </w:tcPr>
          <w:p w14:paraId="4E869728">
            <w:pPr>
              <w:pStyle w:val="76"/>
              <w:rPr>
                <w:rFonts w:hint="eastAsia" w:ascii="宋体" w:hAnsi="宋体" w:eastAsia="宋体" w:cs="宋体"/>
                <w:sz w:val="24"/>
                <w:szCs w:val="24"/>
              </w:rPr>
            </w:pPr>
          </w:p>
        </w:tc>
        <w:tc>
          <w:tcPr>
            <w:tcW w:w="3020" w:type="dxa"/>
          </w:tcPr>
          <w:p w14:paraId="23353363">
            <w:pPr>
              <w:pStyle w:val="76"/>
              <w:rPr>
                <w:rFonts w:hint="eastAsia" w:ascii="宋体" w:hAnsi="宋体" w:eastAsia="宋体" w:cs="宋体"/>
                <w:sz w:val="24"/>
                <w:szCs w:val="24"/>
              </w:rPr>
            </w:pPr>
          </w:p>
        </w:tc>
        <w:tc>
          <w:tcPr>
            <w:tcW w:w="1648" w:type="dxa"/>
          </w:tcPr>
          <w:p w14:paraId="76E00A9C">
            <w:pPr>
              <w:pStyle w:val="76"/>
              <w:rPr>
                <w:rFonts w:hint="eastAsia" w:ascii="宋体" w:hAnsi="宋体" w:eastAsia="宋体" w:cs="宋体"/>
                <w:sz w:val="24"/>
                <w:szCs w:val="24"/>
              </w:rPr>
            </w:pPr>
          </w:p>
        </w:tc>
      </w:tr>
      <w:tr w14:paraId="13A8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939" w:type="dxa"/>
          </w:tcPr>
          <w:p w14:paraId="02232973">
            <w:pPr>
              <w:pStyle w:val="76"/>
              <w:spacing w:before="9"/>
              <w:rPr>
                <w:rFonts w:hint="eastAsia" w:ascii="宋体" w:hAnsi="宋体" w:eastAsia="宋体" w:cs="宋体"/>
                <w:sz w:val="24"/>
                <w:szCs w:val="24"/>
              </w:rPr>
            </w:pPr>
          </w:p>
          <w:p w14:paraId="4E8AB782">
            <w:pPr>
              <w:pStyle w:val="76"/>
              <w:ind w:left="229" w:right="235"/>
              <w:jc w:val="center"/>
              <w:rPr>
                <w:rFonts w:hint="eastAsia" w:ascii="宋体" w:hAnsi="宋体" w:eastAsia="宋体" w:cs="宋体"/>
                <w:sz w:val="24"/>
                <w:szCs w:val="24"/>
              </w:rPr>
            </w:pPr>
            <w:r>
              <w:rPr>
                <w:rFonts w:hint="eastAsia" w:ascii="宋体" w:hAnsi="宋体" w:eastAsia="宋体" w:cs="宋体"/>
                <w:sz w:val="24"/>
                <w:szCs w:val="24"/>
              </w:rPr>
              <w:t>……</w:t>
            </w:r>
          </w:p>
        </w:tc>
        <w:tc>
          <w:tcPr>
            <w:tcW w:w="2730" w:type="dxa"/>
          </w:tcPr>
          <w:p w14:paraId="2989A014">
            <w:pPr>
              <w:pStyle w:val="76"/>
              <w:rPr>
                <w:rFonts w:hint="eastAsia" w:ascii="宋体" w:hAnsi="宋体" w:eastAsia="宋体" w:cs="宋体"/>
                <w:sz w:val="24"/>
                <w:szCs w:val="24"/>
              </w:rPr>
            </w:pPr>
          </w:p>
        </w:tc>
        <w:tc>
          <w:tcPr>
            <w:tcW w:w="3020" w:type="dxa"/>
          </w:tcPr>
          <w:p w14:paraId="2247AC9A">
            <w:pPr>
              <w:pStyle w:val="76"/>
              <w:rPr>
                <w:rFonts w:hint="eastAsia" w:ascii="宋体" w:hAnsi="宋体" w:eastAsia="宋体" w:cs="宋体"/>
                <w:sz w:val="24"/>
                <w:szCs w:val="24"/>
              </w:rPr>
            </w:pPr>
          </w:p>
        </w:tc>
        <w:tc>
          <w:tcPr>
            <w:tcW w:w="1648" w:type="dxa"/>
          </w:tcPr>
          <w:p w14:paraId="399F23BC">
            <w:pPr>
              <w:pStyle w:val="76"/>
              <w:rPr>
                <w:rFonts w:hint="eastAsia" w:ascii="宋体" w:hAnsi="宋体" w:eastAsia="宋体" w:cs="宋体"/>
                <w:sz w:val="24"/>
                <w:szCs w:val="24"/>
              </w:rPr>
            </w:pPr>
          </w:p>
        </w:tc>
      </w:tr>
    </w:tbl>
    <w:p w14:paraId="69EF2562">
      <w:pPr>
        <w:pStyle w:val="4"/>
        <w:rPr>
          <w:rFonts w:hint="eastAsia" w:ascii="宋体" w:hAnsi="宋体" w:eastAsia="宋体" w:cs="宋体"/>
          <w:sz w:val="24"/>
          <w:szCs w:val="24"/>
        </w:rPr>
      </w:pPr>
    </w:p>
    <w:p w14:paraId="1D035755">
      <w:pPr>
        <w:pStyle w:val="4"/>
        <w:spacing w:before="1"/>
        <w:ind w:left="218"/>
        <w:rPr>
          <w:rFonts w:hint="eastAsia" w:ascii="宋体" w:hAnsi="宋体" w:eastAsia="宋体" w:cs="宋体"/>
          <w:sz w:val="24"/>
          <w:szCs w:val="24"/>
        </w:rPr>
      </w:pPr>
    </w:p>
    <w:p w14:paraId="17C1D698">
      <w:pPr>
        <w:pStyle w:val="4"/>
        <w:spacing w:before="1"/>
        <w:ind w:left="218" w:firstLine="240" w:firstLineChars="100"/>
        <w:rPr>
          <w:rFonts w:hint="eastAsia" w:ascii="宋体" w:hAnsi="宋体" w:eastAsia="宋体" w:cs="宋体"/>
          <w:sz w:val="24"/>
          <w:szCs w:val="24"/>
        </w:rPr>
      </w:pPr>
      <w:r>
        <w:rPr>
          <w:rFonts w:hint="eastAsia" w:ascii="宋体" w:hAnsi="宋体" w:eastAsia="宋体" w:cs="宋体"/>
          <w:sz w:val="24"/>
          <w:szCs w:val="24"/>
        </w:rPr>
        <w:t>注：</w:t>
      </w:r>
    </w:p>
    <w:p w14:paraId="149A316F">
      <w:pPr>
        <w:pStyle w:val="4"/>
        <w:spacing w:before="1"/>
        <w:ind w:left="218"/>
        <w:rPr>
          <w:rFonts w:hint="eastAsia" w:ascii="宋体" w:hAnsi="宋体" w:eastAsia="宋体" w:cs="宋体"/>
          <w:sz w:val="24"/>
          <w:szCs w:val="24"/>
        </w:rPr>
      </w:pPr>
    </w:p>
    <w:p w14:paraId="720AE710">
      <w:pPr>
        <w:pStyle w:val="4"/>
        <w:keepNext w:val="0"/>
        <w:keepLines w:val="0"/>
        <w:pageBreakBefore w:val="0"/>
        <w:widowControl w:val="0"/>
        <w:kinsoku/>
        <w:wordWrap/>
        <w:overflowPunct/>
        <w:topLinePunct w:val="0"/>
        <w:autoSpaceDE/>
        <w:autoSpaceDN/>
        <w:bidi w:val="0"/>
        <w:adjustRightInd/>
        <w:snapToGrid/>
        <w:spacing w:before="1" w:line="360" w:lineRule="auto"/>
        <w:ind w:left="215"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1、“偏差说明”栏中详细注明所投设备参数与招标文件要求有何不同，并说明其符合性；</w:t>
      </w:r>
    </w:p>
    <w:p w14:paraId="2C551E4E">
      <w:pPr>
        <w:pStyle w:val="4"/>
        <w:keepNext w:val="0"/>
        <w:keepLines w:val="0"/>
        <w:pageBreakBefore w:val="0"/>
        <w:widowControl w:val="0"/>
        <w:kinsoku/>
        <w:wordWrap/>
        <w:overflowPunct/>
        <w:topLinePunct w:val="0"/>
        <w:autoSpaceDE/>
        <w:autoSpaceDN/>
        <w:bidi w:val="0"/>
        <w:adjustRightInd/>
        <w:snapToGrid/>
        <w:spacing w:before="1" w:line="360" w:lineRule="auto"/>
        <w:ind w:left="215" w:firstLine="240" w:firstLineChars="100"/>
        <w:textAlignment w:val="auto"/>
        <w:rPr>
          <w:rFonts w:hint="eastAsia" w:ascii="宋体" w:hAnsi="宋体" w:eastAsia="宋体" w:cs="宋体"/>
          <w:sz w:val="24"/>
          <w:szCs w:val="24"/>
          <w:highlight w:val="red"/>
        </w:rPr>
      </w:pPr>
      <w:r>
        <w:rPr>
          <w:rFonts w:hint="eastAsia" w:ascii="宋体" w:hAnsi="宋体" w:eastAsia="宋体" w:cs="宋体"/>
          <w:sz w:val="24"/>
          <w:szCs w:val="24"/>
        </w:rPr>
        <w:t>2、全部无偏差</w:t>
      </w:r>
      <w:r>
        <w:rPr>
          <w:rFonts w:hint="eastAsia" w:ascii="宋体" w:hAnsi="宋体" w:eastAsia="宋体" w:cs="宋体"/>
          <w:sz w:val="24"/>
          <w:szCs w:val="24"/>
          <w:highlight w:val="none"/>
        </w:rPr>
        <w:t>时在“偏差说明”栏内注明“无偏差”，优于采购文件要求在“偏差说明”栏内注明“正偏差”。</w:t>
      </w:r>
    </w:p>
    <w:p w14:paraId="019DF0E3">
      <w:pPr>
        <w:pStyle w:val="4"/>
        <w:rPr>
          <w:rFonts w:hint="eastAsia" w:ascii="宋体" w:hAnsi="宋体" w:eastAsia="宋体" w:cs="宋体"/>
          <w:sz w:val="24"/>
          <w:szCs w:val="24"/>
        </w:rPr>
      </w:pPr>
    </w:p>
    <w:p w14:paraId="0B235F13">
      <w:pPr>
        <w:pStyle w:val="4"/>
        <w:rPr>
          <w:rFonts w:hint="eastAsia" w:ascii="宋体" w:hAnsi="宋体" w:eastAsia="宋体" w:cs="宋体"/>
          <w:sz w:val="24"/>
          <w:szCs w:val="24"/>
        </w:rPr>
      </w:pPr>
    </w:p>
    <w:p w14:paraId="265A481D">
      <w:pPr>
        <w:pStyle w:val="4"/>
        <w:rPr>
          <w:rFonts w:hint="eastAsia" w:ascii="宋体" w:hAnsi="宋体" w:eastAsia="宋体" w:cs="宋体"/>
          <w:sz w:val="24"/>
          <w:szCs w:val="24"/>
        </w:rPr>
      </w:pPr>
    </w:p>
    <w:p w14:paraId="5AAB4914">
      <w:pPr>
        <w:spacing w:line="440" w:lineRule="exact"/>
        <w:ind w:firstLine="2400" w:firstLineChars="10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（单位章）</w:t>
      </w:r>
    </w:p>
    <w:p w14:paraId="5EBFAE5D">
      <w:pPr>
        <w:spacing w:line="440" w:lineRule="exac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p>
    <w:p w14:paraId="0CF2DCBB">
      <w:pPr>
        <w:spacing w:line="440" w:lineRule="exact"/>
        <w:ind w:firstLine="2160" w:firstLineChars="9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14:paraId="535883DC">
      <w:pPr>
        <w:spacing w:line="440" w:lineRule="exact"/>
        <w:rPr>
          <w:rFonts w:hint="eastAsia" w:ascii="宋体" w:hAnsi="宋体"/>
          <w:color w:val="000000" w:themeColor="text1"/>
          <w:sz w:val="24"/>
          <w:szCs w:val="24"/>
          <w:highlight w:val="none"/>
          <w14:textFill>
            <w14:solidFill>
              <w14:schemeClr w14:val="tx1"/>
            </w14:solidFill>
          </w14:textFill>
        </w:rPr>
      </w:pPr>
    </w:p>
    <w:p w14:paraId="19F3433B">
      <w:pPr>
        <w:spacing w:line="440" w:lineRule="exact"/>
        <w:ind w:firstLine="2640" w:firstLineChars="11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7122DBE2">
      <w:pPr>
        <w:pStyle w:val="4"/>
        <w:rPr>
          <w:rFonts w:hint="eastAsia" w:ascii="宋体" w:hAnsi="宋体" w:eastAsia="宋体" w:cs="宋体"/>
          <w:sz w:val="24"/>
          <w:szCs w:val="24"/>
        </w:rPr>
      </w:pPr>
    </w:p>
    <w:p w14:paraId="3489869B">
      <w:pPr>
        <w:pStyle w:val="4"/>
        <w:rPr>
          <w:rFonts w:hint="eastAsia" w:ascii="宋体" w:hAnsi="宋体" w:eastAsia="宋体" w:cs="宋体"/>
          <w:sz w:val="24"/>
          <w:szCs w:val="24"/>
        </w:rPr>
      </w:pPr>
    </w:p>
    <w:p w14:paraId="4D1C1559">
      <w:pPr>
        <w:pStyle w:val="4"/>
        <w:rPr>
          <w:rFonts w:hint="eastAsia" w:ascii="宋体" w:hAnsi="宋体" w:eastAsia="宋体" w:cs="宋体"/>
          <w:sz w:val="24"/>
          <w:szCs w:val="24"/>
        </w:rPr>
      </w:pPr>
    </w:p>
    <w:p w14:paraId="623E57CC">
      <w:pPr>
        <w:pStyle w:val="4"/>
        <w:rPr>
          <w:rFonts w:hint="eastAsia" w:ascii="宋体" w:hAnsi="宋体" w:eastAsia="宋体" w:cs="宋体"/>
          <w:sz w:val="24"/>
          <w:szCs w:val="24"/>
        </w:rPr>
      </w:pPr>
    </w:p>
    <w:p w14:paraId="76AF9163">
      <w:pPr>
        <w:pStyle w:val="4"/>
        <w:rPr>
          <w:rFonts w:hint="eastAsia" w:ascii="宋体" w:hAnsi="宋体" w:eastAsia="宋体" w:cs="宋体"/>
          <w:sz w:val="24"/>
          <w:szCs w:val="24"/>
        </w:rPr>
      </w:pPr>
    </w:p>
    <w:p w14:paraId="39692044">
      <w:pPr>
        <w:pStyle w:val="4"/>
        <w:rPr>
          <w:rFonts w:hint="eastAsia" w:ascii="宋体" w:hAnsi="宋体" w:eastAsia="宋体" w:cs="宋体"/>
          <w:sz w:val="24"/>
          <w:szCs w:val="24"/>
        </w:rPr>
      </w:pPr>
    </w:p>
    <w:p w14:paraId="62DDE610">
      <w:pPr>
        <w:pStyle w:val="6"/>
        <w:spacing w:before="39"/>
        <w:ind w:left="837" w:right="854"/>
        <w:rPr>
          <w:rFonts w:hint="eastAsia" w:ascii="宋体" w:hAnsi="宋体" w:eastAsia="宋体" w:cs="宋体"/>
          <w:sz w:val="24"/>
          <w:szCs w:val="24"/>
        </w:rPr>
      </w:pPr>
      <w:bookmarkStart w:id="206" w:name="  七、售后服务"/>
      <w:bookmarkEnd w:id="206"/>
      <w:r>
        <w:rPr>
          <w:rFonts w:hint="eastAsia" w:ascii="宋体" w:hAnsi="宋体" w:eastAsia="宋体" w:cs="宋体"/>
          <w:sz w:val="24"/>
          <w:szCs w:val="24"/>
        </w:rPr>
        <w:t>六、分项报价表</w:t>
      </w:r>
    </w:p>
    <w:p w14:paraId="1367185F">
      <w:pPr>
        <w:pStyle w:val="4"/>
        <w:rPr>
          <w:rFonts w:hint="eastAsia" w:ascii="宋体" w:hAnsi="宋体" w:eastAsia="宋体" w:cs="宋体"/>
          <w:b/>
          <w:sz w:val="24"/>
          <w:szCs w:val="24"/>
        </w:rPr>
      </w:pPr>
    </w:p>
    <w:p w14:paraId="686CE709">
      <w:pPr>
        <w:pStyle w:val="4"/>
        <w:rPr>
          <w:rFonts w:hint="eastAsia" w:ascii="宋体" w:hAnsi="宋体" w:eastAsia="宋体" w:cs="宋体"/>
          <w:b/>
          <w:sz w:val="24"/>
          <w:szCs w:val="24"/>
        </w:rPr>
      </w:pPr>
    </w:p>
    <w:p w14:paraId="017F6A7B">
      <w:pPr>
        <w:pStyle w:val="4"/>
        <w:rPr>
          <w:rFonts w:hint="eastAsia" w:ascii="宋体" w:hAnsi="宋体" w:eastAsia="宋体" w:cs="宋体"/>
          <w:b/>
          <w:sz w:val="24"/>
          <w:szCs w:val="24"/>
        </w:rPr>
      </w:pPr>
    </w:p>
    <w:p w14:paraId="7D82EF11">
      <w:pPr>
        <w:pStyle w:val="4"/>
        <w:spacing w:before="12"/>
        <w:rPr>
          <w:rFonts w:hint="eastAsia" w:ascii="宋体" w:hAnsi="宋体" w:eastAsia="宋体" w:cs="宋体"/>
          <w:b/>
          <w:sz w:val="24"/>
          <w:szCs w:val="24"/>
        </w:rPr>
      </w:pPr>
    </w:p>
    <w:tbl>
      <w:tblPr>
        <w:tblStyle w:val="23"/>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3"/>
        <w:gridCol w:w="1633"/>
        <w:gridCol w:w="1650"/>
        <w:gridCol w:w="1680"/>
        <w:gridCol w:w="1447"/>
        <w:gridCol w:w="1133"/>
        <w:gridCol w:w="1106"/>
      </w:tblGrid>
      <w:tr w14:paraId="78C8F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663" w:type="dxa"/>
          </w:tcPr>
          <w:p w14:paraId="009ADC9D">
            <w:pPr>
              <w:pStyle w:val="76"/>
              <w:spacing w:before="167"/>
              <w:ind w:left="99" w:right="94"/>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33" w:type="dxa"/>
          </w:tcPr>
          <w:p w14:paraId="7D26E6A4">
            <w:pPr>
              <w:pStyle w:val="76"/>
              <w:spacing w:before="167"/>
              <w:ind w:left="395"/>
              <w:rPr>
                <w:rFonts w:hint="eastAsia" w:ascii="宋体" w:hAnsi="宋体" w:eastAsia="宋体" w:cs="宋体"/>
                <w:sz w:val="24"/>
                <w:szCs w:val="24"/>
              </w:rPr>
            </w:pPr>
            <w:r>
              <w:rPr>
                <w:rFonts w:hint="eastAsia" w:ascii="宋体" w:hAnsi="宋体" w:eastAsia="宋体" w:cs="宋体"/>
                <w:sz w:val="24"/>
                <w:szCs w:val="24"/>
              </w:rPr>
              <w:t>货物名称</w:t>
            </w:r>
          </w:p>
        </w:tc>
        <w:tc>
          <w:tcPr>
            <w:tcW w:w="1650" w:type="dxa"/>
          </w:tcPr>
          <w:p w14:paraId="0F52BE97">
            <w:pPr>
              <w:pStyle w:val="76"/>
              <w:spacing w:before="167"/>
              <w:ind w:left="142"/>
              <w:rPr>
                <w:rFonts w:hint="eastAsia" w:ascii="宋体" w:hAnsi="宋体" w:eastAsia="宋体" w:cs="宋体"/>
                <w:sz w:val="24"/>
                <w:szCs w:val="24"/>
              </w:rPr>
            </w:pPr>
            <w:r>
              <w:rPr>
                <w:rFonts w:hint="eastAsia" w:ascii="宋体" w:hAnsi="宋体" w:eastAsia="宋体" w:cs="宋体"/>
                <w:sz w:val="24"/>
                <w:szCs w:val="24"/>
              </w:rPr>
              <w:t>品牌/规格型号</w:t>
            </w:r>
          </w:p>
        </w:tc>
        <w:tc>
          <w:tcPr>
            <w:tcW w:w="1680" w:type="dxa"/>
          </w:tcPr>
          <w:p w14:paraId="1348BF84">
            <w:pPr>
              <w:pStyle w:val="76"/>
              <w:spacing w:before="167"/>
              <w:ind w:left="155"/>
              <w:rPr>
                <w:rFonts w:hint="eastAsia" w:ascii="宋体" w:hAnsi="宋体" w:eastAsia="宋体" w:cs="宋体"/>
                <w:sz w:val="24"/>
                <w:szCs w:val="24"/>
              </w:rPr>
            </w:pPr>
            <w:r>
              <w:rPr>
                <w:rFonts w:hint="eastAsia" w:ascii="宋体" w:hAnsi="宋体" w:eastAsia="宋体" w:cs="宋体"/>
                <w:sz w:val="24"/>
                <w:szCs w:val="24"/>
              </w:rPr>
              <w:t>生产厂家/产地</w:t>
            </w:r>
          </w:p>
        </w:tc>
        <w:tc>
          <w:tcPr>
            <w:tcW w:w="1447" w:type="dxa"/>
          </w:tcPr>
          <w:p w14:paraId="51C0CF16">
            <w:pPr>
              <w:pStyle w:val="76"/>
              <w:spacing w:before="167"/>
              <w:ind w:left="251"/>
              <w:rPr>
                <w:rFonts w:hint="eastAsia" w:ascii="宋体" w:hAnsi="宋体" w:eastAsia="宋体" w:cs="宋体"/>
                <w:sz w:val="24"/>
                <w:szCs w:val="24"/>
              </w:rPr>
            </w:pPr>
            <w:r>
              <w:rPr>
                <w:rFonts w:hint="eastAsia" w:ascii="宋体" w:hAnsi="宋体" w:eastAsia="宋体" w:cs="宋体"/>
                <w:sz w:val="24"/>
                <w:szCs w:val="24"/>
              </w:rPr>
              <w:t>单位/数量</w:t>
            </w:r>
          </w:p>
        </w:tc>
        <w:tc>
          <w:tcPr>
            <w:tcW w:w="1133" w:type="dxa"/>
          </w:tcPr>
          <w:p w14:paraId="3E8E7032">
            <w:pPr>
              <w:pStyle w:val="76"/>
              <w:spacing w:before="167"/>
              <w:ind w:left="107" w:right="-15"/>
              <w:rPr>
                <w:rFonts w:hint="eastAsia" w:ascii="宋体" w:hAnsi="宋体" w:eastAsia="宋体" w:cs="宋体"/>
                <w:sz w:val="24"/>
                <w:szCs w:val="24"/>
              </w:rPr>
            </w:pPr>
            <w:r>
              <w:rPr>
                <w:rFonts w:hint="eastAsia" w:ascii="宋体" w:hAnsi="宋体" w:eastAsia="宋体" w:cs="宋体"/>
                <w:spacing w:val="-14"/>
                <w:sz w:val="24"/>
                <w:szCs w:val="24"/>
              </w:rPr>
              <w:t>单价</w:t>
            </w:r>
            <w:r>
              <w:rPr>
                <w:rFonts w:hint="eastAsia" w:ascii="宋体" w:hAnsi="宋体" w:eastAsia="宋体" w:cs="宋体"/>
                <w:sz w:val="24"/>
                <w:szCs w:val="24"/>
              </w:rPr>
              <w:t>（元）</w:t>
            </w:r>
          </w:p>
        </w:tc>
        <w:tc>
          <w:tcPr>
            <w:tcW w:w="1106" w:type="dxa"/>
          </w:tcPr>
          <w:p w14:paraId="400F5361">
            <w:pPr>
              <w:pStyle w:val="76"/>
              <w:spacing w:before="167"/>
              <w:ind w:left="107" w:right="-15"/>
              <w:rPr>
                <w:rFonts w:hint="eastAsia" w:ascii="宋体" w:hAnsi="宋体" w:eastAsia="宋体" w:cs="宋体"/>
                <w:sz w:val="24"/>
                <w:szCs w:val="24"/>
              </w:rPr>
            </w:pPr>
            <w:r>
              <w:rPr>
                <w:rFonts w:hint="eastAsia" w:ascii="宋体" w:hAnsi="宋体" w:eastAsia="宋体" w:cs="宋体"/>
                <w:spacing w:val="-27"/>
                <w:sz w:val="24"/>
                <w:szCs w:val="24"/>
              </w:rPr>
              <w:t>小计</w:t>
            </w:r>
            <w:r>
              <w:rPr>
                <w:rFonts w:hint="eastAsia" w:ascii="宋体" w:hAnsi="宋体" w:eastAsia="宋体" w:cs="宋体"/>
                <w:sz w:val="24"/>
                <w:szCs w:val="24"/>
              </w:rPr>
              <w:t>（元）</w:t>
            </w:r>
          </w:p>
        </w:tc>
      </w:tr>
      <w:tr w14:paraId="08E44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3" w:type="dxa"/>
          </w:tcPr>
          <w:p w14:paraId="6CC45B5B">
            <w:pPr>
              <w:pStyle w:val="76"/>
              <w:spacing w:before="20"/>
              <w:ind w:left="8"/>
              <w:jc w:val="center"/>
              <w:rPr>
                <w:rFonts w:hint="eastAsia" w:ascii="宋体" w:hAnsi="宋体" w:eastAsia="宋体" w:cs="宋体"/>
                <w:sz w:val="24"/>
                <w:szCs w:val="24"/>
              </w:rPr>
            </w:pPr>
            <w:r>
              <w:rPr>
                <w:rFonts w:hint="eastAsia" w:ascii="宋体" w:hAnsi="宋体" w:eastAsia="宋体" w:cs="宋体"/>
                <w:w w:val="99"/>
                <w:sz w:val="24"/>
                <w:szCs w:val="24"/>
              </w:rPr>
              <w:t>1</w:t>
            </w:r>
          </w:p>
        </w:tc>
        <w:tc>
          <w:tcPr>
            <w:tcW w:w="1633" w:type="dxa"/>
          </w:tcPr>
          <w:p w14:paraId="07BCD450">
            <w:pPr>
              <w:pStyle w:val="76"/>
              <w:rPr>
                <w:rFonts w:hint="eastAsia" w:ascii="宋体" w:hAnsi="宋体" w:eastAsia="宋体" w:cs="宋体"/>
                <w:sz w:val="24"/>
                <w:szCs w:val="24"/>
              </w:rPr>
            </w:pPr>
          </w:p>
        </w:tc>
        <w:tc>
          <w:tcPr>
            <w:tcW w:w="1650" w:type="dxa"/>
          </w:tcPr>
          <w:p w14:paraId="5E7A55AD">
            <w:pPr>
              <w:pStyle w:val="76"/>
              <w:rPr>
                <w:rFonts w:hint="eastAsia" w:ascii="宋体" w:hAnsi="宋体" w:eastAsia="宋体" w:cs="宋体"/>
                <w:sz w:val="24"/>
                <w:szCs w:val="24"/>
              </w:rPr>
            </w:pPr>
          </w:p>
        </w:tc>
        <w:tc>
          <w:tcPr>
            <w:tcW w:w="1680" w:type="dxa"/>
          </w:tcPr>
          <w:p w14:paraId="4326FEA2">
            <w:pPr>
              <w:pStyle w:val="76"/>
              <w:rPr>
                <w:rFonts w:hint="eastAsia" w:ascii="宋体" w:hAnsi="宋体" w:eastAsia="宋体" w:cs="宋体"/>
                <w:sz w:val="24"/>
                <w:szCs w:val="24"/>
              </w:rPr>
            </w:pPr>
          </w:p>
        </w:tc>
        <w:tc>
          <w:tcPr>
            <w:tcW w:w="1447" w:type="dxa"/>
          </w:tcPr>
          <w:p w14:paraId="43099721">
            <w:pPr>
              <w:pStyle w:val="76"/>
              <w:rPr>
                <w:rFonts w:hint="eastAsia" w:ascii="宋体" w:hAnsi="宋体" w:eastAsia="宋体" w:cs="宋体"/>
                <w:sz w:val="24"/>
                <w:szCs w:val="24"/>
              </w:rPr>
            </w:pPr>
          </w:p>
        </w:tc>
        <w:tc>
          <w:tcPr>
            <w:tcW w:w="1133" w:type="dxa"/>
          </w:tcPr>
          <w:p w14:paraId="38FEF169">
            <w:pPr>
              <w:pStyle w:val="76"/>
              <w:rPr>
                <w:rFonts w:hint="eastAsia" w:ascii="宋体" w:hAnsi="宋体" w:eastAsia="宋体" w:cs="宋体"/>
                <w:sz w:val="24"/>
                <w:szCs w:val="24"/>
              </w:rPr>
            </w:pPr>
          </w:p>
        </w:tc>
        <w:tc>
          <w:tcPr>
            <w:tcW w:w="1106" w:type="dxa"/>
          </w:tcPr>
          <w:p w14:paraId="20CF8C4D">
            <w:pPr>
              <w:pStyle w:val="76"/>
              <w:rPr>
                <w:rFonts w:hint="eastAsia" w:ascii="宋体" w:hAnsi="宋体" w:eastAsia="宋体" w:cs="宋体"/>
                <w:sz w:val="24"/>
                <w:szCs w:val="24"/>
              </w:rPr>
            </w:pPr>
          </w:p>
        </w:tc>
      </w:tr>
      <w:tr w14:paraId="5FEE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3" w:type="dxa"/>
          </w:tcPr>
          <w:p w14:paraId="54373CDB">
            <w:pPr>
              <w:pStyle w:val="76"/>
              <w:spacing w:before="20"/>
              <w:ind w:left="8"/>
              <w:jc w:val="center"/>
              <w:rPr>
                <w:rFonts w:hint="eastAsia" w:ascii="宋体" w:hAnsi="宋体" w:eastAsia="宋体" w:cs="宋体"/>
                <w:sz w:val="24"/>
                <w:szCs w:val="24"/>
              </w:rPr>
            </w:pPr>
            <w:r>
              <w:rPr>
                <w:rFonts w:hint="eastAsia" w:ascii="宋体" w:hAnsi="宋体" w:eastAsia="宋体" w:cs="宋体"/>
                <w:w w:val="99"/>
                <w:sz w:val="24"/>
                <w:szCs w:val="24"/>
              </w:rPr>
              <w:t>2</w:t>
            </w:r>
          </w:p>
        </w:tc>
        <w:tc>
          <w:tcPr>
            <w:tcW w:w="1633" w:type="dxa"/>
          </w:tcPr>
          <w:p w14:paraId="0B5DC44A">
            <w:pPr>
              <w:pStyle w:val="76"/>
              <w:rPr>
                <w:rFonts w:hint="eastAsia" w:ascii="宋体" w:hAnsi="宋体" w:eastAsia="宋体" w:cs="宋体"/>
                <w:sz w:val="24"/>
                <w:szCs w:val="24"/>
              </w:rPr>
            </w:pPr>
          </w:p>
        </w:tc>
        <w:tc>
          <w:tcPr>
            <w:tcW w:w="1650" w:type="dxa"/>
          </w:tcPr>
          <w:p w14:paraId="61D9BF1E">
            <w:pPr>
              <w:pStyle w:val="76"/>
              <w:rPr>
                <w:rFonts w:hint="eastAsia" w:ascii="宋体" w:hAnsi="宋体" w:eastAsia="宋体" w:cs="宋体"/>
                <w:sz w:val="24"/>
                <w:szCs w:val="24"/>
              </w:rPr>
            </w:pPr>
          </w:p>
        </w:tc>
        <w:tc>
          <w:tcPr>
            <w:tcW w:w="1680" w:type="dxa"/>
          </w:tcPr>
          <w:p w14:paraId="72DC9ABC">
            <w:pPr>
              <w:pStyle w:val="76"/>
              <w:rPr>
                <w:rFonts w:hint="eastAsia" w:ascii="宋体" w:hAnsi="宋体" w:eastAsia="宋体" w:cs="宋体"/>
                <w:sz w:val="24"/>
                <w:szCs w:val="24"/>
              </w:rPr>
            </w:pPr>
          </w:p>
        </w:tc>
        <w:tc>
          <w:tcPr>
            <w:tcW w:w="1447" w:type="dxa"/>
          </w:tcPr>
          <w:p w14:paraId="39E9AB06">
            <w:pPr>
              <w:pStyle w:val="76"/>
              <w:rPr>
                <w:rFonts w:hint="eastAsia" w:ascii="宋体" w:hAnsi="宋体" w:eastAsia="宋体" w:cs="宋体"/>
                <w:sz w:val="24"/>
                <w:szCs w:val="24"/>
              </w:rPr>
            </w:pPr>
          </w:p>
        </w:tc>
        <w:tc>
          <w:tcPr>
            <w:tcW w:w="1133" w:type="dxa"/>
          </w:tcPr>
          <w:p w14:paraId="06406DC0">
            <w:pPr>
              <w:pStyle w:val="76"/>
              <w:rPr>
                <w:rFonts w:hint="eastAsia" w:ascii="宋体" w:hAnsi="宋体" w:eastAsia="宋体" w:cs="宋体"/>
                <w:sz w:val="24"/>
                <w:szCs w:val="24"/>
              </w:rPr>
            </w:pPr>
          </w:p>
        </w:tc>
        <w:tc>
          <w:tcPr>
            <w:tcW w:w="1106" w:type="dxa"/>
          </w:tcPr>
          <w:p w14:paraId="1C22780D">
            <w:pPr>
              <w:pStyle w:val="76"/>
              <w:rPr>
                <w:rFonts w:hint="eastAsia" w:ascii="宋体" w:hAnsi="宋体" w:eastAsia="宋体" w:cs="宋体"/>
                <w:sz w:val="24"/>
                <w:szCs w:val="24"/>
              </w:rPr>
            </w:pPr>
          </w:p>
        </w:tc>
      </w:tr>
      <w:tr w14:paraId="5F385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3" w:type="dxa"/>
          </w:tcPr>
          <w:p w14:paraId="4980870C">
            <w:pPr>
              <w:pStyle w:val="76"/>
              <w:spacing w:before="22"/>
              <w:ind w:left="8"/>
              <w:jc w:val="center"/>
              <w:rPr>
                <w:rFonts w:hint="eastAsia" w:ascii="宋体" w:hAnsi="宋体" w:eastAsia="宋体" w:cs="宋体"/>
                <w:sz w:val="24"/>
                <w:szCs w:val="24"/>
              </w:rPr>
            </w:pPr>
            <w:r>
              <w:rPr>
                <w:rFonts w:hint="eastAsia" w:ascii="宋体" w:hAnsi="宋体" w:eastAsia="宋体" w:cs="宋体"/>
                <w:w w:val="99"/>
                <w:sz w:val="24"/>
                <w:szCs w:val="24"/>
              </w:rPr>
              <w:t>3</w:t>
            </w:r>
          </w:p>
        </w:tc>
        <w:tc>
          <w:tcPr>
            <w:tcW w:w="1633" w:type="dxa"/>
          </w:tcPr>
          <w:p w14:paraId="13DB5D8D">
            <w:pPr>
              <w:pStyle w:val="76"/>
              <w:rPr>
                <w:rFonts w:hint="eastAsia" w:ascii="宋体" w:hAnsi="宋体" w:eastAsia="宋体" w:cs="宋体"/>
                <w:sz w:val="24"/>
                <w:szCs w:val="24"/>
              </w:rPr>
            </w:pPr>
          </w:p>
        </w:tc>
        <w:tc>
          <w:tcPr>
            <w:tcW w:w="1650" w:type="dxa"/>
          </w:tcPr>
          <w:p w14:paraId="6586A59D">
            <w:pPr>
              <w:pStyle w:val="76"/>
              <w:rPr>
                <w:rFonts w:hint="eastAsia" w:ascii="宋体" w:hAnsi="宋体" w:eastAsia="宋体" w:cs="宋体"/>
                <w:sz w:val="24"/>
                <w:szCs w:val="24"/>
              </w:rPr>
            </w:pPr>
          </w:p>
        </w:tc>
        <w:tc>
          <w:tcPr>
            <w:tcW w:w="1680" w:type="dxa"/>
          </w:tcPr>
          <w:p w14:paraId="6E1C9953">
            <w:pPr>
              <w:pStyle w:val="76"/>
              <w:rPr>
                <w:rFonts w:hint="eastAsia" w:ascii="宋体" w:hAnsi="宋体" w:eastAsia="宋体" w:cs="宋体"/>
                <w:sz w:val="24"/>
                <w:szCs w:val="24"/>
              </w:rPr>
            </w:pPr>
          </w:p>
        </w:tc>
        <w:tc>
          <w:tcPr>
            <w:tcW w:w="1447" w:type="dxa"/>
          </w:tcPr>
          <w:p w14:paraId="48BAE172">
            <w:pPr>
              <w:pStyle w:val="76"/>
              <w:rPr>
                <w:rFonts w:hint="eastAsia" w:ascii="宋体" w:hAnsi="宋体" w:eastAsia="宋体" w:cs="宋体"/>
                <w:sz w:val="24"/>
                <w:szCs w:val="24"/>
              </w:rPr>
            </w:pPr>
          </w:p>
        </w:tc>
        <w:tc>
          <w:tcPr>
            <w:tcW w:w="1133" w:type="dxa"/>
          </w:tcPr>
          <w:p w14:paraId="7BC1F048">
            <w:pPr>
              <w:pStyle w:val="76"/>
              <w:rPr>
                <w:rFonts w:hint="eastAsia" w:ascii="宋体" w:hAnsi="宋体" w:eastAsia="宋体" w:cs="宋体"/>
                <w:sz w:val="24"/>
                <w:szCs w:val="24"/>
              </w:rPr>
            </w:pPr>
          </w:p>
        </w:tc>
        <w:tc>
          <w:tcPr>
            <w:tcW w:w="1106" w:type="dxa"/>
          </w:tcPr>
          <w:p w14:paraId="77B6BB53">
            <w:pPr>
              <w:pStyle w:val="76"/>
              <w:rPr>
                <w:rFonts w:hint="eastAsia" w:ascii="宋体" w:hAnsi="宋体" w:eastAsia="宋体" w:cs="宋体"/>
                <w:sz w:val="24"/>
                <w:szCs w:val="24"/>
              </w:rPr>
            </w:pPr>
          </w:p>
        </w:tc>
      </w:tr>
      <w:tr w14:paraId="08D6C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63" w:type="dxa"/>
          </w:tcPr>
          <w:p w14:paraId="7901EAF0">
            <w:pPr>
              <w:pStyle w:val="76"/>
              <w:spacing w:before="22"/>
              <w:ind w:left="8"/>
              <w:jc w:val="center"/>
              <w:rPr>
                <w:rFonts w:hint="eastAsia" w:ascii="宋体" w:hAnsi="宋体" w:eastAsia="宋体" w:cs="宋体"/>
                <w:sz w:val="24"/>
                <w:szCs w:val="24"/>
              </w:rPr>
            </w:pPr>
            <w:r>
              <w:rPr>
                <w:rFonts w:hint="eastAsia" w:ascii="宋体" w:hAnsi="宋体" w:eastAsia="宋体" w:cs="宋体"/>
                <w:w w:val="99"/>
                <w:sz w:val="24"/>
                <w:szCs w:val="24"/>
              </w:rPr>
              <w:t>4</w:t>
            </w:r>
          </w:p>
        </w:tc>
        <w:tc>
          <w:tcPr>
            <w:tcW w:w="1633" w:type="dxa"/>
          </w:tcPr>
          <w:p w14:paraId="7E2276E5">
            <w:pPr>
              <w:pStyle w:val="76"/>
              <w:rPr>
                <w:rFonts w:hint="eastAsia" w:ascii="宋体" w:hAnsi="宋体" w:eastAsia="宋体" w:cs="宋体"/>
                <w:sz w:val="24"/>
                <w:szCs w:val="24"/>
              </w:rPr>
            </w:pPr>
          </w:p>
        </w:tc>
        <w:tc>
          <w:tcPr>
            <w:tcW w:w="1650" w:type="dxa"/>
          </w:tcPr>
          <w:p w14:paraId="31E89E42">
            <w:pPr>
              <w:pStyle w:val="76"/>
              <w:rPr>
                <w:rFonts w:hint="eastAsia" w:ascii="宋体" w:hAnsi="宋体" w:eastAsia="宋体" w:cs="宋体"/>
                <w:sz w:val="24"/>
                <w:szCs w:val="24"/>
              </w:rPr>
            </w:pPr>
          </w:p>
        </w:tc>
        <w:tc>
          <w:tcPr>
            <w:tcW w:w="1680" w:type="dxa"/>
          </w:tcPr>
          <w:p w14:paraId="069785BF">
            <w:pPr>
              <w:pStyle w:val="76"/>
              <w:rPr>
                <w:rFonts w:hint="eastAsia" w:ascii="宋体" w:hAnsi="宋体" w:eastAsia="宋体" w:cs="宋体"/>
                <w:sz w:val="24"/>
                <w:szCs w:val="24"/>
              </w:rPr>
            </w:pPr>
          </w:p>
        </w:tc>
        <w:tc>
          <w:tcPr>
            <w:tcW w:w="1447" w:type="dxa"/>
          </w:tcPr>
          <w:p w14:paraId="6E2E65A2">
            <w:pPr>
              <w:pStyle w:val="76"/>
              <w:rPr>
                <w:rFonts w:hint="eastAsia" w:ascii="宋体" w:hAnsi="宋体" w:eastAsia="宋体" w:cs="宋体"/>
                <w:sz w:val="24"/>
                <w:szCs w:val="24"/>
              </w:rPr>
            </w:pPr>
          </w:p>
        </w:tc>
        <w:tc>
          <w:tcPr>
            <w:tcW w:w="1133" w:type="dxa"/>
          </w:tcPr>
          <w:p w14:paraId="70776198">
            <w:pPr>
              <w:pStyle w:val="76"/>
              <w:rPr>
                <w:rFonts w:hint="eastAsia" w:ascii="宋体" w:hAnsi="宋体" w:eastAsia="宋体" w:cs="宋体"/>
                <w:sz w:val="24"/>
                <w:szCs w:val="24"/>
              </w:rPr>
            </w:pPr>
          </w:p>
        </w:tc>
        <w:tc>
          <w:tcPr>
            <w:tcW w:w="1106" w:type="dxa"/>
          </w:tcPr>
          <w:p w14:paraId="36A91720">
            <w:pPr>
              <w:pStyle w:val="76"/>
              <w:rPr>
                <w:rFonts w:hint="eastAsia" w:ascii="宋体" w:hAnsi="宋体" w:eastAsia="宋体" w:cs="宋体"/>
                <w:sz w:val="24"/>
                <w:szCs w:val="24"/>
              </w:rPr>
            </w:pPr>
          </w:p>
        </w:tc>
      </w:tr>
      <w:tr w14:paraId="398D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3" w:type="dxa"/>
          </w:tcPr>
          <w:p w14:paraId="21586829">
            <w:pPr>
              <w:pStyle w:val="76"/>
              <w:spacing w:before="21"/>
              <w:ind w:left="8"/>
              <w:jc w:val="center"/>
              <w:rPr>
                <w:rFonts w:hint="eastAsia" w:ascii="宋体" w:hAnsi="宋体" w:eastAsia="宋体" w:cs="宋体"/>
                <w:sz w:val="24"/>
                <w:szCs w:val="24"/>
              </w:rPr>
            </w:pPr>
            <w:r>
              <w:rPr>
                <w:rFonts w:hint="eastAsia" w:ascii="宋体" w:hAnsi="宋体" w:eastAsia="宋体" w:cs="宋体"/>
                <w:w w:val="99"/>
                <w:sz w:val="24"/>
                <w:szCs w:val="24"/>
              </w:rPr>
              <w:t>5</w:t>
            </w:r>
          </w:p>
        </w:tc>
        <w:tc>
          <w:tcPr>
            <w:tcW w:w="1633" w:type="dxa"/>
          </w:tcPr>
          <w:p w14:paraId="4915A3B5">
            <w:pPr>
              <w:pStyle w:val="76"/>
              <w:rPr>
                <w:rFonts w:hint="eastAsia" w:ascii="宋体" w:hAnsi="宋体" w:eastAsia="宋体" w:cs="宋体"/>
                <w:sz w:val="24"/>
                <w:szCs w:val="24"/>
              </w:rPr>
            </w:pPr>
          </w:p>
        </w:tc>
        <w:tc>
          <w:tcPr>
            <w:tcW w:w="1650" w:type="dxa"/>
          </w:tcPr>
          <w:p w14:paraId="13BDB7E5">
            <w:pPr>
              <w:pStyle w:val="76"/>
              <w:rPr>
                <w:rFonts w:hint="eastAsia" w:ascii="宋体" w:hAnsi="宋体" w:eastAsia="宋体" w:cs="宋体"/>
                <w:sz w:val="24"/>
                <w:szCs w:val="24"/>
              </w:rPr>
            </w:pPr>
          </w:p>
        </w:tc>
        <w:tc>
          <w:tcPr>
            <w:tcW w:w="1680" w:type="dxa"/>
          </w:tcPr>
          <w:p w14:paraId="76F63F73">
            <w:pPr>
              <w:pStyle w:val="76"/>
              <w:rPr>
                <w:rFonts w:hint="eastAsia" w:ascii="宋体" w:hAnsi="宋体" w:eastAsia="宋体" w:cs="宋体"/>
                <w:sz w:val="24"/>
                <w:szCs w:val="24"/>
              </w:rPr>
            </w:pPr>
          </w:p>
        </w:tc>
        <w:tc>
          <w:tcPr>
            <w:tcW w:w="1447" w:type="dxa"/>
          </w:tcPr>
          <w:p w14:paraId="035B83AF">
            <w:pPr>
              <w:pStyle w:val="76"/>
              <w:rPr>
                <w:rFonts w:hint="eastAsia" w:ascii="宋体" w:hAnsi="宋体" w:eastAsia="宋体" w:cs="宋体"/>
                <w:sz w:val="24"/>
                <w:szCs w:val="24"/>
              </w:rPr>
            </w:pPr>
          </w:p>
        </w:tc>
        <w:tc>
          <w:tcPr>
            <w:tcW w:w="1133" w:type="dxa"/>
          </w:tcPr>
          <w:p w14:paraId="0D17B442">
            <w:pPr>
              <w:pStyle w:val="76"/>
              <w:rPr>
                <w:rFonts w:hint="eastAsia" w:ascii="宋体" w:hAnsi="宋体" w:eastAsia="宋体" w:cs="宋体"/>
                <w:sz w:val="24"/>
                <w:szCs w:val="24"/>
              </w:rPr>
            </w:pPr>
          </w:p>
        </w:tc>
        <w:tc>
          <w:tcPr>
            <w:tcW w:w="1106" w:type="dxa"/>
          </w:tcPr>
          <w:p w14:paraId="6EA19C39">
            <w:pPr>
              <w:pStyle w:val="76"/>
              <w:rPr>
                <w:rFonts w:hint="eastAsia" w:ascii="宋体" w:hAnsi="宋体" w:eastAsia="宋体" w:cs="宋体"/>
                <w:sz w:val="24"/>
                <w:szCs w:val="24"/>
              </w:rPr>
            </w:pPr>
          </w:p>
        </w:tc>
      </w:tr>
      <w:tr w14:paraId="7D3B9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3" w:type="dxa"/>
          </w:tcPr>
          <w:p w14:paraId="6D1160B0">
            <w:pPr>
              <w:pStyle w:val="76"/>
              <w:spacing w:before="37"/>
              <w:ind w:left="5"/>
              <w:jc w:val="center"/>
              <w:rPr>
                <w:rFonts w:hint="eastAsia" w:ascii="宋体" w:hAnsi="宋体" w:eastAsia="宋体" w:cs="宋体"/>
                <w:sz w:val="24"/>
                <w:szCs w:val="24"/>
              </w:rPr>
            </w:pPr>
            <w:r>
              <w:rPr>
                <w:rFonts w:hint="eastAsia" w:ascii="宋体" w:hAnsi="宋体" w:eastAsia="宋体" w:cs="宋体"/>
                <w:w w:val="99"/>
                <w:sz w:val="24"/>
                <w:szCs w:val="24"/>
              </w:rPr>
              <w:t>…</w:t>
            </w:r>
          </w:p>
        </w:tc>
        <w:tc>
          <w:tcPr>
            <w:tcW w:w="1633" w:type="dxa"/>
          </w:tcPr>
          <w:p w14:paraId="0459ACB2">
            <w:pPr>
              <w:pStyle w:val="76"/>
              <w:rPr>
                <w:rFonts w:hint="eastAsia" w:ascii="宋体" w:hAnsi="宋体" w:eastAsia="宋体" w:cs="宋体"/>
                <w:sz w:val="24"/>
                <w:szCs w:val="24"/>
              </w:rPr>
            </w:pPr>
          </w:p>
        </w:tc>
        <w:tc>
          <w:tcPr>
            <w:tcW w:w="1650" w:type="dxa"/>
          </w:tcPr>
          <w:p w14:paraId="4701F5C1">
            <w:pPr>
              <w:pStyle w:val="76"/>
              <w:rPr>
                <w:rFonts w:hint="eastAsia" w:ascii="宋体" w:hAnsi="宋体" w:eastAsia="宋体" w:cs="宋体"/>
                <w:sz w:val="24"/>
                <w:szCs w:val="24"/>
              </w:rPr>
            </w:pPr>
          </w:p>
        </w:tc>
        <w:tc>
          <w:tcPr>
            <w:tcW w:w="1680" w:type="dxa"/>
          </w:tcPr>
          <w:p w14:paraId="4CB4D1F7">
            <w:pPr>
              <w:pStyle w:val="76"/>
              <w:rPr>
                <w:rFonts w:hint="eastAsia" w:ascii="宋体" w:hAnsi="宋体" w:eastAsia="宋体" w:cs="宋体"/>
                <w:sz w:val="24"/>
                <w:szCs w:val="24"/>
              </w:rPr>
            </w:pPr>
          </w:p>
        </w:tc>
        <w:tc>
          <w:tcPr>
            <w:tcW w:w="1447" w:type="dxa"/>
          </w:tcPr>
          <w:p w14:paraId="4F1504D6">
            <w:pPr>
              <w:pStyle w:val="76"/>
              <w:rPr>
                <w:rFonts w:hint="eastAsia" w:ascii="宋体" w:hAnsi="宋体" w:eastAsia="宋体" w:cs="宋体"/>
                <w:sz w:val="24"/>
                <w:szCs w:val="24"/>
              </w:rPr>
            </w:pPr>
          </w:p>
        </w:tc>
        <w:tc>
          <w:tcPr>
            <w:tcW w:w="1133" w:type="dxa"/>
          </w:tcPr>
          <w:p w14:paraId="7A73A371">
            <w:pPr>
              <w:pStyle w:val="76"/>
              <w:rPr>
                <w:rFonts w:hint="eastAsia" w:ascii="宋体" w:hAnsi="宋体" w:eastAsia="宋体" w:cs="宋体"/>
                <w:sz w:val="24"/>
                <w:szCs w:val="24"/>
              </w:rPr>
            </w:pPr>
          </w:p>
        </w:tc>
        <w:tc>
          <w:tcPr>
            <w:tcW w:w="1106" w:type="dxa"/>
          </w:tcPr>
          <w:p w14:paraId="156B4EDD">
            <w:pPr>
              <w:pStyle w:val="76"/>
              <w:rPr>
                <w:rFonts w:hint="eastAsia" w:ascii="宋体" w:hAnsi="宋体" w:eastAsia="宋体" w:cs="宋体"/>
                <w:sz w:val="24"/>
                <w:szCs w:val="24"/>
              </w:rPr>
            </w:pPr>
          </w:p>
        </w:tc>
      </w:tr>
      <w:tr w14:paraId="6BCC6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312" w:type="dxa"/>
            <w:gridSpan w:val="7"/>
          </w:tcPr>
          <w:p w14:paraId="33BAB23A">
            <w:pPr>
              <w:pStyle w:val="76"/>
              <w:spacing w:before="20"/>
              <w:ind w:left="108"/>
              <w:rPr>
                <w:rFonts w:hint="eastAsia" w:ascii="宋体" w:hAnsi="宋体" w:eastAsia="宋体" w:cs="宋体"/>
                <w:sz w:val="24"/>
                <w:szCs w:val="24"/>
              </w:rPr>
            </w:pPr>
            <w:r>
              <w:rPr>
                <w:rFonts w:hint="eastAsia" w:ascii="宋体" w:hAnsi="宋体" w:eastAsia="宋体" w:cs="宋体"/>
                <w:sz w:val="24"/>
                <w:szCs w:val="24"/>
              </w:rPr>
              <w:t>总价：（元）</w:t>
            </w:r>
          </w:p>
        </w:tc>
      </w:tr>
    </w:tbl>
    <w:p w14:paraId="2FE0755F">
      <w:pPr>
        <w:pStyle w:val="4"/>
        <w:spacing w:before="6"/>
        <w:rPr>
          <w:rFonts w:hint="eastAsia" w:ascii="宋体" w:hAnsi="宋体" w:eastAsia="宋体" w:cs="宋体"/>
          <w:b/>
          <w:sz w:val="24"/>
          <w:szCs w:val="24"/>
        </w:rPr>
      </w:pPr>
    </w:p>
    <w:p w14:paraId="15C1F97C">
      <w:pPr>
        <w:pStyle w:val="4"/>
        <w:spacing w:before="70"/>
        <w:ind w:left="218"/>
        <w:rPr>
          <w:rFonts w:hint="eastAsia" w:ascii="宋体" w:hAnsi="宋体" w:eastAsia="宋体" w:cs="宋体"/>
          <w:sz w:val="24"/>
          <w:szCs w:val="24"/>
        </w:rPr>
      </w:pPr>
      <w:r>
        <w:rPr>
          <w:rFonts w:hint="eastAsia" w:ascii="宋体" w:hAnsi="宋体" w:eastAsia="宋体" w:cs="宋体"/>
          <w:sz w:val="24"/>
          <w:szCs w:val="24"/>
        </w:rPr>
        <w:t>注：供应商的</w:t>
      </w:r>
      <w:r>
        <w:rPr>
          <w:rFonts w:hint="eastAsia" w:ascii="宋体" w:hAnsi="宋体" w:cs="宋体"/>
          <w:sz w:val="24"/>
          <w:szCs w:val="24"/>
          <w:lang w:eastAsia="zh-CN"/>
        </w:rPr>
        <w:t>响应</w:t>
      </w:r>
      <w:r>
        <w:rPr>
          <w:rFonts w:hint="eastAsia" w:ascii="宋体" w:hAnsi="宋体" w:eastAsia="宋体" w:cs="宋体"/>
          <w:sz w:val="24"/>
          <w:szCs w:val="24"/>
        </w:rPr>
        <w:t>报价应包括未列明而完成本项目所必须的所有设备、材料、工具、费用等。</w:t>
      </w:r>
    </w:p>
    <w:p w14:paraId="79DAB31A">
      <w:pPr>
        <w:pStyle w:val="4"/>
        <w:rPr>
          <w:rFonts w:hint="eastAsia" w:ascii="宋体" w:hAnsi="宋体" w:eastAsia="宋体" w:cs="宋体"/>
          <w:sz w:val="24"/>
          <w:szCs w:val="24"/>
        </w:rPr>
      </w:pPr>
    </w:p>
    <w:p w14:paraId="28098E6F">
      <w:pPr>
        <w:pStyle w:val="4"/>
        <w:rPr>
          <w:rFonts w:hint="eastAsia" w:ascii="宋体" w:hAnsi="宋体" w:eastAsia="宋体" w:cs="宋体"/>
          <w:sz w:val="24"/>
          <w:szCs w:val="24"/>
        </w:rPr>
      </w:pPr>
    </w:p>
    <w:p w14:paraId="1D4A10B8">
      <w:pPr>
        <w:pStyle w:val="4"/>
        <w:spacing w:before="6"/>
        <w:rPr>
          <w:rFonts w:hint="eastAsia" w:ascii="宋体" w:hAnsi="宋体" w:eastAsia="宋体" w:cs="宋体"/>
          <w:b/>
          <w:sz w:val="24"/>
          <w:szCs w:val="24"/>
        </w:rPr>
      </w:pPr>
    </w:p>
    <w:p w14:paraId="4C202928">
      <w:pPr>
        <w:pStyle w:val="4"/>
        <w:rPr>
          <w:rFonts w:hint="eastAsia" w:ascii="宋体" w:hAnsi="宋体" w:eastAsia="宋体" w:cs="宋体"/>
          <w:sz w:val="24"/>
          <w:szCs w:val="24"/>
        </w:rPr>
      </w:pPr>
      <w:bookmarkStart w:id="207" w:name="注：供应商的磋商报价应包括未列明而完成本项目所必须的所有设备、材料、工具、费用等"/>
      <w:bookmarkEnd w:id="207"/>
    </w:p>
    <w:p w14:paraId="66AA2F53">
      <w:pPr>
        <w:pStyle w:val="4"/>
        <w:rPr>
          <w:rFonts w:hint="eastAsia" w:ascii="宋体" w:hAnsi="宋体" w:eastAsia="宋体" w:cs="宋体"/>
          <w:sz w:val="24"/>
          <w:szCs w:val="24"/>
        </w:rPr>
      </w:pPr>
    </w:p>
    <w:p w14:paraId="5FBAF648">
      <w:pPr>
        <w:pStyle w:val="4"/>
        <w:rPr>
          <w:rFonts w:hint="eastAsia" w:ascii="宋体" w:hAnsi="宋体" w:eastAsia="宋体" w:cs="宋体"/>
          <w:sz w:val="24"/>
          <w:szCs w:val="24"/>
        </w:rPr>
      </w:pPr>
    </w:p>
    <w:p w14:paraId="5DA26C82">
      <w:pPr>
        <w:pStyle w:val="4"/>
        <w:rPr>
          <w:rFonts w:hint="eastAsia" w:ascii="宋体" w:hAnsi="宋体" w:eastAsia="宋体" w:cs="宋体"/>
          <w:sz w:val="24"/>
          <w:szCs w:val="24"/>
        </w:rPr>
      </w:pPr>
    </w:p>
    <w:p w14:paraId="6334D7BF">
      <w:pPr>
        <w:pStyle w:val="4"/>
        <w:rPr>
          <w:rFonts w:hint="eastAsia" w:ascii="宋体" w:hAnsi="宋体" w:eastAsia="宋体" w:cs="宋体"/>
          <w:sz w:val="24"/>
          <w:szCs w:val="24"/>
        </w:rPr>
      </w:pPr>
    </w:p>
    <w:p w14:paraId="3E744148">
      <w:pPr>
        <w:pStyle w:val="4"/>
        <w:rPr>
          <w:rFonts w:hint="eastAsia" w:ascii="宋体" w:hAnsi="宋体" w:eastAsia="宋体" w:cs="宋体"/>
          <w:sz w:val="24"/>
          <w:szCs w:val="24"/>
        </w:rPr>
      </w:pPr>
    </w:p>
    <w:p w14:paraId="1E4FB757">
      <w:pPr>
        <w:pStyle w:val="4"/>
        <w:rPr>
          <w:rFonts w:hint="eastAsia" w:ascii="宋体" w:hAnsi="宋体" w:eastAsia="宋体" w:cs="宋体"/>
          <w:sz w:val="24"/>
          <w:szCs w:val="24"/>
        </w:rPr>
      </w:pPr>
    </w:p>
    <w:p w14:paraId="7E90497B">
      <w:pPr>
        <w:pStyle w:val="4"/>
        <w:rPr>
          <w:rFonts w:hint="eastAsia" w:ascii="宋体" w:hAnsi="宋体" w:eastAsia="宋体" w:cs="宋体"/>
          <w:sz w:val="24"/>
          <w:szCs w:val="24"/>
        </w:rPr>
      </w:pPr>
    </w:p>
    <w:p w14:paraId="212043DA">
      <w:pPr>
        <w:pStyle w:val="4"/>
        <w:spacing w:before="1"/>
        <w:rPr>
          <w:rFonts w:hint="eastAsia" w:ascii="宋体" w:hAnsi="宋体" w:eastAsia="宋体" w:cs="宋体"/>
          <w:sz w:val="24"/>
          <w:szCs w:val="24"/>
        </w:rPr>
      </w:pPr>
    </w:p>
    <w:p w14:paraId="45479CA2">
      <w:pPr>
        <w:spacing w:line="440" w:lineRule="exact"/>
        <w:ind w:firstLine="3120" w:firstLineChars="13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（单位章）</w:t>
      </w:r>
    </w:p>
    <w:p w14:paraId="04424F66">
      <w:pPr>
        <w:spacing w:line="440" w:lineRule="exact"/>
        <w:rPr>
          <w:rFonts w:hint="eastAsia" w:ascii="宋体" w:hAnsi="宋体"/>
          <w:color w:val="000000" w:themeColor="text1"/>
          <w:sz w:val="24"/>
          <w:szCs w:val="24"/>
          <w:highlight w:val="none"/>
          <w14:textFill>
            <w14:solidFill>
              <w14:schemeClr w14:val="tx1"/>
            </w14:solidFill>
          </w14:textFill>
        </w:rPr>
      </w:pPr>
    </w:p>
    <w:p w14:paraId="4218B704">
      <w:pPr>
        <w:spacing w:line="440" w:lineRule="exact"/>
        <w:ind w:firstLine="2880" w:firstLineChars="1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法定代表人或</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14:paraId="6FD42319">
      <w:pPr>
        <w:spacing w:line="440" w:lineRule="exact"/>
        <w:rPr>
          <w:rFonts w:hint="eastAsia" w:ascii="宋体" w:hAnsi="宋体"/>
          <w:color w:val="000000" w:themeColor="text1"/>
          <w:sz w:val="24"/>
          <w:szCs w:val="24"/>
          <w:highlight w:val="none"/>
          <w14:textFill>
            <w14:solidFill>
              <w14:schemeClr w14:val="tx1"/>
            </w14:solidFill>
          </w14:textFill>
        </w:rPr>
      </w:pPr>
    </w:p>
    <w:p w14:paraId="237811DD">
      <w:pPr>
        <w:spacing w:line="440" w:lineRule="exact"/>
        <w:ind w:firstLine="3120" w:firstLineChars="13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24BF65F3">
      <w:pPr>
        <w:spacing w:after="0" w:line="269" w:lineRule="exact"/>
        <w:rPr>
          <w:rFonts w:hint="eastAsia" w:ascii="宋体" w:hAnsi="宋体" w:eastAsia="宋体" w:cs="宋体"/>
          <w:sz w:val="24"/>
          <w:szCs w:val="24"/>
        </w:rPr>
        <w:sectPr>
          <w:footerReference r:id="rId7" w:type="default"/>
          <w:pgSz w:w="11910" w:h="16840"/>
          <w:pgMar w:top="1080" w:right="900" w:bottom="1160" w:left="1200" w:header="0" w:footer="975" w:gutter="0"/>
          <w:cols w:space="720" w:num="1"/>
        </w:sectPr>
      </w:pPr>
    </w:p>
    <w:p w14:paraId="207A36C0">
      <w:pPr>
        <w:pStyle w:val="6"/>
        <w:spacing w:before="39"/>
        <w:ind w:left="837" w:right="851"/>
        <w:rPr>
          <w:rFonts w:hint="eastAsia" w:ascii="宋体" w:hAnsi="宋体" w:eastAsia="宋体" w:cs="宋体"/>
          <w:b/>
          <w:sz w:val="24"/>
          <w:szCs w:val="24"/>
        </w:rPr>
      </w:pPr>
      <w:r>
        <w:rPr>
          <w:rFonts w:hint="eastAsia" w:ascii="宋体" w:hAnsi="宋体" w:eastAsia="宋体" w:cs="宋体"/>
          <w:sz w:val="24"/>
          <w:szCs w:val="24"/>
        </w:rPr>
        <w:t>七、售后服务</w:t>
      </w:r>
    </w:p>
    <w:p w14:paraId="711D9A2D">
      <w:pPr>
        <w:pStyle w:val="8"/>
        <w:ind w:left="837" w:right="848"/>
        <w:jc w:val="center"/>
        <w:rPr>
          <w:rFonts w:hint="eastAsia" w:ascii="宋体" w:hAnsi="宋体" w:eastAsia="宋体" w:cs="宋体"/>
          <w:sz w:val="24"/>
          <w:szCs w:val="24"/>
        </w:rPr>
      </w:pPr>
      <w:r>
        <w:rPr>
          <w:rFonts w:hint="eastAsia" w:ascii="宋体" w:hAnsi="宋体" w:eastAsia="宋体" w:cs="宋体"/>
          <w:sz w:val="24"/>
          <w:szCs w:val="24"/>
        </w:rPr>
        <w:t>（格式自拟）</w:t>
      </w:r>
    </w:p>
    <w:p w14:paraId="4B56EC14">
      <w:pPr>
        <w:spacing w:after="0"/>
        <w:rPr>
          <w:rFonts w:hint="eastAsia" w:ascii="宋体" w:hAnsi="宋体" w:eastAsia="宋体" w:cs="宋体"/>
          <w:sz w:val="24"/>
          <w:szCs w:val="24"/>
        </w:rPr>
        <w:sectPr>
          <w:pgSz w:w="11910" w:h="16840"/>
          <w:pgMar w:top="1080" w:right="1468" w:bottom="1160" w:left="1315" w:header="0" w:footer="975" w:gutter="0"/>
          <w:cols w:space="720" w:num="1"/>
        </w:sectPr>
      </w:pPr>
    </w:p>
    <w:p w14:paraId="7C18FC32">
      <w:pPr>
        <w:spacing w:before="28"/>
        <w:ind w:left="837" w:right="851" w:firstLine="0"/>
        <w:jc w:val="center"/>
        <w:rPr>
          <w:rFonts w:hint="eastAsia" w:ascii="宋体" w:hAnsi="宋体" w:eastAsia="宋体" w:cs="宋体"/>
          <w:b/>
          <w:sz w:val="24"/>
          <w:szCs w:val="24"/>
        </w:rPr>
      </w:pPr>
      <w:bookmarkStart w:id="208" w:name="八、资格审查资料"/>
      <w:bookmarkEnd w:id="208"/>
      <w:r>
        <w:rPr>
          <w:rFonts w:hint="eastAsia" w:ascii="宋体" w:hAnsi="宋体" w:eastAsia="宋体" w:cs="宋体"/>
          <w:b/>
          <w:sz w:val="24"/>
          <w:szCs w:val="24"/>
        </w:rPr>
        <w:t>八、资格审查资料</w:t>
      </w:r>
    </w:p>
    <w:p w14:paraId="60BBD700">
      <w:pPr>
        <w:pStyle w:val="4"/>
        <w:spacing w:before="7"/>
        <w:rPr>
          <w:rFonts w:hint="eastAsia" w:ascii="宋体" w:hAnsi="宋体" w:eastAsia="宋体" w:cs="宋体"/>
          <w:b/>
          <w:sz w:val="24"/>
          <w:szCs w:val="24"/>
        </w:rPr>
      </w:pPr>
    </w:p>
    <w:p w14:paraId="3FE6BE60">
      <w:pPr>
        <w:pStyle w:val="9"/>
        <w:spacing w:before="66"/>
        <w:ind w:left="218"/>
        <w:rPr>
          <w:rFonts w:hint="eastAsia" w:ascii="宋体" w:hAnsi="宋体" w:eastAsia="宋体" w:cs="宋体"/>
          <w:sz w:val="24"/>
          <w:szCs w:val="24"/>
        </w:rPr>
      </w:pPr>
      <w:bookmarkStart w:id="209" w:name="（一）供应商基本情况表"/>
      <w:bookmarkEnd w:id="209"/>
      <w:r>
        <w:rPr>
          <w:rFonts w:hint="eastAsia" w:ascii="宋体" w:hAnsi="宋体" w:eastAsia="宋体" w:cs="宋体"/>
          <w:sz w:val="24"/>
          <w:szCs w:val="24"/>
        </w:rPr>
        <w:t>（一）供应商基本情况表</w:t>
      </w:r>
    </w:p>
    <w:p w14:paraId="4AD17D3C">
      <w:pPr>
        <w:pStyle w:val="4"/>
        <w:spacing w:before="4"/>
        <w:rPr>
          <w:rFonts w:hint="eastAsia" w:ascii="宋体" w:hAnsi="宋体" w:eastAsia="宋体" w:cs="宋体"/>
          <w:b/>
          <w:sz w:val="24"/>
          <w:szCs w:val="24"/>
        </w:rPr>
      </w:pPr>
    </w:p>
    <w:tbl>
      <w:tblPr>
        <w:tblStyle w:val="23"/>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1077"/>
        <w:gridCol w:w="1803"/>
        <w:gridCol w:w="714"/>
        <w:gridCol w:w="451"/>
        <w:gridCol w:w="1176"/>
        <w:gridCol w:w="1828"/>
      </w:tblGrid>
      <w:tr w14:paraId="2AC52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49C7CAB6">
            <w:pPr>
              <w:pStyle w:val="76"/>
              <w:spacing w:before="154"/>
              <w:ind w:left="248" w:right="241"/>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049" w:type="dxa"/>
            <w:gridSpan w:val="6"/>
          </w:tcPr>
          <w:p w14:paraId="51BBB498">
            <w:pPr>
              <w:pStyle w:val="76"/>
              <w:rPr>
                <w:rFonts w:hint="eastAsia" w:ascii="宋体" w:hAnsi="宋体" w:eastAsia="宋体" w:cs="宋体"/>
                <w:sz w:val="24"/>
                <w:szCs w:val="24"/>
              </w:rPr>
            </w:pPr>
          </w:p>
        </w:tc>
      </w:tr>
      <w:tr w14:paraId="5A90F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80" w:type="dxa"/>
          </w:tcPr>
          <w:p w14:paraId="77273567">
            <w:pPr>
              <w:pStyle w:val="76"/>
              <w:spacing w:before="8"/>
              <w:rPr>
                <w:rFonts w:hint="eastAsia" w:ascii="宋体" w:hAnsi="宋体" w:eastAsia="宋体" w:cs="宋体"/>
                <w:b/>
                <w:sz w:val="24"/>
                <w:szCs w:val="24"/>
              </w:rPr>
            </w:pPr>
          </w:p>
          <w:p w14:paraId="5FF73148">
            <w:pPr>
              <w:pStyle w:val="76"/>
              <w:ind w:left="248" w:right="241"/>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045" w:type="dxa"/>
            <w:gridSpan w:val="4"/>
            <w:vAlign w:val="center"/>
          </w:tcPr>
          <w:p w14:paraId="29B2AC60">
            <w:pPr>
              <w:pStyle w:val="76"/>
              <w:jc w:val="center"/>
              <w:rPr>
                <w:rFonts w:hint="eastAsia" w:ascii="宋体" w:hAnsi="宋体" w:eastAsia="宋体" w:cs="宋体"/>
                <w:sz w:val="24"/>
                <w:szCs w:val="24"/>
              </w:rPr>
            </w:pPr>
          </w:p>
        </w:tc>
        <w:tc>
          <w:tcPr>
            <w:tcW w:w="1176" w:type="dxa"/>
            <w:vAlign w:val="center"/>
          </w:tcPr>
          <w:p w14:paraId="5B51FCED">
            <w:pPr>
              <w:pStyle w:val="76"/>
              <w:spacing w:before="80"/>
              <w:ind w:right="156"/>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1828" w:type="dxa"/>
          </w:tcPr>
          <w:p w14:paraId="10E04AFC">
            <w:pPr>
              <w:pStyle w:val="76"/>
              <w:rPr>
                <w:rFonts w:hint="eastAsia" w:ascii="宋体" w:hAnsi="宋体" w:eastAsia="宋体" w:cs="宋体"/>
                <w:sz w:val="24"/>
                <w:szCs w:val="24"/>
              </w:rPr>
            </w:pPr>
          </w:p>
        </w:tc>
      </w:tr>
      <w:tr w14:paraId="48706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80" w:type="dxa"/>
            <w:vMerge w:val="restart"/>
          </w:tcPr>
          <w:p w14:paraId="0119A0E6">
            <w:pPr>
              <w:pStyle w:val="76"/>
              <w:spacing w:before="11"/>
              <w:rPr>
                <w:rFonts w:hint="eastAsia" w:ascii="宋体" w:hAnsi="宋体" w:eastAsia="宋体" w:cs="宋体"/>
                <w:b/>
                <w:sz w:val="24"/>
                <w:szCs w:val="24"/>
              </w:rPr>
            </w:pPr>
          </w:p>
          <w:p w14:paraId="6EE5529D">
            <w:pPr>
              <w:pStyle w:val="76"/>
              <w:ind w:left="508"/>
              <w:rPr>
                <w:rFonts w:hint="eastAsia" w:ascii="宋体" w:hAnsi="宋体" w:eastAsia="宋体" w:cs="宋体"/>
                <w:sz w:val="24"/>
                <w:szCs w:val="24"/>
              </w:rPr>
            </w:pPr>
            <w:r>
              <w:rPr>
                <w:rFonts w:hint="eastAsia" w:ascii="宋体" w:hAnsi="宋体" w:eastAsia="宋体" w:cs="宋体"/>
                <w:sz w:val="24"/>
                <w:szCs w:val="24"/>
              </w:rPr>
              <w:t>联系方式</w:t>
            </w:r>
          </w:p>
        </w:tc>
        <w:tc>
          <w:tcPr>
            <w:tcW w:w="1077" w:type="dxa"/>
          </w:tcPr>
          <w:p w14:paraId="2E74CA88">
            <w:pPr>
              <w:pStyle w:val="76"/>
              <w:spacing w:before="147"/>
              <w:ind w:left="157" w:right="149"/>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968" w:type="dxa"/>
            <w:gridSpan w:val="3"/>
          </w:tcPr>
          <w:p w14:paraId="14E02301">
            <w:pPr>
              <w:pStyle w:val="76"/>
              <w:rPr>
                <w:rFonts w:hint="eastAsia" w:ascii="宋体" w:hAnsi="宋体" w:eastAsia="宋体" w:cs="宋体"/>
                <w:sz w:val="24"/>
                <w:szCs w:val="24"/>
              </w:rPr>
            </w:pPr>
          </w:p>
        </w:tc>
        <w:tc>
          <w:tcPr>
            <w:tcW w:w="1176" w:type="dxa"/>
          </w:tcPr>
          <w:p w14:paraId="2803CF2C">
            <w:pPr>
              <w:pStyle w:val="76"/>
              <w:spacing w:before="147"/>
              <w:ind w:left="163" w:right="156"/>
              <w:jc w:val="center"/>
              <w:rPr>
                <w:rFonts w:hint="eastAsia" w:ascii="宋体" w:hAnsi="宋体" w:eastAsia="宋体" w:cs="宋体"/>
                <w:sz w:val="24"/>
                <w:szCs w:val="24"/>
              </w:rPr>
            </w:pPr>
            <w:r>
              <w:rPr>
                <w:rFonts w:hint="eastAsia" w:ascii="宋体" w:hAnsi="宋体" w:eastAsia="宋体" w:cs="宋体"/>
                <w:sz w:val="24"/>
                <w:szCs w:val="24"/>
              </w:rPr>
              <w:t>电话</w:t>
            </w:r>
          </w:p>
        </w:tc>
        <w:tc>
          <w:tcPr>
            <w:tcW w:w="1828" w:type="dxa"/>
          </w:tcPr>
          <w:p w14:paraId="4C8DD556">
            <w:pPr>
              <w:pStyle w:val="76"/>
              <w:rPr>
                <w:rFonts w:hint="eastAsia" w:ascii="宋体" w:hAnsi="宋体" w:eastAsia="宋体" w:cs="宋体"/>
                <w:sz w:val="24"/>
                <w:szCs w:val="24"/>
              </w:rPr>
            </w:pPr>
          </w:p>
        </w:tc>
      </w:tr>
      <w:tr w14:paraId="100B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80" w:type="dxa"/>
            <w:vMerge w:val="continue"/>
            <w:tcBorders>
              <w:top w:val="nil"/>
            </w:tcBorders>
          </w:tcPr>
          <w:p w14:paraId="3D3D7DD3">
            <w:pPr>
              <w:rPr>
                <w:rFonts w:hint="eastAsia" w:ascii="宋体" w:hAnsi="宋体" w:eastAsia="宋体" w:cs="宋体"/>
                <w:sz w:val="24"/>
                <w:szCs w:val="24"/>
              </w:rPr>
            </w:pPr>
          </w:p>
        </w:tc>
        <w:tc>
          <w:tcPr>
            <w:tcW w:w="1077" w:type="dxa"/>
          </w:tcPr>
          <w:p w14:paraId="2516729F">
            <w:pPr>
              <w:pStyle w:val="76"/>
              <w:spacing w:before="154"/>
              <w:ind w:left="157" w:right="149"/>
              <w:jc w:val="center"/>
              <w:rPr>
                <w:rFonts w:hint="eastAsia" w:ascii="宋体" w:hAnsi="宋体" w:eastAsia="宋体" w:cs="宋体"/>
                <w:sz w:val="24"/>
                <w:szCs w:val="24"/>
              </w:rPr>
            </w:pPr>
            <w:r>
              <w:rPr>
                <w:rFonts w:hint="eastAsia" w:ascii="宋体" w:hAnsi="宋体" w:eastAsia="宋体" w:cs="宋体"/>
                <w:sz w:val="24"/>
                <w:szCs w:val="24"/>
              </w:rPr>
              <w:t>传真</w:t>
            </w:r>
          </w:p>
        </w:tc>
        <w:tc>
          <w:tcPr>
            <w:tcW w:w="2968" w:type="dxa"/>
            <w:gridSpan w:val="3"/>
          </w:tcPr>
          <w:p w14:paraId="7E672B2D">
            <w:pPr>
              <w:pStyle w:val="76"/>
              <w:rPr>
                <w:rFonts w:hint="eastAsia" w:ascii="宋体" w:hAnsi="宋体" w:eastAsia="宋体" w:cs="宋体"/>
                <w:sz w:val="24"/>
                <w:szCs w:val="24"/>
              </w:rPr>
            </w:pPr>
          </w:p>
        </w:tc>
        <w:tc>
          <w:tcPr>
            <w:tcW w:w="1176" w:type="dxa"/>
          </w:tcPr>
          <w:p w14:paraId="3F998295">
            <w:pPr>
              <w:pStyle w:val="76"/>
              <w:spacing w:before="154"/>
              <w:ind w:left="163" w:right="156"/>
              <w:jc w:val="center"/>
              <w:rPr>
                <w:rFonts w:hint="eastAsia" w:ascii="宋体" w:hAnsi="宋体" w:eastAsia="宋体" w:cs="宋体"/>
                <w:sz w:val="24"/>
                <w:szCs w:val="24"/>
              </w:rPr>
            </w:pPr>
            <w:r>
              <w:rPr>
                <w:rFonts w:hint="eastAsia" w:ascii="宋体" w:hAnsi="宋体" w:eastAsia="宋体" w:cs="宋体"/>
                <w:sz w:val="24"/>
                <w:szCs w:val="24"/>
              </w:rPr>
              <w:t>网址</w:t>
            </w:r>
          </w:p>
        </w:tc>
        <w:tc>
          <w:tcPr>
            <w:tcW w:w="1828" w:type="dxa"/>
          </w:tcPr>
          <w:p w14:paraId="685F4344">
            <w:pPr>
              <w:pStyle w:val="76"/>
              <w:rPr>
                <w:rFonts w:hint="eastAsia" w:ascii="宋体" w:hAnsi="宋体" w:eastAsia="宋体" w:cs="宋体"/>
                <w:sz w:val="24"/>
                <w:szCs w:val="24"/>
              </w:rPr>
            </w:pPr>
          </w:p>
        </w:tc>
      </w:tr>
      <w:tr w14:paraId="460D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980" w:type="dxa"/>
          </w:tcPr>
          <w:p w14:paraId="608E8418">
            <w:pPr>
              <w:pStyle w:val="76"/>
              <w:spacing w:before="152"/>
              <w:ind w:left="248" w:right="241"/>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049" w:type="dxa"/>
            <w:gridSpan w:val="6"/>
          </w:tcPr>
          <w:p w14:paraId="359F5F17">
            <w:pPr>
              <w:pStyle w:val="76"/>
              <w:rPr>
                <w:rFonts w:hint="eastAsia" w:ascii="宋体" w:hAnsi="宋体" w:eastAsia="宋体" w:cs="宋体"/>
                <w:sz w:val="24"/>
                <w:szCs w:val="24"/>
              </w:rPr>
            </w:pPr>
          </w:p>
        </w:tc>
      </w:tr>
      <w:tr w14:paraId="5D5D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980" w:type="dxa"/>
          </w:tcPr>
          <w:p w14:paraId="2A08E42D">
            <w:pPr>
              <w:pStyle w:val="76"/>
              <w:spacing w:before="148"/>
              <w:ind w:left="248" w:right="241"/>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77" w:type="dxa"/>
          </w:tcPr>
          <w:p w14:paraId="17757E58">
            <w:pPr>
              <w:pStyle w:val="76"/>
              <w:spacing w:before="148"/>
              <w:ind w:left="157" w:right="149"/>
              <w:jc w:val="center"/>
              <w:rPr>
                <w:rFonts w:hint="eastAsia" w:ascii="宋体" w:hAnsi="宋体" w:eastAsia="宋体" w:cs="宋体"/>
                <w:sz w:val="24"/>
                <w:szCs w:val="24"/>
              </w:rPr>
            </w:pPr>
            <w:r>
              <w:rPr>
                <w:rFonts w:hint="eastAsia" w:ascii="宋体" w:hAnsi="宋体" w:eastAsia="宋体" w:cs="宋体"/>
                <w:sz w:val="24"/>
                <w:szCs w:val="24"/>
              </w:rPr>
              <w:t>姓名</w:t>
            </w:r>
          </w:p>
        </w:tc>
        <w:tc>
          <w:tcPr>
            <w:tcW w:w="1803" w:type="dxa"/>
          </w:tcPr>
          <w:p w14:paraId="47443835">
            <w:pPr>
              <w:pStyle w:val="76"/>
              <w:rPr>
                <w:rFonts w:hint="eastAsia" w:ascii="宋体" w:hAnsi="宋体" w:eastAsia="宋体" w:cs="宋体"/>
                <w:sz w:val="24"/>
                <w:szCs w:val="24"/>
              </w:rPr>
            </w:pPr>
          </w:p>
        </w:tc>
        <w:tc>
          <w:tcPr>
            <w:tcW w:w="2341" w:type="dxa"/>
            <w:gridSpan w:val="3"/>
            <w:vAlign w:val="center"/>
          </w:tcPr>
          <w:p w14:paraId="4F40AC20">
            <w:pPr>
              <w:pStyle w:val="76"/>
              <w:jc w:val="center"/>
              <w:rPr>
                <w:rFonts w:hint="eastAsia" w:ascii="宋体" w:hAnsi="宋体" w:eastAsia="宋体" w:cs="宋体"/>
                <w:sz w:val="24"/>
                <w:szCs w:val="24"/>
                <w:highlight w:val="red"/>
              </w:rPr>
            </w:pPr>
            <w:r>
              <w:rPr>
                <w:rFonts w:hint="eastAsia" w:ascii="宋体" w:hAnsi="宋体" w:eastAsia="宋体" w:cs="宋体"/>
                <w:sz w:val="24"/>
                <w:szCs w:val="24"/>
              </w:rPr>
              <w:t>电话</w:t>
            </w:r>
          </w:p>
        </w:tc>
        <w:tc>
          <w:tcPr>
            <w:tcW w:w="1828" w:type="dxa"/>
            <w:vAlign w:val="center"/>
          </w:tcPr>
          <w:p w14:paraId="0BB5CBA5">
            <w:pPr>
              <w:pStyle w:val="76"/>
              <w:jc w:val="center"/>
              <w:rPr>
                <w:rFonts w:hint="eastAsia" w:ascii="宋体" w:hAnsi="宋体" w:eastAsia="宋体" w:cs="宋体"/>
                <w:sz w:val="24"/>
                <w:szCs w:val="24"/>
              </w:rPr>
            </w:pPr>
          </w:p>
        </w:tc>
      </w:tr>
      <w:tr w14:paraId="7736A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80" w:type="dxa"/>
          </w:tcPr>
          <w:p w14:paraId="0970EF09">
            <w:pPr>
              <w:pStyle w:val="76"/>
              <w:spacing w:before="101"/>
              <w:ind w:left="248" w:right="241"/>
              <w:jc w:val="center"/>
              <w:rPr>
                <w:rFonts w:hint="eastAsia" w:ascii="宋体" w:hAnsi="宋体" w:eastAsia="宋体" w:cs="宋体"/>
                <w:sz w:val="24"/>
                <w:szCs w:val="24"/>
              </w:rPr>
            </w:pPr>
            <w:r>
              <w:rPr>
                <w:rFonts w:hint="eastAsia" w:cs="宋体"/>
                <w:sz w:val="24"/>
                <w:szCs w:val="24"/>
                <w:lang w:eastAsia="zh-CN"/>
              </w:rPr>
              <w:t>项目</w:t>
            </w:r>
            <w:r>
              <w:rPr>
                <w:rFonts w:hint="eastAsia" w:ascii="宋体" w:hAnsi="宋体" w:eastAsia="宋体" w:cs="宋体"/>
                <w:sz w:val="24"/>
                <w:szCs w:val="24"/>
              </w:rPr>
              <w:t>负责人</w:t>
            </w:r>
          </w:p>
        </w:tc>
        <w:tc>
          <w:tcPr>
            <w:tcW w:w="1077" w:type="dxa"/>
          </w:tcPr>
          <w:p w14:paraId="74F7A91D">
            <w:pPr>
              <w:pStyle w:val="76"/>
              <w:spacing w:before="101"/>
              <w:ind w:left="157" w:right="149"/>
              <w:jc w:val="center"/>
              <w:rPr>
                <w:rFonts w:hint="eastAsia" w:ascii="宋体" w:hAnsi="宋体" w:eastAsia="宋体" w:cs="宋体"/>
                <w:sz w:val="24"/>
                <w:szCs w:val="24"/>
              </w:rPr>
            </w:pPr>
            <w:r>
              <w:rPr>
                <w:rFonts w:hint="eastAsia" w:ascii="宋体" w:hAnsi="宋体" w:eastAsia="宋体" w:cs="宋体"/>
                <w:sz w:val="24"/>
                <w:szCs w:val="24"/>
              </w:rPr>
              <w:t>姓名</w:t>
            </w:r>
          </w:p>
        </w:tc>
        <w:tc>
          <w:tcPr>
            <w:tcW w:w="1803" w:type="dxa"/>
          </w:tcPr>
          <w:p w14:paraId="1BFC1B6E">
            <w:pPr>
              <w:pStyle w:val="76"/>
              <w:rPr>
                <w:rFonts w:hint="eastAsia" w:ascii="宋体" w:hAnsi="宋体" w:eastAsia="宋体" w:cs="宋体"/>
                <w:sz w:val="24"/>
                <w:szCs w:val="24"/>
              </w:rPr>
            </w:pPr>
          </w:p>
        </w:tc>
        <w:tc>
          <w:tcPr>
            <w:tcW w:w="2341" w:type="dxa"/>
            <w:gridSpan w:val="3"/>
            <w:vAlign w:val="center"/>
          </w:tcPr>
          <w:p w14:paraId="48ED5DAC">
            <w:pPr>
              <w:pStyle w:val="76"/>
              <w:jc w:val="center"/>
              <w:rPr>
                <w:rFonts w:hint="eastAsia" w:ascii="宋体" w:hAnsi="宋体" w:eastAsia="宋体" w:cs="宋体"/>
                <w:sz w:val="24"/>
                <w:szCs w:val="24"/>
              </w:rPr>
            </w:pPr>
            <w:r>
              <w:rPr>
                <w:rFonts w:hint="eastAsia" w:ascii="宋体" w:hAnsi="宋体" w:eastAsia="宋体" w:cs="宋体"/>
                <w:sz w:val="24"/>
                <w:szCs w:val="24"/>
              </w:rPr>
              <w:t>电话</w:t>
            </w:r>
          </w:p>
        </w:tc>
        <w:tc>
          <w:tcPr>
            <w:tcW w:w="1828" w:type="dxa"/>
            <w:vAlign w:val="center"/>
          </w:tcPr>
          <w:p w14:paraId="37C780AE">
            <w:pPr>
              <w:pStyle w:val="76"/>
              <w:jc w:val="center"/>
              <w:rPr>
                <w:rFonts w:hint="eastAsia" w:ascii="宋体" w:hAnsi="宋体" w:eastAsia="宋体" w:cs="宋体"/>
                <w:sz w:val="24"/>
                <w:szCs w:val="24"/>
              </w:rPr>
            </w:pPr>
          </w:p>
        </w:tc>
      </w:tr>
      <w:tr w14:paraId="7B4DE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689F47C6">
            <w:pPr>
              <w:pStyle w:val="76"/>
              <w:spacing w:before="154"/>
              <w:ind w:left="248" w:right="241"/>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880" w:type="dxa"/>
            <w:gridSpan w:val="2"/>
          </w:tcPr>
          <w:p w14:paraId="0D047365">
            <w:pPr>
              <w:pStyle w:val="76"/>
              <w:rPr>
                <w:rFonts w:hint="eastAsia" w:ascii="宋体" w:hAnsi="宋体" w:eastAsia="宋体" w:cs="宋体"/>
                <w:sz w:val="24"/>
                <w:szCs w:val="24"/>
              </w:rPr>
            </w:pPr>
          </w:p>
        </w:tc>
        <w:tc>
          <w:tcPr>
            <w:tcW w:w="4169" w:type="dxa"/>
            <w:gridSpan w:val="4"/>
          </w:tcPr>
          <w:p w14:paraId="3E5B4C53">
            <w:pPr>
              <w:pStyle w:val="76"/>
              <w:spacing w:before="154"/>
              <w:ind w:left="108"/>
              <w:rPr>
                <w:rFonts w:hint="eastAsia" w:ascii="宋体" w:hAnsi="宋体" w:eastAsia="宋体" w:cs="宋体"/>
                <w:sz w:val="24"/>
                <w:szCs w:val="24"/>
              </w:rPr>
            </w:pPr>
            <w:r>
              <w:rPr>
                <w:rFonts w:hint="eastAsia" w:ascii="宋体" w:hAnsi="宋体" w:eastAsia="宋体" w:cs="宋体"/>
                <w:sz w:val="24"/>
                <w:szCs w:val="24"/>
              </w:rPr>
              <w:t>员工总人数：</w:t>
            </w:r>
          </w:p>
        </w:tc>
      </w:tr>
      <w:tr w14:paraId="37B6B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14:paraId="56F36140">
            <w:pPr>
              <w:pStyle w:val="76"/>
              <w:spacing w:before="11"/>
              <w:rPr>
                <w:rFonts w:hint="eastAsia" w:ascii="宋体" w:hAnsi="宋体" w:eastAsia="宋体" w:cs="宋体"/>
                <w:b/>
                <w:sz w:val="24"/>
                <w:szCs w:val="24"/>
              </w:rPr>
            </w:pPr>
          </w:p>
          <w:p w14:paraId="79E5AFD1">
            <w:pPr>
              <w:pStyle w:val="76"/>
              <w:ind w:left="248" w:right="241"/>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2880" w:type="dxa"/>
            <w:gridSpan w:val="2"/>
          </w:tcPr>
          <w:p w14:paraId="3F66D76D">
            <w:pPr>
              <w:pStyle w:val="76"/>
              <w:rPr>
                <w:rFonts w:hint="eastAsia" w:ascii="宋体" w:hAnsi="宋体" w:eastAsia="宋体" w:cs="宋体"/>
                <w:sz w:val="24"/>
                <w:szCs w:val="24"/>
              </w:rPr>
            </w:pPr>
          </w:p>
        </w:tc>
        <w:tc>
          <w:tcPr>
            <w:tcW w:w="714" w:type="dxa"/>
            <w:vMerge w:val="restart"/>
          </w:tcPr>
          <w:p w14:paraId="259017BA">
            <w:pPr>
              <w:pStyle w:val="76"/>
              <w:rPr>
                <w:rFonts w:hint="eastAsia" w:ascii="宋体" w:hAnsi="宋体" w:eastAsia="宋体" w:cs="宋体"/>
                <w:b/>
                <w:sz w:val="24"/>
                <w:szCs w:val="24"/>
              </w:rPr>
            </w:pPr>
          </w:p>
          <w:p w14:paraId="18BEC3FA">
            <w:pPr>
              <w:pStyle w:val="76"/>
              <w:rPr>
                <w:rFonts w:hint="eastAsia" w:ascii="宋体" w:hAnsi="宋体" w:eastAsia="宋体" w:cs="宋体"/>
                <w:b/>
                <w:sz w:val="24"/>
                <w:szCs w:val="24"/>
              </w:rPr>
            </w:pPr>
          </w:p>
          <w:p w14:paraId="4627B134">
            <w:pPr>
              <w:pStyle w:val="76"/>
              <w:rPr>
                <w:rFonts w:hint="eastAsia" w:ascii="宋体" w:hAnsi="宋体" w:eastAsia="宋体" w:cs="宋体"/>
                <w:b/>
                <w:sz w:val="24"/>
                <w:szCs w:val="24"/>
              </w:rPr>
            </w:pPr>
          </w:p>
          <w:p w14:paraId="3CF6A160">
            <w:pPr>
              <w:pStyle w:val="76"/>
              <w:spacing w:before="1"/>
              <w:rPr>
                <w:rFonts w:hint="eastAsia" w:ascii="宋体" w:hAnsi="宋体" w:eastAsia="宋体" w:cs="宋体"/>
                <w:b/>
                <w:sz w:val="24"/>
                <w:szCs w:val="24"/>
              </w:rPr>
            </w:pPr>
          </w:p>
          <w:p w14:paraId="00812CF5">
            <w:pPr>
              <w:pStyle w:val="76"/>
              <w:ind w:left="117"/>
              <w:rPr>
                <w:rFonts w:hint="eastAsia" w:ascii="宋体" w:hAnsi="宋体" w:eastAsia="宋体" w:cs="宋体"/>
                <w:sz w:val="24"/>
                <w:szCs w:val="24"/>
              </w:rPr>
            </w:pPr>
            <w:r>
              <w:rPr>
                <w:rFonts w:hint="eastAsia" w:ascii="宋体" w:hAnsi="宋体" w:eastAsia="宋体" w:cs="宋体"/>
                <w:sz w:val="24"/>
                <w:szCs w:val="24"/>
              </w:rPr>
              <w:t>其中</w:t>
            </w:r>
          </w:p>
        </w:tc>
        <w:tc>
          <w:tcPr>
            <w:tcW w:w="1627" w:type="dxa"/>
            <w:gridSpan w:val="2"/>
            <w:vMerge w:val="restart"/>
          </w:tcPr>
          <w:p w14:paraId="4BCEB3EF">
            <w:pPr>
              <w:pStyle w:val="76"/>
              <w:spacing w:before="11"/>
              <w:rPr>
                <w:rFonts w:hint="eastAsia" w:ascii="宋体" w:hAnsi="宋体" w:eastAsia="宋体" w:cs="宋体"/>
                <w:b/>
                <w:sz w:val="24"/>
                <w:szCs w:val="24"/>
              </w:rPr>
            </w:pPr>
          </w:p>
          <w:p w14:paraId="2EF16E38">
            <w:pPr>
              <w:pStyle w:val="76"/>
              <w:spacing w:before="159"/>
              <w:ind w:left="181"/>
              <w:rPr>
                <w:rFonts w:hint="eastAsia" w:ascii="宋体" w:hAnsi="宋体" w:eastAsia="宋体" w:cs="宋体"/>
                <w:sz w:val="24"/>
                <w:szCs w:val="24"/>
                <w:lang w:eastAsia="zh-CN"/>
              </w:rPr>
            </w:pPr>
            <w:r>
              <w:rPr>
                <w:rFonts w:hint="eastAsia" w:ascii="宋体" w:hAnsi="宋体" w:eastAsia="宋体" w:cs="宋体"/>
                <w:sz w:val="24"/>
                <w:szCs w:val="24"/>
                <w:lang w:eastAsia="zh-CN"/>
              </w:rPr>
              <w:t>企业性质</w:t>
            </w:r>
          </w:p>
        </w:tc>
        <w:tc>
          <w:tcPr>
            <w:tcW w:w="1828" w:type="dxa"/>
          </w:tcPr>
          <w:p w14:paraId="71421DEF">
            <w:pPr>
              <w:pStyle w:val="76"/>
              <w:rPr>
                <w:rFonts w:hint="eastAsia" w:ascii="宋体" w:hAnsi="宋体" w:eastAsia="宋体" w:cs="宋体"/>
                <w:sz w:val="24"/>
                <w:szCs w:val="24"/>
              </w:rPr>
            </w:pPr>
          </w:p>
        </w:tc>
      </w:tr>
      <w:tr w14:paraId="61231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80" w:type="dxa"/>
          </w:tcPr>
          <w:p w14:paraId="749E2FE2">
            <w:pPr>
              <w:pStyle w:val="76"/>
              <w:spacing w:before="159"/>
              <w:ind w:left="248" w:right="241"/>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880" w:type="dxa"/>
            <w:gridSpan w:val="2"/>
          </w:tcPr>
          <w:p w14:paraId="2A629594">
            <w:pPr>
              <w:pStyle w:val="76"/>
              <w:rPr>
                <w:rFonts w:hint="eastAsia" w:ascii="宋体" w:hAnsi="宋体" w:eastAsia="宋体" w:cs="宋体"/>
                <w:sz w:val="24"/>
                <w:szCs w:val="24"/>
              </w:rPr>
            </w:pPr>
          </w:p>
        </w:tc>
        <w:tc>
          <w:tcPr>
            <w:tcW w:w="714" w:type="dxa"/>
            <w:vMerge w:val="continue"/>
            <w:tcBorders>
              <w:top w:val="nil"/>
            </w:tcBorders>
          </w:tcPr>
          <w:p w14:paraId="2B0FEB64">
            <w:pPr>
              <w:rPr>
                <w:rFonts w:hint="eastAsia" w:ascii="宋体" w:hAnsi="宋体" w:eastAsia="宋体" w:cs="宋体"/>
                <w:sz w:val="24"/>
                <w:szCs w:val="24"/>
              </w:rPr>
            </w:pPr>
          </w:p>
        </w:tc>
        <w:tc>
          <w:tcPr>
            <w:tcW w:w="1627" w:type="dxa"/>
            <w:gridSpan w:val="2"/>
            <w:vMerge w:val="continue"/>
          </w:tcPr>
          <w:p w14:paraId="79054F60">
            <w:pPr>
              <w:pStyle w:val="76"/>
              <w:spacing w:before="159"/>
              <w:ind w:left="181"/>
              <w:rPr>
                <w:rFonts w:hint="eastAsia" w:ascii="宋体" w:hAnsi="宋体" w:eastAsia="宋体" w:cs="宋体"/>
                <w:sz w:val="24"/>
                <w:szCs w:val="24"/>
              </w:rPr>
            </w:pPr>
          </w:p>
        </w:tc>
        <w:tc>
          <w:tcPr>
            <w:tcW w:w="1828" w:type="dxa"/>
          </w:tcPr>
          <w:p w14:paraId="5C0568C3">
            <w:pPr>
              <w:pStyle w:val="76"/>
              <w:rPr>
                <w:rFonts w:hint="eastAsia" w:ascii="宋体" w:hAnsi="宋体" w:eastAsia="宋体" w:cs="宋体"/>
                <w:sz w:val="24"/>
                <w:szCs w:val="24"/>
              </w:rPr>
            </w:pPr>
          </w:p>
        </w:tc>
      </w:tr>
      <w:tr w14:paraId="50330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980" w:type="dxa"/>
          </w:tcPr>
          <w:p w14:paraId="22A4568A">
            <w:pPr>
              <w:pStyle w:val="76"/>
              <w:spacing w:before="11"/>
              <w:rPr>
                <w:rFonts w:hint="eastAsia" w:ascii="宋体" w:hAnsi="宋体" w:eastAsia="宋体" w:cs="宋体"/>
                <w:b/>
                <w:sz w:val="24"/>
                <w:szCs w:val="24"/>
              </w:rPr>
            </w:pPr>
          </w:p>
          <w:p w14:paraId="00465963">
            <w:pPr>
              <w:pStyle w:val="76"/>
              <w:ind w:left="248" w:right="241"/>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880" w:type="dxa"/>
            <w:gridSpan w:val="2"/>
          </w:tcPr>
          <w:p w14:paraId="4E35646E">
            <w:pPr>
              <w:pStyle w:val="76"/>
              <w:rPr>
                <w:rFonts w:hint="eastAsia" w:ascii="宋体" w:hAnsi="宋体" w:eastAsia="宋体" w:cs="宋体"/>
                <w:sz w:val="24"/>
                <w:szCs w:val="24"/>
              </w:rPr>
            </w:pPr>
          </w:p>
        </w:tc>
        <w:tc>
          <w:tcPr>
            <w:tcW w:w="714" w:type="dxa"/>
            <w:vMerge w:val="continue"/>
            <w:tcBorders>
              <w:top w:val="nil"/>
            </w:tcBorders>
          </w:tcPr>
          <w:p w14:paraId="503825E9">
            <w:pPr>
              <w:rPr>
                <w:rFonts w:hint="eastAsia" w:ascii="宋体" w:hAnsi="宋体" w:eastAsia="宋体" w:cs="宋体"/>
                <w:sz w:val="24"/>
                <w:szCs w:val="24"/>
              </w:rPr>
            </w:pPr>
          </w:p>
        </w:tc>
        <w:tc>
          <w:tcPr>
            <w:tcW w:w="1627" w:type="dxa"/>
            <w:gridSpan w:val="2"/>
            <w:vMerge w:val="restart"/>
          </w:tcPr>
          <w:p w14:paraId="18EE14A6">
            <w:pPr>
              <w:pStyle w:val="76"/>
              <w:spacing w:before="159"/>
              <w:ind w:left="181"/>
              <w:rPr>
                <w:rFonts w:hint="eastAsia" w:ascii="宋体" w:hAnsi="宋体" w:eastAsia="宋体" w:cs="宋体"/>
                <w:sz w:val="24"/>
                <w:szCs w:val="24"/>
                <w:lang w:eastAsia="zh-CN"/>
              </w:rPr>
            </w:pPr>
          </w:p>
          <w:p w14:paraId="74E2963E">
            <w:pPr>
              <w:pStyle w:val="76"/>
              <w:spacing w:before="159"/>
              <w:ind w:left="181"/>
              <w:rPr>
                <w:rFonts w:hint="eastAsia"/>
                <w:lang w:eastAsia="zh-CN"/>
              </w:rPr>
            </w:pPr>
            <w:r>
              <w:rPr>
                <w:rFonts w:hint="eastAsia" w:ascii="宋体" w:hAnsi="宋体" w:eastAsia="宋体" w:cs="宋体"/>
                <w:sz w:val="24"/>
                <w:szCs w:val="24"/>
                <w:lang w:eastAsia="zh-CN"/>
              </w:rPr>
              <w:t>在职职工</w:t>
            </w:r>
          </w:p>
        </w:tc>
        <w:tc>
          <w:tcPr>
            <w:tcW w:w="1828" w:type="dxa"/>
          </w:tcPr>
          <w:p w14:paraId="13796A21">
            <w:pPr>
              <w:pStyle w:val="76"/>
              <w:rPr>
                <w:rFonts w:hint="eastAsia" w:ascii="宋体" w:hAnsi="宋体" w:eastAsia="宋体" w:cs="宋体"/>
                <w:sz w:val="24"/>
                <w:szCs w:val="24"/>
              </w:rPr>
            </w:pPr>
          </w:p>
        </w:tc>
      </w:tr>
      <w:tr w14:paraId="798C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980" w:type="dxa"/>
          </w:tcPr>
          <w:p w14:paraId="0B8F2B71">
            <w:pPr>
              <w:pStyle w:val="76"/>
              <w:spacing w:before="154"/>
              <w:ind w:left="248" w:right="241"/>
              <w:jc w:val="center"/>
              <w:rPr>
                <w:rFonts w:hint="eastAsia" w:ascii="宋体" w:hAnsi="宋体" w:eastAsia="宋体" w:cs="宋体"/>
                <w:sz w:val="24"/>
                <w:szCs w:val="24"/>
              </w:rPr>
            </w:pPr>
            <w:r>
              <w:rPr>
                <w:rFonts w:hint="eastAsia" w:ascii="宋体" w:hAnsi="宋体" w:eastAsia="宋体" w:cs="宋体"/>
                <w:sz w:val="24"/>
                <w:szCs w:val="24"/>
              </w:rPr>
              <w:t>账号</w:t>
            </w:r>
          </w:p>
        </w:tc>
        <w:tc>
          <w:tcPr>
            <w:tcW w:w="2880" w:type="dxa"/>
            <w:gridSpan w:val="2"/>
          </w:tcPr>
          <w:p w14:paraId="6ADB7474">
            <w:pPr>
              <w:pStyle w:val="76"/>
              <w:rPr>
                <w:rFonts w:hint="eastAsia" w:ascii="宋体" w:hAnsi="宋体" w:eastAsia="宋体" w:cs="宋体"/>
                <w:sz w:val="24"/>
                <w:szCs w:val="24"/>
              </w:rPr>
            </w:pPr>
          </w:p>
        </w:tc>
        <w:tc>
          <w:tcPr>
            <w:tcW w:w="714" w:type="dxa"/>
            <w:vMerge w:val="continue"/>
            <w:tcBorders>
              <w:top w:val="nil"/>
            </w:tcBorders>
          </w:tcPr>
          <w:p w14:paraId="7C3B6F18">
            <w:pPr>
              <w:rPr>
                <w:rFonts w:hint="eastAsia" w:ascii="宋体" w:hAnsi="宋体" w:eastAsia="宋体" w:cs="宋体"/>
                <w:sz w:val="24"/>
                <w:szCs w:val="24"/>
              </w:rPr>
            </w:pPr>
          </w:p>
        </w:tc>
        <w:tc>
          <w:tcPr>
            <w:tcW w:w="1627" w:type="dxa"/>
            <w:gridSpan w:val="2"/>
            <w:vMerge w:val="continue"/>
          </w:tcPr>
          <w:p w14:paraId="7B4C9770">
            <w:pPr>
              <w:pStyle w:val="76"/>
              <w:spacing w:before="154"/>
              <w:ind w:left="641" w:right="632"/>
              <w:jc w:val="center"/>
              <w:rPr>
                <w:rFonts w:hint="eastAsia" w:ascii="宋体" w:hAnsi="宋体" w:eastAsia="宋体" w:cs="宋体"/>
                <w:sz w:val="24"/>
                <w:szCs w:val="24"/>
              </w:rPr>
            </w:pPr>
          </w:p>
        </w:tc>
        <w:tc>
          <w:tcPr>
            <w:tcW w:w="1828" w:type="dxa"/>
          </w:tcPr>
          <w:p w14:paraId="2F07BF27">
            <w:pPr>
              <w:pStyle w:val="76"/>
              <w:rPr>
                <w:rFonts w:hint="eastAsia" w:ascii="宋体" w:hAnsi="宋体" w:eastAsia="宋体" w:cs="宋体"/>
                <w:sz w:val="24"/>
                <w:szCs w:val="24"/>
              </w:rPr>
            </w:pPr>
          </w:p>
        </w:tc>
      </w:tr>
      <w:tr w14:paraId="736A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980" w:type="dxa"/>
          </w:tcPr>
          <w:p w14:paraId="5B58287C">
            <w:pPr>
              <w:pStyle w:val="76"/>
              <w:spacing w:before="5"/>
              <w:rPr>
                <w:rFonts w:hint="eastAsia" w:ascii="宋体" w:hAnsi="宋体" w:eastAsia="宋体" w:cs="宋体"/>
                <w:b/>
                <w:sz w:val="24"/>
                <w:szCs w:val="24"/>
              </w:rPr>
            </w:pPr>
          </w:p>
          <w:p w14:paraId="0A9A148A">
            <w:pPr>
              <w:pStyle w:val="76"/>
              <w:ind w:left="248" w:right="241"/>
              <w:jc w:val="center"/>
              <w:rPr>
                <w:rFonts w:hint="eastAsia" w:ascii="宋体" w:hAnsi="宋体" w:eastAsia="宋体" w:cs="宋体"/>
                <w:sz w:val="24"/>
                <w:szCs w:val="24"/>
              </w:rPr>
            </w:pPr>
            <w:r>
              <w:rPr>
                <w:rFonts w:hint="eastAsia" w:ascii="宋体" w:hAnsi="宋体" w:eastAsia="宋体" w:cs="宋体"/>
                <w:sz w:val="24"/>
                <w:szCs w:val="24"/>
              </w:rPr>
              <w:t>经营范围备注</w:t>
            </w:r>
          </w:p>
        </w:tc>
        <w:tc>
          <w:tcPr>
            <w:tcW w:w="7049" w:type="dxa"/>
            <w:gridSpan w:val="6"/>
          </w:tcPr>
          <w:p w14:paraId="23467334">
            <w:pPr>
              <w:pStyle w:val="76"/>
              <w:rPr>
                <w:rFonts w:hint="eastAsia" w:ascii="宋体" w:hAnsi="宋体" w:eastAsia="宋体" w:cs="宋体"/>
                <w:sz w:val="24"/>
                <w:szCs w:val="24"/>
              </w:rPr>
            </w:pPr>
          </w:p>
        </w:tc>
      </w:tr>
    </w:tbl>
    <w:p w14:paraId="32F2BA08">
      <w:pPr>
        <w:spacing w:before="80"/>
        <w:ind w:left="218" w:right="0" w:firstLine="0"/>
        <w:jc w:val="left"/>
        <w:rPr>
          <w:rFonts w:hint="eastAsia" w:ascii="宋体" w:hAnsi="宋体" w:eastAsia="宋体" w:cs="宋体"/>
          <w:sz w:val="24"/>
          <w:szCs w:val="24"/>
        </w:rPr>
      </w:pPr>
      <w:r>
        <w:rPr>
          <w:rFonts w:hint="eastAsia" w:ascii="宋体" w:hAnsi="宋体" w:eastAsia="宋体" w:cs="宋体"/>
          <w:sz w:val="24"/>
          <w:szCs w:val="24"/>
        </w:rPr>
        <w:t>（供应商根据“供应商须知前附表”要求提供有关资格证明文件的扫描件。）</w:t>
      </w:r>
    </w:p>
    <w:p w14:paraId="13DF9ADA">
      <w:pPr>
        <w:spacing w:after="0"/>
        <w:jc w:val="left"/>
        <w:rPr>
          <w:rFonts w:hint="eastAsia" w:ascii="宋体" w:hAnsi="宋体" w:eastAsia="宋体" w:cs="宋体"/>
          <w:sz w:val="24"/>
          <w:szCs w:val="24"/>
        </w:rPr>
        <w:sectPr>
          <w:footerReference r:id="rId8" w:type="default"/>
          <w:pgSz w:w="11910" w:h="16840"/>
          <w:pgMar w:top="1500" w:right="900" w:bottom="1160" w:left="1200" w:header="0" w:footer="975" w:gutter="0"/>
          <w:pgNumType w:start="40"/>
          <w:cols w:space="720" w:num="1"/>
        </w:sectPr>
      </w:pPr>
    </w:p>
    <w:p w14:paraId="0EA30FD5">
      <w:pPr>
        <w:spacing w:before="43"/>
        <w:ind w:left="837" w:right="854" w:firstLine="0"/>
        <w:jc w:val="center"/>
        <w:rPr>
          <w:rFonts w:hint="eastAsia" w:ascii="宋体" w:hAnsi="宋体" w:eastAsia="宋体" w:cs="宋体"/>
          <w:b/>
          <w:sz w:val="24"/>
          <w:szCs w:val="24"/>
        </w:rPr>
      </w:pPr>
      <w:r>
        <w:rPr>
          <w:rFonts w:hint="eastAsia" w:ascii="宋体" w:hAnsi="宋体" w:eastAsia="宋体" w:cs="宋体"/>
          <w:b/>
          <w:sz w:val="24"/>
          <w:szCs w:val="24"/>
        </w:rPr>
        <w:t>九、供应商反商业贿赂书</w:t>
      </w:r>
    </w:p>
    <w:p w14:paraId="75CCC57C">
      <w:pPr>
        <w:spacing w:before="214"/>
        <w:ind w:left="837" w:right="854" w:firstLine="0"/>
        <w:jc w:val="center"/>
        <w:rPr>
          <w:rFonts w:hint="eastAsia" w:ascii="宋体" w:hAnsi="宋体" w:eastAsia="宋体" w:cs="宋体"/>
          <w:b/>
          <w:sz w:val="24"/>
          <w:szCs w:val="24"/>
        </w:rPr>
      </w:pPr>
      <w:bookmarkStart w:id="210" w:name="（固定格式）"/>
      <w:bookmarkEnd w:id="210"/>
      <w:r>
        <w:rPr>
          <w:rFonts w:hint="eastAsia" w:ascii="宋体" w:hAnsi="宋体" w:eastAsia="宋体" w:cs="宋体"/>
          <w:b/>
          <w:sz w:val="24"/>
          <w:szCs w:val="24"/>
        </w:rPr>
        <w:t>（固定格式）</w:t>
      </w:r>
    </w:p>
    <w:p w14:paraId="667FBFC3">
      <w:pPr>
        <w:pStyle w:val="4"/>
        <w:rPr>
          <w:rFonts w:hint="eastAsia" w:ascii="宋体" w:hAnsi="宋体" w:eastAsia="宋体" w:cs="宋体"/>
          <w:b/>
          <w:sz w:val="24"/>
          <w:szCs w:val="24"/>
        </w:rPr>
      </w:pPr>
    </w:p>
    <w:p w14:paraId="6E27BF03">
      <w:pPr>
        <w:pStyle w:val="4"/>
        <w:rPr>
          <w:rFonts w:hint="eastAsia" w:ascii="宋体" w:hAnsi="宋体" w:eastAsia="宋体" w:cs="宋体"/>
          <w:b/>
          <w:sz w:val="24"/>
          <w:szCs w:val="24"/>
        </w:rPr>
      </w:pPr>
    </w:p>
    <w:p w14:paraId="17990A9F">
      <w:pPr>
        <w:shd w:val="clear"/>
        <w:spacing w:line="480" w:lineRule="auto"/>
        <w:rPr>
          <w:color w:val="000000" w:themeColor="text1"/>
          <w:sz w:val="24"/>
          <w:szCs w:val="24"/>
          <w:highlight w:val="none"/>
          <w14:textFill>
            <w14:solidFill>
              <w14:schemeClr w14:val="tx1"/>
            </w14:solidFill>
          </w14:textFill>
        </w:rPr>
      </w:pPr>
      <w:bookmarkStart w:id="211" w:name="_Toc16421"/>
      <w:r>
        <w:rPr>
          <w:rFonts w:hint="eastAsia" w:ascii="宋体" w:hAnsi="宋体"/>
          <w:color w:val="000000" w:themeColor="text1"/>
          <w:sz w:val="24"/>
          <w:szCs w:val="24"/>
          <w:highlight w:val="none"/>
          <w14:textFill>
            <w14:solidFill>
              <w14:schemeClr w14:val="tx1"/>
            </w14:solidFill>
          </w14:textFill>
        </w:rPr>
        <w:t>我公司承诺：</w:t>
      </w:r>
      <w:bookmarkEnd w:id="211"/>
    </w:p>
    <w:p w14:paraId="124B338A">
      <w:pPr>
        <w:shd w:val="clear"/>
        <w:spacing w:line="480" w:lineRule="auto"/>
        <w:rPr>
          <w:rFonts w:ascii="宋体"/>
          <w:color w:val="000000" w:themeColor="text1"/>
          <w:sz w:val="24"/>
          <w:szCs w:val="24"/>
          <w:highlight w:val="none"/>
          <w14:textFill>
            <w14:solidFill>
              <w14:schemeClr w14:val="tx1"/>
            </w14:solidFill>
          </w14:textFill>
        </w:rPr>
      </w:pPr>
      <w:bookmarkStart w:id="212" w:name="_Toc478120104"/>
      <w:bookmarkEnd w:id="212"/>
      <w:bookmarkStart w:id="213" w:name="_Toc478120681"/>
      <w:bookmarkEnd w:id="213"/>
      <w:bookmarkStart w:id="214" w:name="_Toc29169"/>
      <w:r>
        <w:rPr>
          <w:rFonts w:hint="eastAsia" w:ascii="宋体" w:hAnsi="宋体"/>
          <w:color w:val="000000" w:themeColor="text1"/>
          <w:sz w:val="24"/>
          <w:szCs w:val="24"/>
          <w:highlight w:val="none"/>
          <w14:textFill>
            <w14:solidFill>
              <w14:schemeClr w14:val="tx1"/>
            </w14:solidFill>
          </w14:textFill>
        </w:rPr>
        <w:t>在</w:t>
      </w:r>
      <w:bookmarkEnd w:id="214"/>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（项目名称）</w:t>
      </w:r>
      <w:r>
        <w:rPr>
          <w:rFonts w:hint="eastAsia" w:ascii="宋体" w:hAnsi="宋体"/>
          <w:color w:val="000000" w:themeColor="text1"/>
          <w:sz w:val="24"/>
          <w:szCs w:val="24"/>
          <w:highlight w:val="none"/>
          <w14:textFill>
            <w14:solidFill>
              <w14:schemeClr w14:val="tx1"/>
            </w14:solidFill>
          </w14:textFill>
        </w:rPr>
        <w:t>招标活动中，我公司保证做到：</w:t>
      </w:r>
    </w:p>
    <w:p w14:paraId="29B64EB3">
      <w:pPr>
        <w:shd w:val="clear"/>
        <w:spacing w:line="480" w:lineRule="auto"/>
        <w:rPr>
          <w:color w:val="000000" w:themeColor="text1"/>
          <w:sz w:val="24"/>
          <w:szCs w:val="24"/>
          <w:highlight w:val="none"/>
          <w14:textFill>
            <w14:solidFill>
              <w14:schemeClr w14:val="tx1"/>
            </w14:solidFill>
          </w14:textFill>
        </w:rPr>
      </w:pPr>
      <w:bookmarkStart w:id="215" w:name="_Toc478120682"/>
      <w:bookmarkEnd w:id="215"/>
      <w:bookmarkStart w:id="216" w:name="_Toc5352"/>
      <w:bookmarkEnd w:id="216"/>
      <w:bookmarkStart w:id="217" w:name="_Toc478120105"/>
      <w:r>
        <w:rPr>
          <w:rFonts w:hint="eastAsia" w:ascii="宋体" w:hAnsi="宋体"/>
          <w:color w:val="000000" w:themeColor="text1"/>
          <w:sz w:val="24"/>
          <w:szCs w:val="24"/>
          <w:highlight w:val="none"/>
          <w14:textFill>
            <w14:solidFill>
              <w14:schemeClr w14:val="tx1"/>
            </w14:solidFill>
          </w14:textFill>
        </w:rPr>
        <w:t>一、公平竞争参加本次招标活动。</w:t>
      </w:r>
      <w:bookmarkEnd w:id="217"/>
    </w:p>
    <w:p w14:paraId="07463A8C">
      <w:pPr>
        <w:shd w:val="clear"/>
        <w:spacing w:line="480" w:lineRule="auto"/>
        <w:rPr>
          <w:color w:val="000000" w:themeColor="text1"/>
          <w:sz w:val="24"/>
          <w:szCs w:val="24"/>
          <w:highlight w:val="none"/>
          <w14:textFill>
            <w14:solidFill>
              <w14:schemeClr w14:val="tx1"/>
            </w14:solidFill>
          </w14:textFill>
        </w:rPr>
      </w:pPr>
      <w:bookmarkStart w:id="218" w:name="_Toc8674"/>
      <w:bookmarkEnd w:id="218"/>
      <w:bookmarkStart w:id="219" w:name="_Toc478120683"/>
      <w:bookmarkEnd w:id="219"/>
      <w:bookmarkStart w:id="220" w:name="_Toc478120106"/>
      <w:r>
        <w:rPr>
          <w:rFonts w:hint="eastAsia" w:ascii="宋体" w:hAnsi="宋体"/>
          <w:color w:val="000000" w:themeColor="text1"/>
          <w:sz w:val="24"/>
          <w:szCs w:val="24"/>
          <w:highlight w:val="none"/>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220"/>
    </w:p>
    <w:p w14:paraId="343F100A">
      <w:pPr>
        <w:shd w:val="clear"/>
        <w:spacing w:line="480" w:lineRule="auto"/>
        <w:rPr>
          <w:color w:val="000000" w:themeColor="text1"/>
          <w:sz w:val="24"/>
          <w:szCs w:val="24"/>
          <w:highlight w:val="none"/>
          <w14:textFill>
            <w14:solidFill>
              <w14:schemeClr w14:val="tx1"/>
            </w14:solidFill>
          </w14:textFill>
        </w:rPr>
      </w:pPr>
      <w:bookmarkStart w:id="221" w:name="_Toc478120684"/>
      <w:bookmarkEnd w:id="221"/>
      <w:bookmarkStart w:id="222" w:name="_Toc31878"/>
      <w:bookmarkEnd w:id="222"/>
      <w:bookmarkStart w:id="223" w:name="_Toc478120107"/>
      <w:r>
        <w:rPr>
          <w:rFonts w:hint="eastAsia" w:ascii="宋体" w:hAnsi="宋体"/>
          <w:color w:val="000000" w:themeColor="text1"/>
          <w:sz w:val="24"/>
          <w:szCs w:val="24"/>
          <w:highlight w:val="none"/>
          <w14:textFill>
            <w14:solidFill>
              <w14:schemeClr w14:val="tx1"/>
            </w14:solidFill>
          </w14:textFill>
        </w:rPr>
        <w:t>三、若出现上述行为，我公司及参与投标的工作人员愿意接受按照国家法律法规等有关规定给予的处罚。</w:t>
      </w:r>
      <w:bookmarkEnd w:id="223"/>
    </w:p>
    <w:p w14:paraId="606C4143">
      <w:pPr>
        <w:shd w:val="clear"/>
        <w:spacing w:line="480" w:lineRule="auto"/>
        <w:rPr>
          <w:color w:val="000000" w:themeColor="text1"/>
          <w:sz w:val="24"/>
          <w:szCs w:val="24"/>
          <w:highlight w:val="none"/>
          <w14:textFill>
            <w14:solidFill>
              <w14:schemeClr w14:val="tx1"/>
            </w14:solidFill>
          </w14:textFill>
        </w:rPr>
      </w:pPr>
    </w:p>
    <w:p w14:paraId="16739F86">
      <w:pPr>
        <w:shd w:val="clear"/>
        <w:spacing w:line="480" w:lineRule="auto"/>
        <w:rPr>
          <w:color w:val="000000" w:themeColor="text1"/>
          <w:sz w:val="24"/>
          <w:szCs w:val="24"/>
          <w:highlight w:val="none"/>
          <w14:textFill>
            <w14:solidFill>
              <w14:schemeClr w14:val="tx1"/>
            </w14:solidFill>
          </w14:textFill>
        </w:rPr>
      </w:pPr>
    </w:p>
    <w:p w14:paraId="191A8003">
      <w:pPr>
        <w:shd w:val="clear"/>
        <w:spacing w:line="480" w:lineRule="auto"/>
        <w:rPr>
          <w:color w:val="000000" w:themeColor="text1"/>
          <w:sz w:val="24"/>
          <w:szCs w:val="24"/>
          <w:highlight w:val="none"/>
          <w14:textFill>
            <w14:solidFill>
              <w14:schemeClr w14:val="tx1"/>
            </w14:solidFill>
          </w14:textFill>
        </w:rPr>
      </w:pPr>
    </w:p>
    <w:p w14:paraId="05102CF1">
      <w:pPr>
        <w:shd w:val="clear"/>
        <w:spacing w:line="480" w:lineRule="auto"/>
        <w:rPr>
          <w:color w:val="000000" w:themeColor="text1"/>
          <w:sz w:val="24"/>
          <w:szCs w:val="24"/>
          <w:highlight w:val="none"/>
          <w14:textFill>
            <w14:solidFill>
              <w14:schemeClr w14:val="tx1"/>
            </w14:solidFill>
          </w14:textFill>
        </w:rPr>
      </w:pPr>
    </w:p>
    <w:p w14:paraId="0BC1E1F8">
      <w:pPr>
        <w:shd w:val="clear"/>
        <w:autoSpaceDE w:val="0"/>
        <w:autoSpaceDN w:val="0"/>
        <w:adjustRightInd w:val="0"/>
        <w:spacing w:line="560" w:lineRule="atLeast"/>
        <w:jc w:val="left"/>
        <w:rPr>
          <w:rFonts w:ascii="宋体"/>
          <w:color w:val="000000" w:themeColor="text1"/>
          <w:spacing w:val="10"/>
          <w:kern w:val="0"/>
          <w:sz w:val="24"/>
          <w:szCs w:val="24"/>
          <w:highlight w:val="none"/>
          <w14:textFill>
            <w14:solidFill>
              <w14:schemeClr w14:val="tx1"/>
            </w14:solidFill>
          </w14:textFill>
        </w:rPr>
      </w:pPr>
      <w:r>
        <w:rPr>
          <w:rFonts w:hint="eastAsia" w:ascii="宋体" w:hAnsi="宋体"/>
          <w:color w:val="000000" w:themeColor="text1"/>
          <w:spacing w:val="10"/>
          <w:kern w:val="0"/>
          <w:sz w:val="24"/>
          <w:szCs w:val="24"/>
          <w:highlight w:val="none"/>
          <w14:textFill>
            <w14:solidFill>
              <w14:schemeClr w14:val="tx1"/>
            </w14:solidFill>
          </w14:textFill>
        </w:rPr>
        <w:t>供应商：</w:t>
      </w:r>
      <w:r>
        <w:rPr>
          <w:rFonts w:hint="eastAsia" w:ascii="宋体"/>
          <w:color w:val="000000" w:themeColor="text1"/>
          <w:sz w:val="24"/>
          <w:szCs w:val="24"/>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eastAsia="zh-CN"/>
          <w14:textFill>
            <w14:solidFill>
              <w14:schemeClr w14:val="tx1"/>
            </w14:solidFill>
          </w14:textFill>
        </w:rPr>
        <w:t>单位章</w:t>
      </w:r>
      <w:r>
        <w:rPr>
          <w:rFonts w:hint="eastAsia" w:ascii="宋体" w:hAnsi="宋体"/>
          <w:color w:val="000000" w:themeColor="text1"/>
          <w:kern w:val="0"/>
          <w:sz w:val="24"/>
          <w:szCs w:val="24"/>
          <w:highlight w:val="none"/>
          <w14:textFill>
            <w14:solidFill>
              <w14:schemeClr w14:val="tx1"/>
            </w14:solidFill>
          </w14:textFill>
        </w:rPr>
        <w:t>）</w:t>
      </w:r>
    </w:p>
    <w:p w14:paraId="2144B3C7">
      <w:pPr>
        <w:shd w:val="clear"/>
        <w:autoSpaceDE w:val="0"/>
        <w:autoSpaceDN w:val="0"/>
        <w:adjustRightInd w:val="0"/>
        <w:spacing w:line="560" w:lineRule="atLeast"/>
        <w:jc w:val="left"/>
        <w:rPr>
          <w:rFonts w:ascii="宋体"/>
          <w:color w:val="000000" w:themeColor="text1"/>
          <w:spacing w:val="10"/>
          <w:kern w:val="0"/>
          <w:sz w:val="24"/>
          <w:szCs w:val="24"/>
          <w:highlight w:val="none"/>
          <w14:textFill>
            <w14:solidFill>
              <w14:schemeClr w14:val="tx1"/>
            </w14:solidFill>
          </w14:textFill>
        </w:rPr>
      </w:pPr>
      <w:r>
        <w:rPr>
          <w:rFonts w:hint="eastAsia" w:ascii="宋体" w:hAnsi="宋体"/>
          <w:color w:val="auto"/>
          <w:sz w:val="24"/>
          <w:szCs w:val="24"/>
          <w:highlight w:val="none"/>
        </w:rPr>
        <w:t>法定代表人</w:t>
      </w:r>
      <w:r>
        <w:rPr>
          <w:rFonts w:hint="eastAsia" w:ascii="宋体" w:hAnsi="宋体"/>
          <w:color w:val="auto"/>
          <w:spacing w:val="10"/>
          <w:kern w:val="0"/>
          <w:sz w:val="24"/>
          <w:szCs w:val="24"/>
          <w:highlight w:val="none"/>
        </w:rPr>
        <w:t>：</w:t>
      </w:r>
      <w:r>
        <w:rPr>
          <w:rFonts w:hint="eastAsia" w:ascii="宋体"/>
          <w:color w:val="auto"/>
          <w:sz w:val="24"/>
          <w:szCs w:val="24"/>
          <w:highlight w:val="none"/>
          <w:u w:val="single"/>
          <w:shd w:val="clear" w:color="auto" w:fill="FFFFFF" w:themeFill="background1"/>
        </w:rPr>
        <w:t xml:space="preserve">      </w:t>
      </w:r>
      <w:r>
        <w:rPr>
          <w:rFonts w:hint="eastAsia" w:ascii="宋体"/>
          <w:color w:val="000000" w:themeColor="text1"/>
          <w:sz w:val="24"/>
          <w:szCs w:val="24"/>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eastAsia="zh-CN"/>
          <w14:textFill>
            <w14:solidFill>
              <w14:schemeClr w14:val="tx1"/>
            </w14:solidFill>
          </w14:textFill>
        </w:rPr>
        <w:t>签字或盖章</w:t>
      </w:r>
      <w:r>
        <w:rPr>
          <w:rFonts w:hint="eastAsia" w:ascii="宋体" w:hAnsi="宋体"/>
          <w:color w:val="000000" w:themeColor="text1"/>
          <w:kern w:val="0"/>
          <w:sz w:val="24"/>
          <w:szCs w:val="24"/>
          <w:highlight w:val="none"/>
          <w14:textFill>
            <w14:solidFill>
              <w14:schemeClr w14:val="tx1"/>
            </w14:solidFill>
          </w14:textFill>
        </w:rPr>
        <w:t>）</w:t>
      </w:r>
    </w:p>
    <w:p w14:paraId="7DD70426">
      <w:pPr>
        <w:shd w:val="clear"/>
        <w:autoSpaceDE w:val="0"/>
        <w:autoSpaceDN w:val="0"/>
        <w:adjustRightInd w:val="0"/>
        <w:spacing w:line="560" w:lineRule="atLeast"/>
        <w:jc w:val="left"/>
        <w:rPr>
          <w:rFonts w:ascii="宋体"/>
          <w:color w:val="000000" w:themeColor="text1"/>
          <w:spacing w:val="10"/>
          <w:kern w:val="0"/>
          <w:sz w:val="24"/>
          <w:szCs w:val="24"/>
          <w:highlight w:val="none"/>
          <w14:textFill>
            <w14:solidFill>
              <w14:schemeClr w14:val="tx1"/>
            </w14:solidFill>
          </w14:textFill>
        </w:rPr>
      </w:pPr>
      <w:r>
        <w:rPr>
          <w:rFonts w:hint="eastAsia" w:ascii="宋体" w:hAnsi="宋体"/>
          <w:color w:val="000000" w:themeColor="text1"/>
          <w:spacing w:val="10"/>
          <w:kern w:val="0"/>
          <w:sz w:val="24"/>
          <w:szCs w:val="24"/>
          <w:highlight w:val="none"/>
          <w14:textFill>
            <w14:solidFill>
              <w14:schemeClr w14:val="tx1"/>
            </w14:solidFill>
          </w14:textFill>
        </w:rPr>
        <w:t>日期：</w:t>
      </w:r>
      <w:r>
        <w:rPr>
          <w:rFonts w:hint="eastAsia" w:ascii="宋体"/>
          <w:color w:val="000000" w:themeColor="text1"/>
          <w:sz w:val="24"/>
          <w:szCs w:val="24"/>
          <w:highlight w:val="none"/>
          <w:u w:val="single"/>
          <w:shd w:val="clear" w:color="auto" w:fill="FFFFFF" w:themeFill="background1"/>
          <w14:textFill>
            <w14:solidFill>
              <w14:schemeClr w14:val="tx1"/>
            </w14:solidFill>
          </w14:textFill>
        </w:rPr>
        <w:t xml:space="preserve">                           </w:t>
      </w:r>
    </w:p>
    <w:p w14:paraId="18B5C8E7">
      <w:pPr>
        <w:shd w:val="clear"/>
        <w:spacing w:line="360" w:lineRule="auto"/>
        <w:rPr>
          <w:color w:val="000000" w:themeColor="text1"/>
          <w:sz w:val="24"/>
          <w:szCs w:val="24"/>
          <w:highlight w:val="none"/>
          <w14:textFill>
            <w14:solidFill>
              <w14:schemeClr w14:val="tx1"/>
            </w14:solidFill>
          </w14:textFill>
        </w:rPr>
      </w:pPr>
    </w:p>
    <w:p w14:paraId="0B1C0294">
      <w:pPr>
        <w:spacing w:after="0"/>
        <w:jc w:val="right"/>
        <w:rPr>
          <w:rFonts w:hint="eastAsia" w:ascii="宋体" w:hAnsi="宋体" w:eastAsia="宋体" w:cs="宋体"/>
          <w:sz w:val="24"/>
          <w:szCs w:val="24"/>
        </w:rPr>
        <w:sectPr>
          <w:pgSz w:w="11910" w:h="16840"/>
          <w:pgMar w:top="1180" w:right="900" w:bottom="1160" w:left="1200" w:header="0" w:footer="975" w:gutter="0"/>
          <w:cols w:space="720" w:num="1"/>
        </w:sectPr>
      </w:pPr>
    </w:p>
    <w:p w14:paraId="04776A7B">
      <w:pPr>
        <w:pStyle w:val="6"/>
        <w:spacing w:before="43"/>
        <w:jc w:val="center"/>
        <w:rPr>
          <w:rFonts w:hint="eastAsia" w:ascii="宋体" w:hAnsi="宋体" w:eastAsia="宋体" w:cs="宋体"/>
          <w:sz w:val="24"/>
          <w:szCs w:val="24"/>
        </w:rPr>
      </w:pPr>
      <w:r>
        <w:rPr>
          <w:rFonts w:hint="eastAsia" w:ascii="宋体" w:hAnsi="宋体" w:eastAsia="宋体" w:cs="宋体"/>
          <w:sz w:val="24"/>
          <w:szCs w:val="24"/>
        </w:rPr>
        <w:t>十、备品备件及附送工具清单</w:t>
      </w:r>
    </w:p>
    <w:p w14:paraId="13F77B3C">
      <w:pPr>
        <w:pStyle w:val="4"/>
        <w:rPr>
          <w:rFonts w:hint="eastAsia" w:ascii="宋体" w:hAnsi="宋体" w:eastAsia="宋体" w:cs="宋体"/>
          <w:b/>
          <w:sz w:val="24"/>
          <w:szCs w:val="24"/>
        </w:rPr>
      </w:pPr>
    </w:p>
    <w:p w14:paraId="45B22CF9">
      <w:pPr>
        <w:pStyle w:val="4"/>
        <w:rPr>
          <w:rFonts w:hint="eastAsia" w:ascii="宋体" w:hAnsi="宋体" w:eastAsia="宋体" w:cs="宋体"/>
          <w:b/>
          <w:sz w:val="24"/>
          <w:szCs w:val="24"/>
        </w:rPr>
      </w:pPr>
    </w:p>
    <w:p w14:paraId="599611A4">
      <w:pPr>
        <w:pStyle w:val="4"/>
        <w:rPr>
          <w:rFonts w:hint="eastAsia" w:ascii="宋体" w:hAnsi="宋体" w:eastAsia="宋体" w:cs="宋体"/>
          <w:b/>
          <w:sz w:val="24"/>
          <w:szCs w:val="24"/>
        </w:rPr>
      </w:pPr>
    </w:p>
    <w:p w14:paraId="585E1D9E">
      <w:pPr>
        <w:pStyle w:val="4"/>
        <w:rPr>
          <w:rFonts w:hint="eastAsia" w:ascii="宋体" w:hAnsi="宋体" w:eastAsia="宋体" w:cs="宋体"/>
          <w:b/>
          <w:sz w:val="24"/>
          <w:szCs w:val="24"/>
        </w:rPr>
      </w:pPr>
    </w:p>
    <w:p w14:paraId="16C92E98">
      <w:pPr>
        <w:pStyle w:val="4"/>
        <w:rPr>
          <w:rFonts w:hint="eastAsia" w:ascii="宋体" w:hAnsi="宋体" w:eastAsia="宋体" w:cs="宋体"/>
          <w:b/>
          <w:sz w:val="24"/>
          <w:szCs w:val="24"/>
        </w:rPr>
      </w:pPr>
    </w:p>
    <w:p w14:paraId="5C2E20B6">
      <w:pPr>
        <w:spacing w:before="193"/>
        <w:ind w:left="218" w:right="0" w:firstLine="0"/>
        <w:jc w:val="left"/>
        <w:rPr>
          <w:rFonts w:hint="eastAsia" w:ascii="宋体" w:hAnsi="宋体" w:eastAsia="宋体" w:cs="宋体"/>
          <w:sz w:val="24"/>
          <w:szCs w:val="24"/>
        </w:rPr>
      </w:pPr>
      <w:r>
        <w:rPr>
          <w:rFonts w:hint="eastAsia" w:ascii="宋体" w:hAnsi="宋体" w:eastAsia="宋体" w:cs="宋体"/>
          <w:sz w:val="24"/>
          <w:szCs w:val="24"/>
        </w:rPr>
        <w:t>说明：</w:t>
      </w:r>
    </w:p>
    <w:p w14:paraId="0B4C1729">
      <w:pPr>
        <w:spacing w:before="240" w:line="388" w:lineRule="auto"/>
        <w:ind w:left="218" w:right="585" w:firstLine="0"/>
        <w:jc w:val="left"/>
        <w:rPr>
          <w:rFonts w:hint="eastAsia" w:ascii="宋体" w:hAnsi="宋体" w:eastAsia="宋体" w:cs="宋体"/>
          <w:sz w:val="24"/>
          <w:szCs w:val="24"/>
        </w:rPr>
      </w:pPr>
      <w:r>
        <w:rPr>
          <w:rFonts w:hint="eastAsia" w:ascii="宋体" w:hAnsi="宋体" w:eastAsia="宋体" w:cs="宋体"/>
          <w:sz w:val="24"/>
          <w:szCs w:val="24"/>
        </w:rPr>
        <w:t>本清单应列明附送备品备件的名称、数量、原产地及单价（如有）。本清单应列明附送专用工具的名称、数量、原产地及单价（如有）。</w:t>
      </w:r>
    </w:p>
    <w:p w14:paraId="2E70301B">
      <w:pPr>
        <w:spacing w:after="0" w:line="388" w:lineRule="auto"/>
        <w:jc w:val="left"/>
        <w:rPr>
          <w:rFonts w:hint="eastAsia" w:ascii="宋体" w:hAnsi="宋体" w:eastAsia="宋体" w:cs="宋体"/>
          <w:sz w:val="24"/>
          <w:szCs w:val="24"/>
        </w:rPr>
        <w:sectPr>
          <w:pgSz w:w="11910" w:h="16840"/>
          <w:pgMar w:top="1180" w:right="900" w:bottom="1160" w:left="1200" w:header="0" w:footer="975" w:gutter="0"/>
          <w:cols w:space="720" w:num="1"/>
        </w:sectPr>
      </w:pPr>
    </w:p>
    <w:p w14:paraId="4787AECE">
      <w:pPr>
        <w:spacing w:before="38"/>
        <w:ind w:left="3465" w:right="0" w:firstLine="0"/>
        <w:jc w:val="left"/>
        <w:rPr>
          <w:rFonts w:hint="eastAsia" w:ascii="宋体" w:hAnsi="宋体" w:eastAsia="宋体" w:cs="宋体"/>
          <w:b/>
          <w:sz w:val="24"/>
          <w:szCs w:val="24"/>
        </w:rPr>
      </w:pPr>
      <w:r>
        <w:rPr>
          <w:rFonts w:hint="eastAsia" w:ascii="宋体" w:hAnsi="宋体" w:eastAsia="宋体" w:cs="宋体"/>
          <w:b/>
          <w:sz w:val="24"/>
          <w:szCs w:val="24"/>
        </w:rPr>
        <w:t>十一 、相关证明材料</w:t>
      </w:r>
    </w:p>
    <w:p w14:paraId="36886AEC">
      <w:pPr>
        <w:pStyle w:val="4"/>
        <w:spacing w:before="6"/>
        <w:rPr>
          <w:rFonts w:hint="eastAsia" w:ascii="宋体" w:hAnsi="宋体" w:eastAsia="宋体" w:cs="宋体"/>
          <w:b/>
          <w:sz w:val="24"/>
          <w:szCs w:val="24"/>
        </w:rPr>
      </w:pPr>
    </w:p>
    <w:p w14:paraId="2757166A">
      <w:pPr>
        <w:shd w:val="clear"/>
        <w:spacing w:beforeLines="50" w:afterLines="50" w:line="480" w:lineRule="auto"/>
        <w:jc w:val="center"/>
        <w:rPr>
          <w:color w:val="000000" w:themeColor="text1"/>
          <w:highlight w:val="none"/>
          <w14:textFill>
            <w14:solidFill>
              <w14:schemeClr w14:val="tx1"/>
            </w14:solidFill>
          </w14:textFill>
        </w:rPr>
      </w:pPr>
      <w:bookmarkStart w:id="224" w:name="1、我公司承诺独立制作、修改和上传磋商响应文件，并承担因“硬件特征码一致”所造成"/>
      <w:bookmarkEnd w:id="224"/>
      <w:r>
        <w:rPr>
          <w:rFonts w:hint="eastAsia" w:ascii="宋体" w:hAnsi="宋体"/>
          <w:b/>
          <w:bCs/>
          <w:color w:val="000000" w:themeColor="text1"/>
          <w:highlight w:val="none"/>
          <w14:textFill>
            <w14:solidFill>
              <w14:schemeClr w14:val="tx1"/>
            </w14:solidFill>
          </w14:textFill>
        </w:rPr>
        <w:t>1</w:t>
      </w:r>
      <w:r>
        <w:rPr>
          <w:rFonts w:hint="eastAsia" w:ascii="宋体" w:hAnsi="宋体"/>
          <w:b/>
          <w:bCs/>
          <w:color w:val="000000" w:themeColor="text1"/>
          <w:sz w:val="28"/>
          <w:szCs w:val="28"/>
          <w:highlight w:val="none"/>
          <w14:textFill>
            <w14:solidFill>
              <w14:schemeClr w14:val="tx1"/>
            </w14:solidFill>
          </w14:textFill>
        </w:rPr>
        <w:t>、 声明函</w:t>
      </w:r>
    </w:p>
    <w:p w14:paraId="73FD7965">
      <w:pPr>
        <w:shd w:val="clear"/>
        <w:spacing w:beforeLines="50" w:afterLines="50" w:line="480" w:lineRule="auto"/>
        <w:ind w:firstLine="630" w:firstLineChars="300"/>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ab/>
      </w:r>
      <w:r>
        <w:rPr>
          <w:rFonts w:hint="eastAsia"/>
          <w:color w:val="000000" w:themeColor="text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（项目名称），我公司具有独立承担民事责任的能力,具有履行合同所必需的设备和专业技术能力及法律、行政法规规定的其他条件 。</w:t>
      </w:r>
    </w:p>
    <w:p w14:paraId="58C23C0E">
      <w:pPr>
        <w:shd w:val="clear"/>
        <w:spacing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p w14:paraId="72B87BBB">
      <w:pPr>
        <w:shd w:val="clear"/>
        <w:rPr>
          <w:color w:val="000000" w:themeColor="text1"/>
          <w:highlight w:val="none"/>
          <w14:textFill>
            <w14:solidFill>
              <w14:schemeClr w14:val="tx1"/>
            </w14:solidFill>
          </w14:textFill>
        </w:rPr>
      </w:pPr>
    </w:p>
    <w:p w14:paraId="2FE90AA4">
      <w:pPr>
        <w:shd w:val="clear"/>
        <w:spacing w:line="360" w:lineRule="exact"/>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w:t>
      </w:r>
      <w:r>
        <w:rPr>
          <w:rFonts w:hint="eastAsia" w:ascii="宋体"/>
          <w:color w:val="000000" w:themeColor="text1"/>
          <w:szCs w:val="21"/>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单位章</w:t>
      </w:r>
      <w:r>
        <w:rPr>
          <w:rFonts w:hint="eastAsia" w:ascii="宋体" w:hAnsi="宋体"/>
          <w:color w:val="000000" w:themeColor="text1"/>
          <w:highlight w:val="none"/>
          <w14:textFill>
            <w14:solidFill>
              <w14:schemeClr w14:val="tx1"/>
            </w14:solidFill>
          </w14:textFill>
        </w:rPr>
        <w:t>）</w:t>
      </w:r>
    </w:p>
    <w:p w14:paraId="6F20FEBE">
      <w:pPr>
        <w:pStyle w:val="34"/>
        <w:shd w:val="clear"/>
        <w:rPr>
          <w:color w:val="000000" w:themeColor="text1"/>
          <w:highlight w:val="none"/>
          <w14:textFill>
            <w14:solidFill>
              <w14:schemeClr w14:val="tx1"/>
            </w14:solidFill>
          </w14:textFill>
        </w:rPr>
      </w:pPr>
    </w:p>
    <w:p w14:paraId="517BC9E9">
      <w:pPr>
        <w:shd w:val="clear"/>
        <w:spacing w:line="360" w:lineRule="exact"/>
        <w:jc w:val="righ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法定代表人</w:t>
      </w:r>
      <w:r>
        <w:rPr>
          <w:rFonts w:hint="eastAsia" w:ascii="宋体" w:hAnsi="宋体"/>
          <w:color w:val="000000" w:themeColor="text1"/>
          <w:highlight w:val="none"/>
          <w:lang w:eastAsia="zh-CN"/>
          <w14:textFill>
            <w14:solidFill>
              <w14:schemeClr w14:val="tx1"/>
            </w14:solidFill>
          </w14:textFill>
        </w:rPr>
        <w:t>或</w:t>
      </w:r>
      <w:r>
        <w:rPr>
          <w:rFonts w:hint="eastAsia" w:ascii="宋体" w:hAnsi="宋体"/>
          <w:color w:val="000000" w:themeColor="text1"/>
          <w:highlight w:val="none"/>
          <w14:textFill>
            <w14:solidFill>
              <w14:schemeClr w14:val="tx1"/>
            </w14:solidFill>
          </w14:textFill>
        </w:rPr>
        <w:t>委托代理人：</w:t>
      </w:r>
      <w:r>
        <w:rPr>
          <w:rFonts w:hint="eastAsia" w:ascii="宋体"/>
          <w:color w:val="000000" w:themeColor="text1"/>
          <w:szCs w:val="21"/>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签字或盖章</w:t>
      </w:r>
      <w:r>
        <w:rPr>
          <w:rFonts w:hint="eastAsia" w:ascii="宋体" w:hAnsi="宋体"/>
          <w:color w:val="000000" w:themeColor="text1"/>
          <w:highlight w:val="none"/>
          <w14:textFill>
            <w14:solidFill>
              <w14:schemeClr w14:val="tx1"/>
            </w14:solidFill>
          </w14:textFill>
        </w:rPr>
        <w:t>）</w:t>
      </w:r>
    </w:p>
    <w:p w14:paraId="0BB0186D">
      <w:pPr>
        <w:pStyle w:val="34"/>
        <w:shd w:val="clear"/>
        <w:jc w:val="right"/>
        <w:rPr>
          <w:rFonts w:hint="eastAsia"/>
          <w:color w:val="000000" w:themeColor="text1"/>
          <w:highlight w:val="none"/>
          <w:u w:val="single"/>
          <w:shd w:val="clear" w:color="auto" w:fill="FFFFFF" w:themeFill="background1"/>
          <w14:textFill>
            <w14:solidFill>
              <w14:schemeClr w14:val="tx1"/>
            </w14:solidFill>
          </w14:textFill>
        </w:rPr>
      </w:pPr>
    </w:p>
    <w:p w14:paraId="42B60F63">
      <w:pPr>
        <w:pStyle w:val="34"/>
        <w:shd w:val="clear"/>
        <w:jc w:val="right"/>
        <w:rPr>
          <w:rFonts w:hint="eastAsia"/>
          <w:color w:val="000000" w:themeColor="text1"/>
          <w:highlight w:val="none"/>
          <w:shd w:val="clear" w:color="auto" w:fill="FFFFFF" w:themeFill="background1"/>
          <w14:textFill>
            <w14:solidFill>
              <w14:schemeClr w14:val="tx1"/>
            </w14:solidFill>
          </w14:textFill>
        </w:rPr>
      </w:pP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 xml:space="preserve">年 </w:t>
      </w: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月</w:t>
      </w: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日</w:t>
      </w:r>
    </w:p>
    <w:p w14:paraId="152EA45D">
      <w:pPr>
        <w:pStyle w:val="34"/>
        <w:shd w:val="clear"/>
        <w:rPr>
          <w:rFonts w:hint="eastAsia"/>
          <w:color w:val="000000" w:themeColor="text1"/>
          <w:highlight w:val="none"/>
          <w:shd w:val="clear" w:color="auto" w:fill="FFFFFF" w:themeFill="background1"/>
          <w14:textFill>
            <w14:solidFill>
              <w14:schemeClr w14:val="tx1"/>
            </w14:solidFill>
          </w14:textFill>
        </w:rPr>
      </w:pPr>
    </w:p>
    <w:p w14:paraId="3A2D60AD">
      <w:pPr>
        <w:pStyle w:val="39"/>
        <w:rPr>
          <w:rFonts w:hint="eastAsia"/>
          <w:color w:val="000000" w:themeColor="text1"/>
          <w14:textFill>
            <w14:solidFill>
              <w14:schemeClr w14:val="tx1"/>
            </w14:solidFill>
          </w14:textFill>
        </w:rPr>
      </w:pPr>
    </w:p>
    <w:p w14:paraId="64D30298">
      <w:pPr>
        <w:pStyle w:val="7"/>
        <w:shd w:val="clear"/>
        <w:ind w:left="0" w:leftChars="0" w:firstLine="0" w:firstLineChars="0"/>
        <w:rPr>
          <w:color w:val="000000" w:themeColor="text1"/>
          <w:highlight w:val="none"/>
          <w:shd w:val="clear" w:color="auto" w:fill="FFFFFF" w:themeFill="background1"/>
          <w14:textFill>
            <w14:solidFill>
              <w14:schemeClr w14:val="tx1"/>
            </w14:solidFill>
          </w14:textFill>
        </w:rPr>
      </w:pPr>
      <w:r>
        <w:rPr>
          <w:rFonts w:hint="eastAsia" w:hAnsi="宋体"/>
          <w:color w:val="000000" w:themeColor="text1"/>
          <w:sz w:val="28"/>
          <w:szCs w:val="28"/>
          <w:highlight w:val="none"/>
          <w:lang w:val="en-US" w:eastAsia="zh-CN"/>
          <w14:textFill>
            <w14:solidFill>
              <w14:schemeClr w14:val="tx1"/>
            </w14:solidFill>
          </w14:textFill>
        </w:rPr>
        <w:t>2</w:t>
      </w:r>
      <w:r>
        <w:rPr>
          <w:rFonts w:hint="eastAsia" w:hAnsi="宋体"/>
          <w:color w:val="000000" w:themeColor="text1"/>
          <w:sz w:val="28"/>
          <w:szCs w:val="28"/>
          <w:highlight w:val="none"/>
          <w14:textFill>
            <w14:solidFill>
              <w14:schemeClr w14:val="tx1"/>
            </w14:solidFill>
          </w14:textFill>
        </w:rPr>
        <w:t>、</w:t>
      </w:r>
      <w:r>
        <w:rPr>
          <w:rFonts w:hint="eastAsia" w:ascii="黑体" w:hAnsi="黑体"/>
          <w:color w:val="000000" w:themeColor="text1"/>
          <w:sz w:val="28"/>
          <w:szCs w:val="28"/>
          <w:highlight w:val="none"/>
          <w:shd w:val="clear" w:color="auto" w:fill="FFFFFF" w:themeFill="background1"/>
          <w14:textFill>
            <w14:solidFill>
              <w14:schemeClr w14:val="tx1"/>
            </w14:solidFill>
          </w14:textFill>
        </w:rPr>
        <w:t>参加政府采购活动前三年内，在经营活动中没有重大违法记录声明</w:t>
      </w:r>
      <w:r>
        <w:rPr>
          <w:color w:val="000000" w:themeColor="text1"/>
          <w:highlight w:val="none"/>
          <w:shd w:val="clear" w:color="auto" w:fill="FFFFFF" w:themeFill="background1"/>
          <w14:textFill>
            <w14:solidFill>
              <w14:schemeClr w14:val="tx1"/>
            </w14:solidFill>
          </w14:textFill>
        </w:rPr>
        <w:t xml:space="preserve"> </w:t>
      </w:r>
    </w:p>
    <w:p w14:paraId="408CF0C5">
      <w:pPr>
        <w:pStyle w:val="7"/>
        <w:shd w:val="clear"/>
        <w:jc w:val="left"/>
        <w:rPr>
          <w:rFonts w:hAnsi="宋体"/>
          <w:color w:val="000000" w:themeColor="text1"/>
          <w:sz w:val="21"/>
          <w:szCs w:val="21"/>
          <w:highlight w:val="none"/>
          <w:shd w:val="clear" w:color="auto" w:fill="FFFFFF" w:themeFill="background1"/>
          <w14:textFill>
            <w14:solidFill>
              <w14:schemeClr w14:val="tx1"/>
            </w14:solidFill>
          </w14:textFill>
        </w:rPr>
      </w:pPr>
      <w:r>
        <w:rPr>
          <w:rFonts w:hint="eastAsia" w:ascii="宋体" w:hAnsi="宋体"/>
          <w:b w:val="0"/>
          <w:bCs w:val="0"/>
          <w:color w:val="000000" w:themeColor="text1"/>
          <w:sz w:val="24"/>
          <w:szCs w:val="24"/>
          <w:highlight w:val="none"/>
          <w:u w:val="single"/>
          <w:shd w:val="clear" w:color="auto" w:fill="FFFFFF" w:themeFill="background1"/>
          <w14:textFill>
            <w14:solidFill>
              <w14:schemeClr w14:val="tx1"/>
            </w14:solidFill>
          </w14:textFill>
        </w:rPr>
        <w:t>（</w:t>
      </w:r>
      <w:r>
        <w:rPr>
          <w:rFonts w:hint="eastAsia" w:ascii="宋体" w:hAnsi="宋体"/>
          <w:b w:val="0"/>
          <w:bCs w:val="0"/>
          <w:color w:val="000000" w:themeColor="text1"/>
          <w:sz w:val="24"/>
          <w:szCs w:val="24"/>
          <w:highlight w:val="none"/>
          <w:u w:val="single"/>
          <w:shd w:val="clear" w:color="auto" w:fill="FFFFFF" w:themeFill="background1"/>
          <w:lang w:eastAsia="zh-CN"/>
          <w14:textFill>
            <w14:solidFill>
              <w14:schemeClr w14:val="tx1"/>
            </w14:solidFill>
          </w14:textFill>
        </w:rPr>
        <w:t>采购</w:t>
      </w:r>
      <w:r>
        <w:rPr>
          <w:rFonts w:hint="eastAsia" w:ascii="宋体" w:hAnsi="宋体"/>
          <w:b w:val="0"/>
          <w:bCs w:val="0"/>
          <w:color w:val="000000" w:themeColor="text1"/>
          <w:sz w:val="24"/>
          <w:szCs w:val="24"/>
          <w:highlight w:val="none"/>
          <w:u w:val="single"/>
          <w:shd w:val="clear" w:color="auto" w:fill="FFFFFF" w:themeFill="background1"/>
          <w14:textFill>
            <w14:solidFill>
              <w14:schemeClr w14:val="tx1"/>
            </w14:solidFill>
          </w14:textFill>
        </w:rPr>
        <w:t>人）         ：</w:t>
      </w:r>
    </w:p>
    <w:p w14:paraId="59C8F51A">
      <w:pPr>
        <w:shd w:val="clear"/>
        <w:autoSpaceDE w:val="0"/>
        <w:autoSpaceDN w:val="0"/>
        <w:spacing w:line="360" w:lineRule="auto"/>
        <w:ind w:firstLine="464" w:firstLineChars="221"/>
        <w:rPr>
          <w:rFonts w:ascii="宋体"/>
          <w:color w:val="000000" w:themeColor="text1"/>
          <w:highlight w:val="none"/>
          <w:shd w:val="clear" w:color="auto" w:fill="FFFFFF" w:themeFill="background1"/>
          <w14:textFill>
            <w14:solidFill>
              <w14:schemeClr w14:val="tx1"/>
            </w14:solidFill>
          </w14:textFill>
        </w:rPr>
      </w:pPr>
      <w:r>
        <w:rPr>
          <w:rFonts w:hint="eastAsia" w:ascii="宋体" w:hAnsi="宋体"/>
          <w:color w:val="000000" w:themeColor="text1"/>
          <w:highlight w:val="none"/>
          <w:shd w:val="clear" w:color="auto" w:fill="FFFFFF" w:themeFill="background1"/>
          <w14:textFill>
            <w14:solidFill>
              <w14:schemeClr w14:val="tx1"/>
            </w14:solidFill>
          </w14:textFill>
        </w:rPr>
        <w:t>我公司在此声明</w:t>
      </w:r>
      <w:r>
        <w:rPr>
          <w:rFonts w:hint="eastAsia" w:ascii="宋体" w:hAnsi="宋体"/>
          <w:b/>
          <w:bCs/>
          <w:color w:val="000000" w:themeColor="text1"/>
          <w:highlight w:val="none"/>
          <w:shd w:val="clear" w:color="auto" w:fill="FFFFFF" w:themeFill="background1"/>
          <w14:textFill>
            <w14:solidFill>
              <w14:schemeClr w14:val="tx1"/>
            </w14:solidFill>
          </w14:textFill>
        </w:rPr>
        <w:t>：</w:t>
      </w:r>
      <w:r>
        <w:rPr>
          <w:rFonts w:hint="eastAsia" w:ascii="黑体" w:hAnsi="黑体"/>
          <w:color w:val="000000" w:themeColor="text1"/>
          <w:highlight w:val="none"/>
          <w:shd w:val="clear" w:color="auto" w:fill="FFFFFF" w:themeFill="background1"/>
          <w14:textFill>
            <w14:solidFill>
              <w14:schemeClr w14:val="tx1"/>
            </w14:solidFill>
          </w14:textFill>
        </w:rPr>
        <w:t>参加政府采购活动前三年内，在经营活动中没有重大违法记录</w:t>
      </w:r>
      <w:r>
        <w:rPr>
          <w:rFonts w:hint="eastAsia" w:ascii="宋体" w:hAnsi="宋体"/>
          <w:color w:val="000000" w:themeColor="text1"/>
          <w:highlight w:val="none"/>
          <w:shd w:val="clear" w:color="auto" w:fill="FFFFFF" w:themeFill="background1"/>
          <w14:textFill>
            <w14:solidFill>
              <w14:schemeClr w14:val="tx1"/>
            </w14:solidFill>
          </w14:textFill>
        </w:rPr>
        <w:t>。如有不实，自愿放弃投标资格并愿意承担因我方就此弄虚作假所引起的一切法律后果。</w:t>
      </w:r>
    </w:p>
    <w:p w14:paraId="058CD647">
      <w:pPr>
        <w:shd w:val="clear"/>
        <w:autoSpaceDE w:val="0"/>
        <w:autoSpaceDN w:val="0"/>
        <w:spacing w:line="360" w:lineRule="auto"/>
        <w:ind w:firstLine="480"/>
        <w:rPr>
          <w:rFonts w:hAnsi="宋体"/>
          <w:color w:val="000000" w:themeColor="text1"/>
          <w:highlight w:val="none"/>
          <w:shd w:val="clear" w:color="auto" w:fill="FFFFFF" w:themeFill="background1"/>
          <w14:textFill>
            <w14:solidFill>
              <w14:schemeClr w14:val="tx1"/>
            </w14:solidFill>
          </w14:textFill>
        </w:rPr>
      </w:pPr>
      <w:r>
        <w:rPr>
          <w:rFonts w:hint="eastAsia" w:ascii="宋体"/>
          <w:color w:val="000000" w:themeColor="text1"/>
          <w:sz w:val="24"/>
          <w:szCs w:val="24"/>
          <w:highlight w:val="none"/>
          <w:shd w:val="clear" w:color="auto" w:fill="FFFFFF" w:themeFill="background1"/>
          <w14:textFill>
            <w14:solidFill>
              <w14:schemeClr w14:val="tx1"/>
            </w14:solidFill>
          </w14:textFill>
        </w:rPr>
        <w:t xml:space="preserve"> </w:t>
      </w:r>
    </w:p>
    <w:p w14:paraId="7A165A81">
      <w:pPr>
        <w:shd w:val="clear"/>
        <w:autoSpaceDE w:val="0"/>
        <w:autoSpaceDN w:val="0"/>
        <w:spacing w:line="360" w:lineRule="auto"/>
        <w:rPr>
          <w:rFonts w:ascii="宋体"/>
          <w:color w:val="000000" w:themeColor="text1"/>
          <w:sz w:val="24"/>
          <w:szCs w:val="24"/>
          <w:highlight w:val="none"/>
          <w:shd w:val="clear" w:color="auto" w:fill="FFFFFF" w:themeFill="background1"/>
          <w14:textFill>
            <w14:solidFill>
              <w14:schemeClr w14:val="tx1"/>
            </w14:solidFill>
          </w14:textFill>
        </w:rPr>
      </w:pPr>
      <w:r>
        <w:rPr>
          <w:rFonts w:hint="eastAsia" w:ascii="宋体"/>
          <w:color w:val="000000" w:themeColor="text1"/>
          <w:sz w:val="24"/>
          <w:szCs w:val="24"/>
          <w:highlight w:val="none"/>
          <w:shd w:val="clear" w:color="auto" w:fill="FFFFFF" w:themeFill="background1"/>
          <w14:textFill>
            <w14:solidFill>
              <w14:schemeClr w14:val="tx1"/>
            </w14:solidFill>
          </w14:textFill>
        </w:rPr>
        <w:t xml:space="preserve"> </w:t>
      </w:r>
    </w:p>
    <w:p w14:paraId="232DED5C">
      <w:pPr>
        <w:shd w:val="clear"/>
        <w:spacing w:line="360" w:lineRule="exact"/>
        <w:jc w:val="center"/>
        <w:rPr>
          <w:rFonts w:ascii="宋体"/>
          <w:color w:val="000000" w:themeColor="text1"/>
          <w:highlight w:val="none"/>
          <w:shd w:val="clear" w:color="auto" w:fill="FFFFFF" w:themeFill="background1"/>
          <w14:textFill>
            <w14:solidFill>
              <w14:schemeClr w14:val="tx1"/>
            </w14:solidFill>
          </w14:textFill>
        </w:rPr>
      </w:pPr>
      <w:r>
        <w:rPr>
          <w:rFonts w:hint="eastAsia" w:ascii="宋体" w:hAnsi="宋体"/>
          <w:color w:val="000000" w:themeColor="text1"/>
          <w:highlight w:val="none"/>
          <w:shd w:val="clear" w:color="auto" w:fill="FFFFFF" w:themeFill="background1"/>
          <w14:textFill>
            <w14:solidFill>
              <w14:schemeClr w14:val="tx1"/>
            </w14:solidFill>
          </w14:textFill>
        </w:rPr>
        <w:t xml:space="preserve">                        供应商：</w:t>
      </w:r>
      <w:r>
        <w:rPr>
          <w:rFonts w:hint="eastAsia" w:ascii="宋体" w:hAnsi="宋体"/>
          <w:color w:val="000000" w:themeColor="text1"/>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highlight w:val="none"/>
          <w:shd w:val="clear" w:color="auto" w:fill="FFFFFF" w:themeFill="background1"/>
          <w14:textFill>
            <w14:solidFill>
              <w14:schemeClr w14:val="tx1"/>
            </w14:solidFill>
          </w14:textFill>
        </w:rPr>
        <w:t xml:space="preserve"> （</w:t>
      </w:r>
      <w:r>
        <w:rPr>
          <w:rFonts w:hint="eastAsia" w:ascii="宋体" w:hAnsi="宋体"/>
          <w:color w:val="000000" w:themeColor="text1"/>
          <w:highlight w:val="none"/>
          <w:shd w:val="clear" w:color="auto" w:fill="FFFFFF" w:themeFill="background1"/>
          <w:lang w:eastAsia="zh-CN"/>
          <w14:textFill>
            <w14:solidFill>
              <w14:schemeClr w14:val="tx1"/>
            </w14:solidFill>
          </w14:textFill>
        </w:rPr>
        <w:t>单位章</w:t>
      </w:r>
      <w:r>
        <w:rPr>
          <w:rFonts w:hint="eastAsia" w:ascii="宋体" w:hAnsi="宋体"/>
          <w:color w:val="000000" w:themeColor="text1"/>
          <w:highlight w:val="none"/>
          <w:shd w:val="clear" w:color="auto" w:fill="FFFFFF" w:themeFill="background1"/>
          <w14:textFill>
            <w14:solidFill>
              <w14:schemeClr w14:val="tx1"/>
            </w14:solidFill>
          </w14:textFill>
        </w:rPr>
        <w:t>）</w:t>
      </w:r>
    </w:p>
    <w:p w14:paraId="20B9C0C5">
      <w:pPr>
        <w:pStyle w:val="34"/>
        <w:shd w:val="clear"/>
        <w:rPr>
          <w:color w:val="000000" w:themeColor="text1"/>
          <w:highlight w:val="none"/>
          <w:shd w:val="clear" w:color="auto" w:fill="FFFFFF" w:themeFill="background1"/>
          <w14:textFill>
            <w14:solidFill>
              <w14:schemeClr w14:val="tx1"/>
            </w14:solidFill>
          </w14:textFill>
        </w:rPr>
      </w:pPr>
      <w:r>
        <w:rPr>
          <w:rFonts w:hint="eastAsia"/>
          <w:color w:val="000000" w:themeColor="text1"/>
          <w:highlight w:val="none"/>
          <w:shd w:val="clear" w:color="auto" w:fill="FFFFFF" w:themeFill="background1"/>
          <w14:textFill>
            <w14:solidFill>
              <w14:schemeClr w14:val="tx1"/>
            </w14:solidFill>
          </w14:textFill>
        </w:rPr>
        <w:t xml:space="preserve"> </w:t>
      </w:r>
    </w:p>
    <w:p w14:paraId="5AC17770">
      <w:pPr>
        <w:shd w:val="clear"/>
        <w:spacing w:line="360" w:lineRule="exact"/>
        <w:jc w:val="left"/>
        <w:rPr>
          <w:rFonts w:ascii="宋体"/>
          <w:color w:val="000000" w:themeColor="text1"/>
          <w:highlight w:val="none"/>
          <w:shd w:val="clear" w:color="auto" w:fill="FFFFFF" w:themeFill="background1"/>
          <w14:textFill>
            <w14:solidFill>
              <w14:schemeClr w14:val="tx1"/>
            </w14:solidFill>
          </w14:textFill>
        </w:rPr>
      </w:pPr>
      <w:r>
        <w:rPr>
          <w:rFonts w:hint="eastAsia" w:ascii="宋体" w:hAnsi="宋体"/>
          <w:color w:val="000000" w:themeColor="text1"/>
          <w:highlight w:val="none"/>
          <w:shd w:val="clear" w:color="auto" w:fill="FFFFFF" w:themeFill="background1"/>
          <w14:textFill>
            <w14:solidFill>
              <w14:schemeClr w14:val="tx1"/>
            </w14:solidFill>
          </w14:textFill>
        </w:rPr>
        <w:t xml:space="preserve">                                 </w:t>
      </w:r>
      <w:r>
        <w:rPr>
          <w:rFonts w:hint="eastAsia" w:ascii="宋体" w:hAnsi="宋体"/>
          <w:color w:val="auto"/>
          <w:highlight w:val="none"/>
          <w:shd w:val="clear" w:color="auto" w:fill="FFFFFF" w:themeFill="background1"/>
        </w:rPr>
        <w:t xml:space="preserve"> </w:t>
      </w:r>
      <w:r>
        <w:rPr>
          <w:rFonts w:hint="eastAsia" w:ascii="宋体" w:hAnsi="宋体"/>
          <w:color w:val="auto"/>
          <w:highlight w:val="none"/>
        </w:rPr>
        <w:t xml:space="preserve"> 法定代表人</w:t>
      </w:r>
      <w:r>
        <w:rPr>
          <w:rFonts w:hint="eastAsia" w:ascii="宋体" w:hAnsi="宋体"/>
          <w:color w:val="auto"/>
          <w:highlight w:val="none"/>
          <w:lang w:eastAsia="zh-CN"/>
        </w:rPr>
        <w:t>或</w:t>
      </w:r>
      <w:r>
        <w:rPr>
          <w:rFonts w:hint="eastAsia" w:ascii="宋体" w:hAnsi="宋体"/>
          <w:color w:val="auto"/>
          <w:highlight w:val="none"/>
        </w:rPr>
        <w:t>委托代理人：</w:t>
      </w:r>
      <w:r>
        <w:rPr>
          <w:rFonts w:hint="eastAsia" w:ascii="宋体" w:hAnsi="宋体"/>
          <w:color w:val="auto"/>
          <w:highlight w:val="none"/>
          <w:shd w:val="clear" w:color="auto" w:fill="FFFFFF" w:themeFill="background1"/>
        </w:rPr>
        <w:t xml:space="preserve"> </w:t>
      </w:r>
      <w:r>
        <w:rPr>
          <w:rFonts w:hint="eastAsia" w:ascii="宋体" w:hAnsi="宋体"/>
          <w:color w:val="auto"/>
          <w:highlight w:val="none"/>
          <w:u w:val="single"/>
          <w:shd w:val="clear" w:color="auto" w:fill="FFFFFF" w:themeFill="background1"/>
        </w:rPr>
        <w:t xml:space="preserve"> </w:t>
      </w:r>
      <w:r>
        <w:rPr>
          <w:rFonts w:hint="eastAsia" w:ascii="宋体" w:hAnsi="宋体"/>
          <w:color w:val="000000" w:themeColor="text1"/>
          <w:highlight w:val="none"/>
          <w:u w:val="single"/>
          <w:shd w:val="clear" w:color="auto" w:fill="FFFFFF" w:themeFill="background1"/>
          <w14:textFill>
            <w14:solidFill>
              <w14:schemeClr w14:val="tx1"/>
            </w14:solidFill>
          </w14:textFill>
        </w:rPr>
        <w:t xml:space="preserve">              </w:t>
      </w:r>
      <w:r>
        <w:rPr>
          <w:rFonts w:hint="eastAsia" w:ascii="宋体" w:hAnsi="宋体"/>
          <w:color w:val="000000" w:themeColor="text1"/>
          <w:highlight w:val="none"/>
          <w:shd w:val="clear" w:color="auto" w:fill="FFFFFF" w:themeFill="background1"/>
          <w14:textFill>
            <w14:solidFill>
              <w14:schemeClr w14:val="tx1"/>
            </w14:solidFill>
          </w14:textFill>
        </w:rPr>
        <w:t>（</w:t>
      </w:r>
      <w:r>
        <w:rPr>
          <w:rFonts w:hint="eastAsia" w:ascii="宋体" w:hAnsi="宋体"/>
          <w:color w:val="000000" w:themeColor="text1"/>
          <w:highlight w:val="none"/>
          <w:shd w:val="clear" w:color="auto" w:fill="FFFFFF" w:themeFill="background1"/>
          <w:lang w:eastAsia="zh-CN"/>
          <w14:textFill>
            <w14:solidFill>
              <w14:schemeClr w14:val="tx1"/>
            </w14:solidFill>
          </w14:textFill>
        </w:rPr>
        <w:t>签字或盖章</w:t>
      </w:r>
      <w:r>
        <w:rPr>
          <w:rFonts w:hint="eastAsia" w:ascii="宋体" w:hAnsi="宋体"/>
          <w:color w:val="000000" w:themeColor="text1"/>
          <w:highlight w:val="none"/>
          <w:shd w:val="clear" w:color="auto" w:fill="FFFFFF" w:themeFill="background1"/>
          <w14:textFill>
            <w14:solidFill>
              <w14:schemeClr w14:val="tx1"/>
            </w14:solidFill>
          </w14:textFill>
        </w:rPr>
        <w:t>）</w:t>
      </w:r>
    </w:p>
    <w:p w14:paraId="6D1CD176">
      <w:pPr>
        <w:shd w:val="clear"/>
        <w:spacing w:line="360" w:lineRule="auto"/>
        <w:ind w:firstLine="420" w:firstLineChars="200"/>
        <w:jc w:val="center"/>
        <w:rPr>
          <w:rFonts w:ascii="宋体"/>
          <w:color w:val="000000" w:themeColor="text1"/>
          <w:highlight w:val="none"/>
          <w:shd w:val="clear" w:color="auto" w:fill="FFFFFF" w:themeFill="background1"/>
          <w14:textFill>
            <w14:solidFill>
              <w14:schemeClr w14:val="tx1"/>
            </w14:solidFill>
          </w14:textFill>
        </w:rPr>
      </w:pPr>
      <w:r>
        <w:rPr>
          <w:rFonts w:hint="eastAsia" w:ascii="宋体"/>
          <w:color w:val="000000" w:themeColor="text1"/>
          <w:highlight w:val="none"/>
          <w:shd w:val="clear" w:color="auto" w:fill="FFFFFF" w:themeFill="background1"/>
          <w14:textFill>
            <w14:solidFill>
              <w14:schemeClr w14:val="tx1"/>
            </w14:solidFill>
          </w14:textFill>
        </w:rPr>
        <w:t xml:space="preserve"> </w:t>
      </w:r>
    </w:p>
    <w:p w14:paraId="5F443EAA">
      <w:pPr>
        <w:shd w:val="clear"/>
        <w:spacing w:line="360" w:lineRule="auto"/>
        <w:jc w:val="center"/>
        <w:rPr>
          <w:rFonts w:ascii="宋体"/>
          <w:color w:val="000000" w:themeColor="text1"/>
          <w:highlight w:val="none"/>
          <w:shd w:val="clear" w:color="auto" w:fill="FFFFFF" w:themeFill="background1"/>
          <w14:textFill>
            <w14:solidFill>
              <w14:schemeClr w14:val="tx1"/>
            </w14:solidFill>
          </w14:textFill>
        </w:rPr>
      </w:pPr>
      <w:r>
        <w:rPr>
          <w:rFonts w:hint="eastAsia" w:ascii="宋体" w:hAnsi="宋体"/>
          <w:color w:val="000000" w:themeColor="text1"/>
          <w:highlight w:val="none"/>
          <w:shd w:val="clear" w:color="auto" w:fill="FFFFFF" w:themeFill="background1"/>
          <w14:textFill>
            <w14:solidFill>
              <w14:schemeClr w14:val="tx1"/>
            </w14:solidFill>
          </w14:textFill>
        </w:rPr>
        <w:t xml:space="preserve">                                          </w:t>
      </w: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 xml:space="preserve">年 </w:t>
      </w: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月</w:t>
      </w:r>
      <w:r>
        <w:rPr>
          <w:rFonts w:hint="eastAsia"/>
          <w:color w:val="000000" w:themeColor="text1"/>
          <w:highlight w:val="none"/>
          <w:u w:val="single"/>
          <w:shd w:val="clear" w:color="auto" w:fill="FFFFFF" w:themeFill="background1"/>
          <w14:textFill>
            <w14:solidFill>
              <w14:schemeClr w14:val="tx1"/>
            </w14:solidFill>
          </w14:textFill>
        </w:rPr>
        <w:t xml:space="preserve">     </w:t>
      </w:r>
      <w:r>
        <w:rPr>
          <w:rFonts w:hint="eastAsia"/>
          <w:color w:val="000000" w:themeColor="text1"/>
          <w:highlight w:val="none"/>
          <w:shd w:val="clear" w:color="auto" w:fill="FFFFFF" w:themeFill="background1"/>
          <w14:textFill>
            <w14:solidFill>
              <w14:schemeClr w14:val="tx1"/>
            </w14:solidFill>
          </w14:textFill>
        </w:rPr>
        <w:t>日</w:t>
      </w:r>
    </w:p>
    <w:p w14:paraId="4F26BE4C">
      <w:pPr>
        <w:pStyle w:val="4"/>
        <w:rPr>
          <w:rFonts w:hint="eastAsia" w:ascii="宋体" w:hAnsi="宋体" w:eastAsia="宋体" w:cs="宋体"/>
          <w:sz w:val="24"/>
          <w:szCs w:val="24"/>
        </w:rPr>
      </w:pPr>
    </w:p>
    <w:p w14:paraId="3A94A9FC">
      <w:pPr>
        <w:pStyle w:val="66"/>
        <w:rPr>
          <w:rFonts w:hint="eastAsia" w:ascii="宋体" w:hAnsi="宋体" w:eastAsia="宋体" w:cs="宋体"/>
          <w:color w:val="000000"/>
          <w:sz w:val="24"/>
          <w:szCs w:val="24"/>
          <w:highlight w:val="none"/>
        </w:rPr>
      </w:pPr>
    </w:p>
    <w:p w14:paraId="529824EA">
      <w:pPr>
        <w:tabs>
          <w:tab w:val="left" w:pos="0"/>
        </w:tabs>
        <w:spacing w:line="36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
        </w:rPr>
        <w:t>3</w:t>
      </w:r>
      <w:r>
        <w:rPr>
          <w:rFonts w:hint="eastAsia" w:ascii="宋体" w:hAnsi="宋体" w:eastAsia="宋体" w:cs="宋体"/>
          <w:b/>
          <w:bCs/>
          <w:color w:val="000000"/>
          <w:sz w:val="24"/>
          <w:szCs w:val="24"/>
          <w:highlight w:val="none"/>
          <w:lang w:bidi="ar"/>
        </w:rPr>
        <w:t>、投标人认为的其他材料</w:t>
      </w:r>
      <w:r>
        <w:rPr>
          <w:rFonts w:hint="eastAsia" w:ascii="宋体" w:hAnsi="宋体" w:eastAsia="宋体" w:cs="宋体"/>
          <w:b/>
          <w:bCs/>
          <w:color w:val="000000"/>
          <w:kern w:val="0"/>
          <w:sz w:val="24"/>
          <w:szCs w:val="24"/>
          <w:highlight w:val="none"/>
          <w:lang w:bidi="ar"/>
        </w:rPr>
        <w:t>（以满足</w:t>
      </w:r>
      <w:r>
        <w:rPr>
          <w:rFonts w:hint="eastAsia" w:ascii="宋体" w:hAnsi="宋体" w:eastAsia="宋体" w:cs="宋体"/>
          <w:b/>
          <w:bCs/>
          <w:color w:val="000000"/>
          <w:kern w:val="0"/>
          <w:sz w:val="24"/>
          <w:szCs w:val="24"/>
          <w:highlight w:val="none"/>
          <w:lang w:val="en-US" w:eastAsia="zh-CN" w:bidi="ar"/>
        </w:rPr>
        <w:t>谈判</w:t>
      </w:r>
      <w:r>
        <w:rPr>
          <w:rFonts w:hint="eastAsia" w:ascii="宋体" w:hAnsi="宋体" w:eastAsia="宋体" w:cs="宋体"/>
          <w:b/>
          <w:bCs/>
          <w:color w:val="000000"/>
          <w:spacing w:val="-2"/>
          <w:kern w:val="0"/>
          <w:sz w:val="24"/>
          <w:szCs w:val="24"/>
          <w:highlight w:val="none"/>
          <w:lang w:bidi="ar"/>
        </w:rPr>
        <w:t>文</w:t>
      </w:r>
      <w:r>
        <w:rPr>
          <w:rFonts w:hint="eastAsia" w:ascii="宋体" w:hAnsi="宋体" w:eastAsia="宋体" w:cs="宋体"/>
          <w:b/>
          <w:bCs/>
          <w:color w:val="000000"/>
          <w:kern w:val="0"/>
          <w:sz w:val="24"/>
          <w:szCs w:val="24"/>
          <w:highlight w:val="none"/>
          <w:lang w:bidi="ar"/>
        </w:rPr>
        <w:t>件</w:t>
      </w:r>
      <w:r>
        <w:rPr>
          <w:rFonts w:hint="eastAsia" w:ascii="宋体" w:hAnsi="宋体" w:eastAsia="宋体" w:cs="宋体"/>
          <w:b/>
          <w:bCs/>
          <w:color w:val="000000"/>
          <w:spacing w:val="-2"/>
          <w:kern w:val="0"/>
          <w:sz w:val="24"/>
          <w:szCs w:val="24"/>
          <w:highlight w:val="none"/>
          <w:lang w:bidi="ar"/>
        </w:rPr>
        <w:t>为</w:t>
      </w:r>
      <w:r>
        <w:rPr>
          <w:rFonts w:hint="eastAsia" w:ascii="宋体" w:hAnsi="宋体" w:eastAsia="宋体" w:cs="宋体"/>
          <w:b/>
          <w:bCs/>
          <w:color w:val="000000"/>
          <w:kern w:val="0"/>
          <w:sz w:val="24"/>
          <w:szCs w:val="24"/>
          <w:highlight w:val="none"/>
          <w:lang w:bidi="ar"/>
        </w:rPr>
        <w:t>准）</w:t>
      </w:r>
    </w:p>
    <w:p w14:paraId="1530C925">
      <w:pPr>
        <w:bidi w:val="0"/>
        <w:jc w:val="left"/>
        <w:rPr>
          <w:rFonts w:hint="default"/>
          <w:lang w:val="en-US" w:eastAsia="zh-CN"/>
        </w:rPr>
      </w:pPr>
    </w:p>
    <w:p w14:paraId="53DD54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000000" w:themeColor="text1"/>
          <w:sz w:val="28"/>
          <w:szCs w:val="28"/>
          <w14:textFill>
            <w14:solidFill>
              <w14:schemeClr w14:val="tx1"/>
            </w14:solidFill>
          </w14:textFill>
        </w:rPr>
      </w:pPr>
      <w:r>
        <w:rPr>
          <w:rFonts w:hint="eastAsia"/>
          <w:b/>
          <w:bCs/>
          <w:sz w:val="28"/>
          <w:szCs w:val="28"/>
          <w:lang w:val="en-US" w:eastAsia="zh-CN"/>
        </w:rPr>
        <w:t xml:space="preserve">附件1：                </w:t>
      </w:r>
      <w:r>
        <w:rPr>
          <w:rFonts w:hint="eastAsia"/>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中小企业声明函（货物）</w:t>
      </w:r>
    </w:p>
    <w:p w14:paraId="1D54565B">
      <w:pPr>
        <w:pStyle w:val="37"/>
        <w:ind w:firstLine="560" w:firstLineChars="200"/>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本公司（联合体）郑重声明，根据《政府采购促进中小企业发展管理办法》（财库﹝2020﹞46 号）、《关于进一步加大政府采购支持中小企业力度的通知》（财库〔2022〕19 号）的规定，本公司（联合体）参加（单位名称）的（项目名称）采购活动，提供的货物全部由符合政策要求的中小企业制造。相关企业（含联合体中的中小企业、签订分包意向协议的中小企业） 的具体情况如下：：</w:t>
      </w:r>
    </w:p>
    <w:p w14:paraId="5A138849">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（标的名称）</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（采购文件中明确的所属行业）</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；制造商为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w:t>
      </w:r>
    </w:p>
    <w:p w14:paraId="54C52DA0">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 xml:space="preserve">2. </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 制造商为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8"/>
          <w:szCs w:val="28"/>
          <w:u w:val="single"/>
          <w:lang w:val="en-US" w:eastAsia="zh-CN" w:bidi="ar"/>
          <w14:textFill>
            <w14:solidFill>
              <w14:schemeClr w14:val="tx1"/>
            </w14:solidFill>
          </w14:textFill>
        </w:rPr>
        <w:t xml:space="preserve"> （中型企业、小型企业、微型企业）</w:t>
      </w: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w:t>
      </w:r>
    </w:p>
    <w:p w14:paraId="1C453459">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w:t>
      </w:r>
    </w:p>
    <w:p w14:paraId="3AD73669">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p>
    <w:p w14:paraId="7D4B7DA8">
      <w:pPr>
        <w:pStyle w:val="37"/>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14:paraId="3482BD3A">
      <w:pPr>
        <w:pStyle w:val="37"/>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t>本企业对上述声明内容的真实性负责。如有虚假，将依法承担相应责任。</w:t>
      </w:r>
    </w:p>
    <w:p w14:paraId="33948C2A">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p>
    <w:p w14:paraId="7B2BAF8C">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p>
    <w:p w14:paraId="0FCC33C7">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p>
    <w:p w14:paraId="1129308C">
      <w:pPr>
        <w:pStyle w:val="37"/>
        <w:ind w:firstLine="3920" w:firstLineChars="1400"/>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企业名称（盖章）：</w:t>
      </w:r>
    </w:p>
    <w:p w14:paraId="39CF7199">
      <w:pPr>
        <w:pStyle w:val="37"/>
        <w:ind w:firstLine="3920" w:firstLineChars="1400"/>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t>日 期：</w:t>
      </w:r>
    </w:p>
    <w:p w14:paraId="19A14701">
      <w:pPr>
        <w:pStyle w:val="37"/>
        <w:rPr>
          <w:rFonts w:hint="eastAsia" w:ascii="仿宋" w:hAnsi="仿宋" w:eastAsia="仿宋" w:cs="仿宋"/>
          <w:i w:val="0"/>
          <w:iCs w:val="0"/>
          <w:color w:val="000000" w:themeColor="text1"/>
          <w:kern w:val="0"/>
          <w:sz w:val="28"/>
          <w:szCs w:val="28"/>
          <w:lang w:val="en-US" w:eastAsia="zh-CN" w:bidi="ar"/>
          <w14:textFill>
            <w14:solidFill>
              <w14:schemeClr w14:val="tx1"/>
            </w14:solidFill>
          </w14:textFill>
        </w:rPr>
      </w:pPr>
    </w:p>
    <w:p w14:paraId="3CD05D33">
      <w:pPr>
        <w:pStyle w:val="37"/>
        <w:ind w:firstLine="280" w:firstLineChars="100"/>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t>从业人员、营业收入、资产总额填报上一年度数据，无上一年度数据的新成立企业可不填报。</w:t>
      </w:r>
    </w:p>
    <w:p w14:paraId="22A92595">
      <w:pPr>
        <w:pStyle w:val="37"/>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8"/>
          <w:szCs w:val="28"/>
          <w:highlight w:val="none"/>
          <w:lang w:val="en-US" w:eastAsia="zh-CN" w:bidi="ar"/>
          <w14:textFill>
            <w14:solidFill>
              <w14:schemeClr w14:val="tx1"/>
            </w14:solidFill>
          </w14:textFill>
        </w:rPr>
        <w:t>（注：1、该声明函是有针对性的，非小型、微型企业产品投标时不用填写该声明，但保留该声明函的格式在投标文件中并按要求盖章。2、统计上大中小微型企业划分标准）。</w:t>
      </w:r>
    </w:p>
    <w:p w14:paraId="6D5B9D8B">
      <w:pPr>
        <w:pStyle w:val="37"/>
        <w:rPr>
          <w:rFonts w:hint="eastAsia"/>
          <w:b/>
          <w:bCs/>
          <w:color w:val="000000"/>
          <w:sz w:val="30"/>
          <w:szCs w:val="30"/>
          <w:lang w:eastAsia="zh-CN"/>
        </w:rPr>
      </w:pPr>
    </w:p>
    <w:p w14:paraId="50F6D408">
      <w:pPr>
        <w:pStyle w:val="37"/>
        <w:rPr>
          <w:rFonts w:hint="eastAsia"/>
          <w:b/>
          <w:bCs/>
          <w:color w:val="000000"/>
          <w:sz w:val="30"/>
          <w:szCs w:val="30"/>
          <w:lang w:eastAsia="zh-CN"/>
        </w:rPr>
      </w:pPr>
    </w:p>
    <w:p w14:paraId="04299AF4">
      <w:pPr>
        <w:pStyle w:val="37"/>
        <w:rPr>
          <w:rFonts w:hint="eastAsia"/>
          <w:b/>
          <w:bCs/>
          <w:color w:val="000000"/>
          <w:sz w:val="30"/>
          <w:szCs w:val="30"/>
          <w:lang w:eastAsia="zh-CN"/>
        </w:rPr>
      </w:pPr>
    </w:p>
    <w:p w14:paraId="71B084A3">
      <w:pPr>
        <w:pStyle w:val="37"/>
        <w:rPr>
          <w:rFonts w:hint="eastAsia"/>
          <w:b/>
          <w:bCs/>
          <w:color w:val="000000"/>
          <w:sz w:val="30"/>
          <w:szCs w:val="30"/>
          <w:lang w:eastAsia="zh-CN"/>
        </w:rPr>
      </w:pPr>
    </w:p>
    <w:p w14:paraId="4BEFCE70">
      <w:pPr>
        <w:pStyle w:val="37"/>
        <w:rPr>
          <w:rFonts w:hint="eastAsia"/>
          <w:b/>
          <w:bCs/>
          <w:color w:val="000000"/>
          <w:sz w:val="30"/>
          <w:szCs w:val="30"/>
          <w:lang w:eastAsia="zh-CN"/>
        </w:rPr>
      </w:pPr>
    </w:p>
    <w:p w14:paraId="57778FEA">
      <w:pPr>
        <w:pStyle w:val="37"/>
        <w:rPr>
          <w:rFonts w:hint="eastAsia"/>
          <w:color w:val="000000"/>
          <w:sz w:val="30"/>
          <w:szCs w:val="30"/>
          <w:lang w:eastAsia="zh-CN"/>
        </w:rPr>
      </w:pPr>
      <w:r>
        <w:rPr>
          <w:rFonts w:hint="eastAsia"/>
          <w:b/>
          <w:bCs/>
          <w:color w:val="000000"/>
          <w:sz w:val="30"/>
          <w:szCs w:val="30"/>
          <w:lang w:eastAsia="zh-CN"/>
        </w:rPr>
        <w:t>附件 2</w:t>
      </w:r>
    </w:p>
    <w:p w14:paraId="301C402E">
      <w:pPr>
        <w:pStyle w:val="37"/>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残疾人福利性单位声明函</w:t>
      </w:r>
    </w:p>
    <w:p w14:paraId="4621B897">
      <w:pPr>
        <w:pStyle w:val="3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000000"/>
          <w:sz w:val="30"/>
          <w:szCs w:val="30"/>
          <w:lang w:eastAsia="zh-CN"/>
        </w:rPr>
      </w:pPr>
    </w:p>
    <w:p w14:paraId="26AD80D7">
      <w:pPr>
        <w:pStyle w:val="3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olor w:val="000000"/>
          <w:kern w:val="0"/>
          <w:sz w:val="28"/>
          <w:szCs w:val="28"/>
          <w:lang w:val="en-US" w:eastAsia="zh-CN" w:bidi="ar"/>
        </w:rPr>
      </w:pPr>
      <w:r>
        <w:rPr>
          <w:rFonts w:hint="eastAsia" w:ascii="仿宋" w:hAnsi="仿宋" w:eastAsia="仿宋" w:cs="仿宋"/>
          <w:i w:val="0"/>
          <w:iCs w:val="0"/>
          <w:color w:val="000000"/>
          <w:kern w:val="0"/>
          <w:sz w:val="28"/>
          <w:szCs w:val="28"/>
          <w:lang w:val="en-US" w:eastAsia="zh-CN" w:bidi="ar"/>
        </w:rPr>
        <w:t>本单位郑重声明， 根据《财政部民政部中国残疾人联合会关于促进残疾人就业政府采购政策的通知》(财库〔2017〕141 号)的规定，本单位为符合条件 的残疾人福利性单位， 且本单位参加单位的</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lang w:val="en-US" w:eastAsia="zh-CN" w:bidi="ar"/>
        </w:rPr>
        <w:t>项目采购活动提供本单 位制造的货物(由本单位承担工程/提供服务)，或者提供其他残疾人福利性单 位制造的货物(不包括使用非残疾人福利性单位注册商标的货物)。</w:t>
      </w:r>
    </w:p>
    <w:p w14:paraId="3BF302F1">
      <w:pPr>
        <w:pStyle w:val="37"/>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i w:val="0"/>
          <w:iCs w:val="0"/>
          <w:color w:val="000000"/>
          <w:kern w:val="0"/>
          <w:sz w:val="28"/>
          <w:szCs w:val="28"/>
          <w:lang w:val="en-US" w:eastAsia="zh-CN" w:bidi="ar"/>
        </w:rPr>
      </w:pPr>
      <w:r>
        <w:rPr>
          <w:rFonts w:hint="eastAsia" w:ascii="仿宋" w:hAnsi="仿宋" w:eastAsia="仿宋" w:cs="仿宋"/>
          <w:i w:val="0"/>
          <w:iCs w:val="0"/>
          <w:color w:val="000000"/>
          <w:kern w:val="0"/>
          <w:sz w:val="28"/>
          <w:szCs w:val="28"/>
          <w:lang w:val="en-US" w:eastAsia="zh-CN" w:bidi="ar"/>
        </w:rPr>
        <w:t>本单位对上述声明的真实性负责。如有虚假，将依法承担相应责任。</w:t>
      </w:r>
    </w:p>
    <w:p w14:paraId="57A886C2">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000000"/>
          <w:kern w:val="0"/>
          <w:sz w:val="28"/>
          <w:szCs w:val="28"/>
          <w:lang w:val="en-US" w:eastAsia="zh-CN" w:bidi="ar"/>
        </w:rPr>
      </w:pPr>
    </w:p>
    <w:p w14:paraId="41F945D1">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000000"/>
          <w:kern w:val="0"/>
          <w:sz w:val="28"/>
          <w:szCs w:val="28"/>
          <w:lang w:val="en-US" w:eastAsia="zh-CN" w:bidi="ar"/>
        </w:rPr>
      </w:pPr>
    </w:p>
    <w:p w14:paraId="7C454DB4">
      <w:pPr>
        <w:pStyle w:val="37"/>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ascii="仿宋" w:hAnsi="仿宋" w:eastAsia="仿宋" w:cs="仿宋"/>
          <w:i w:val="0"/>
          <w:iCs w:val="0"/>
          <w:color w:val="000000"/>
          <w:kern w:val="0"/>
          <w:sz w:val="28"/>
          <w:szCs w:val="28"/>
          <w:lang w:val="en-US" w:eastAsia="zh-CN" w:bidi="ar"/>
        </w:rPr>
      </w:pPr>
      <w:r>
        <w:rPr>
          <w:rFonts w:hint="eastAsia" w:ascii="仿宋" w:hAnsi="仿宋" w:eastAsia="仿宋" w:cs="仿宋"/>
          <w:i w:val="0"/>
          <w:iCs w:val="0"/>
          <w:color w:val="000000"/>
          <w:kern w:val="0"/>
          <w:sz w:val="28"/>
          <w:szCs w:val="28"/>
          <w:lang w:val="en-US" w:eastAsia="zh-CN" w:bidi="ar"/>
        </w:rPr>
        <w:t>公司名称(盖章)：</w:t>
      </w:r>
    </w:p>
    <w:p w14:paraId="44095B85">
      <w:pPr>
        <w:pStyle w:val="37"/>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hint="eastAsia" w:ascii="仿宋" w:hAnsi="仿宋" w:eastAsia="仿宋" w:cs="仿宋"/>
          <w:i w:val="0"/>
          <w:iCs w:val="0"/>
          <w:color w:val="000000"/>
          <w:kern w:val="0"/>
          <w:sz w:val="28"/>
          <w:szCs w:val="28"/>
          <w:lang w:val="en-US" w:eastAsia="zh-CN" w:bidi="ar"/>
        </w:rPr>
      </w:pPr>
      <w:r>
        <w:rPr>
          <w:rFonts w:hint="eastAsia" w:ascii="仿宋" w:hAnsi="仿宋" w:eastAsia="仿宋" w:cs="仿宋"/>
          <w:i w:val="0"/>
          <w:iCs w:val="0"/>
          <w:color w:val="000000"/>
          <w:kern w:val="0"/>
          <w:sz w:val="28"/>
          <w:szCs w:val="28"/>
          <w:lang w:val="en-US" w:eastAsia="zh-CN" w:bidi="ar"/>
        </w:rPr>
        <w:t>日期：</w:t>
      </w:r>
    </w:p>
    <w:p w14:paraId="1CC01F5C">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000000"/>
          <w:kern w:val="0"/>
          <w:sz w:val="28"/>
          <w:szCs w:val="28"/>
          <w:lang w:val="en-US" w:eastAsia="zh-CN" w:bidi="ar"/>
        </w:rPr>
      </w:pPr>
    </w:p>
    <w:p w14:paraId="1DE0C968">
      <w:pPr>
        <w:pStyle w:val="3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000000"/>
          <w:kern w:val="0"/>
          <w:sz w:val="28"/>
          <w:szCs w:val="28"/>
          <w:lang w:val="en-US" w:eastAsia="zh-CN" w:bidi="ar"/>
        </w:rPr>
      </w:pPr>
      <w:r>
        <w:rPr>
          <w:rFonts w:hint="eastAsia" w:ascii="仿宋" w:hAnsi="仿宋" w:eastAsia="仿宋" w:cs="仿宋"/>
          <w:i w:val="0"/>
          <w:iCs w:val="0"/>
          <w:color w:val="000000"/>
          <w:kern w:val="0"/>
          <w:sz w:val="28"/>
          <w:szCs w:val="28"/>
          <w:lang w:val="en-US" w:eastAsia="zh-CN" w:bidi="ar"/>
        </w:rPr>
        <w:t>提醒：如果供应商不是残疾人福利性单位，则不需填写《残疾人福利性单位声明函》。否则，因此导致虚假参与的后果由供应商自行承担。</w:t>
      </w:r>
    </w:p>
    <w:p w14:paraId="6F15D6C0">
      <w:pPr>
        <w:pStyle w:val="2"/>
        <w:ind w:left="0" w:leftChars="0" w:firstLine="0" w:firstLineChars="0"/>
        <w:rPr>
          <w:rFonts w:hint="default"/>
          <w:lang w:val="en-US" w:eastAsia="zh-CN"/>
        </w:rPr>
      </w:pPr>
    </w:p>
    <w:sectPr>
      <w:headerReference r:id="rId9" w:type="default"/>
      <w:footerReference r:id="rId10" w:type="default"/>
      <w:pgSz w:w="11906" w:h="16838"/>
      <w:pgMar w:top="1440" w:right="1423" w:bottom="1440" w:left="1366" w:header="851" w:footer="567" w:gutter="0"/>
      <w:pgBorders w:display="notFirstPage">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11BA">
    <w:pPr>
      <w:pStyle w:val="16"/>
      <w:pBdr>
        <w:between w:val="none" w:color="auto" w:sz="0" w:space="0"/>
      </w:pBdr>
      <w:ind w:right="360"/>
      <w:rPr>
        <w:rStyle w:val="26"/>
      </w:rPr>
    </w:pPr>
  </w:p>
  <w:p w14:paraId="2EBCFDE6">
    <w:pPr>
      <w:pStyle w:val="16"/>
      <w:framePr w:wrap="around" w:vAnchor="text" w:hAnchor="page" w:x="5761" w:yAlign="center"/>
      <w:ind w:right="360"/>
      <w:rPr>
        <w:rStyle w:val="26"/>
      </w:rPr>
    </w:pPr>
    <w:r>
      <w:rPr>
        <w:rStyle w:val="26"/>
        <w:rFonts w:hint="eastAsia"/>
      </w:rPr>
      <w:t xml:space="preserve">      </w:t>
    </w:r>
  </w:p>
  <w:p w14:paraId="357B81BE">
    <w:pPr>
      <w:pStyle w:val="16"/>
      <w:widowControl w:val="0"/>
      <w:pBdr>
        <w:top w:val="none" w:color="auto" w:sz="0" w:space="1"/>
        <w:left w:val="none" w:color="auto" w:sz="0" w:space="4"/>
        <w:bottom w:val="none" w:color="auto" w:sz="0" w:space="1"/>
        <w:right w:val="none" w:color="auto" w:sz="0" w:space="4"/>
        <w:between w:val="none" w:color="auto" w:sz="0" w:space="0"/>
      </w:pBdr>
      <w:snapToGrid w:val="0"/>
      <w:ind w:right="106" w:rightChars="0"/>
      <w:jc w:val="center"/>
      <w:rPr>
        <w:b/>
        <w:sz w:val="20"/>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9CAC">
    <w:pPr>
      <w:pStyle w:val="16"/>
      <w:rPr>
        <w:rStyle w:val="26"/>
      </w:rPr>
    </w:pPr>
  </w:p>
  <w:p w14:paraId="73380CFC">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0247">
    <w:pPr>
      <w:pStyle w:val="16"/>
      <w:pBdr>
        <w:between w:val="none" w:color="auto" w:sz="0" w:space="0"/>
      </w:pBdr>
      <w:ind w:right="360"/>
      <w:rPr>
        <w:rStyle w:val="2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B6E3C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B+rLr4QEAALkDAAAOAAAA&#10;AAAAAAEAIAAAAB4BAABkcnMvZTJvRG9jLnhtbFBLBQYAAAAABgAGAFkBAABxBQAAAAA=&#10;">
              <v:fill on="f" focussize="0,0"/>
              <v:stroke on="f"/>
              <v:imagedata o:title=""/>
              <o:lock v:ext="edit" aspectratio="f"/>
              <v:textbox inset="0mm,0mm,0mm,0mm" style="mso-fit-shape-to-text:t;">
                <w:txbxContent>
                  <w:p w14:paraId="33B6E3C2">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7428A86B">
    <w:pPr>
      <w:pStyle w:val="16"/>
      <w:framePr w:wrap="around" w:vAnchor="text" w:hAnchor="page" w:x="5761" w:yAlign="center"/>
      <w:ind w:right="360"/>
      <w:rPr>
        <w:rStyle w:val="26"/>
      </w:rPr>
    </w:pPr>
    <w:r>
      <w:rPr>
        <w:rStyle w:val="26"/>
        <w:rFonts w:hint="eastAsia"/>
      </w:rPr>
      <w:t xml:space="preserve">      </w:t>
    </w:r>
  </w:p>
  <w:p w14:paraId="54926522">
    <w:pPr>
      <w:pStyle w:val="16"/>
      <w:widowControl w:val="0"/>
      <w:pBdr>
        <w:top w:val="none" w:color="auto" w:sz="0" w:space="1"/>
        <w:left w:val="none" w:color="auto" w:sz="0" w:space="4"/>
        <w:bottom w:val="none" w:color="auto" w:sz="0" w:space="1"/>
        <w:right w:val="none" w:color="auto" w:sz="0" w:space="4"/>
        <w:between w:val="none" w:color="auto" w:sz="0" w:space="0"/>
      </w:pBdr>
      <w:snapToGrid w:val="0"/>
      <w:ind w:right="106" w:rightChars="0"/>
      <w:jc w:val="center"/>
      <w:rPr>
        <w:b/>
        <w:sz w:val="20"/>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9595">
    <w:pPr>
      <w:pStyle w:val="16"/>
      <w:rPr>
        <w:rStyle w:val="26"/>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31DCD3">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cuXy/4QEAALkDAAAOAAAA&#10;AAAAAAEAIAAAAB4BAABkcnMvZTJvRG9jLnhtbFBLBQYAAAAABgAGAFkBAABxBQAAAAA=&#10;">
              <v:fill on="f" focussize="0,0"/>
              <v:stroke on="f"/>
              <v:imagedata o:title=""/>
              <o:lock v:ext="edit" aspectratio="f"/>
              <v:textbox inset="0mm,0mm,0mm,0mm" style="mso-fit-shape-to-text:t;">
                <w:txbxContent>
                  <w:p w14:paraId="2331DCD3">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- 0 -</w:t>
                    </w:r>
                    <w:r>
                      <w:rPr>
                        <w:rFonts w:hint="eastAsia"/>
                        <w:lang w:eastAsia="zh-CN"/>
                      </w:rPr>
                      <w:fldChar w:fldCharType="end"/>
                    </w:r>
                  </w:p>
                </w:txbxContent>
              </v:textbox>
            </v:shape>
          </w:pict>
        </mc:Fallback>
      </mc:AlternateContent>
    </w:r>
  </w:p>
  <w:p w14:paraId="119FF40D">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78FA">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3743325</wp:posOffset>
              </wp:positionH>
              <wp:positionV relativeFrom="page">
                <wp:posOffset>9932670</wp:posOffset>
              </wp:positionV>
              <wp:extent cx="263525" cy="1397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wps:spPr>
                    <wps:txbx>
                      <w:txbxContent>
                        <w:p w14:paraId="0FB79BA1">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37</w:t>
                          </w:r>
                          <w:r>
                            <w:fldChar w:fldCharType="end"/>
                          </w:r>
                          <w:r>
                            <w:rPr>
                              <w:rFonts w:asci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4.75pt;margin-top:782.1pt;height:11pt;width:20.75pt;mso-position-horizontal-relative:page;mso-position-vertical-relative:page;z-index:-251653120;mso-width-relative:page;mso-height-relative:page;" filled="f" stroked="f" coordsize="21600,21600" o:gfxdata="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7JuSbaAAAADQEAAA8AAAAAAAAAAQAgAAAAIgAAAGRycy9kb3ducmV2LnhtbFBL&#10;AQIUABQAAAAIAIdO4kDHPMJWuwEAAHMDAAAOAAAAAAAAAAEAIAAAACkBAABkcnMvZTJvRG9jLnht&#10;bFBLBQYAAAAABgAGAFkBAABWBQAAAAA=&#10;">
              <v:fill on="f" focussize="0,0"/>
              <v:stroke on="f"/>
              <v:imagedata o:title=""/>
              <o:lock v:ext="edit" aspectratio="f"/>
              <v:textbox inset="0mm,0mm,0mm,0mm">
                <w:txbxContent>
                  <w:p w14:paraId="0FB79BA1">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37</w:t>
                    </w:r>
                    <w:r>
                      <w:fldChar w:fldCharType="end"/>
                    </w:r>
                    <w:r>
                      <w:rPr>
                        <w:rFonts w:ascii="Calibri"/>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7501">
    <w:pPr>
      <w:pStyle w:val="4"/>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3743325</wp:posOffset>
              </wp:positionH>
              <wp:positionV relativeFrom="page">
                <wp:posOffset>9932670</wp:posOffset>
              </wp:positionV>
              <wp:extent cx="263525" cy="1397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wps:spPr>
                    <wps:txbx>
                      <w:txbxContent>
                        <w:p w14:paraId="3F09C85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40</w:t>
                          </w:r>
                          <w:r>
                            <w:fldChar w:fldCharType="end"/>
                          </w:r>
                          <w:r>
                            <w:rPr>
                              <w:rFonts w:ascii="Calibri"/>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4.75pt;margin-top:782.1pt;height:11pt;width:20.75pt;mso-position-horizontal-relative:page;mso-position-vertical-relative:page;z-index:-251653120;mso-width-relative:page;mso-height-relative:page;" filled="f" stroked="f" coordsize="21600,21600" o:gfxdata="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sm5JtoAAAANAQAADwAAAAAAAAABACAAAAAiAAAAZHJzL2Rvd25yZXYueG1s&#10;UEsBAhQAFAAAAAgAh07iQAJA/I69AQAAcwMAAA4AAAAAAAAAAQAgAAAAKQEAAGRycy9lMm9Eb2Mu&#10;eG1sUEsFBgAAAAAGAAYAWQEAAFgFAAAAAA==&#10;">
              <v:fill on="f" focussize="0,0"/>
              <v:stroke on="f"/>
              <v:imagedata o:title=""/>
              <o:lock v:ext="edit" aspectratio="f"/>
              <v:textbox inset="0mm,0mm,0mm,0mm">
                <w:txbxContent>
                  <w:p w14:paraId="3F09C85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40</w:t>
                    </w:r>
                    <w:r>
                      <w:fldChar w:fldCharType="end"/>
                    </w:r>
                    <w:r>
                      <w:rPr>
                        <w:rFonts w:ascii="Calibri"/>
                        <w:sz w:val="1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A149">
    <w:pPr>
      <w:pStyle w:val="16"/>
      <w:pBdr>
        <w:between w:val="none" w:color="auto" w:sz="0" w:space="0"/>
      </w:pBdr>
      <w:ind w:right="360"/>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9B58E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14:paraId="1F9B58E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36F02C52">
    <w:pPr>
      <w:pStyle w:val="16"/>
      <w:framePr w:wrap="around" w:vAnchor="text" w:hAnchor="page" w:x="5761" w:yAlign="center"/>
      <w:ind w:right="360"/>
      <w:rPr>
        <w:rStyle w:val="26"/>
      </w:rPr>
    </w:pPr>
    <w:r>
      <w:rPr>
        <w:rStyle w:val="26"/>
        <w:rFonts w:hint="eastAsia"/>
      </w:rPr>
      <w:t xml:space="preserve">      </w:t>
    </w:r>
  </w:p>
  <w:p w14:paraId="6390A852">
    <w:pPr>
      <w:pStyle w:val="16"/>
      <w:widowControl w:val="0"/>
      <w:pBdr>
        <w:top w:val="none" w:color="auto" w:sz="0" w:space="1"/>
        <w:left w:val="none" w:color="auto" w:sz="0" w:space="4"/>
        <w:bottom w:val="none" w:color="auto" w:sz="0" w:space="1"/>
        <w:right w:val="none" w:color="auto" w:sz="0" w:space="4"/>
        <w:between w:val="none" w:color="auto" w:sz="0" w:space="0"/>
      </w:pBdr>
      <w:snapToGrid w:val="0"/>
      <w:ind w:right="106" w:rightChars="0"/>
      <w:jc w:val="center"/>
      <w:rPr>
        <w:b/>
        <w:sz w:val="20"/>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302B">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66A0C"/>
    <w:multiLevelType w:val="singleLevel"/>
    <w:tmpl w:val="8BE66A0C"/>
    <w:lvl w:ilvl="0" w:tentative="0">
      <w:start w:val="7"/>
      <w:numFmt w:val="chineseCounting"/>
      <w:suff w:val="space"/>
      <w:lvlText w:val="%1、"/>
      <w:lvlJc w:val="left"/>
      <w:rPr>
        <w:rFonts w:hint="eastAsia"/>
      </w:rPr>
    </w:lvl>
  </w:abstractNum>
  <w:abstractNum w:abstractNumId="1">
    <w:nsid w:val="00000005"/>
    <w:multiLevelType w:val="singleLevel"/>
    <w:tmpl w:val="00000005"/>
    <w:lvl w:ilvl="0" w:tentative="0">
      <w:start w:val="2"/>
      <w:numFmt w:val="decimal"/>
      <w:lvlText w:val="%1."/>
      <w:lvlJc w:val="left"/>
      <w:pPr>
        <w:tabs>
          <w:tab w:val="left" w:pos="312"/>
        </w:tabs>
      </w:pPr>
    </w:lvl>
  </w:abstractNum>
  <w:abstractNum w:abstractNumId="2">
    <w:nsid w:val="0000000D"/>
    <w:multiLevelType w:val="multilevel"/>
    <w:tmpl w:val="0000000D"/>
    <w:lvl w:ilvl="0" w:tentative="0">
      <w:start w:val="1"/>
      <w:numFmt w:val="decimal"/>
      <w:lvlText w:val="%1."/>
      <w:lvlJc w:val="left"/>
      <w:pPr>
        <w:tabs>
          <w:tab w:val="left" w:pos="833"/>
        </w:tabs>
        <w:ind w:left="833" w:hanging="36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11"/>
    <w:multiLevelType w:val="multilevel"/>
    <w:tmpl w:val="00000011"/>
    <w:lvl w:ilvl="0" w:tentative="0">
      <w:start w:val="3"/>
      <w:numFmt w:val="decimal"/>
      <w:lvlText w:val="%1."/>
      <w:lvlJc w:val="left"/>
      <w:pPr>
        <w:tabs>
          <w:tab w:val="left" w:pos="833"/>
        </w:tabs>
        <w:ind w:left="833"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5B6748C"/>
    <w:multiLevelType w:val="singleLevel"/>
    <w:tmpl w:val="05B6748C"/>
    <w:lvl w:ilvl="0" w:tentative="0">
      <w:start w:val="4"/>
      <w:numFmt w:val="chineseCounting"/>
      <w:suff w:val="space"/>
      <w:lvlText w:val="第%1章"/>
      <w:lvlJc w:val="left"/>
      <w:rPr>
        <w:rFonts w:hint="eastAsia"/>
      </w:rPr>
    </w:lvl>
  </w:abstractNum>
  <w:abstractNum w:abstractNumId="5">
    <w:nsid w:val="60382F6E"/>
    <w:multiLevelType w:val="multilevel"/>
    <w:tmpl w:val="60382F6E"/>
    <w:lvl w:ilvl="0" w:tentative="0">
      <w:start w:val="1"/>
      <w:numFmt w:val="decimal"/>
      <w:lvlText w:val="（%1）"/>
      <w:lvlJc w:val="left"/>
      <w:pPr>
        <w:ind w:left="138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300" w:hanging="525"/>
      </w:pPr>
      <w:rPr>
        <w:rFonts w:hint="default"/>
        <w:lang w:val="zh-CN" w:eastAsia="zh-CN" w:bidi="zh-CN"/>
      </w:rPr>
    </w:lvl>
    <w:lvl w:ilvl="2" w:tentative="0">
      <w:start w:val="0"/>
      <w:numFmt w:val="bullet"/>
      <w:lvlText w:val="•"/>
      <w:lvlJc w:val="left"/>
      <w:pPr>
        <w:ind w:left="3220" w:hanging="525"/>
      </w:pPr>
      <w:rPr>
        <w:rFonts w:hint="default"/>
        <w:lang w:val="zh-CN" w:eastAsia="zh-CN" w:bidi="zh-CN"/>
      </w:rPr>
    </w:lvl>
    <w:lvl w:ilvl="3" w:tentative="0">
      <w:start w:val="0"/>
      <w:numFmt w:val="bullet"/>
      <w:lvlText w:val="•"/>
      <w:lvlJc w:val="left"/>
      <w:pPr>
        <w:ind w:left="4140" w:hanging="525"/>
      </w:pPr>
      <w:rPr>
        <w:rFonts w:hint="default"/>
        <w:lang w:val="zh-CN" w:eastAsia="zh-CN" w:bidi="zh-CN"/>
      </w:rPr>
    </w:lvl>
    <w:lvl w:ilvl="4" w:tentative="0">
      <w:start w:val="0"/>
      <w:numFmt w:val="bullet"/>
      <w:lvlText w:val="•"/>
      <w:lvlJc w:val="left"/>
      <w:pPr>
        <w:ind w:left="5060" w:hanging="525"/>
      </w:pPr>
      <w:rPr>
        <w:rFonts w:hint="default"/>
        <w:lang w:val="zh-CN" w:eastAsia="zh-CN" w:bidi="zh-CN"/>
      </w:rPr>
    </w:lvl>
    <w:lvl w:ilvl="5" w:tentative="0">
      <w:start w:val="0"/>
      <w:numFmt w:val="bullet"/>
      <w:lvlText w:val="•"/>
      <w:lvlJc w:val="left"/>
      <w:pPr>
        <w:ind w:left="5980" w:hanging="525"/>
      </w:pPr>
      <w:rPr>
        <w:rFonts w:hint="default"/>
        <w:lang w:val="zh-CN" w:eastAsia="zh-CN" w:bidi="zh-CN"/>
      </w:rPr>
    </w:lvl>
    <w:lvl w:ilvl="6" w:tentative="0">
      <w:start w:val="0"/>
      <w:numFmt w:val="bullet"/>
      <w:lvlText w:val="•"/>
      <w:lvlJc w:val="left"/>
      <w:pPr>
        <w:ind w:left="6900" w:hanging="525"/>
      </w:pPr>
      <w:rPr>
        <w:rFonts w:hint="default"/>
        <w:lang w:val="zh-CN" w:eastAsia="zh-CN" w:bidi="zh-CN"/>
      </w:rPr>
    </w:lvl>
    <w:lvl w:ilvl="7" w:tentative="0">
      <w:start w:val="0"/>
      <w:numFmt w:val="bullet"/>
      <w:lvlText w:val="•"/>
      <w:lvlJc w:val="left"/>
      <w:pPr>
        <w:ind w:left="7820" w:hanging="525"/>
      </w:pPr>
      <w:rPr>
        <w:rFonts w:hint="default"/>
        <w:lang w:val="zh-CN" w:eastAsia="zh-CN" w:bidi="zh-CN"/>
      </w:rPr>
    </w:lvl>
    <w:lvl w:ilvl="8" w:tentative="0">
      <w:start w:val="0"/>
      <w:numFmt w:val="bullet"/>
      <w:lvlText w:val="•"/>
      <w:lvlJc w:val="left"/>
      <w:pPr>
        <w:ind w:left="8740" w:hanging="525"/>
      </w:pPr>
      <w:rPr>
        <w:rFonts w:hint="default"/>
        <w:lang w:val="zh-CN" w:eastAsia="zh-CN" w:bidi="zh-CN"/>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NDM4NmI5NGMyMzRiNTE2YjAwZDY2ZDQyNjY3YTMifQ=="/>
  </w:docVars>
  <w:rsids>
    <w:rsidRoot w:val="00172A27"/>
    <w:rsid w:val="00004021"/>
    <w:rsid w:val="00020FB3"/>
    <w:rsid w:val="00031C12"/>
    <w:rsid w:val="00042C9C"/>
    <w:rsid w:val="00045897"/>
    <w:rsid w:val="00045F76"/>
    <w:rsid w:val="000470E7"/>
    <w:rsid w:val="0005120E"/>
    <w:rsid w:val="00080EF7"/>
    <w:rsid w:val="000A26D4"/>
    <w:rsid w:val="000A307C"/>
    <w:rsid w:val="000A4A92"/>
    <w:rsid w:val="000B3321"/>
    <w:rsid w:val="000D5604"/>
    <w:rsid w:val="000E258E"/>
    <w:rsid w:val="000E649C"/>
    <w:rsid w:val="001024EE"/>
    <w:rsid w:val="00111180"/>
    <w:rsid w:val="00125AC3"/>
    <w:rsid w:val="00125D84"/>
    <w:rsid w:val="00130D9D"/>
    <w:rsid w:val="00133C05"/>
    <w:rsid w:val="00134CDB"/>
    <w:rsid w:val="00146D92"/>
    <w:rsid w:val="0015180F"/>
    <w:rsid w:val="00153A4C"/>
    <w:rsid w:val="001658F7"/>
    <w:rsid w:val="00172A27"/>
    <w:rsid w:val="0018106D"/>
    <w:rsid w:val="001901D2"/>
    <w:rsid w:val="00195FA9"/>
    <w:rsid w:val="00196133"/>
    <w:rsid w:val="001A7868"/>
    <w:rsid w:val="001D5B46"/>
    <w:rsid w:val="001D7513"/>
    <w:rsid w:val="001E0169"/>
    <w:rsid w:val="001E2C9E"/>
    <w:rsid w:val="001F3249"/>
    <w:rsid w:val="001F610E"/>
    <w:rsid w:val="001F61E1"/>
    <w:rsid w:val="00206906"/>
    <w:rsid w:val="00216570"/>
    <w:rsid w:val="002177BF"/>
    <w:rsid w:val="002178B2"/>
    <w:rsid w:val="00227764"/>
    <w:rsid w:val="00237747"/>
    <w:rsid w:val="00240F56"/>
    <w:rsid w:val="00243D1F"/>
    <w:rsid w:val="00253B81"/>
    <w:rsid w:val="00256AD7"/>
    <w:rsid w:val="00261544"/>
    <w:rsid w:val="002669BE"/>
    <w:rsid w:val="002674FC"/>
    <w:rsid w:val="00271670"/>
    <w:rsid w:val="002766C2"/>
    <w:rsid w:val="0027723C"/>
    <w:rsid w:val="00290DDF"/>
    <w:rsid w:val="002926C1"/>
    <w:rsid w:val="002A6353"/>
    <w:rsid w:val="002A7349"/>
    <w:rsid w:val="002B441F"/>
    <w:rsid w:val="002C111C"/>
    <w:rsid w:val="002C45BB"/>
    <w:rsid w:val="002C51DD"/>
    <w:rsid w:val="002C7418"/>
    <w:rsid w:val="002D2F1F"/>
    <w:rsid w:val="002D4345"/>
    <w:rsid w:val="002E1EAB"/>
    <w:rsid w:val="002E6BC1"/>
    <w:rsid w:val="002F012C"/>
    <w:rsid w:val="002F5C89"/>
    <w:rsid w:val="00301315"/>
    <w:rsid w:val="00302C3F"/>
    <w:rsid w:val="003037E8"/>
    <w:rsid w:val="00305B92"/>
    <w:rsid w:val="00315EE1"/>
    <w:rsid w:val="003205BE"/>
    <w:rsid w:val="00320ECD"/>
    <w:rsid w:val="00323578"/>
    <w:rsid w:val="003323CA"/>
    <w:rsid w:val="003468B4"/>
    <w:rsid w:val="003513A0"/>
    <w:rsid w:val="00356D99"/>
    <w:rsid w:val="00357184"/>
    <w:rsid w:val="003674AB"/>
    <w:rsid w:val="00367B47"/>
    <w:rsid w:val="003718C9"/>
    <w:rsid w:val="00371AE8"/>
    <w:rsid w:val="00376050"/>
    <w:rsid w:val="00376589"/>
    <w:rsid w:val="0038533A"/>
    <w:rsid w:val="003866B1"/>
    <w:rsid w:val="003A300B"/>
    <w:rsid w:val="003B43B6"/>
    <w:rsid w:val="003C507E"/>
    <w:rsid w:val="003C7CD9"/>
    <w:rsid w:val="003D0354"/>
    <w:rsid w:val="003D2324"/>
    <w:rsid w:val="003E1342"/>
    <w:rsid w:val="003F4736"/>
    <w:rsid w:val="003F57AF"/>
    <w:rsid w:val="003F6218"/>
    <w:rsid w:val="0040145D"/>
    <w:rsid w:val="00403843"/>
    <w:rsid w:val="00407BB4"/>
    <w:rsid w:val="00410374"/>
    <w:rsid w:val="00414A23"/>
    <w:rsid w:val="004211DB"/>
    <w:rsid w:val="00421A1B"/>
    <w:rsid w:val="0042300C"/>
    <w:rsid w:val="00426A29"/>
    <w:rsid w:val="004325D9"/>
    <w:rsid w:val="00436087"/>
    <w:rsid w:val="00456578"/>
    <w:rsid w:val="00463FE8"/>
    <w:rsid w:val="004654E1"/>
    <w:rsid w:val="00472574"/>
    <w:rsid w:val="004805DF"/>
    <w:rsid w:val="00480A5D"/>
    <w:rsid w:val="004878BC"/>
    <w:rsid w:val="004A6E5C"/>
    <w:rsid w:val="004B7D47"/>
    <w:rsid w:val="004C0DC0"/>
    <w:rsid w:val="004D1460"/>
    <w:rsid w:val="004D48C4"/>
    <w:rsid w:val="004D7738"/>
    <w:rsid w:val="004E33E7"/>
    <w:rsid w:val="004F4A35"/>
    <w:rsid w:val="00502D09"/>
    <w:rsid w:val="00505645"/>
    <w:rsid w:val="00506FBF"/>
    <w:rsid w:val="005138BF"/>
    <w:rsid w:val="00514737"/>
    <w:rsid w:val="00530685"/>
    <w:rsid w:val="00532C8A"/>
    <w:rsid w:val="005424FF"/>
    <w:rsid w:val="00560140"/>
    <w:rsid w:val="00565874"/>
    <w:rsid w:val="00571D85"/>
    <w:rsid w:val="00572008"/>
    <w:rsid w:val="0057721C"/>
    <w:rsid w:val="00580D60"/>
    <w:rsid w:val="00584F14"/>
    <w:rsid w:val="00596515"/>
    <w:rsid w:val="005B340D"/>
    <w:rsid w:val="005B3E6F"/>
    <w:rsid w:val="005B6418"/>
    <w:rsid w:val="005C027B"/>
    <w:rsid w:val="005C262E"/>
    <w:rsid w:val="005C2F0A"/>
    <w:rsid w:val="005D431B"/>
    <w:rsid w:val="005D6AF9"/>
    <w:rsid w:val="005D791B"/>
    <w:rsid w:val="005E2847"/>
    <w:rsid w:val="005E2E15"/>
    <w:rsid w:val="005F5E5E"/>
    <w:rsid w:val="00606290"/>
    <w:rsid w:val="00612D71"/>
    <w:rsid w:val="0061570A"/>
    <w:rsid w:val="006364AC"/>
    <w:rsid w:val="00644319"/>
    <w:rsid w:val="006471CB"/>
    <w:rsid w:val="00661253"/>
    <w:rsid w:val="0066395F"/>
    <w:rsid w:val="00664356"/>
    <w:rsid w:val="006651B9"/>
    <w:rsid w:val="006720C3"/>
    <w:rsid w:val="006759D0"/>
    <w:rsid w:val="0067631D"/>
    <w:rsid w:val="00676FE2"/>
    <w:rsid w:val="00685019"/>
    <w:rsid w:val="006902D9"/>
    <w:rsid w:val="00693DD5"/>
    <w:rsid w:val="006968C2"/>
    <w:rsid w:val="006A555C"/>
    <w:rsid w:val="006B35BB"/>
    <w:rsid w:val="006B4986"/>
    <w:rsid w:val="006C159E"/>
    <w:rsid w:val="006C483C"/>
    <w:rsid w:val="006C5033"/>
    <w:rsid w:val="006D28CC"/>
    <w:rsid w:val="006D348F"/>
    <w:rsid w:val="006E37C0"/>
    <w:rsid w:val="006E4301"/>
    <w:rsid w:val="006E5FAA"/>
    <w:rsid w:val="006F06A2"/>
    <w:rsid w:val="006F2A3E"/>
    <w:rsid w:val="00707FE1"/>
    <w:rsid w:val="0071223E"/>
    <w:rsid w:val="0071401D"/>
    <w:rsid w:val="007233A6"/>
    <w:rsid w:val="007270BD"/>
    <w:rsid w:val="00733CFE"/>
    <w:rsid w:val="00736391"/>
    <w:rsid w:val="00736C65"/>
    <w:rsid w:val="0074212B"/>
    <w:rsid w:val="0075184C"/>
    <w:rsid w:val="00765D4E"/>
    <w:rsid w:val="00770AA8"/>
    <w:rsid w:val="0078045C"/>
    <w:rsid w:val="00784BD8"/>
    <w:rsid w:val="00793A00"/>
    <w:rsid w:val="007A1470"/>
    <w:rsid w:val="007A19C3"/>
    <w:rsid w:val="007B5BF5"/>
    <w:rsid w:val="007C1D1B"/>
    <w:rsid w:val="007C596E"/>
    <w:rsid w:val="007C66DD"/>
    <w:rsid w:val="007D1561"/>
    <w:rsid w:val="007D5A6E"/>
    <w:rsid w:val="007E3C6D"/>
    <w:rsid w:val="007F308A"/>
    <w:rsid w:val="00802577"/>
    <w:rsid w:val="0080700A"/>
    <w:rsid w:val="00822C38"/>
    <w:rsid w:val="00823449"/>
    <w:rsid w:val="00841D4B"/>
    <w:rsid w:val="00842A58"/>
    <w:rsid w:val="00850AE4"/>
    <w:rsid w:val="00857ADE"/>
    <w:rsid w:val="00874D22"/>
    <w:rsid w:val="00877A75"/>
    <w:rsid w:val="0089529F"/>
    <w:rsid w:val="008A0FE8"/>
    <w:rsid w:val="008A2B89"/>
    <w:rsid w:val="008A381A"/>
    <w:rsid w:val="008A5484"/>
    <w:rsid w:val="008C637B"/>
    <w:rsid w:val="008D0417"/>
    <w:rsid w:val="008D3FCD"/>
    <w:rsid w:val="008D7087"/>
    <w:rsid w:val="008D73D6"/>
    <w:rsid w:val="008D7A32"/>
    <w:rsid w:val="008E732B"/>
    <w:rsid w:val="008E790C"/>
    <w:rsid w:val="008E7C38"/>
    <w:rsid w:val="00926C4F"/>
    <w:rsid w:val="00933E3C"/>
    <w:rsid w:val="009366A8"/>
    <w:rsid w:val="00937CE6"/>
    <w:rsid w:val="009411C6"/>
    <w:rsid w:val="00944765"/>
    <w:rsid w:val="0094504A"/>
    <w:rsid w:val="00946803"/>
    <w:rsid w:val="00946A42"/>
    <w:rsid w:val="009526BF"/>
    <w:rsid w:val="0095697B"/>
    <w:rsid w:val="00956ACD"/>
    <w:rsid w:val="009648E4"/>
    <w:rsid w:val="00967813"/>
    <w:rsid w:val="0097172D"/>
    <w:rsid w:val="00973B76"/>
    <w:rsid w:val="00977B0A"/>
    <w:rsid w:val="0098268A"/>
    <w:rsid w:val="00997AF6"/>
    <w:rsid w:val="009A6CAF"/>
    <w:rsid w:val="009B3823"/>
    <w:rsid w:val="009C207D"/>
    <w:rsid w:val="009C26B9"/>
    <w:rsid w:val="009C4760"/>
    <w:rsid w:val="009C653F"/>
    <w:rsid w:val="009D2D28"/>
    <w:rsid w:val="009D338C"/>
    <w:rsid w:val="009D5E2A"/>
    <w:rsid w:val="009D62BD"/>
    <w:rsid w:val="009D6605"/>
    <w:rsid w:val="009D68AB"/>
    <w:rsid w:val="009E6C19"/>
    <w:rsid w:val="009E76AB"/>
    <w:rsid w:val="009F4694"/>
    <w:rsid w:val="00A07F13"/>
    <w:rsid w:val="00A1043D"/>
    <w:rsid w:val="00A2084B"/>
    <w:rsid w:val="00A224C7"/>
    <w:rsid w:val="00A2258C"/>
    <w:rsid w:val="00A2265D"/>
    <w:rsid w:val="00A32813"/>
    <w:rsid w:val="00A35BEB"/>
    <w:rsid w:val="00A47BB4"/>
    <w:rsid w:val="00A530E1"/>
    <w:rsid w:val="00A54838"/>
    <w:rsid w:val="00A57CB7"/>
    <w:rsid w:val="00A647EA"/>
    <w:rsid w:val="00A70DF2"/>
    <w:rsid w:val="00A71511"/>
    <w:rsid w:val="00A71BD5"/>
    <w:rsid w:val="00A753A3"/>
    <w:rsid w:val="00A77DB1"/>
    <w:rsid w:val="00A8656F"/>
    <w:rsid w:val="00A97AB8"/>
    <w:rsid w:val="00AA23DE"/>
    <w:rsid w:val="00AA3EBC"/>
    <w:rsid w:val="00AA4265"/>
    <w:rsid w:val="00AA549E"/>
    <w:rsid w:val="00AC317E"/>
    <w:rsid w:val="00AC6750"/>
    <w:rsid w:val="00AC717B"/>
    <w:rsid w:val="00AD0E05"/>
    <w:rsid w:val="00AE6CC9"/>
    <w:rsid w:val="00B13336"/>
    <w:rsid w:val="00B15FC2"/>
    <w:rsid w:val="00B16215"/>
    <w:rsid w:val="00B1635C"/>
    <w:rsid w:val="00B24B2E"/>
    <w:rsid w:val="00B3492C"/>
    <w:rsid w:val="00B352DF"/>
    <w:rsid w:val="00B403C7"/>
    <w:rsid w:val="00B42FC6"/>
    <w:rsid w:val="00B56070"/>
    <w:rsid w:val="00B6675B"/>
    <w:rsid w:val="00B83549"/>
    <w:rsid w:val="00B84A5C"/>
    <w:rsid w:val="00B93F93"/>
    <w:rsid w:val="00B965FB"/>
    <w:rsid w:val="00BA2F02"/>
    <w:rsid w:val="00BB74C5"/>
    <w:rsid w:val="00BD287E"/>
    <w:rsid w:val="00BD5F4C"/>
    <w:rsid w:val="00BE3486"/>
    <w:rsid w:val="00BE36D4"/>
    <w:rsid w:val="00BE393A"/>
    <w:rsid w:val="00BE5746"/>
    <w:rsid w:val="00BF14CC"/>
    <w:rsid w:val="00C04398"/>
    <w:rsid w:val="00C048F4"/>
    <w:rsid w:val="00C1076B"/>
    <w:rsid w:val="00C11E18"/>
    <w:rsid w:val="00C45C16"/>
    <w:rsid w:val="00C5143F"/>
    <w:rsid w:val="00C6262C"/>
    <w:rsid w:val="00C639E4"/>
    <w:rsid w:val="00C63E4A"/>
    <w:rsid w:val="00C72A1E"/>
    <w:rsid w:val="00C83C7D"/>
    <w:rsid w:val="00C84835"/>
    <w:rsid w:val="00C851AA"/>
    <w:rsid w:val="00C86A6F"/>
    <w:rsid w:val="00C96C9A"/>
    <w:rsid w:val="00CA62A6"/>
    <w:rsid w:val="00CA63D9"/>
    <w:rsid w:val="00CA6EC3"/>
    <w:rsid w:val="00CC4E23"/>
    <w:rsid w:val="00CD6AA1"/>
    <w:rsid w:val="00CE1D36"/>
    <w:rsid w:val="00CE5CBE"/>
    <w:rsid w:val="00CE6165"/>
    <w:rsid w:val="00CF0348"/>
    <w:rsid w:val="00D02B54"/>
    <w:rsid w:val="00D02FF4"/>
    <w:rsid w:val="00D062E2"/>
    <w:rsid w:val="00D12053"/>
    <w:rsid w:val="00D12234"/>
    <w:rsid w:val="00D13B4C"/>
    <w:rsid w:val="00D16B9F"/>
    <w:rsid w:val="00D20A32"/>
    <w:rsid w:val="00D347B7"/>
    <w:rsid w:val="00D43DF8"/>
    <w:rsid w:val="00D5119D"/>
    <w:rsid w:val="00D53684"/>
    <w:rsid w:val="00D60B4B"/>
    <w:rsid w:val="00D72BAF"/>
    <w:rsid w:val="00D73D83"/>
    <w:rsid w:val="00D77FC5"/>
    <w:rsid w:val="00D84114"/>
    <w:rsid w:val="00D86332"/>
    <w:rsid w:val="00D94E07"/>
    <w:rsid w:val="00D95639"/>
    <w:rsid w:val="00D95A90"/>
    <w:rsid w:val="00DA0EF1"/>
    <w:rsid w:val="00DA2A18"/>
    <w:rsid w:val="00DB1F32"/>
    <w:rsid w:val="00DB7A5C"/>
    <w:rsid w:val="00DC3453"/>
    <w:rsid w:val="00DC67BC"/>
    <w:rsid w:val="00DC6D80"/>
    <w:rsid w:val="00DC7D67"/>
    <w:rsid w:val="00DD2E1E"/>
    <w:rsid w:val="00DD6266"/>
    <w:rsid w:val="00DE590D"/>
    <w:rsid w:val="00DF211F"/>
    <w:rsid w:val="00DF54D5"/>
    <w:rsid w:val="00E15243"/>
    <w:rsid w:val="00E15C18"/>
    <w:rsid w:val="00E17EE0"/>
    <w:rsid w:val="00E204D9"/>
    <w:rsid w:val="00E212E0"/>
    <w:rsid w:val="00E26218"/>
    <w:rsid w:val="00E27960"/>
    <w:rsid w:val="00E30A0B"/>
    <w:rsid w:val="00E36878"/>
    <w:rsid w:val="00E400F5"/>
    <w:rsid w:val="00E53E03"/>
    <w:rsid w:val="00E562F2"/>
    <w:rsid w:val="00E61283"/>
    <w:rsid w:val="00E6152D"/>
    <w:rsid w:val="00E639FD"/>
    <w:rsid w:val="00E658EB"/>
    <w:rsid w:val="00E67513"/>
    <w:rsid w:val="00E7407B"/>
    <w:rsid w:val="00E75F7B"/>
    <w:rsid w:val="00E779B5"/>
    <w:rsid w:val="00E847F0"/>
    <w:rsid w:val="00E92908"/>
    <w:rsid w:val="00E92EDC"/>
    <w:rsid w:val="00E9462E"/>
    <w:rsid w:val="00EA2B59"/>
    <w:rsid w:val="00EB6608"/>
    <w:rsid w:val="00EB6F37"/>
    <w:rsid w:val="00EC3D2C"/>
    <w:rsid w:val="00EC5483"/>
    <w:rsid w:val="00EC7007"/>
    <w:rsid w:val="00ED0351"/>
    <w:rsid w:val="00ED6087"/>
    <w:rsid w:val="00ED73B8"/>
    <w:rsid w:val="00ED73E3"/>
    <w:rsid w:val="00EE4088"/>
    <w:rsid w:val="00EE4AA2"/>
    <w:rsid w:val="00EE7209"/>
    <w:rsid w:val="00F061CA"/>
    <w:rsid w:val="00F07293"/>
    <w:rsid w:val="00F1193B"/>
    <w:rsid w:val="00F1659F"/>
    <w:rsid w:val="00F236E5"/>
    <w:rsid w:val="00F24659"/>
    <w:rsid w:val="00F32726"/>
    <w:rsid w:val="00F3275F"/>
    <w:rsid w:val="00F36427"/>
    <w:rsid w:val="00F37A03"/>
    <w:rsid w:val="00F432DC"/>
    <w:rsid w:val="00F45382"/>
    <w:rsid w:val="00F5389A"/>
    <w:rsid w:val="00F55176"/>
    <w:rsid w:val="00F5768B"/>
    <w:rsid w:val="00F62944"/>
    <w:rsid w:val="00F70DB5"/>
    <w:rsid w:val="00F72E21"/>
    <w:rsid w:val="00F83271"/>
    <w:rsid w:val="00FA31CB"/>
    <w:rsid w:val="00FA4248"/>
    <w:rsid w:val="00FC485E"/>
    <w:rsid w:val="00FC50CE"/>
    <w:rsid w:val="00FE612C"/>
    <w:rsid w:val="00FF0A7E"/>
    <w:rsid w:val="00FF0FE1"/>
    <w:rsid w:val="010B189A"/>
    <w:rsid w:val="015C7A5A"/>
    <w:rsid w:val="01A06636"/>
    <w:rsid w:val="01B672BA"/>
    <w:rsid w:val="01C34939"/>
    <w:rsid w:val="01EF540E"/>
    <w:rsid w:val="022343E1"/>
    <w:rsid w:val="028F14B7"/>
    <w:rsid w:val="02CA67F3"/>
    <w:rsid w:val="02CC0B5A"/>
    <w:rsid w:val="02DE6831"/>
    <w:rsid w:val="02ED0205"/>
    <w:rsid w:val="031C7C9C"/>
    <w:rsid w:val="0329074E"/>
    <w:rsid w:val="03F424BB"/>
    <w:rsid w:val="04227281"/>
    <w:rsid w:val="04581550"/>
    <w:rsid w:val="04763010"/>
    <w:rsid w:val="04B40E10"/>
    <w:rsid w:val="04DE2144"/>
    <w:rsid w:val="04DF2ECF"/>
    <w:rsid w:val="050B11BD"/>
    <w:rsid w:val="054342F9"/>
    <w:rsid w:val="0552146C"/>
    <w:rsid w:val="056B5E7B"/>
    <w:rsid w:val="05A35F91"/>
    <w:rsid w:val="05D830A9"/>
    <w:rsid w:val="05E5473B"/>
    <w:rsid w:val="05EF21A1"/>
    <w:rsid w:val="0642494A"/>
    <w:rsid w:val="06790C53"/>
    <w:rsid w:val="069D7C35"/>
    <w:rsid w:val="06A336EC"/>
    <w:rsid w:val="06B274C1"/>
    <w:rsid w:val="071C3767"/>
    <w:rsid w:val="07484404"/>
    <w:rsid w:val="076444C8"/>
    <w:rsid w:val="07B81C8E"/>
    <w:rsid w:val="07C25D68"/>
    <w:rsid w:val="08090167"/>
    <w:rsid w:val="08103ADB"/>
    <w:rsid w:val="08153216"/>
    <w:rsid w:val="085D5AE7"/>
    <w:rsid w:val="08B34633"/>
    <w:rsid w:val="092D6911"/>
    <w:rsid w:val="093A787E"/>
    <w:rsid w:val="097A3A1E"/>
    <w:rsid w:val="098C7E9A"/>
    <w:rsid w:val="09A8018A"/>
    <w:rsid w:val="0A02646E"/>
    <w:rsid w:val="0A0E2DB3"/>
    <w:rsid w:val="0A2B604D"/>
    <w:rsid w:val="0A3B43AD"/>
    <w:rsid w:val="0A484E98"/>
    <w:rsid w:val="0A553B3D"/>
    <w:rsid w:val="0AD31776"/>
    <w:rsid w:val="0AD575F2"/>
    <w:rsid w:val="0AFD0555"/>
    <w:rsid w:val="0B19279D"/>
    <w:rsid w:val="0B2F1BE7"/>
    <w:rsid w:val="0B31477B"/>
    <w:rsid w:val="0B5353CC"/>
    <w:rsid w:val="0B574D74"/>
    <w:rsid w:val="0B7553B2"/>
    <w:rsid w:val="0BAB4A4E"/>
    <w:rsid w:val="0CDF4475"/>
    <w:rsid w:val="0CE45984"/>
    <w:rsid w:val="0D0866D0"/>
    <w:rsid w:val="0D44551E"/>
    <w:rsid w:val="0D6A548D"/>
    <w:rsid w:val="0DDF7ECB"/>
    <w:rsid w:val="0E011894"/>
    <w:rsid w:val="0E4312DC"/>
    <w:rsid w:val="0E6C3BA2"/>
    <w:rsid w:val="0E974E8C"/>
    <w:rsid w:val="0EA0228A"/>
    <w:rsid w:val="0EB42BA4"/>
    <w:rsid w:val="0EC3507E"/>
    <w:rsid w:val="0EF35AB2"/>
    <w:rsid w:val="0F194B43"/>
    <w:rsid w:val="0F2B28FC"/>
    <w:rsid w:val="0F466AE6"/>
    <w:rsid w:val="10034CB9"/>
    <w:rsid w:val="103D0774"/>
    <w:rsid w:val="105C1943"/>
    <w:rsid w:val="106172EF"/>
    <w:rsid w:val="11317039"/>
    <w:rsid w:val="113969C6"/>
    <w:rsid w:val="11566013"/>
    <w:rsid w:val="116853B8"/>
    <w:rsid w:val="11767D26"/>
    <w:rsid w:val="11B560F4"/>
    <w:rsid w:val="11D93C5B"/>
    <w:rsid w:val="11F21217"/>
    <w:rsid w:val="124812B6"/>
    <w:rsid w:val="126C6CDC"/>
    <w:rsid w:val="12BB6C9B"/>
    <w:rsid w:val="12BE68A4"/>
    <w:rsid w:val="12E56BA0"/>
    <w:rsid w:val="130F3ED8"/>
    <w:rsid w:val="13197739"/>
    <w:rsid w:val="13504B46"/>
    <w:rsid w:val="1383408A"/>
    <w:rsid w:val="1385609E"/>
    <w:rsid w:val="13BB1221"/>
    <w:rsid w:val="13C501BB"/>
    <w:rsid w:val="13E338F1"/>
    <w:rsid w:val="144A6F9D"/>
    <w:rsid w:val="14541BF5"/>
    <w:rsid w:val="14A4588B"/>
    <w:rsid w:val="14DE3778"/>
    <w:rsid w:val="14E0295A"/>
    <w:rsid w:val="14EC6AF2"/>
    <w:rsid w:val="150D5158"/>
    <w:rsid w:val="150E05F5"/>
    <w:rsid w:val="15131083"/>
    <w:rsid w:val="15173F36"/>
    <w:rsid w:val="15242A2B"/>
    <w:rsid w:val="15771872"/>
    <w:rsid w:val="1582028C"/>
    <w:rsid w:val="15A73766"/>
    <w:rsid w:val="15D15C70"/>
    <w:rsid w:val="160B63F4"/>
    <w:rsid w:val="167E2F52"/>
    <w:rsid w:val="16E738CB"/>
    <w:rsid w:val="1726289B"/>
    <w:rsid w:val="174649AC"/>
    <w:rsid w:val="17533676"/>
    <w:rsid w:val="176B7561"/>
    <w:rsid w:val="177A17A7"/>
    <w:rsid w:val="17B63602"/>
    <w:rsid w:val="17D95326"/>
    <w:rsid w:val="17E2720D"/>
    <w:rsid w:val="17F61F4C"/>
    <w:rsid w:val="17F83156"/>
    <w:rsid w:val="18252D4D"/>
    <w:rsid w:val="183A6996"/>
    <w:rsid w:val="18437363"/>
    <w:rsid w:val="1846772A"/>
    <w:rsid w:val="18583481"/>
    <w:rsid w:val="18A40BC9"/>
    <w:rsid w:val="18C77104"/>
    <w:rsid w:val="18D07C10"/>
    <w:rsid w:val="18D40548"/>
    <w:rsid w:val="18D60BCF"/>
    <w:rsid w:val="18E00BAA"/>
    <w:rsid w:val="190D6043"/>
    <w:rsid w:val="1925378D"/>
    <w:rsid w:val="193C7CE9"/>
    <w:rsid w:val="193E59CC"/>
    <w:rsid w:val="197607B7"/>
    <w:rsid w:val="1A0D2574"/>
    <w:rsid w:val="1A202746"/>
    <w:rsid w:val="1A4F2DB6"/>
    <w:rsid w:val="1A532D3E"/>
    <w:rsid w:val="1A921431"/>
    <w:rsid w:val="1BB0283C"/>
    <w:rsid w:val="1C554071"/>
    <w:rsid w:val="1C701CD7"/>
    <w:rsid w:val="1C9E3D80"/>
    <w:rsid w:val="1CC83B8B"/>
    <w:rsid w:val="1CF7142C"/>
    <w:rsid w:val="1D36023C"/>
    <w:rsid w:val="1D7605C5"/>
    <w:rsid w:val="1D815A4F"/>
    <w:rsid w:val="1D900E67"/>
    <w:rsid w:val="1D933476"/>
    <w:rsid w:val="1DA52D6A"/>
    <w:rsid w:val="1DED2D1C"/>
    <w:rsid w:val="1DF0167A"/>
    <w:rsid w:val="1E3C6CD1"/>
    <w:rsid w:val="1EB429C9"/>
    <w:rsid w:val="1EDC1D2C"/>
    <w:rsid w:val="1EDF5C67"/>
    <w:rsid w:val="1F2127EB"/>
    <w:rsid w:val="1F7A283C"/>
    <w:rsid w:val="1F9C3618"/>
    <w:rsid w:val="1FEB65CA"/>
    <w:rsid w:val="2010711B"/>
    <w:rsid w:val="20352C1D"/>
    <w:rsid w:val="203B46C2"/>
    <w:rsid w:val="20433617"/>
    <w:rsid w:val="20584136"/>
    <w:rsid w:val="205920E7"/>
    <w:rsid w:val="20651531"/>
    <w:rsid w:val="20B36224"/>
    <w:rsid w:val="20BE3850"/>
    <w:rsid w:val="20CD30F2"/>
    <w:rsid w:val="2106725A"/>
    <w:rsid w:val="211F519D"/>
    <w:rsid w:val="211F5998"/>
    <w:rsid w:val="214538B3"/>
    <w:rsid w:val="219A6B87"/>
    <w:rsid w:val="21BC6F83"/>
    <w:rsid w:val="21D94278"/>
    <w:rsid w:val="21E42B8E"/>
    <w:rsid w:val="220504B7"/>
    <w:rsid w:val="221F29CF"/>
    <w:rsid w:val="22680EB9"/>
    <w:rsid w:val="22B627F1"/>
    <w:rsid w:val="230C479B"/>
    <w:rsid w:val="23223D30"/>
    <w:rsid w:val="23417D10"/>
    <w:rsid w:val="23645B24"/>
    <w:rsid w:val="23F24EDE"/>
    <w:rsid w:val="241E4F60"/>
    <w:rsid w:val="2442127D"/>
    <w:rsid w:val="24933F2D"/>
    <w:rsid w:val="24974B88"/>
    <w:rsid w:val="249D07DF"/>
    <w:rsid w:val="24C11BFD"/>
    <w:rsid w:val="24E231A5"/>
    <w:rsid w:val="24F45D08"/>
    <w:rsid w:val="25037925"/>
    <w:rsid w:val="250C566D"/>
    <w:rsid w:val="259F5FC0"/>
    <w:rsid w:val="25B805A2"/>
    <w:rsid w:val="25CA71F4"/>
    <w:rsid w:val="25E6296F"/>
    <w:rsid w:val="26005369"/>
    <w:rsid w:val="269023B6"/>
    <w:rsid w:val="2715317C"/>
    <w:rsid w:val="273B4DEE"/>
    <w:rsid w:val="276F7988"/>
    <w:rsid w:val="277D71B5"/>
    <w:rsid w:val="27C4711E"/>
    <w:rsid w:val="27D15D24"/>
    <w:rsid w:val="281B1250"/>
    <w:rsid w:val="283467CF"/>
    <w:rsid w:val="286839C1"/>
    <w:rsid w:val="28B53ADF"/>
    <w:rsid w:val="28D64372"/>
    <w:rsid w:val="28DB41F8"/>
    <w:rsid w:val="29032C29"/>
    <w:rsid w:val="290C5BBB"/>
    <w:rsid w:val="290E4A58"/>
    <w:rsid w:val="291E52E7"/>
    <w:rsid w:val="297C3C21"/>
    <w:rsid w:val="2996266F"/>
    <w:rsid w:val="29B846AA"/>
    <w:rsid w:val="29FB3EBB"/>
    <w:rsid w:val="2A0622C2"/>
    <w:rsid w:val="2A141469"/>
    <w:rsid w:val="2A5E5E7C"/>
    <w:rsid w:val="2A84229B"/>
    <w:rsid w:val="2A8B5EB5"/>
    <w:rsid w:val="2AF91248"/>
    <w:rsid w:val="2B2972EA"/>
    <w:rsid w:val="2B4C0873"/>
    <w:rsid w:val="2B6A33F2"/>
    <w:rsid w:val="2B841D92"/>
    <w:rsid w:val="2BAA0794"/>
    <w:rsid w:val="2BC1037C"/>
    <w:rsid w:val="2BC204A2"/>
    <w:rsid w:val="2BD46F22"/>
    <w:rsid w:val="2BFA1A90"/>
    <w:rsid w:val="2C035CE9"/>
    <w:rsid w:val="2C1053DE"/>
    <w:rsid w:val="2C757AD7"/>
    <w:rsid w:val="2CD56AC1"/>
    <w:rsid w:val="2D3079E3"/>
    <w:rsid w:val="2D3124CC"/>
    <w:rsid w:val="2D5168D6"/>
    <w:rsid w:val="2D580B77"/>
    <w:rsid w:val="2D595924"/>
    <w:rsid w:val="2D6D2698"/>
    <w:rsid w:val="2D7D68B1"/>
    <w:rsid w:val="2D9948B6"/>
    <w:rsid w:val="2E1E66DA"/>
    <w:rsid w:val="2E3F59EE"/>
    <w:rsid w:val="2E70389B"/>
    <w:rsid w:val="2E8F5364"/>
    <w:rsid w:val="2EC71151"/>
    <w:rsid w:val="2ECC25E0"/>
    <w:rsid w:val="2EFC27DD"/>
    <w:rsid w:val="2F072544"/>
    <w:rsid w:val="2F0F6309"/>
    <w:rsid w:val="2F202CC8"/>
    <w:rsid w:val="2F8102C5"/>
    <w:rsid w:val="2F836E54"/>
    <w:rsid w:val="2FBE084C"/>
    <w:rsid w:val="2FD1468A"/>
    <w:rsid w:val="30197C97"/>
    <w:rsid w:val="302C5C1C"/>
    <w:rsid w:val="302D6D6D"/>
    <w:rsid w:val="303357D0"/>
    <w:rsid w:val="3034277B"/>
    <w:rsid w:val="30964863"/>
    <w:rsid w:val="30A62CD9"/>
    <w:rsid w:val="30B14429"/>
    <w:rsid w:val="30BE0094"/>
    <w:rsid w:val="30ED6292"/>
    <w:rsid w:val="31184B1D"/>
    <w:rsid w:val="31761E32"/>
    <w:rsid w:val="319746C6"/>
    <w:rsid w:val="31B14CE2"/>
    <w:rsid w:val="31EB730F"/>
    <w:rsid w:val="31F84188"/>
    <w:rsid w:val="31FB7648"/>
    <w:rsid w:val="32165F76"/>
    <w:rsid w:val="32B65873"/>
    <w:rsid w:val="33155B55"/>
    <w:rsid w:val="33214721"/>
    <w:rsid w:val="33452215"/>
    <w:rsid w:val="33472344"/>
    <w:rsid w:val="336B0D83"/>
    <w:rsid w:val="33BC7022"/>
    <w:rsid w:val="33C34B23"/>
    <w:rsid w:val="33D12561"/>
    <w:rsid w:val="3449414B"/>
    <w:rsid w:val="344A65A6"/>
    <w:rsid w:val="348002E4"/>
    <w:rsid w:val="34AE3729"/>
    <w:rsid w:val="34F315C9"/>
    <w:rsid w:val="34F56730"/>
    <w:rsid w:val="35135D6B"/>
    <w:rsid w:val="35347E4C"/>
    <w:rsid w:val="356C510B"/>
    <w:rsid w:val="35762693"/>
    <w:rsid w:val="36160386"/>
    <w:rsid w:val="361C41C2"/>
    <w:rsid w:val="365618E5"/>
    <w:rsid w:val="37207180"/>
    <w:rsid w:val="37217A94"/>
    <w:rsid w:val="3730647F"/>
    <w:rsid w:val="37356A1A"/>
    <w:rsid w:val="38081A12"/>
    <w:rsid w:val="380835F6"/>
    <w:rsid w:val="381E6D3A"/>
    <w:rsid w:val="384F0623"/>
    <w:rsid w:val="38963849"/>
    <w:rsid w:val="38C95885"/>
    <w:rsid w:val="38FF6F23"/>
    <w:rsid w:val="39413D25"/>
    <w:rsid w:val="39542518"/>
    <w:rsid w:val="395444FA"/>
    <w:rsid w:val="39D675DC"/>
    <w:rsid w:val="39EA1A76"/>
    <w:rsid w:val="39F772AB"/>
    <w:rsid w:val="3A283D32"/>
    <w:rsid w:val="3A527D28"/>
    <w:rsid w:val="3AAA4564"/>
    <w:rsid w:val="3AE90CE3"/>
    <w:rsid w:val="3AF026FC"/>
    <w:rsid w:val="3AF45CF4"/>
    <w:rsid w:val="3C027576"/>
    <w:rsid w:val="3C1E0388"/>
    <w:rsid w:val="3C467529"/>
    <w:rsid w:val="3C5417B8"/>
    <w:rsid w:val="3CA36EA2"/>
    <w:rsid w:val="3CBF4371"/>
    <w:rsid w:val="3CD72076"/>
    <w:rsid w:val="3CEF6007"/>
    <w:rsid w:val="3CFC0724"/>
    <w:rsid w:val="3D356A5D"/>
    <w:rsid w:val="3D360190"/>
    <w:rsid w:val="3D6461E9"/>
    <w:rsid w:val="3D99436B"/>
    <w:rsid w:val="3DA345F3"/>
    <w:rsid w:val="3DBE13A0"/>
    <w:rsid w:val="3DC26BBB"/>
    <w:rsid w:val="3E6B5B61"/>
    <w:rsid w:val="3EB15615"/>
    <w:rsid w:val="3EE058CA"/>
    <w:rsid w:val="3EE43D34"/>
    <w:rsid w:val="3EED0DE3"/>
    <w:rsid w:val="3F775C51"/>
    <w:rsid w:val="3F9D22D0"/>
    <w:rsid w:val="3FA64287"/>
    <w:rsid w:val="3FAE44D9"/>
    <w:rsid w:val="40393CE9"/>
    <w:rsid w:val="40B14B0B"/>
    <w:rsid w:val="40CF458C"/>
    <w:rsid w:val="40D63DE8"/>
    <w:rsid w:val="40DD3F1A"/>
    <w:rsid w:val="40E4499B"/>
    <w:rsid w:val="40E550F0"/>
    <w:rsid w:val="41364387"/>
    <w:rsid w:val="413B7A9F"/>
    <w:rsid w:val="4155440D"/>
    <w:rsid w:val="41AB15F1"/>
    <w:rsid w:val="41B65345"/>
    <w:rsid w:val="41F2318B"/>
    <w:rsid w:val="41F45D04"/>
    <w:rsid w:val="4217513E"/>
    <w:rsid w:val="4264002A"/>
    <w:rsid w:val="428B0A99"/>
    <w:rsid w:val="435842C4"/>
    <w:rsid w:val="4366326C"/>
    <w:rsid w:val="43B52085"/>
    <w:rsid w:val="43BE1E0B"/>
    <w:rsid w:val="43DE7903"/>
    <w:rsid w:val="43F76DCC"/>
    <w:rsid w:val="43FA3894"/>
    <w:rsid w:val="44111323"/>
    <w:rsid w:val="44137E33"/>
    <w:rsid w:val="44157F2E"/>
    <w:rsid w:val="44283088"/>
    <w:rsid w:val="444017FA"/>
    <w:rsid w:val="445F7E82"/>
    <w:rsid w:val="44C70D83"/>
    <w:rsid w:val="44DF212D"/>
    <w:rsid w:val="44F41DC0"/>
    <w:rsid w:val="45176AB9"/>
    <w:rsid w:val="453652CF"/>
    <w:rsid w:val="4549453D"/>
    <w:rsid w:val="454F7684"/>
    <w:rsid w:val="455C688C"/>
    <w:rsid w:val="45A063DC"/>
    <w:rsid w:val="45A43F98"/>
    <w:rsid w:val="45A90562"/>
    <w:rsid w:val="45AF3CA8"/>
    <w:rsid w:val="4628316C"/>
    <w:rsid w:val="46530441"/>
    <w:rsid w:val="465865E1"/>
    <w:rsid w:val="465A0A3E"/>
    <w:rsid w:val="46615530"/>
    <w:rsid w:val="468C498A"/>
    <w:rsid w:val="46A94011"/>
    <w:rsid w:val="4702371A"/>
    <w:rsid w:val="470C26C7"/>
    <w:rsid w:val="4712301E"/>
    <w:rsid w:val="476250F3"/>
    <w:rsid w:val="47687356"/>
    <w:rsid w:val="48631101"/>
    <w:rsid w:val="486A0C38"/>
    <w:rsid w:val="48774CC8"/>
    <w:rsid w:val="48E3012E"/>
    <w:rsid w:val="49475162"/>
    <w:rsid w:val="49492F43"/>
    <w:rsid w:val="496D648B"/>
    <w:rsid w:val="496E1FB9"/>
    <w:rsid w:val="498A720F"/>
    <w:rsid w:val="49B055C0"/>
    <w:rsid w:val="49EC224C"/>
    <w:rsid w:val="4A250933"/>
    <w:rsid w:val="4A5A4681"/>
    <w:rsid w:val="4A6718D3"/>
    <w:rsid w:val="4A87251C"/>
    <w:rsid w:val="4AB84357"/>
    <w:rsid w:val="4AC26949"/>
    <w:rsid w:val="4ADA6CE0"/>
    <w:rsid w:val="4ADD237F"/>
    <w:rsid w:val="4B026AAD"/>
    <w:rsid w:val="4B0C3700"/>
    <w:rsid w:val="4B1550A5"/>
    <w:rsid w:val="4B211032"/>
    <w:rsid w:val="4B3F6860"/>
    <w:rsid w:val="4B4B11F4"/>
    <w:rsid w:val="4B537400"/>
    <w:rsid w:val="4B6A080C"/>
    <w:rsid w:val="4B851889"/>
    <w:rsid w:val="4BA82C06"/>
    <w:rsid w:val="4BD762D1"/>
    <w:rsid w:val="4C0037F0"/>
    <w:rsid w:val="4C0D65DD"/>
    <w:rsid w:val="4C115924"/>
    <w:rsid w:val="4C1535EF"/>
    <w:rsid w:val="4C2116A0"/>
    <w:rsid w:val="4C235CCD"/>
    <w:rsid w:val="4C4F0ADC"/>
    <w:rsid w:val="4C8546F8"/>
    <w:rsid w:val="4C9C1789"/>
    <w:rsid w:val="4CB82CFE"/>
    <w:rsid w:val="4CC51442"/>
    <w:rsid w:val="4CEA66B0"/>
    <w:rsid w:val="4CF07A79"/>
    <w:rsid w:val="4CFC5F2D"/>
    <w:rsid w:val="4D260EA4"/>
    <w:rsid w:val="4D35367E"/>
    <w:rsid w:val="4D5B13B6"/>
    <w:rsid w:val="4D68023F"/>
    <w:rsid w:val="4D9A40C6"/>
    <w:rsid w:val="4E106FF1"/>
    <w:rsid w:val="4E881E17"/>
    <w:rsid w:val="4E8B5686"/>
    <w:rsid w:val="4E8D013E"/>
    <w:rsid w:val="4E8F0A57"/>
    <w:rsid w:val="4EA129BB"/>
    <w:rsid w:val="4EAD2930"/>
    <w:rsid w:val="4EF13E61"/>
    <w:rsid w:val="4EF36BCA"/>
    <w:rsid w:val="4F0273F0"/>
    <w:rsid w:val="4F2D563F"/>
    <w:rsid w:val="4FD277EE"/>
    <w:rsid w:val="4FD63E50"/>
    <w:rsid w:val="50242014"/>
    <w:rsid w:val="503C3314"/>
    <w:rsid w:val="508B6D2F"/>
    <w:rsid w:val="5114393A"/>
    <w:rsid w:val="515C16B1"/>
    <w:rsid w:val="516D0BDF"/>
    <w:rsid w:val="51845F62"/>
    <w:rsid w:val="51CA2FD2"/>
    <w:rsid w:val="52135F1F"/>
    <w:rsid w:val="525151FB"/>
    <w:rsid w:val="52E407CE"/>
    <w:rsid w:val="52E70521"/>
    <w:rsid w:val="52FA1488"/>
    <w:rsid w:val="53251564"/>
    <w:rsid w:val="533E011C"/>
    <w:rsid w:val="537B1FF4"/>
    <w:rsid w:val="53963CBC"/>
    <w:rsid w:val="53B10155"/>
    <w:rsid w:val="541130E6"/>
    <w:rsid w:val="54373A6E"/>
    <w:rsid w:val="543A7721"/>
    <w:rsid w:val="548B2239"/>
    <w:rsid w:val="54FF095A"/>
    <w:rsid w:val="551E5284"/>
    <w:rsid w:val="552B3C39"/>
    <w:rsid w:val="553D58F9"/>
    <w:rsid w:val="55471DD7"/>
    <w:rsid w:val="556959E4"/>
    <w:rsid w:val="556D100F"/>
    <w:rsid w:val="557F6076"/>
    <w:rsid w:val="55A603F8"/>
    <w:rsid w:val="55C302C1"/>
    <w:rsid w:val="55CB2509"/>
    <w:rsid w:val="55D125F2"/>
    <w:rsid w:val="5689497F"/>
    <w:rsid w:val="56A95021"/>
    <w:rsid w:val="56DA0735"/>
    <w:rsid w:val="56EA00AC"/>
    <w:rsid w:val="57160908"/>
    <w:rsid w:val="572D34F0"/>
    <w:rsid w:val="572F10B2"/>
    <w:rsid w:val="57447D2A"/>
    <w:rsid w:val="57610CD0"/>
    <w:rsid w:val="57D52EA9"/>
    <w:rsid w:val="58405511"/>
    <w:rsid w:val="584E7A28"/>
    <w:rsid w:val="58D8759F"/>
    <w:rsid w:val="58DA55E3"/>
    <w:rsid w:val="58E24763"/>
    <w:rsid w:val="58E334B7"/>
    <w:rsid w:val="58F90671"/>
    <w:rsid w:val="59351B35"/>
    <w:rsid w:val="596A00C5"/>
    <w:rsid w:val="59810DBF"/>
    <w:rsid w:val="59BF4B49"/>
    <w:rsid w:val="59CE05F1"/>
    <w:rsid w:val="59E92425"/>
    <w:rsid w:val="5A266305"/>
    <w:rsid w:val="5A2C551F"/>
    <w:rsid w:val="5A964976"/>
    <w:rsid w:val="5AB42E2E"/>
    <w:rsid w:val="5AC51FAA"/>
    <w:rsid w:val="5B551D9A"/>
    <w:rsid w:val="5B7C733B"/>
    <w:rsid w:val="5C0560E5"/>
    <w:rsid w:val="5C084598"/>
    <w:rsid w:val="5C5847A4"/>
    <w:rsid w:val="5C5F3C3D"/>
    <w:rsid w:val="5C7543CD"/>
    <w:rsid w:val="5CEE7C31"/>
    <w:rsid w:val="5D59195E"/>
    <w:rsid w:val="5D677EDE"/>
    <w:rsid w:val="5D870D91"/>
    <w:rsid w:val="5D8D65F6"/>
    <w:rsid w:val="5DBF2285"/>
    <w:rsid w:val="5DDE5362"/>
    <w:rsid w:val="5DE026AC"/>
    <w:rsid w:val="5E02567A"/>
    <w:rsid w:val="5E184AA4"/>
    <w:rsid w:val="5E631AF1"/>
    <w:rsid w:val="5E9C52AE"/>
    <w:rsid w:val="5EF64B7B"/>
    <w:rsid w:val="5F0C52D3"/>
    <w:rsid w:val="5F0E0117"/>
    <w:rsid w:val="5F2C1E46"/>
    <w:rsid w:val="5F3C3384"/>
    <w:rsid w:val="5F661D01"/>
    <w:rsid w:val="5FFB36A9"/>
    <w:rsid w:val="5FFF156D"/>
    <w:rsid w:val="602D1E31"/>
    <w:rsid w:val="605E595F"/>
    <w:rsid w:val="60A06F83"/>
    <w:rsid w:val="60CC01EA"/>
    <w:rsid w:val="61691A8E"/>
    <w:rsid w:val="616E1427"/>
    <w:rsid w:val="61B26B9B"/>
    <w:rsid w:val="61E50E7F"/>
    <w:rsid w:val="61E60C93"/>
    <w:rsid w:val="62373698"/>
    <w:rsid w:val="624E6F3E"/>
    <w:rsid w:val="62967546"/>
    <w:rsid w:val="62A41D30"/>
    <w:rsid w:val="62C202DE"/>
    <w:rsid w:val="62CB3F68"/>
    <w:rsid w:val="62E730A6"/>
    <w:rsid w:val="62F06B5E"/>
    <w:rsid w:val="63214B48"/>
    <w:rsid w:val="632738A0"/>
    <w:rsid w:val="63392EAF"/>
    <w:rsid w:val="63604431"/>
    <w:rsid w:val="636E7831"/>
    <w:rsid w:val="64025F76"/>
    <w:rsid w:val="641A0AE8"/>
    <w:rsid w:val="6469734B"/>
    <w:rsid w:val="64861AE7"/>
    <w:rsid w:val="648A48D8"/>
    <w:rsid w:val="649A4A50"/>
    <w:rsid w:val="64AF67D5"/>
    <w:rsid w:val="64CF20F6"/>
    <w:rsid w:val="64FA03AC"/>
    <w:rsid w:val="651961F9"/>
    <w:rsid w:val="653675F1"/>
    <w:rsid w:val="65947D94"/>
    <w:rsid w:val="6596018E"/>
    <w:rsid w:val="65A037C3"/>
    <w:rsid w:val="65CB1E86"/>
    <w:rsid w:val="665925BF"/>
    <w:rsid w:val="666F2A50"/>
    <w:rsid w:val="66740D2D"/>
    <w:rsid w:val="667A10C6"/>
    <w:rsid w:val="66835F49"/>
    <w:rsid w:val="66921F86"/>
    <w:rsid w:val="669F1FCC"/>
    <w:rsid w:val="669F5046"/>
    <w:rsid w:val="673C5449"/>
    <w:rsid w:val="674477C5"/>
    <w:rsid w:val="674A6B18"/>
    <w:rsid w:val="677031E0"/>
    <w:rsid w:val="67762E59"/>
    <w:rsid w:val="68035187"/>
    <w:rsid w:val="680F0B52"/>
    <w:rsid w:val="6844717E"/>
    <w:rsid w:val="68631AD6"/>
    <w:rsid w:val="688625CD"/>
    <w:rsid w:val="68FB546B"/>
    <w:rsid w:val="693E7015"/>
    <w:rsid w:val="695311C7"/>
    <w:rsid w:val="6957616C"/>
    <w:rsid w:val="699D061E"/>
    <w:rsid w:val="69CE2F54"/>
    <w:rsid w:val="6A0D4DA0"/>
    <w:rsid w:val="6A0F5AE6"/>
    <w:rsid w:val="6A204244"/>
    <w:rsid w:val="6A4D44AF"/>
    <w:rsid w:val="6A64723C"/>
    <w:rsid w:val="6A654A89"/>
    <w:rsid w:val="6A6C5CD4"/>
    <w:rsid w:val="6B107522"/>
    <w:rsid w:val="6B150577"/>
    <w:rsid w:val="6B292193"/>
    <w:rsid w:val="6B451771"/>
    <w:rsid w:val="6B6A4EDA"/>
    <w:rsid w:val="6B7B3B2E"/>
    <w:rsid w:val="6B815246"/>
    <w:rsid w:val="6B925343"/>
    <w:rsid w:val="6BA63569"/>
    <w:rsid w:val="6BC307E3"/>
    <w:rsid w:val="6C146EF8"/>
    <w:rsid w:val="6C18238E"/>
    <w:rsid w:val="6C2C6080"/>
    <w:rsid w:val="6C373EA7"/>
    <w:rsid w:val="6C73101A"/>
    <w:rsid w:val="6C7F6E9B"/>
    <w:rsid w:val="6CD04C5E"/>
    <w:rsid w:val="6CE732F4"/>
    <w:rsid w:val="6CF71B23"/>
    <w:rsid w:val="6CFF5D51"/>
    <w:rsid w:val="6D21604A"/>
    <w:rsid w:val="6D7837E8"/>
    <w:rsid w:val="6DA51FDF"/>
    <w:rsid w:val="6DDD71CB"/>
    <w:rsid w:val="6DE54D37"/>
    <w:rsid w:val="6DF47F2D"/>
    <w:rsid w:val="6E43311D"/>
    <w:rsid w:val="6E5642E9"/>
    <w:rsid w:val="6E9879FD"/>
    <w:rsid w:val="6E9B0CB6"/>
    <w:rsid w:val="6EC478BB"/>
    <w:rsid w:val="6EF475A0"/>
    <w:rsid w:val="6F123236"/>
    <w:rsid w:val="6F494341"/>
    <w:rsid w:val="6F66312C"/>
    <w:rsid w:val="6F870B01"/>
    <w:rsid w:val="6FA56875"/>
    <w:rsid w:val="700D1762"/>
    <w:rsid w:val="704506AA"/>
    <w:rsid w:val="706A1BA3"/>
    <w:rsid w:val="70707863"/>
    <w:rsid w:val="70C96668"/>
    <w:rsid w:val="70EC5AC9"/>
    <w:rsid w:val="7101188A"/>
    <w:rsid w:val="71254EBD"/>
    <w:rsid w:val="712604E9"/>
    <w:rsid w:val="712E52BC"/>
    <w:rsid w:val="71717CA9"/>
    <w:rsid w:val="717209E9"/>
    <w:rsid w:val="71877035"/>
    <w:rsid w:val="718D2DE0"/>
    <w:rsid w:val="71D65045"/>
    <w:rsid w:val="71EA185B"/>
    <w:rsid w:val="72157B1D"/>
    <w:rsid w:val="726C04D4"/>
    <w:rsid w:val="728409C4"/>
    <w:rsid w:val="728704B4"/>
    <w:rsid w:val="72A83CCB"/>
    <w:rsid w:val="72B1685A"/>
    <w:rsid w:val="72CE714F"/>
    <w:rsid w:val="72D0379A"/>
    <w:rsid w:val="72DA4CA6"/>
    <w:rsid w:val="72E80582"/>
    <w:rsid w:val="73A3670E"/>
    <w:rsid w:val="73AA3458"/>
    <w:rsid w:val="73B62A6B"/>
    <w:rsid w:val="73FA68C6"/>
    <w:rsid w:val="74353D96"/>
    <w:rsid w:val="74B25405"/>
    <w:rsid w:val="74BD01BD"/>
    <w:rsid w:val="750801B5"/>
    <w:rsid w:val="750D76A9"/>
    <w:rsid w:val="75844B80"/>
    <w:rsid w:val="75A86778"/>
    <w:rsid w:val="75EC5669"/>
    <w:rsid w:val="76103A7A"/>
    <w:rsid w:val="761F2C7F"/>
    <w:rsid w:val="76264DBE"/>
    <w:rsid w:val="76666C37"/>
    <w:rsid w:val="76724F4D"/>
    <w:rsid w:val="768853C5"/>
    <w:rsid w:val="769E4044"/>
    <w:rsid w:val="76D94363"/>
    <w:rsid w:val="76FA0602"/>
    <w:rsid w:val="77080BCF"/>
    <w:rsid w:val="77804158"/>
    <w:rsid w:val="779F5548"/>
    <w:rsid w:val="77B34114"/>
    <w:rsid w:val="77BE7470"/>
    <w:rsid w:val="77C10C8D"/>
    <w:rsid w:val="781826B8"/>
    <w:rsid w:val="78533805"/>
    <w:rsid w:val="78586603"/>
    <w:rsid w:val="785B31A4"/>
    <w:rsid w:val="78627F58"/>
    <w:rsid w:val="78677DA9"/>
    <w:rsid w:val="78B74A2E"/>
    <w:rsid w:val="78D43BF9"/>
    <w:rsid w:val="78DC0919"/>
    <w:rsid w:val="78E42870"/>
    <w:rsid w:val="78ED3E5A"/>
    <w:rsid w:val="791B299E"/>
    <w:rsid w:val="79664F86"/>
    <w:rsid w:val="79B54C50"/>
    <w:rsid w:val="79D6245D"/>
    <w:rsid w:val="7A027548"/>
    <w:rsid w:val="7A2B26DD"/>
    <w:rsid w:val="7A3F770D"/>
    <w:rsid w:val="7A615B5C"/>
    <w:rsid w:val="7AB06B94"/>
    <w:rsid w:val="7ABB7451"/>
    <w:rsid w:val="7AED4C69"/>
    <w:rsid w:val="7AF76793"/>
    <w:rsid w:val="7B1B0354"/>
    <w:rsid w:val="7B285C2D"/>
    <w:rsid w:val="7B3043F4"/>
    <w:rsid w:val="7B6651A7"/>
    <w:rsid w:val="7B8101CA"/>
    <w:rsid w:val="7B8620A8"/>
    <w:rsid w:val="7BD22F18"/>
    <w:rsid w:val="7BEF0CCC"/>
    <w:rsid w:val="7C0D4E8E"/>
    <w:rsid w:val="7C1363C4"/>
    <w:rsid w:val="7C68106E"/>
    <w:rsid w:val="7D694A6E"/>
    <w:rsid w:val="7D826E19"/>
    <w:rsid w:val="7DF22622"/>
    <w:rsid w:val="7E7A1631"/>
    <w:rsid w:val="7E86547F"/>
    <w:rsid w:val="7EAA5E9A"/>
    <w:rsid w:val="7EE51C1B"/>
    <w:rsid w:val="7EEF550B"/>
    <w:rsid w:val="7F09587D"/>
    <w:rsid w:val="7F386B14"/>
    <w:rsid w:val="7F3A0348"/>
    <w:rsid w:val="7FC1098B"/>
    <w:rsid w:val="7FF12263"/>
    <w:rsid w:val="7FFF5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8"/>
    <w:qFormat/>
    <w:uiPriority w:val="0"/>
    <w:pPr>
      <w:keepNext/>
      <w:keepLines/>
      <w:spacing w:before="340" w:after="330" w:line="360" w:lineRule="auto"/>
      <w:jc w:val="center"/>
      <w:outlineLvl w:val="0"/>
    </w:pPr>
    <w:rPr>
      <w:b/>
      <w:bCs/>
      <w:kern w:val="44"/>
      <w:sz w:val="44"/>
      <w:szCs w:val="44"/>
    </w:rPr>
  </w:style>
  <w:style w:type="paragraph" w:styleId="7">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3" w:lineRule="auto"/>
      <w:outlineLvl w:val="2"/>
    </w:pPr>
    <w:rPr>
      <w:b/>
      <w:bCs/>
      <w:sz w:val="32"/>
      <w:szCs w:val="32"/>
    </w:rPr>
  </w:style>
  <w:style w:type="paragraph" w:styleId="9">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10">
    <w:name w:val="heading 5"/>
    <w:basedOn w:val="1"/>
    <w:next w:val="1"/>
    <w:qFormat/>
    <w:uiPriority w:val="1"/>
    <w:pPr>
      <w:ind w:left="757" w:hanging="319"/>
      <w:outlineLvl w:val="5"/>
    </w:pPr>
    <w:rPr>
      <w:rFonts w:ascii="Times New Roman" w:hAnsi="Times New Roman" w:eastAsia="Times New Roman" w:cs="Times New Roman"/>
      <w:b/>
      <w:bCs/>
      <w:sz w:val="21"/>
      <w:szCs w:val="21"/>
      <w:lang w:val="zh-CN" w:eastAsia="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200" w:leftChars="200"/>
    </w:pPr>
    <w:rPr>
      <w:rFonts w:ascii="Times New Roman" w:hAnsi="Times New Roman" w:eastAsia="宋体" w:cs="Times New Roman"/>
    </w:rPr>
  </w:style>
  <w:style w:type="paragraph" w:styleId="4">
    <w:name w:val="Body Text"/>
    <w:basedOn w:val="1"/>
    <w:next w:val="1"/>
    <w:link w:val="41"/>
    <w:qFormat/>
    <w:uiPriority w:val="0"/>
    <w:rPr>
      <w:sz w:val="24"/>
    </w:rPr>
  </w:style>
  <w:style w:type="paragraph" w:styleId="5">
    <w:name w:val="Body Text First Indent"/>
    <w:basedOn w:val="4"/>
    <w:next w:val="2"/>
    <w:unhideWhenUsed/>
    <w:qFormat/>
    <w:uiPriority w:val="99"/>
    <w:pPr>
      <w:spacing w:before="100" w:beforeAutospacing="1" w:after="100" w:afterAutospacing="1"/>
      <w:ind w:firstLine="420"/>
    </w:pPr>
    <w:rPr>
      <w:sz w:val="32"/>
      <w:szCs w:val="32"/>
    </w:rPr>
  </w:style>
  <w:style w:type="paragraph" w:styleId="11">
    <w:name w:val="toc 7"/>
    <w:basedOn w:val="1"/>
    <w:next w:val="1"/>
    <w:qFormat/>
    <w:uiPriority w:val="0"/>
    <w:pPr>
      <w:ind w:left="2520" w:leftChars="1200"/>
    </w:pPr>
    <w:rPr>
      <w:rFonts w:ascii="Calibri" w:hAnsi="Calibri" w:eastAsia="宋体" w:cs="Times New Roman"/>
      <w:szCs w:val="22"/>
    </w:rPr>
  </w:style>
  <w:style w:type="paragraph" w:styleId="12">
    <w:name w:val="Normal Indent"/>
    <w:basedOn w:val="1"/>
    <w:unhideWhenUsed/>
    <w:qFormat/>
    <w:uiPriority w:val="99"/>
    <w:pPr>
      <w:ind w:firstLine="42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alloon Text"/>
    <w:basedOn w:val="1"/>
    <w:qFormat/>
    <w:uiPriority w:val="0"/>
    <w:rPr>
      <w:sz w:val="18"/>
      <w:szCs w:val="18"/>
    </w:rPr>
  </w:style>
  <w:style w:type="paragraph" w:styleId="16">
    <w:name w:val="footer"/>
    <w:basedOn w:val="1"/>
    <w:next w:val="4"/>
    <w:link w:val="42"/>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eastAsia="宋体" w:cs="Times New Roman"/>
    </w:rPr>
  </w:style>
  <w:style w:type="paragraph" w:styleId="18">
    <w:name w:val="header"/>
    <w:basedOn w:val="1"/>
    <w:next w:val="16"/>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rFonts w:ascii="宋体" w:hAnsi="宋体"/>
      <w:szCs w:val="20"/>
    </w:rPr>
  </w:style>
  <w:style w:type="paragraph" w:styleId="20">
    <w:name w:val="table of figures"/>
    <w:basedOn w:val="1"/>
    <w:next w:val="1"/>
    <w:qFormat/>
    <w:uiPriority w:val="0"/>
    <w:pPr>
      <w:ind w:leftChars="200" w:hanging="200" w:hangingChars="200"/>
    </w:pPr>
    <w:rPr>
      <w:rFonts w:ascii="Calibri" w:hAnsi="Calibri"/>
    </w:rPr>
  </w:style>
  <w:style w:type="paragraph" w:styleId="21">
    <w:name w:val="toc 2"/>
    <w:basedOn w:val="1"/>
    <w:next w:val="1"/>
    <w:qFormat/>
    <w:uiPriority w:val="0"/>
    <w:pPr>
      <w:ind w:left="420" w:leftChars="200"/>
    </w:pPr>
  </w:style>
  <w:style w:type="paragraph" w:styleId="22">
    <w:name w:val="Normal (Web)"/>
    <w:basedOn w:val="1"/>
    <w:next w:val="11"/>
    <w:qFormat/>
    <w:uiPriority w:val="0"/>
    <w:pPr>
      <w:spacing w:before="100" w:beforeAutospacing="1" w:after="100" w:afterAutospacing="1"/>
      <w:ind w:left="0" w:right="0"/>
      <w:jc w:val="left"/>
    </w:pPr>
    <w:rPr>
      <w:kern w:val="0"/>
      <w:sz w:val="24"/>
      <w:lang w:val="en-US" w:eastAsia="zh-CN" w:bidi="ar"/>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basedOn w:val="25"/>
    <w:qFormat/>
    <w:uiPriority w:val="0"/>
    <w:rPr>
      <w:color w:val="333333"/>
      <w:sz w:val="18"/>
      <w:szCs w:val="18"/>
      <w:u w:val="none"/>
    </w:rPr>
  </w:style>
  <w:style w:type="character" w:styleId="28">
    <w:name w:val="Emphasis"/>
    <w:basedOn w:val="25"/>
    <w:qFormat/>
    <w:uiPriority w:val="0"/>
  </w:style>
  <w:style w:type="character" w:styleId="29">
    <w:name w:val="HTML Definition"/>
    <w:basedOn w:val="25"/>
    <w:qFormat/>
    <w:uiPriority w:val="0"/>
  </w:style>
  <w:style w:type="character" w:styleId="30">
    <w:name w:val="HTML Variable"/>
    <w:basedOn w:val="25"/>
    <w:qFormat/>
    <w:uiPriority w:val="0"/>
  </w:style>
  <w:style w:type="character" w:styleId="31">
    <w:name w:val="Hyperlink"/>
    <w:basedOn w:val="25"/>
    <w:qFormat/>
    <w:uiPriority w:val="99"/>
    <w:rPr>
      <w:color w:val="333333"/>
      <w:sz w:val="18"/>
      <w:szCs w:val="18"/>
      <w:u w:val="none"/>
    </w:rPr>
  </w:style>
  <w:style w:type="character" w:styleId="32">
    <w:name w:val="HTML Code"/>
    <w:basedOn w:val="25"/>
    <w:qFormat/>
    <w:uiPriority w:val="0"/>
    <w:rPr>
      <w:rFonts w:ascii="Courier New" w:hAnsi="Courier New"/>
      <w:sz w:val="20"/>
    </w:rPr>
  </w:style>
  <w:style w:type="character" w:styleId="33">
    <w:name w:val="HTML Cite"/>
    <w:basedOn w:val="25"/>
    <w:qFormat/>
    <w:uiPriority w:val="0"/>
  </w:style>
  <w:style w:type="paragraph" w:customStyle="1" w:styleId="34">
    <w:name w:val="Default"/>
    <w:basedOn w:val="35"/>
    <w:next w:val="18"/>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Times New Roman"/>
      <w:color w:val="000000"/>
      <w:kern w:val="0"/>
      <w:sz w:val="24"/>
      <w:szCs w:val="24"/>
      <w:lang w:val="en-US" w:eastAsia="zh-CN" w:bidi="ar"/>
    </w:rPr>
  </w:style>
  <w:style w:type="paragraph" w:customStyle="1" w:styleId="35">
    <w:name w:val="标书正文"/>
    <w:basedOn w:val="1"/>
    <w:next w:val="36"/>
    <w:qFormat/>
    <w:uiPriority w:val="0"/>
    <w:pPr>
      <w:snapToGrid w:val="0"/>
      <w:ind w:firstLine="567"/>
    </w:pPr>
  </w:style>
  <w:style w:type="paragraph" w:customStyle="1" w:styleId="36">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无间隔2"/>
    <w:basedOn w:val="1"/>
    <w:qFormat/>
    <w:uiPriority w:val="0"/>
    <w:pPr>
      <w:spacing w:line="400" w:lineRule="exact"/>
    </w:pPr>
    <w:rPr>
      <w:rFonts w:ascii="Times New Roman" w:hAnsi="Times New Roman" w:eastAsia="宋体" w:cs="Times New Roman"/>
      <w:sz w:val="24"/>
    </w:rPr>
  </w:style>
  <w:style w:type="paragraph" w:customStyle="1" w:styleId="38">
    <w:name w:val="无间隔1"/>
    <w:basedOn w:val="1"/>
    <w:qFormat/>
    <w:uiPriority w:val="0"/>
  </w:style>
  <w:style w:type="paragraph" w:customStyle="1" w:styleId="39">
    <w:name w:val="大标题"/>
    <w:basedOn w:val="1"/>
    <w:next w:val="2"/>
    <w:qFormat/>
    <w:uiPriority w:val="0"/>
    <w:pPr>
      <w:jc w:val="center"/>
    </w:pPr>
    <w:rPr>
      <w:rFonts w:ascii="Arial" w:hAnsi="Arial" w:eastAsia="宋体" w:cs="Times New Roman"/>
      <w:b/>
      <w:sz w:val="28"/>
      <w:szCs w:val="24"/>
    </w:rPr>
  </w:style>
  <w:style w:type="character" w:customStyle="1" w:styleId="40">
    <w:name w:val="apple-style-span"/>
    <w:basedOn w:val="25"/>
    <w:qFormat/>
    <w:uiPriority w:val="0"/>
  </w:style>
  <w:style w:type="character" w:customStyle="1" w:styleId="41">
    <w:name w:val="正文文本 Char"/>
    <w:basedOn w:val="25"/>
    <w:link w:val="4"/>
    <w:qFormat/>
    <w:uiPriority w:val="0"/>
    <w:rPr>
      <w:rFonts w:eastAsia="宋体"/>
      <w:kern w:val="2"/>
      <w:sz w:val="24"/>
      <w:lang w:val="en-US" w:eastAsia="zh-CN" w:bidi="ar-SA"/>
    </w:rPr>
  </w:style>
  <w:style w:type="character" w:customStyle="1" w:styleId="42">
    <w:name w:val="页脚 Char"/>
    <w:basedOn w:val="25"/>
    <w:link w:val="16"/>
    <w:qFormat/>
    <w:uiPriority w:val="0"/>
    <w:rPr>
      <w:rFonts w:eastAsia="宋体"/>
      <w:kern w:val="2"/>
      <w:sz w:val="18"/>
      <w:szCs w:val="18"/>
      <w:lang w:val="en-US" w:eastAsia="zh-CN" w:bidi="ar-SA"/>
    </w:rPr>
  </w:style>
  <w:style w:type="character" w:customStyle="1" w:styleId="43">
    <w:name w:val="页眉 Char"/>
    <w:basedOn w:val="25"/>
    <w:link w:val="18"/>
    <w:qFormat/>
    <w:uiPriority w:val="0"/>
    <w:rPr>
      <w:rFonts w:eastAsia="宋体"/>
      <w:kern w:val="2"/>
      <w:sz w:val="18"/>
      <w:szCs w:val="18"/>
      <w:lang w:val="en-US" w:eastAsia="zh-CN" w:bidi="ar-SA"/>
    </w:rPr>
  </w:style>
  <w:style w:type="paragraph" w:customStyle="1" w:styleId="44">
    <w:name w:val="p0"/>
    <w:basedOn w:val="1"/>
    <w:qFormat/>
    <w:uiPriority w:val="99"/>
    <w:pPr>
      <w:widowControl/>
    </w:pPr>
    <w:rPr>
      <w:kern w:val="0"/>
      <w:szCs w:val="21"/>
    </w:rPr>
  </w:style>
  <w:style w:type="paragraph" w:customStyle="1" w:styleId="45">
    <w:name w:val="正文缩进1"/>
    <w:basedOn w:val="1"/>
    <w:qFormat/>
    <w:uiPriority w:val="0"/>
    <w:pPr>
      <w:spacing w:before="40" w:after="40" w:line="400" w:lineRule="exact"/>
      <w:ind w:firstLine="510"/>
    </w:pPr>
    <w:rPr>
      <w:sz w:val="28"/>
      <w:szCs w:val="20"/>
    </w:rPr>
  </w:style>
  <w:style w:type="paragraph" w:customStyle="1" w:styleId="46">
    <w:name w:val="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szCs w:val="20"/>
    </w:rPr>
  </w:style>
  <w:style w:type="paragraph" w:customStyle="1" w:styleId="47">
    <w:name w:val="p15"/>
    <w:basedOn w:val="1"/>
    <w:qFormat/>
    <w:uiPriority w:val="0"/>
    <w:pPr>
      <w:widowControl/>
      <w:spacing w:line="360" w:lineRule="auto"/>
    </w:pPr>
    <w:rPr>
      <w:kern w:val="0"/>
      <w:sz w:val="30"/>
      <w:szCs w:val="30"/>
    </w:rPr>
  </w:style>
  <w:style w:type="paragraph" w:customStyle="1" w:styleId="48">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49">
    <w:name w:val="20"/>
    <w:basedOn w:val="6"/>
    <w:qFormat/>
    <w:uiPriority w:val="0"/>
    <w:pPr>
      <w:spacing w:before="0" w:after="0" w:line="600" w:lineRule="auto"/>
    </w:pPr>
    <w:rPr>
      <w:sz w:val="36"/>
      <w:szCs w:val="20"/>
    </w:rPr>
  </w:style>
  <w:style w:type="paragraph" w:customStyle="1" w:styleId="50">
    <w:name w:val="3"/>
    <w:basedOn w:val="8"/>
    <w:qFormat/>
    <w:uiPriority w:val="0"/>
    <w:pPr>
      <w:spacing w:before="0" w:after="0" w:line="360" w:lineRule="auto"/>
      <w:jc w:val="left"/>
    </w:pPr>
    <w:rPr>
      <w:color w:val="000000"/>
      <w:szCs w:val="20"/>
    </w:rPr>
  </w:style>
  <w:style w:type="paragraph" w:customStyle="1" w:styleId="51">
    <w:name w:val="1"/>
    <w:basedOn w:val="6"/>
    <w:link w:val="52"/>
    <w:qFormat/>
    <w:uiPriority w:val="0"/>
    <w:pPr>
      <w:spacing w:before="0" w:after="0" w:line="600" w:lineRule="auto"/>
    </w:pPr>
    <w:rPr>
      <w:color w:val="000000"/>
      <w:szCs w:val="20"/>
    </w:rPr>
  </w:style>
  <w:style w:type="character" w:customStyle="1" w:styleId="52">
    <w:name w:val="1 Char"/>
    <w:basedOn w:val="25"/>
    <w:link w:val="51"/>
    <w:qFormat/>
    <w:uiPriority w:val="0"/>
    <w:rPr>
      <w:rFonts w:eastAsia="宋体"/>
      <w:b/>
      <w:bCs/>
      <w:color w:val="000000"/>
      <w:kern w:val="44"/>
      <w:sz w:val="44"/>
      <w:lang w:val="en-US" w:eastAsia="zh-CN" w:bidi="ar-SA"/>
    </w:rPr>
  </w:style>
  <w:style w:type="character" w:customStyle="1" w:styleId="53">
    <w:name w:val="hover"/>
    <w:basedOn w:val="25"/>
    <w:qFormat/>
    <w:uiPriority w:val="0"/>
  </w:style>
  <w:style w:type="character" w:customStyle="1" w:styleId="54">
    <w:name w:val="hover17"/>
    <w:basedOn w:val="25"/>
    <w:qFormat/>
    <w:uiPriority w:val="0"/>
  </w:style>
  <w:style w:type="character" w:customStyle="1" w:styleId="55">
    <w:name w:val="hover16"/>
    <w:basedOn w:val="25"/>
    <w:qFormat/>
    <w:uiPriority w:val="0"/>
  </w:style>
  <w:style w:type="character" w:customStyle="1" w:styleId="56">
    <w:name w:val="hover1"/>
    <w:basedOn w:val="25"/>
    <w:qFormat/>
    <w:uiPriority w:val="0"/>
    <w:rPr>
      <w:color w:val="5FB878"/>
    </w:rPr>
  </w:style>
  <w:style w:type="character" w:customStyle="1" w:styleId="57">
    <w:name w:val="hover2"/>
    <w:basedOn w:val="25"/>
    <w:qFormat/>
    <w:uiPriority w:val="0"/>
    <w:rPr>
      <w:color w:val="5FB878"/>
    </w:rPr>
  </w:style>
  <w:style w:type="character" w:customStyle="1" w:styleId="58">
    <w:name w:val="layui-this"/>
    <w:basedOn w:val="25"/>
    <w:qFormat/>
    <w:uiPriority w:val="0"/>
    <w:rPr>
      <w:bdr w:val="single" w:color="EEEEEE" w:sz="6" w:space="0"/>
      <w:shd w:val="clear" w:fill="FFFFFF"/>
    </w:rPr>
  </w:style>
  <w:style w:type="character" w:customStyle="1" w:styleId="59">
    <w:name w:val="first-child"/>
    <w:basedOn w:val="25"/>
    <w:qFormat/>
    <w:uiPriority w:val="0"/>
  </w:style>
  <w:style w:type="character" w:customStyle="1" w:styleId="60">
    <w:name w:val="mail-contents"/>
    <w:basedOn w:val="25"/>
    <w:qFormat/>
    <w:uiPriority w:val="0"/>
  </w:style>
  <w:style w:type="character" w:customStyle="1" w:styleId="61">
    <w:name w:val="hover21"/>
    <w:basedOn w:val="25"/>
    <w:qFormat/>
    <w:uiPriority w:val="0"/>
    <w:rPr>
      <w:color w:val="5FB878"/>
    </w:rPr>
  </w:style>
  <w:style w:type="character" w:customStyle="1" w:styleId="62">
    <w:name w:val="hover22"/>
    <w:basedOn w:val="25"/>
    <w:qFormat/>
    <w:uiPriority w:val="0"/>
    <w:rPr>
      <w:color w:val="5FB878"/>
    </w:rPr>
  </w:style>
  <w:style w:type="character" w:customStyle="1" w:styleId="63">
    <w:name w:val="hover23"/>
    <w:basedOn w:val="25"/>
    <w:qFormat/>
    <w:uiPriority w:val="0"/>
    <w:rPr>
      <w:color w:val="FFFFFF"/>
    </w:rPr>
  </w:style>
  <w:style w:type="character" w:customStyle="1" w:styleId="64">
    <w:name w:val="font41"/>
    <w:basedOn w:val="25"/>
    <w:qFormat/>
    <w:uiPriority w:val="0"/>
    <w:rPr>
      <w:rFonts w:hint="default" w:ascii="Calibri" w:hAnsi="Calibri" w:cs="Calibri"/>
      <w:color w:val="000000"/>
      <w:sz w:val="24"/>
      <w:szCs w:val="24"/>
      <w:u w:val="none"/>
    </w:rPr>
  </w:style>
  <w:style w:type="character" w:customStyle="1" w:styleId="65">
    <w:name w:val="font21"/>
    <w:basedOn w:val="25"/>
    <w:qFormat/>
    <w:uiPriority w:val="0"/>
    <w:rPr>
      <w:rFonts w:hint="eastAsia" w:ascii="宋体" w:hAnsi="宋体" w:eastAsia="宋体" w:cs="宋体"/>
      <w:color w:val="000000"/>
      <w:sz w:val="24"/>
      <w:szCs w:val="24"/>
      <w:u w:val="none"/>
    </w:rPr>
  </w:style>
  <w:style w:type="paragraph" w:customStyle="1" w:styleId="66">
    <w:name w:val="No Spacing"/>
    <w:basedOn w:val="1"/>
    <w:qFormat/>
    <w:uiPriority w:val="1"/>
    <w:pPr>
      <w:spacing w:after="0" w:line="400" w:lineRule="exact"/>
    </w:pPr>
    <w:rPr>
      <w:rFonts w:eastAsia="宋体"/>
      <w:sz w:val="24"/>
    </w:rPr>
  </w:style>
  <w:style w:type="paragraph" w:customStyle="1" w:styleId="67">
    <w:name w:val="样式 标题 3 + (中文) 黑体 小四 非加粗 段前: 7.8 磅 段后: 0 磅 行距: 固定值 20 磅"/>
    <w:basedOn w:val="8"/>
    <w:qFormat/>
    <w:uiPriority w:val="0"/>
    <w:pPr>
      <w:spacing w:before="0" w:after="0" w:line="400" w:lineRule="exact"/>
    </w:pPr>
    <w:rPr>
      <w:rFonts w:ascii="Times New Roman" w:hAnsi="Times New Roman" w:eastAsia="黑体" w:cs="宋体"/>
      <w:b w:val="0"/>
      <w:bCs w:val="0"/>
      <w:sz w:val="24"/>
      <w:szCs w:val="20"/>
    </w:rPr>
  </w:style>
  <w:style w:type="character" w:customStyle="1" w:styleId="68">
    <w:name w:val="标题 1 字符"/>
    <w:link w:val="6"/>
    <w:qFormat/>
    <w:uiPriority w:val="0"/>
    <w:rPr>
      <w:b/>
      <w:bCs/>
      <w:kern w:val="44"/>
      <w:sz w:val="44"/>
      <w:szCs w:val="44"/>
    </w:rPr>
  </w:style>
  <w:style w:type="character" w:customStyle="1" w:styleId="69">
    <w:name w:val="hover24"/>
    <w:basedOn w:val="25"/>
    <w:qFormat/>
    <w:uiPriority w:val="0"/>
    <w:rPr>
      <w:color w:val="5FB878"/>
    </w:rPr>
  </w:style>
  <w:style w:type="character" w:customStyle="1" w:styleId="70">
    <w:name w:val="hover25"/>
    <w:basedOn w:val="25"/>
    <w:qFormat/>
    <w:uiPriority w:val="0"/>
    <w:rPr>
      <w:color w:val="FFFFFF"/>
    </w:rPr>
  </w:style>
  <w:style w:type="character" w:customStyle="1" w:styleId="71">
    <w:name w:val="sp"/>
    <w:basedOn w:val="25"/>
    <w:qFormat/>
    <w:uiPriority w:val="0"/>
    <w:rPr>
      <w:b/>
      <w:bCs/>
    </w:rPr>
  </w:style>
  <w:style w:type="character" w:customStyle="1" w:styleId="72">
    <w:name w:val="sp1"/>
    <w:basedOn w:val="25"/>
    <w:qFormat/>
    <w:uiPriority w:val="0"/>
    <w:rPr>
      <w:b/>
      <w:bCs/>
    </w:rPr>
  </w:style>
  <w:style w:type="character" w:customStyle="1" w:styleId="73">
    <w:name w:val="before"/>
    <w:basedOn w:val="25"/>
    <w:qFormat/>
    <w:uiPriority w:val="0"/>
    <w:rPr>
      <w:shd w:val="clear" w:fill="DEDEDE"/>
    </w:rPr>
  </w:style>
  <w:style w:type="character" w:customStyle="1" w:styleId="74">
    <w:name w:val="layui-this2"/>
    <w:basedOn w:val="25"/>
    <w:qFormat/>
    <w:uiPriority w:val="0"/>
    <w:rPr>
      <w:bdr w:val="single" w:color="EEEEEE" w:sz="6" w:space="0"/>
      <w:shd w:val="clear" w:fill="FFFFFF"/>
    </w:rPr>
  </w:style>
  <w:style w:type="character" w:customStyle="1" w:styleId="75">
    <w:name w:val="before1"/>
    <w:basedOn w:val="25"/>
    <w:qFormat/>
    <w:uiPriority w:val="0"/>
    <w:rPr>
      <w:shd w:val="clear" w:fill="DEDEDE"/>
    </w:rPr>
  </w:style>
  <w:style w:type="paragraph" w:customStyle="1" w:styleId="76">
    <w:name w:val="Table Paragraph"/>
    <w:basedOn w:val="1"/>
    <w:qFormat/>
    <w:uiPriority w:val="1"/>
    <w:rPr>
      <w:rFonts w:ascii="宋体" w:hAnsi="宋体" w:eastAsia="宋体" w:cs="宋体"/>
      <w:lang w:val="zh-CN" w:eastAsia="zh-CN" w:bidi="zh-CN"/>
    </w:rPr>
  </w:style>
  <w:style w:type="paragraph" w:styleId="77">
    <w:name w:val="List Paragraph"/>
    <w:basedOn w:val="1"/>
    <w:qFormat/>
    <w:uiPriority w:val="1"/>
    <w:pPr>
      <w:spacing w:before="139"/>
      <w:ind w:left="438" w:firstLine="420"/>
    </w:pPr>
    <w:rPr>
      <w:rFonts w:ascii="宋体" w:hAnsi="宋体" w:eastAsia="宋体" w:cs="宋体"/>
      <w:lang w:val="zh-CN" w:eastAsia="zh-CN" w:bidi="zh-CN"/>
    </w:rPr>
  </w:style>
  <w:style w:type="character" w:customStyle="1" w:styleId="78">
    <w:name w:val="font01"/>
    <w:basedOn w:val="25"/>
    <w:qFormat/>
    <w:uiPriority w:val="0"/>
    <w:rPr>
      <w:rFonts w:hint="eastAsia" w:ascii="宋体" w:hAnsi="宋体" w:eastAsia="宋体" w:cs="宋体"/>
      <w:color w:val="000000"/>
      <w:sz w:val="21"/>
      <w:szCs w:val="21"/>
      <w:u w:val="none"/>
    </w:rPr>
  </w:style>
  <w:style w:type="character" w:customStyle="1" w:styleId="79">
    <w:name w:val="font51"/>
    <w:basedOn w:val="25"/>
    <w:qFormat/>
    <w:uiPriority w:val="0"/>
    <w:rPr>
      <w:rFonts w:hint="eastAsia" w:ascii="宋体" w:hAnsi="宋体" w:eastAsia="宋体" w:cs="宋体"/>
      <w:b/>
      <w:bCs/>
      <w:color w:val="000000"/>
      <w:sz w:val="21"/>
      <w:szCs w:val="21"/>
      <w:u w:val="none"/>
    </w:rPr>
  </w:style>
  <w:style w:type="paragraph" w:customStyle="1" w:styleId="80">
    <w:name w:val="Table Text"/>
    <w:basedOn w:val="1"/>
    <w:semiHidden/>
    <w:qFormat/>
    <w:uiPriority w:val="0"/>
    <w:rPr>
      <w:rFonts w:ascii="宋体" w:hAnsi="宋体" w:eastAsia="宋体" w:cs="宋体"/>
      <w:sz w:val="26"/>
      <w:szCs w:val="26"/>
      <w:lang w:val="en-US" w:eastAsia="en-US" w:bidi="ar-SA"/>
    </w:rPr>
  </w:style>
  <w:style w:type="table" w:customStyle="1" w:styleId="8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57</Pages>
  <Words>12718</Words>
  <Characters>13641</Characters>
  <Lines>150</Lines>
  <Paragraphs>42</Paragraphs>
  <TotalTime>0</TotalTime>
  <ScaleCrop>false</ScaleCrop>
  <LinksUpToDate>false</LinksUpToDate>
  <CharactersWithSpaces>14112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2017-11-30T01:31:00Z</dcterms:created>
  <dc:creator>雨林木风</dc:creator>
  <cp:lastModifiedBy>董闯</cp:lastModifiedBy>
  <cp:lastPrinted>2022-05-25T01:16:00Z</cp:lastPrinted>
  <dcterms:modified xsi:type="dcterms:W3CDTF">2025-11-06T03:36:52Z</dcterms:modified>
  <dc:title>民权县路灯采购与安装工程项目</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3B31E9E1C17245C29EDFBB5912FFFBB9</vt:lpwstr>
  </property>
  <property fmtid="{D5CDD505-2E9C-101B-9397-08002B2CF9AE}" pid="4" name="KSOTemplateDocerSaveRecord">
    <vt:lpwstr>eyJoZGlkIjoiYWM2NDM4NmI5NGMyMzRiNTE2YjAwZDY2ZDQyNjY3YTMiLCJ1c2VySWQiOiIyNzY2MjQwMjkifQ==</vt:lpwstr>
  </property>
</Properties>
</file>