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9B4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center"/>
        <w:rPr>
          <w:rFonts w:hint="eastAsia" w:ascii="仿宋" w:hAnsi="仿宋" w:eastAsia="仿宋" w:cs="仿宋"/>
          <w:i w:val="0"/>
          <w:iCs w:val="0"/>
          <w:caps w:val="0"/>
          <w:color w:val="333333"/>
          <w:spacing w:val="0"/>
          <w:kern w:val="0"/>
          <w:sz w:val="32"/>
          <w:szCs w:val="32"/>
          <w:lang w:val="en-US" w:eastAsia="zh-CN" w:bidi="ar-SA"/>
        </w:rPr>
      </w:pPr>
      <w:r>
        <w:rPr>
          <w:rFonts w:hint="eastAsia" w:ascii="方正小标宋简体" w:hAnsi="方正小标宋简体" w:eastAsia="方正小标宋简体" w:cs="方正小标宋简体"/>
          <w:i w:val="0"/>
          <w:iCs w:val="0"/>
          <w:caps w:val="0"/>
          <w:color w:val="333333"/>
          <w:spacing w:val="0"/>
          <w:kern w:val="0"/>
          <w:sz w:val="44"/>
          <w:szCs w:val="32"/>
          <w:shd w:val="clear" w:fill="FFFFFF"/>
          <w:lang w:val="en-US" w:eastAsia="zh-CN" w:bidi="ar-SA"/>
        </w:rPr>
        <w:t>未通过及原因</w:t>
      </w:r>
    </w:p>
    <w:p w14:paraId="363B41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jc w:val="left"/>
        <w:rPr>
          <w:rFonts w:hint="eastAsia" w:ascii="仿宋" w:hAnsi="仿宋" w:eastAsia="仿宋" w:cs="仿宋"/>
          <w:i w:val="0"/>
          <w:iCs w:val="0"/>
          <w:caps w:val="0"/>
          <w:color w:val="333333"/>
          <w:spacing w:val="0"/>
          <w:kern w:val="0"/>
          <w:sz w:val="32"/>
          <w:szCs w:val="32"/>
          <w:shd w:val="clear" w:fill="FFFFFF"/>
          <w:lang w:val="en-US" w:eastAsia="zh-CN" w:bidi="ar-SA"/>
        </w:rPr>
      </w:pPr>
      <w:r>
        <w:rPr>
          <w:rFonts w:hint="eastAsia" w:ascii="仿宋" w:hAnsi="仿宋" w:eastAsia="仿宋" w:cs="仿宋"/>
          <w:i w:val="0"/>
          <w:iCs w:val="0"/>
          <w:caps w:val="0"/>
          <w:color w:val="333333"/>
          <w:spacing w:val="0"/>
          <w:kern w:val="0"/>
          <w:sz w:val="32"/>
          <w:szCs w:val="32"/>
          <w:shd w:val="clear" w:fill="FFFFFF"/>
          <w:lang w:val="en-US" w:eastAsia="zh-CN" w:bidi="ar-SA"/>
        </w:rPr>
        <w:t>1、在资格审查过程中：磋商小组严格按照磋商文件规定的程序和方法分别对供应商进行了资格性审查，其中河南建保盒子科技发展有限公司因未在主体库上传依法缴纳社会保障资金的证明材料导致磋商无效，深圳积木易搭科技技术有限公司、北京创利兴盛科技有限公司因未在主体库上传除营业执照外的其他资料导致磋商无效，剩余所有供应商均通过了资格性审查。</w:t>
      </w:r>
    </w:p>
    <w:p w14:paraId="29D34EAA">
      <w:pPr>
        <w:ind w:firstLine="640" w:firstLineChars="200"/>
      </w:pPr>
      <w:bookmarkStart w:id="0" w:name="_GoBack"/>
      <w:bookmarkEnd w:id="0"/>
      <w:r>
        <w:rPr>
          <w:rFonts w:hint="eastAsia" w:ascii="仿宋" w:hAnsi="仿宋" w:eastAsia="仿宋" w:cs="仿宋"/>
          <w:i w:val="0"/>
          <w:iCs w:val="0"/>
          <w:caps w:val="0"/>
          <w:color w:val="333333"/>
          <w:spacing w:val="0"/>
          <w:kern w:val="0"/>
          <w:sz w:val="32"/>
          <w:szCs w:val="32"/>
          <w:shd w:val="clear" w:fill="FFFFFF"/>
          <w:lang w:val="en-US" w:eastAsia="zh-CN" w:bidi="ar-SA"/>
        </w:rPr>
        <w:t>2、在符合性审查过程中：磋商小组严格按照磋商文件规定的程序和方法对供应商响应文件进行了评审，其中山西文物博物产业集团有限责任公司、北京世纪超星信息技术发展有限责任公司因未响应磋商文件中实质性指标：人员要求：项目团队核心成员3人。（提供本单位近6个月内任意月份为其缴纳社保记录），导致磋商无效，剩余所有供应商均满足磋商文件实质性要求，通过了符合性审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2536"/>
    <w:rsid w:val="3A7C2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2025-12-25T03:51:00Z</dcterms:created>
  <dc:creator>one</dc:creator>
  <cp:lastModifiedBy>one</cp:lastModifiedBy>
  <dcterms:modified xsi:type="dcterms:W3CDTF">2025-12-25T03:52:22Z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CB9EC6B547D548B3B207810150BF18EA_11</vt:lpwstr>
  </property>
  <property fmtid="{D5CDD505-2E9C-101B-9397-08002B2CF9AE}" pid="4" name="KSOTemplateDocerSaveRecord">
    <vt:lpwstr>eyJoZGlkIjoiYWIxMTEwNmY2ZjY4Y2M3MDRkMDIzYjIwNTU5NTY1ZDkiLCJ1c2VySWQiOiIzMjAyNzgzMzcifQ==</vt:lpwstr>
  </property>
</Properties>
</file>