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506F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供应商得分情况</w:t>
      </w:r>
    </w:p>
    <w:p w14:paraId="5C69B2A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1、投标单位：天津恒达文博科技股份有限公司；主观因素评分(明标)：27.33分；客观因素评分：23分；投标报价算分：28.02分；最终得分：78.35分</w:t>
      </w:r>
    </w:p>
    <w:p w14:paraId="0E161BE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2、投标单位：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精卓科技股份有限公司；主观因素评分(明标)：27.33分；客观因素评分：27分；投标报价算分：21.4分；最终得分：75.73分</w:t>
      </w:r>
    </w:p>
    <w:p w14:paraId="0216D16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3、投标单位：陕西江蕙科技有限公司；主观因素评分(明标)：23.33分；客观因素评分：13分；投标报价算分：30分；最终得分：66.33分</w:t>
      </w:r>
    </w:p>
    <w:p w14:paraId="18CB465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4、投标单位：脉格信息技术（北京）有限公司；主观因素评分(明标)：19.33分；客观因素评分：8分；投标报价算分：23.76分；最终得分：51.09分</w:t>
      </w:r>
    </w:p>
    <w:p w14:paraId="5CC6B4E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5、投标单位：河南中云创信息科技有限公司；主观因素评分(明标)：22分；客观因素评分：8分；投标报价算分：20.77分；最终得分：50.77分</w:t>
      </w:r>
    </w:p>
    <w:p w14:paraId="7F59114E">
      <w:pPr>
        <w:ind w:firstLine="640" w:firstLineChars="200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6、投标单位：河南中联高科智能科技有限公司；主观因素评分(明标)：22分；客观因素评分：0分；投标报价算分：19.83分；最终得分：41.83分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463769"/>
    <w:rsid w:val="07463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2025-12-25T03:40:00Z</dcterms:created>
  <dc:creator>one</dc:creator>
  <cp:lastModifiedBy>one</cp:lastModifiedBy>
  <dcterms:modified xsi:type="dcterms:W3CDTF">2025-12-25T03:41:25Z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8E6A0C9DA9284E3C9213CA0C15EB1288_11</vt:lpwstr>
  </property>
  <property fmtid="{D5CDD505-2E9C-101B-9397-08002B2CF9AE}" pid="4" name="KSOTemplateDocerSaveRecord">
    <vt:lpwstr>eyJoZGlkIjoiYWIxMTEwNmY2ZjY4Y2M3MDRkMDIzYjIwNTU5NTY1ZDkiLCJ1c2VySWQiOiIzMjAyNzgzMzcifQ==</vt:lpwstr>
  </property>
</Properties>
</file>