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200" w:line="800" w:lineRule="exact"/>
        <w:jc w:val="left"/>
        <w:textAlignment w:val="baseline"/>
        <w:rPr>
          <w:rFonts w:ascii="宋体"/>
          <w:b/>
          <w:bCs/>
          <w:kern w:val="0"/>
          <w:sz w:val="28"/>
          <w:szCs w:val="28"/>
        </w:rPr>
      </w:pPr>
    </w:p>
    <w:p>
      <w:pPr>
        <w:widowControl/>
        <w:snapToGrid w:val="0"/>
        <w:spacing w:after="200" w:line="360" w:lineRule="auto"/>
        <w:jc w:val="center"/>
        <w:textAlignment w:val="baseline"/>
        <w:rPr>
          <w:rFonts w:hint="eastAsia" w:ascii="宋体" w:eastAsia="宋体"/>
          <w:b/>
          <w:bCs/>
          <w:kern w:val="0"/>
          <w:sz w:val="44"/>
          <w:szCs w:val="44"/>
          <w:lang w:eastAsia="zh-CN"/>
        </w:rPr>
      </w:pPr>
      <w:r>
        <w:rPr>
          <w:rFonts w:hint="eastAsia" w:ascii="宋体" w:hAnsi="宋体" w:cs="宋体"/>
          <w:b/>
          <w:bCs/>
          <w:kern w:val="0"/>
          <w:sz w:val="36"/>
          <w:szCs w:val="36"/>
          <w:lang w:eastAsia="zh-CN"/>
        </w:rPr>
        <w:t>商丘市中医院新院区第二批影像放射类2设备采购项目</w:t>
      </w:r>
    </w:p>
    <w:p>
      <w:pPr>
        <w:widowControl/>
        <w:snapToGrid w:val="0"/>
        <w:spacing w:after="200" w:line="360" w:lineRule="auto"/>
        <w:jc w:val="center"/>
        <w:textAlignment w:val="baseline"/>
        <w:rPr>
          <w:rFonts w:ascii="宋体"/>
          <w:b/>
          <w:bCs/>
          <w:kern w:val="0"/>
          <w:sz w:val="44"/>
          <w:szCs w:val="44"/>
        </w:rPr>
      </w:pPr>
    </w:p>
    <w:p>
      <w:pPr>
        <w:widowControl/>
        <w:snapToGrid w:val="0"/>
        <w:spacing w:after="200" w:line="360" w:lineRule="auto"/>
        <w:jc w:val="center"/>
        <w:textAlignment w:val="baseline"/>
        <w:rPr>
          <w:rFonts w:ascii="宋体"/>
          <w:kern w:val="0"/>
          <w:sz w:val="24"/>
          <w:szCs w:val="24"/>
        </w:rPr>
      </w:pPr>
    </w:p>
    <w:p>
      <w:pPr>
        <w:widowControl/>
        <w:snapToGrid w:val="0"/>
        <w:spacing w:after="200" w:line="360" w:lineRule="auto"/>
        <w:jc w:val="center"/>
        <w:textAlignment w:val="baseline"/>
        <w:rPr>
          <w:rFonts w:ascii="宋体" w:cs="宋体"/>
          <w:b/>
          <w:bCs/>
          <w:kern w:val="0"/>
          <w:sz w:val="84"/>
          <w:szCs w:val="84"/>
        </w:rPr>
      </w:pPr>
      <w:r>
        <w:rPr>
          <w:rFonts w:hint="eastAsia" w:ascii="宋体" w:hAnsi="宋体" w:cs="宋体"/>
          <w:b/>
          <w:bCs/>
          <w:kern w:val="0"/>
          <w:sz w:val="84"/>
          <w:szCs w:val="84"/>
        </w:rPr>
        <w:t>招标文件</w:t>
      </w:r>
    </w:p>
    <w:p>
      <w:pPr>
        <w:widowControl/>
        <w:snapToGrid w:val="0"/>
        <w:spacing w:after="200" w:line="360" w:lineRule="auto"/>
        <w:jc w:val="center"/>
        <w:textAlignment w:val="baseline"/>
        <w:rPr>
          <w:rFonts w:ascii="宋体"/>
          <w:b/>
          <w:bCs/>
          <w:kern w:val="0"/>
          <w:sz w:val="32"/>
          <w:szCs w:val="32"/>
        </w:rPr>
      </w:pPr>
    </w:p>
    <w:p>
      <w:pPr>
        <w:widowControl/>
        <w:snapToGrid w:val="0"/>
        <w:spacing w:line="360" w:lineRule="auto"/>
        <w:ind w:firstLine="1493" w:firstLineChars="177"/>
        <w:jc w:val="left"/>
        <w:textAlignment w:val="baseline"/>
        <w:rPr>
          <w:rFonts w:ascii="宋体"/>
          <w:b/>
          <w:bCs/>
          <w:kern w:val="0"/>
          <w:sz w:val="84"/>
          <w:szCs w:val="84"/>
        </w:rPr>
      </w:pPr>
    </w:p>
    <w:p>
      <w:pPr>
        <w:widowControl/>
        <w:snapToGrid w:val="0"/>
        <w:spacing w:line="360" w:lineRule="auto"/>
        <w:ind w:firstLine="531" w:firstLineChars="177"/>
        <w:jc w:val="left"/>
        <w:textAlignment w:val="baseline"/>
        <w:rPr>
          <w:rFonts w:ascii="宋体"/>
          <w:kern w:val="0"/>
          <w:sz w:val="30"/>
          <w:szCs w:val="30"/>
        </w:rPr>
      </w:pPr>
      <w:r>
        <w:rPr>
          <w:rFonts w:hint="eastAsia" w:ascii="宋体"/>
          <w:kern w:val="0"/>
          <w:sz w:val="30"/>
          <w:szCs w:val="30"/>
        </w:rPr>
        <w:t xml:space="preserve"> </w:t>
      </w:r>
    </w:p>
    <w:p>
      <w:pPr>
        <w:widowControl/>
        <w:snapToGrid w:val="0"/>
        <w:spacing w:line="360" w:lineRule="auto"/>
        <w:ind w:firstLine="531" w:firstLineChars="177"/>
        <w:jc w:val="left"/>
        <w:textAlignment w:val="baseline"/>
        <w:rPr>
          <w:rFonts w:ascii="宋体"/>
          <w:kern w:val="0"/>
          <w:sz w:val="30"/>
          <w:szCs w:val="30"/>
        </w:rPr>
      </w:pPr>
    </w:p>
    <w:p>
      <w:pPr>
        <w:widowControl/>
        <w:snapToGrid w:val="0"/>
        <w:spacing w:line="360" w:lineRule="auto"/>
        <w:ind w:firstLine="1701" w:firstLineChars="567"/>
        <w:jc w:val="left"/>
        <w:textAlignment w:val="baseline"/>
        <w:rPr>
          <w:rFonts w:ascii="宋体"/>
          <w:kern w:val="0"/>
          <w:sz w:val="30"/>
          <w:szCs w:val="30"/>
        </w:rPr>
      </w:pPr>
    </w:p>
    <w:p>
      <w:pPr>
        <w:widowControl/>
        <w:snapToGrid w:val="0"/>
        <w:spacing w:line="360" w:lineRule="auto"/>
        <w:ind w:firstLine="1701" w:firstLineChars="567"/>
        <w:textAlignment w:val="baseline"/>
        <w:rPr>
          <w:rFonts w:ascii="宋体" w:hAnsi="宋体" w:cs="宋体"/>
          <w:kern w:val="0"/>
          <w:sz w:val="30"/>
          <w:szCs w:val="30"/>
          <w:highlight w:val="none"/>
        </w:rPr>
      </w:pPr>
      <w:r>
        <w:rPr>
          <w:rFonts w:hint="eastAsia" w:ascii="宋体" w:hAnsi="宋体" w:cs="宋体"/>
          <w:kern w:val="0"/>
          <w:sz w:val="30"/>
          <w:szCs w:val="30"/>
          <w:highlight w:val="none"/>
        </w:rPr>
        <w:t>招标编号：商财采招-2022-</w:t>
      </w:r>
      <w:r>
        <w:rPr>
          <w:rFonts w:hint="eastAsia" w:ascii="宋体" w:hAnsi="宋体" w:cs="宋体"/>
          <w:kern w:val="0"/>
          <w:sz w:val="30"/>
          <w:szCs w:val="30"/>
          <w:highlight w:val="none"/>
          <w:u w:val="single"/>
          <w:lang w:val="en-US" w:eastAsia="zh-CN"/>
        </w:rPr>
        <w:t>154</w:t>
      </w:r>
      <w:r>
        <w:rPr>
          <w:rFonts w:hint="eastAsia" w:ascii="宋体" w:hAnsi="宋体" w:cs="宋体"/>
          <w:kern w:val="0"/>
          <w:sz w:val="30"/>
          <w:szCs w:val="30"/>
          <w:highlight w:val="none"/>
        </w:rPr>
        <w:t xml:space="preserve"> </w:t>
      </w:r>
    </w:p>
    <w:p>
      <w:pPr>
        <w:widowControl/>
        <w:snapToGrid w:val="0"/>
        <w:spacing w:line="360" w:lineRule="auto"/>
        <w:ind w:firstLine="1701" w:firstLineChars="567"/>
        <w:jc w:val="left"/>
        <w:textAlignment w:val="baseline"/>
        <w:rPr>
          <w:rFonts w:ascii="宋体" w:cs="宋体"/>
          <w:kern w:val="0"/>
          <w:sz w:val="30"/>
          <w:szCs w:val="30"/>
        </w:rPr>
      </w:pPr>
      <w:r>
        <w:rPr>
          <w:rFonts w:hint="eastAsia" w:ascii="宋体" w:hAnsi="宋体" w:cs="宋体"/>
          <w:kern w:val="0"/>
          <w:sz w:val="30"/>
          <w:szCs w:val="30"/>
        </w:rPr>
        <w:t>招标人：商丘市中医院</w:t>
      </w:r>
    </w:p>
    <w:p>
      <w:pPr>
        <w:widowControl/>
        <w:snapToGrid w:val="0"/>
        <w:spacing w:line="360" w:lineRule="auto"/>
        <w:ind w:firstLine="1701" w:firstLineChars="567"/>
        <w:jc w:val="left"/>
        <w:textAlignment w:val="baseline"/>
        <w:rPr>
          <w:rFonts w:ascii="宋体" w:cs="宋体"/>
          <w:kern w:val="0"/>
          <w:sz w:val="30"/>
          <w:szCs w:val="30"/>
        </w:rPr>
      </w:pPr>
      <w:r>
        <w:rPr>
          <w:rFonts w:hint="eastAsia" w:ascii="宋体" w:hAnsi="宋体" w:cs="宋体"/>
          <w:kern w:val="0"/>
          <w:sz w:val="30"/>
          <w:szCs w:val="30"/>
        </w:rPr>
        <w:t>代理机构：京咨工程咨询有限公司</w:t>
      </w:r>
    </w:p>
    <w:p>
      <w:pPr>
        <w:widowControl/>
        <w:snapToGrid w:val="0"/>
        <w:spacing w:line="360" w:lineRule="auto"/>
        <w:ind w:firstLine="1701" w:firstLineChars="567"/>
        <w:jc w:val="left"/>
        <w:textAlignment w:val="baseline"/>
        <w:rPr>
          <w:rFonts w:ascii="宋体" w:cs="宋体"/>
          <w:kern w:val="0"/>
          <w:sz w:val="30"/>
          <w:szCs w:val="30"/>
        </w:rPr>
      </w:pPr>
      <w:r>
        <w:rPr>
          <w:rFonts w:hint="eastAsia" w:ascii="宋体" w:hAnsi="宋体" w:cs="宋体"/>
          <w:kern w:val="0"/>
          <w:sz w:val="30"/>
          <w:szCs w:val="30"/>
        </w:rPr>
        <w:t>日期：</w:t>
      </w:r>
      <w:r>
        <w:rPr>
          <w:rFonts w:ascii="宋体" w:hAnsi="宋体" w:cs="宋体"/>
          <w:kern w:val="0"/>
          <w:sz w:val="30"/>
          <w:szCs w:val="30"/>
        </w:rPr>
        <w:t>202</w:t>
      </w:r>
      <w:r>
        <w:rPr>
          <w:rFonts w:hint="eastAsia" w:ascii="宋体" w:hAnsi="宋体" w:cs="宋体"/>
          <w:kern w:val="0"/>
          <w:sz w:val="30"/>
          <w:szCs w:val="30"/>
        </w:rPr>
        <w:t>2年</w:t>
      </w:r>
      <w:r>
        <w:rPr>
          <w:rFonts w:hint="eastAsia" w:ascii="宋体" w:hAnsi="宋体" w:cs="宋体"/>
          <w:kern w:val="0"/>
          <w:sz w:val="30"/>
          <w:szCs w:val="30"/>
          <w:lang w:val="en-US" w:eastAsia="zh-CN"/>
        </w:rPr>
        <w:t>12</w:t>
      </w:r>
      <w:r>
        <w:rPr>
          <w:rFonts w:hint="eastAsia" w:ascii="宋体" w:hAnsi="宋体" w:cs="宋体"/>
          <w:kern w:val="0"/>
          <w:sz w:val="30"/>
          <w:szCs w:val="30"/>
        </w:rPr>
        <w:t>月</w:t>
      </w:r>
    </w:p>
    <w:p>
      <w:pPr>
        <w:snapToGrid w:val="0"/>
        <w:spacing w:line="360" w:lineRule="auto"/>
        <w:jc w:val="center"/>
        <w:textAlignment w:val="baseline"/>
        <w:rPr>
          <w:rFonts w:ascii="宋体"/>
          <w:b/>
          <w:bCs/>
          <w:sz w:val="28"/>
          <w:szCs w:val="28"/>
        </w:rPr>
      </w:pPr>
      <w:r>
        <w:rPr>
          <w:rFonts w:ascii="宋体"/>
          <w:b/>
          <w:bCs/>
          <w:sz w:val="44"/>
          <w:szCs w:val="44"/>
        </w:rPr>
        <w:br w:type="page"/>
      </w:r>
    </w:p>
    <w:p>
      <w:pPr>
        <w:snapToGrid w:val="0"/>
        <w:spacing w:line="360" w:lineRule="auto"/>
        <w:jc w:val="center"/>
        <w:textAlignment w:val="baseline"/>
        <w:rPr>
          <w:rFonts w:ascii="宋体"/>
          <w:b/>
          <w:sz w:val="28"/>
        </w:rPr>
      </w:pPr>
      <w:r>
        <w:rPr>
          <w:rFonts w:hint="eastAsia" w:ascii="宋体" w:hAnsi="宋体" w:cs="宋体"/>
          <w:b/>
          <w:bCs/>
          <w:sz w:val="28"/>
          <w:szCs w:val="28"/>
        </w:rPr>
        <w:t>目录</w:t>
      </w:r>
    </w:p>
    <w:p>
      <w:pPr>
        <w:pStyle w:val="29"/>
        <w:tabs>
          <w:tab w:val="right" w:leader="dot" w:pos="8800"/>
        </w:tabs>
      </w:pPr>
      <w:r>
        <w:rPr>
          <w:rFonts w:cs="宋体" w:asciiTheme="minorEastAsia" w:hAnsiTheme="minorEastAsia" w:eastAsiaTheme="minorEastAsia"/>
          <w:sz w:val="28"/>
          <w:szCs w:val="28"/>
        </w:rPr>
        <w:fldChar w:fldCharType="begin"/>
      </w:r>
      <w:r>
        <w:rPr>
          <w:rFonts w:cs="宋体" w:asciiTheme="minorEastAsia" w:hAnsiTheme="minorEastAsia" w:eastAsiaTheme="minorEastAsia"/>
          <w:sz w:val="28"/>
          <w:szCs w:val="28"/>
        </w:rPr>
        <w:instrText xml:space="preserve"> TOC \o "1-3" \h \z \u </w:instrText>
      </w:r>
      <w:r>
        <w:rPr>
          <w:rFonts w:cs="宋体" w:asciiTheme="minorEastAsia" w:hAnsiTheme="minorEastAsia" w:eastAsiaTheme="minorEastAsia"/>
          <w:sz w:val="28"/>
          <w:szCs w:val="28"/>
        </w:rPr>
        <w:fldChar w:fldCharType="separate"/>
      </w: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_Toc18746 </w:instrText>
      </w:r>
      <w:r>
        <w:rPr>
          <w:rFonts w:cs="宋体" w:asciiTheme="minorEastAsia" w:hAnsiTheme="minorEastAsia" w:eastAsiaTheme="minorEastAsia"/>
          <w:szCs w:val="28"/>
        </w:rPr>
        <w:fldChar w:fldCharType="separate"/>
      </w:r>
      <w:r>
        <w:rPr>
          <w:rFonts w:hint="eastAsia" w:ascii="宋体" w:hAnsi="宋体" w:eastAsia="宋体" w:cs="宋体"/>
          <w:bCs/>
          <w:szCs w:val="36"/>
        </w:rPr>
        <w:t>第一章招标公告</w:t>
      </w:r>
      <w:r>
        <w:tab/>
      </w:r>
      <w:r>
        <w:fldChar w:fldCharType="begin"/>
      </w:r>
      <w:r>
        <w:instrText xml:space="preserve"> PAGEREF _Toc18746 \h </w:instrText>
      </w:r>
      <w:r>
        <w:fldChar w:fldCharType="separate"/>
      </w:r>
      <w:r>
        <w:t>3</w:t>
      </w:r>
      <w:r>
        <w:fldChar w:fldCharType="end"/>
      </w:r>
      <w:r>
        <w:rPr>
          <w:rFonts w:cs="宋体" w:asciiTheme="minorEastAsia" w:hAnsiTheme="minorEastAsia" w:eastAsiaTheme="minorEastAsia"/>
          <w:szCs w:val="28"/>
        </w:rPr>
        <w:fldChar w:fldCharType="end"/>
      </w:r>
    </w:p>
    <w:p>
      <w:pPr>
        <w:pStyle w:val="29"/>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_Toc27543 </w:instrText>
      </w:r>
      <w:r>
        <w:rPr>
          <w:rFonts w:cs="宋体" w:asciiTheme="minorEastAsia" w:hAnsiTheme="minorEastAsia" w:eastAsiaTheme="minorEastAsia"/>
          <w:szCs w:val="28"/>
        </w:rPr>
        <w:fldChar w:fldCharType="separate"/>
      </w:r>
      <w:r>
        <w:rPr>
          <w:rFonts w:hint="eastAsia" w:ascii="宋体" w:hAnsi="宋体" w:eastAsia="宋体" w:cs="宋体"/>
          <w:bCs/>
          <w:szCs w:val="36"/>
        </w:rPr>
        <w:t>第二章投标须知</w:t>
      </w:r>
      <w:r>
        <w:tab/>
      </w:r>
      <w:r>
        <w:fldChar w:fldCharType="begin"/>
      </w:r>
      <w:r>
        <w:instrText xml:space="preserve"> PAGEREF _Toc27543 \h </w:instrText>
      </w:r>
      <w:r>
        <w:fldChar w:fldCharType="separate"/>
      </w:r>
      <w:r>
        <w:t>6</w:t>
      </w:r>
      <w:r>
        <w:fldChar w:fldCharType="end"/>
      </w:r>
      <w:r>
        <w:rPr>
          <w:rFonts w:cs="宋体" w:asciiTheme="minorEastAsia" w:hAnsiTheme="minorEastAsia" w:eastAsiaTheme="minorEastAsia"/>
          <w:szCs w:val="28"/>
        </w:rPr>
        <w:fldChar w:fldCharType="end"/>
      </w:r>
    </w:p>
    <w:p>
      <w:pPr>
        <w:pStyle w:val="29"/>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_Toc25073 </w:instrText>
      </w:r>
      <w:r>
        <w:rPr>
          <w:rFonts w:cs="宋体" w:asciiTheme="minorEastAsia" w:hAnsiTheme="minorEastAsia" w:eastAsiaTheme="minorEastAsia"/>
          <w:szCs w:val="28"/>
        </w:rPr>
        <w:fldChar w:fldCharType="separate"/>
      </w:r>
      <w:r>
        <w:rPr>
          <w:rFonts w:hint="eastAsia" w:ascii="宋体" w:hAnsi="宋体" w:eastAsia="宋体" w:cs="宋体"/>
          <w:bCs/>
          <w:szCs w:val="36"/>
        </w:rPr>
        <w:t>第三章评标办法（综合评估法）</w:t>
      </w:r>
      <w:r>
        <w:tab/>
      </w:r>
      <w:r>
        <w:fldChar w:fldCharType="begin"/>
      </w:r>
      <w:r>
        <w:instrText xml:space="preserve"> PAGEREF _Toc25073 \h </w:instrText>
      </w:r>
      <w:r>
        <w:fldChar w:fldCharType="separate"/>
      </w:r>
      <w:r>
        <w:t>23</w:t>
      </w:r>
      <w:r>
        <w:fldChar w:fldCharType="end"/>
      </w:r>
      <w:r>
        <w:rPr>
          <w:rFonts w:cs="宋体" w:asciiTheme="minorEastAsia" w:hAnsiTheme="minorEastAsia" w:eastAsiaTheme="minorEastAsia"/>
          <w:szCs w:val="28"/>
        </w:rPr>
        <w:fldChar w:fldCharType="end"/>
      </w:r>
    </w:p>
    <w:p>
      <w:pPr>
        <w:pStyle w:val="29"/>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_Toc25280 </w:instrText>
      </w:r>
      <w:r>
        <w:rPr>
          <w:rFonts w:cs="宋体" w:asciiTheme="minorEastAsia" w:hAnsiTheme="minorEastAsia" w:eastAsiaTheme="minorEastAsia"/>
          <w:szCs w:val="28"/>
        </w:rPr>
        <w:fldChar w:fldCharType="separate"/>
      </w:r>
      <w:r>
        <w:rPr>
          <w:rFonts w:hint="eastAsia" w:ascii="宋体" w:hAnsi="宋体" w:eastAsia="宋体" w:cs="宋体"/>
          <w:bCs/>
          <w:szCs w:val="36"/>
        </w:rPr>
        <w:t>第四章合同格式及合同条款</w:t>
      </w:r>
      <w:r>
        <w:tab/>
      </w:r>
      <w:r>
        <w:fldChar w:fldCharType="begin"/>
      </w:r>
      <w:r>
        <w:instrText xml:space="preserve"> PAGEREF _Toc25280 \h </w:instrText>
      </w:r>
      <w:r>
        <w:fldChar w:fldCharType="separate"/>
      </w:r>
      <w:r>
        <w:t>30</w:t>
      </w:r>
      <w:r>
        <w:fldChar w:fldCharType="end"/>
      </w:r>
      <w:r>
        <w:rPr>
          <w:rFonts w:cs="宋体" w:asciiTheme="minorEastAsia" w:hAnsiTheme="minorEastAsia" w:eastAsiaTheme="minorEastAsia"/>
          <w:szCs w:val="28"/>
        </w:rPr>
        <w:fldChar w:fldCharType="end"/>
      </w:r>
    </w:p>
    <w:p>
      <w:pPr>
        <w:pStyle w:val="29"/>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_Toc47 </w:instrText>
      </w:r>
      <w:r>
        <w:rPr>
          <w:rFonts w:cs="宋体" w:asciiTheme="minorEastAsia" w:hAnsiTheme="minorEastAsia" w:eastAsiaTheme="minorEastAsia"/>
          <w:szCs w:val="28"/>
        </w:rPr>
        <w:fldChar w:fldCharType="separate"/>
      </w:r>
      <w:r>
        <w:rPr>
          <w:rFonts w:hint="eastAsia" w:ascii="宋体" w:hAnsi="宋体" w:eastAsia="宋体" w:cs="宋体"/>
          <w:bCs/>
          <w:szCs w:val="36"/>
        </w:rPr>
        <w:t>第五章项目要求</w:t>
      </w:r>
      <w:r>
        <w:tab/>
      </w:r>
      <w:r>
        <w:fldChar w:fldCharType="begin"/>
      </w:r>
      <w:r>
        <w:instrText xml:space="preserve"> PAGEREF _Toc47 \h </w:instrText>
      </w:r>
      <w:r>
        <w:fldChar w:fldCharType="separate"/>
      </w:r>
      <w:r>
        <w:t>35</w:t>
      </w:r>
      <w:r>
        <w:fldChar w:fldCharType="end"/>
      </w:r>
      <w:r>
        <w:rPr>
          <w:rFonts w:cs="宋体" w:asciiTheme="minorEastAsia" w:hAnsiTheme="minorEastAsia" w:eastAsiaTheme="minorEastAsia"/>
          <w:szCs w:val="28"/>
        </w:rPr>
        <w:fldChar w:fldCharType="end"/>
      </w:r>
    </w:p>
    <w:p>
      <w:pPr>
        <w:pStyle w:val="29"/>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_Toc9728 </w:instrText>
      </w:r>
      <w:r>
        <w:rPr>
          <w:rFonts w:cs="宋体" w:asciiTheme="minorEastAsia" w:hAnsiTheme="minorEastAsia" w:eastAsiaTheme="minorEastAsia"/>
          <w:szCs w:val="28"/>
        </w:rPr>
        <w:fldChar w:fldCharType="separate"/>
      </w:r>
      <w:r>
        <w:rPr>
          <w:rFonts w:hint="eastAsia" w:ascii="宋体" w:hAnsi="宋体" w:eastAsia="宋体" w:cs="宋体"/>
          <w:bCs/>
          <w:szCs w:val="36"/>
        </w:rPr>
        <w:t>第六章投标文件格式</w:t>
      </w:r>
      <w:r>
        <w:tab/>
      </w:r>
      <w:r>
        <w:fldChar w:fldCharType="begin"/>
      </w:r>
      <w:r>
        <w:instrText xml:space="preserve"> PAGEREF _Toc9728 \h </w:instrText>
      </w:r>
      <w:r>
        <w:fldChar w:fldCharType="separate"/>
      </w:r>
      <w:r>
        <w:t>44</w:t>
      </w:r>
      <w:r>
        <w:fldChar w:fldCharType="end"/>
      </w:r>
      <w:r>
        <w:rPr>
          <w:rFonts w:cs="宋体" w:asciiTheme="minorEastAsia" w:hAnsiTheme="minorEastAsia" w:eastAsiaTheme="minorEastAsia"/>
          <w:szCs w:val="28"/>
        </w:rPr>
        <w:fldChar w:fldCharType="end"/>
      </w:r>
    </w:p>
    <w:p>
      <w:pPr>
        <w:pStyle w:val="3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_Toc24869 </w:instrText>
      </w:r>
      <w:r>
        <w:rPr>
          <w:rFonts w:cs="宋体" w:asciiTheme="minorEastAsia" w:hAnsiTheme="minorEastAsia" w:eastAsiaTheme="minorEastAsia"/>
          <w:szCs w:val="28"/>
        </w:rPr>
        <w:fldChar w:fldCharType="separate"/>
      </w:r>
      <w:r>
        <w:rPr>
          <w:rFonts w:hint="eastAsia" w:ascii="宋体" w:hAnsi="宋体" w:eastAsia="宋体" w:cs="宋体"/>
          <w:bCs/>
        </w:rPr>
        <w:t>一、投标函</w:t>
      </w:r>
      <w:r>
        <w:tab/>
      </w:r>
      <w:r>
        <w:fldChar w:fldCharType="begin"/>
      </w:r>
      <w:r>
        <w:instrText xml:space="preserve"> PAGEREF _Toc24869 \h </w:instrText>
      </w:r>
      <w:r>
        <w:fldChar w:fldCharType="separate"/>
      </w:r>
      <w:r>
        <w:t>46</w:t>
      </w:r>
      <w:r>
        <w:fldChar w:fldCharType="end"/>
      </w:r>
      <w:r>
        <w:rPr>
          <w:rFonts w:cs="宋体" w:asciiTheme="minorEastAsia" w:hAnsiTheme="minorEastAsia" w:eastAsiaTheme="minorEastAsia"/>
          <w:szCs w:val="28"/>
        </w:rPr>
        <w:fldChar w:fldCharType="end"/>
      </w:r>
    </w:p>
    <w:p>
      <w:pPr>
        <w:pStyle w:val="3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_Toc29979 </w:instrText>
      </w:r>
      <w:r>
        <w:rPr>
          <w:rFonts w:cs="宋体" w:asciiTheme="minorEastAsia" w:hAnsiTheme="minorEastAsia" w:eastAsiaTheme="minorEastAsia"/>
          <w:szCs w:val="28"/>
        </w:rPr>
        <w:fldChar w:fldCharType="separate"/>
      </w:r>
      <w:r>
        <w:rPr>
          <w:rFonts w:hint="eastAsia" w:ascii="宋体" w:hAnsi="宋体" w:cs="宋体"/>
          <w:bCs/>
          <w:szCs w:val="32"/>
        </w:rPr>
        <w:t>二、开标一览表</w:t>
      </w:r>
      <w:r>
        <w:tab/>
      </w:r>
      <w:r>
        <w:fldChar w:fldCharType="begin"/>
      </w:r>
      <w:r>
        <w:instrText xml:space="preserve"> PAGEREF _Toc29979 \h </w:instrText>
      </w:r>
      <w:r>
        <w:fldChar w:fldCharType="separate"/>
      </w:r>
      <w:r>
        <w:t>47</w:t>
      </w:r>
      <w:r>
        <w:fldChar w:fldCharType="end"/>
      </w:r>
      <w:r>
        <w:rPr>
          <w:rFonts w:cs="宋体" w:asciiTheme="minorEastAsia" w:hAnsiTheme="minorEastAsia" w:eastAsiaTheme="minorEastAsia"/>
          <w:szCs w:val="28"/>
        </w:rPr>
        <w:fldChar w:fldCharType="end"/>
      </w:r>
    </w:p>
    <w:p>
      <w:pPr>
        <w:pStyle w:val="3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_Toc18298 </w:instrText>
      </w:r>
      <w:r>
        <w:rPr>
          <w:rFonts w:cs="宋体" w:asciiTheme="minorEastAsia" w:hAnsiTheme="minorEastAsia" w:eastAsiaTheme="minorEastAsia"/>
          <w:szCs w:val="28"/>
        </w:rPr>
        <w:fldChar w:fldCharType="separate"/>
      </w:r>
      <w:r>
        <w:rPr>
          <w:rFonts w:hint="eastAsia" w:ascii="宋体" w:hAnsi="宋体" w:cs="宋体"/>
          <w:bCs/>
          <w:szCs w:val="32"/>
        </w:rPr>
        <w:t>三、投标报价分项表</w:t>
      </w:r>
      <w:r>
        <w:tab/>
      </w:r>
      <w:r>
        <w:fldChar w:fldCharType="begin"/>
      </w:r>
      <w:r>
        <w:instrText xml:space="preserve"> PAGEREF _Toc18298 \h </w:instrText>
      </w:r>
      <w:r>
        <w:fldChar w:fldCharType="separate"/>
      </w:r>
      <w:r>
        <w:t>48</w:t>
      </w:r>
      <w:r>
        <w:fldChar w:fldCharType="end"/>
      </w:r>
      <w:r>
        <w:rPr>
          <w:rFonts w:cs="宋体" w:asciiTheme="minorEastAsia" w:hAnsiTheme="minorEastAsia" w:eastAsiaTheme="minorEastAsia"/>
          <w:szCs w:val="28"/>
        </w:rPr>
        <w:fldChar w:fldCharType="end"/>
      </w:r>
    </w:p>
    <w:p>
      <w:pPr>
        <w:pStyle w:val="3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_Toc19015 </w:instrText>
      </w:r>
      <w:r>
        <w:rPr>
          <w:rFonts w:cs="宋体" w:asciiTheme="minorEastAsia" w:hAnsiTheme="minorEastAsia" w:eastAsiaTheme="minorEastAsia"/>
          <w:szCs w:val="28"/>
        </w:rPr>
        <w:fldChar w:fldCharType="separate"/>
      </w:r>
      <w:r>
        <w:rPr>
          <w:rFonts w:hint="eastAsia" w:ascii="宋体" w:hAnsi="宋体" w:cs="宋体"/>
          <w:bCs/>
          <w:szCs w:val="32"/>
        </w:rPr>
        <w:t>四、技术方案</w:t>
      </w:r>
      <w:r>
        <w:tab/>
      </w:r>
      <w:r>
        <w:fldChar w:fldCharType="begin"/>
      </w:r>
      <w:r>
        <w:instrText xml:space="preserve"> PAGEREF _Toc19015 \h </w:instrText>
      </w:r>
      <w:r>
        <w:fldChar w:fldCharType="separate"/>
      </w:r>
      <w:r>
        <w:t>49</w:t>
      </w:r>
      <w:r>
        <w:fldChar w:fldCharType="end"/>
      </w:r>
      <w:r>
        <w:rPr>
          <w:rFonts w:cs="宋体" w:asciiTheme="minorEastAsia" w:hAnsiTheme="minorEastAsia" w:eastAsiaTheme="minorEastAsia"/>
          <w:szCs w:val="28"/>
        </w:rPr>
        <w:fldChar w:fldCharType="end"/>
      </w:r>
    </w:p>
    <w:p>
      <w:pPr>
        <w:pStyle w:val="3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_Toc9742 </w:instrText>
      </w:r>
      <w:r>
        <w:rPr>
          <w:rFonts w:cs="宋体" w:asciiTheme="minorEastAsia" w:hAnsiTheme="minorEastAsia" w:eastAsiaTheme="minorEastAsia"/>
          <w:szCs w:val="28"/>
        </w:rPr>
        <w:fldChar w:fldCharType="separate"/>
      </w:r>
      <w:r>
        <w:rPr>
          <w:rFonts w:hint="eastAsia" w:ascii="宋体" w:hAnsi="宋体" w:cs="宋体"/>
          <w:bCs/>
          <w:szCs w:val="32"/>
        </w:rPr>
        <w:t>五、技术及商务偏差表</w:t>
      </w:r>
      <w:r>
        <w:tab/>
      </w:r>
      <w:r>
        <w:fldChar w:fldCharType="begin"/>
      </w:r>
      <w:r>
        <w:instrText xml:space="preserve"> PAGEREF _Toc9742 \h </w:instrText>
      </w:r>
      <w:r>
        <w:fldChar w:fldCharType="separate"/>
      </w:r>
      <w:r>
        <w:t>50</w:t>
      </w:r>
      <w:r>
        <w:fldChar w:fldCharType="end"/>
      </w:r>
      <w:r>
        <w:rPr>
          <w:rFonts w:cs="宋体" w:asciiTheme="minorEastAsia" w:hAnsiTheme="minorEastAsia" w:eastAsiaTheme="minorEastAsia"/>
          <w:szCs w:val="28"/>
        </w:rPr>
        <w:fldChar w:fldCharType="end"/>
      </w:r>
    </w:p>
    <w:p>
      <w:pPr>
        <w:pStyle w:val="3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_Toc12387 </w:instrText>
      </w:r>
      <w:r>
        <w:rPr>
          <w:rFonts w:cs="宋体" w:asciiTheme="minorEastAsia" w:hAnsiTheme="minorEastAsia" w:eastAsiaTheme="minorEastAsia"/>
          <w:szCs w:val="28"/>
        </w:rPr>
        <w:fldChar w:fldCharType="separate"/>
      </w:r>
      <w:r>
        <w:rPr>
          <w:rFonts w:hint="eastAsia" w:ascii="宋体" w:hAnsi="宋体" w:cs="宋体"/>
          <w:bCs/>
          <w:szCs w:val="32"/>
        </w:rPr>
        <w:t>六、售后服务计划</w:t>
      </w:r>
      <w:r>
        <w:tab/>
      </w:r>
      <w:r>
        <w:fldChar w:fldCharType="begin"/>
      </w:r>
      <w:r>
        <w:instrText xml:space="preserve"> PAGEREF _Toc12387 \h </w:instrText>
      </w:r>
      <w:r>
        <w:fldChar w:fldCharType="separate"/>
      </w:r>
      <w:r>
        <w:t>52</w:t>
      </w:r>
      <w:r>
        <w:fldChar w:fldCharType="end"/>
      </w:r>
      <w:r>
        <w:rPr>
          <w:rFonts w:cs="宋体" w:asciiTheme="minorEastAsia" w:hAnsiTheme="minorEastAsia" w:eastAsiaTheme="minorEastAsia"/>
          <w:szCs w:val="28"/>
        </w:rPr>
        <w:fldChar w:fldCharType="end"/>
      </w:r>
    </w:p>
    <w:p>
      <w:pPr>
        <w:pStyle w:val="3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_Toc6615 </w:instrText>
      </w:r>
      <w:r>
        <w:rPr>
          <w:rFonts w:cs="宋体" w:asciiTheme="minorEastAsia" w:hAnsiTheme="minorEastAsia" w:eastAsiaTheme="minorEastAsia"/>
          <w:szCs w:val="28"/>
        </w:rPr>
        <w:fldChar w:fldCharType="separate"/>
      </w:r>
      <w:r>
        <w:rPr>
          <w:rFonts w:hint="eastAsia" w:ascii="宋体" w:hAnsi="宋体" w:eastAsia="宋体" w:cs="宋体"/>
          <w:bCs/>
          <w:szCs w:val="32"/>
        </w:rPr>
        <w:t>七、法定代表身份证明及法定代表人授权书</w:t>
      </w:r>
      <w:r>
        <w:tab/>
      </w:r>
      <w:r>
        <w:fldChar w:fldCharType="begin"/>
      </w:r>
      <w:r>
        <w:instrText xml:space="preserve"> PAGEREF _Toc6615 \h </w:instrText>
      </w:r>
      <w:r>
        <w:fldChar w:fldCharType="separate"/>
      </w:r>
      <w:r>
        <w:t>53</w:t>
      </w:r>
      <w:r>
        <w:fldChar w:fldCharType="end"/>
      </w:r>
      <w:r>
        <w:rPr>
          <w:rFonts w:cs="宋体" w:asciiTheme="minorEastAsia" w:hAnsiTheme="minorEastAsia" w:eastAsiaTheme="minorEastAsia"/>
          <w:szCs w:val="28"/>
        </w:rPr>
        <w:fldChar w:fldCharType="end"/>
      </w:r>
    </w:p>
    <w:p>
      <w:pPr>
        <w:pStyle w:val="3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_Toc24531 </w:instrText>
      </w:r>
      <w:r>
        <w:rPr>
          <w:rFonts w:cs="宋体" w:asciiTheme="minorEastAsia" w:hAnsiTheme="minorEastAsia" w:eastAsiaTheme="minorEastAsia"/>
          <w:szCs w:val="28"/>
        </w:rPr>
        <w:fldChar w:fldCharType="separate"/>
      </w:r>
      <w:r>
        <w:rPr>
          <w:rFonts w:hint="eastAsia" w:ascii="宋体" w:hAnsi="宋体" w:cs="宋体"/>
          <w:bCs/>
          <w:szCs w:val="32"/>
        </w:rPr>
        <w:t>八、投标保证金</w:t>
      </w:r>
      <w:r>
        <w:tab/>
      </w:r>
      <w:r>
        <w:fldChar w:fldCharType="begin"/>
      </w:r>
      <w:r>
        <w:instrText xml:space="preserve"> PAGEREF _Toc24531 \h </w:instrText>
      </w:r>
      <w:r>
        <w:fldChar w:fldCharType="separate"/>
      </w:r>
      <w:r>
        <w:t>55</w:t>
      </w:r>
      <w:r>
        <w:fldChar w:fldCharType="end"/>
      </w:r>
      <w:r>
        <w:rPr>
          <w:rFonts w:cs="宋体" w:asciiTheme="minorEastAsia" w:hAnsiTheme="minorEastAsia" w:eastAsiaTheme="minorEastAsia"/>
          <w:szCs w:val="28"/>
        </w:rPr>
        <w:fldChar w:fldCharType="end"/>
      </w:r>
    </w:p>
    <w:p>
      <w:pPr>
        <w:pStyle w:val="3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_Toc29642 </w:instrText>
      </w:r>
      <w:r>
        <w:rPr>
          <w:rFonts w:cs="宋体" w:asciiTheme="minorEastAsia" w:hAnsiTheme="minorEastAsia" w:eastAsiaTheme="minorEastAsia"/>
          <w:szCs w:val="28"/>
        </w:rPr>
        <w:fldChar w:fldCharType="separate"/>
      </w:r>
      <w:r>
        <w:rPr>
          <w:rFonts w:hint="eastAsia" w:ascii="宋体" w:hAnsi="宋体" w:cs="宋体"/>
          <w:bCs/>
          <w:szCs w:val="32"/>
        </w:rPr>
        <w:t>九、资格审查资料</w:t>
      </w:r>
      <w:r>
        <w:tab/>
      </w:r>
      <w:r>
        <w:fldChar w:fldCharType="begin"/>
      </w:r>
      <w:r>
        <w:instrText xml:space="preserve"> PAGEREF _Toc29642 \h </w:instrText>
      </w:r>
      <w:r>
        <w:fldChar w:fldCharType="separate"/>
      </w:r>
      <w:r>
        <w:t>56</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_Toc32592 </w:instrText>
      </w:r>
      <w:r>
        <w:rPr>
          <w:rFonts w:cs="宋体" w:asciiTheme="minorEastAsia" w:hAnsiTheme="minorEastAsia" w:eastAsiaTheme="minorEastAsia"/>
          <w:szCs w:val="28"/>
        </w:rPr>
        <w:fldChar w:fldCharType="separate"/>
      </w:r>
      <w:r>
        <w:rPr>
          <w:rFonts w:ascii="宋体" w:hAnsi="宋体" w:eastAsia="宋体" w:cs="宋体"/>
          <w:bCs/>
          <w:szCs w:val="30"/>
        </w:rPr>
        <w:t>1</w:t>
      </w:r>
      <w:r>
        <w:rPr>
          <w:rFonts w:hint="eastAsia" w:ascii="宋体" w:hAnsi="宋体" w:eastAsia="宋体" w:cs="宋体"/>
          <w:bCs/>
          <w:szCs w:val="30"/>
        </w:rPr>
        <w:t>、基本情况表</w:t>
      </w:r>
      <w:r>
        <w:tab/>
      </w:r>
      <w:r>
        <w:fldChar w:fldCharType="begin"/>
      </w:r>
      <w:r>
        <w:instrText xml:space="preserve"> PAGEREF _Toc32592 \h </w:instrText>
      </w:r>
      <w:r>
        <w:fldChar w:fldCharType="separate"/>
      </w:r>
      <w:r>
        <w:t>56</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_Toc23279 </w:instrText>
      </w:r>
      <w:r>
        <w:rPr>
          <w:rFonts w:cs="宋体" w:asciiTheme="minorEastAsia" w:hAnsiTheme="minorEastAsia" w:eastAsiaTheme="minorEastAsia"/>
          <w:szCs w:val="28"/>
        </w:rPr>
        <w:fldChar w:fldCharType="separate"/>
      </w:r>
      <w:r>
        <w:rPr>
          <w:rFonts w:hint="eastAsia" w:ascii="宋体" w:hAnsi="宋体" w:cs="宋体"/>
          <w:bCs/>
          <w:szCs w:val="30"/>
          <w:lang w:val="en-US" w:eastAsia="zh-CN"/>
        </w:rPr>
        <w:t>2</w:t>
      </w:r>
      <w:r>
        <w:rPr>
          <w:rFonts w:hint="eastAsia" w:ascii="宋体" w:hAnsi="宋体" w:cs="宋体"/>
          <w:bCs/>
          <w:szCs w:val="30"/>
        </w:rPr>
        <w:t>、证书</w:t>
      </w:r>
      <w:r>
        <w:tab/>
      </w:r>
      <w:r>
        <w:fldChar w:fldCharType="begin"/>
      </w:r>
      <w:r>
        <w:instrText xml:space="preserve"> PAGEREF _Toc23279 \h </w:instrText>
      </w:r>
      <w:r>
        <w:fldChar w:fldCharType="separate"/>
      </w:r>
      <w:r>
        <w:t>57</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_Toc4144 </w:instrText>
      </w:r>
      <w:r>
        <w:rPr>
          <w:rFonts w:cs="宋体" w:asciiTheme="minorEastAsia" w:hAnsiTheme="minorEastAsia" w:eastAsiaTheme="minorEastAsia"/>
          <w:szCs w:val="28"/>
        </w:rPr>
        <w:fldChar w:fldCharType="separate"/>
      </w:r>
      <w:r>
        <w:rPr>
          <w:rFonts w:hint="eastAsia" w:ascii="宋体" w:hAnsi="宋体" w:eastAsia="宋体" w:cs="宋体"/>
          <w:bCs/>
          <w:lang w:val="en-US" w:eastAsia="zh-CN"/>
        </w:rPr>
        <w:t>3</w:t>
      </w:r>
      <w:r>
        <w:rPr>
          <w:rFonts w:hint="eastAsia" w:ascii="宋体" w:hAnsi="宋体" w:eastAsia="宋体" w:cs="宋体"/>
          <w:bCs/>
        </w:rPr>
        <w:t>、近三年无违法违纪、无不良记录承诺书</w:t>
      </w:r>
      <w:r>
        <w:tab/>
      </w:r>
      <w:r>
        <w:fldChar w:fldCharType="begin"/>
      </w:r>
      <w:r>
        <w:instrText xml:space="preserve"> PAGEREF _Toc4144 \h </w:instrText>
      </w:r>
      <w:r>
        <w:fldChar w:fldCharType="separate"/>
      </w:r>
      <w:r>
        <w:t>58</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_Toc4100 </w:instrText>
      </w:r>
      <w:r>
        <w:rPr>
          <w:rFonts w:cs="宋体" w:asciiTheme="minorEastAsia" w:hAnsiTheme="minorEastAsia" w:eastAsiaTheme="minorEastAsia"/>
          <w:szCs w:val="28"/>
        </w:rPr>
        <w:fldChar w:fldCharType="separate"/>
      </w:r>
      <w:r>
        <w:rPr>
          <w:rFonts w:hint="eastAsia" w:ascii="宋体" w:hAnsi="宋体" w:eastAsia="宋体" w:cs="宋体"/>
          <w:bCs/>
          <w:lang w:val="en-US" w:eastAsia="zh-CN"/>
        </w:rPr>
        <w:t>4</w:t>
      </w:r>
      <w:r>
        <w:rPr>
          <w:rFonts w:hint="eastAsia" w:ascii="宋体" w:hAnsi="宋体" w:eastAsia="宋体" w:cs="宋体"/>
          <w:bCs/>
        </w:rPr>
        <w:t>、信用记录查询结果告知函</w:t>
      </w:r>
      <w:r>
        <w:tab/>
      </w:r>
      <w:r>
        <w:fldChar w:fldCharType="begin"/>
      </w:r>
      <w:r>
        <w:instrText xml:space="preserve"> PAGEREF _Toc4100 \h </w:instrText>
      </w:r>
      <w:r>
        <w:fldChar w:fldCharType="separate"/>
      </w:r>
      <w:r>
        <w:t>59</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_Toc2544 </w:instrText>
      </w:r>
      <w:r>
        <w:rPr>
          <w:rFonts w:cs="宋体" w:asciiTheme="minorEastAsia" w:hAnsiTheme="minorEastAsia" w:eastAsiaTheme="minorEastAsia"/>
          <w:szCs w:val="28"/>
        </w:rPr>
        <w:fldChar w:fldCharType="separate"/>
      </w:r>
      <w:r>
        <w:rPr>
          <w:rFonts w:ascii="宋体" w:hAnsi="宋体" w:eastAsia="宋体" w:cs="宋体"/>
          <w:bCs/>
        </w:rPr>
        <w:t xml:space="preserve"> </w:t>
      </w:r>
      <w:r>
        <w:rPr>
          <w:rFonts w:hint="eastAsia" w:ascii="宋体" w:hAnsi="宋体" w:eastAsia="宋体" w:cs="宋体"/>
          <w:bCs/>
          <w:lang w:val="en-US" w:eastAsia="zh-CN"/>
        </w:rPr>
        <w:t>5</w:t>
      </w:r>
      <w:r>
        <w:rPr>
          <w:rFonts w:hint="eastAsia" w:ascii="宋体" w:hAnsi="宋体" w:eastAsia="宋体" w:cs="宋体"/>
          <w:bCs/>
        </w:rPr>
        <w:t>、投标人反商业贿赂承诺书（固定格式）</w:t>
      </w:r>
      <w:r>
        <w:tab/>
      </w:r>
      <w:r>
        <w:fldChar w:fldCharType="begin"/>
      </w:r>
      <w:r>
        <w:instrText xml:space="preserve"> PAGEREF _Toc2544 \h </w:instrText>
      </w:r>
      <w:r>
        <w:fldChar w:fldCharType="separate"/>
      </w:r>
      <w:r>
        <w:t>60</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_Toc26470 </w:instrText>
      </w:r>
      <w:r>
        <w:rPr>
          <w:rFonts w:cs="宋体" w:asciiTheme="minorEastAsia" w:hAnsiTheme="minorEastAsia" w:eastAsiaTheme="minorEastAsia"/>
          <w:szCs w:val="28"/>
        </w:rPr>
        <w:fldChar w:fldCharType="separate"/>
      </w:r>
      <w:r>
        <w:rPr>
          <w:rFonts w:hint="eastAsia" w:ascii="宋体" w:hAnsi="宋体" w:eastAsia="宋体" w:cs="宋体"/>
          <w:bCs/>
          <w:lang w:val="en-US" w:eastAsia="zh-CN"/>
        </w:rPr>
        <w:t>6</w:t>
      </w:r>
      <w:r>
        <w:rPr>
          <w:rFonts w:hint="eastAsia" w:ascii="宋体" w:hAnsi="宋体" w:eastAsia="宋体" w:cs="宋体"/>
          <w:bCs/>
        </w:rPr>
        <w:t>、纳税凭证及社保证明</w:t>
      </w:r>
      <w:r>
        <w:tab/>
      </w:r>
      <w:r>
        <w:fldChar w:fldCharType="begin"/>
      </w:r>
      <w:r>
        <w:instrText xml:space="preserve"> PAGEREF _Toc26470 \h </w:instrText>
      </w:r>
      <w:r>
        <w:fldChar w:fldCharType="separate"/>
      </w:r>
      <w:r>
        <w:t>61</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_Toc1797 </w:instrText>
      </w:r>
      <w:r>
        <w:rPr>
          <w:rFonts w:cs="宋体" w:asciiTheme="minorEastAsia" w:hAnsiTheme="minorEastAsia" w:eastAsiaTheme="minorEastAsia"/>
          <w:szCs w:val="28"/>
        </w:rPr>
        <w:fldChar w:fldCharType="separate"/>
      </w:r>
      <w:r>
        <w:rPr>
          <w:rFonts w:hint="eastAsia" w:ascii="宋体" w:hAnsi="宋体" w:eastAsia="宋体" w:cs="宋体"/>
          <w:bCs/>
          <w:lang w:val="en-US" w:eastAsia="zh-CN"/>
        </w:rPr>
        <w:t>7</w:t>
      </w:r>
      <w:r>
        <w:rPr>
          <w:rFonts w:hint="eastAsia" w:ascii="宋体" w:hAnsi="宋体" w:eastAsia="宋体" w:cs="宋体"/>
          <w:bCs/>
        </w:rPr>
        <w:t>、财务状况报告</w:t>
      </w:r>
      <w:r>
        <w:tab/>
      </w:r>
      <w:r>
        <w:fldChar w:fldCharType="begin"/>
      </w:r>
      <w:r>
        <w:instrText xml:space="preserve"> PAGEREF _Toc1797 \h </w:instrText>
      </w:r>
      <w:r>
        <w:fldChar w:fldCharType="separate"/>
      </w:r>
      <w:r>
        <w:t>61</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_Toc29464 </w:instrText>
      </w:r>
      <w:r>
        <w:rPr>
          <w:rFonts w:cs="宋体" w:asciiTheme="minorEastAsia" w:hAnsiTheme="minorEastAsia" w:eastAsiaTheme="minorEastAsia"/>
          <w:szCs w:val="28"/>
        </w:rPr>
        <w:fldChar w:fldCharType="separate"/>
      </w:r>
      <w:r>
        <w:rPr>
          <w:rFonts w:hint="eastAsia" w:ascii="宋体" w:hAnsi="宋体" w:eastAsia="宋体" w:cs="宋体"/>
          <w:bCs/>
          <w:lang w:val="en-US" w:eastAsia="zh-CN"/>
        </w:rPr>
        <w:t>8</w:t>
      </w:r>
      <w:r>
        <w:rPr>
          <w:rFonts w:hint="eastAsia" w:ascii="宋体" w:hAnsi="宋体" w:eastAsia="宋体" w:cs="宋体"/>
          <w:bCs/>
        </w:rPr>
        <w:t>、企业法人营业执照、税务登记证、组织机构代码证</w:t>
      </w:r>
      <w:r>
        <w:rPr>
          <w:rFonts w:ascii="宋体" w:hAnsi="宋体" w:cs="宋体"/>
          <w:bCs/>
          <w:kern w:val="0"/>
          <w:szCs w:val="28"/>
        </w:rPr>
        <w:t>(</w:t>
      </w:r>
      <w:r>
        <w:rPr>
          <w:rFonts w:hint="eastAsia" w:ascii="宋体" w:hAnsi="宋体" w:cs="宋体"/>
          <w:bCs/>
          <w:kern w:val="0"/>
          <w:szCs w:val="28"/>
        </w:rPr>
        <w:t>或提供三证合一或五证合一</w:t>
      </w:r>
      <w:r>
        <w:rPr>
          <w:rFonts w:ascii="宋体" w:hAnsi="宋体" w:cs="宋体"/>
          <w:bCs/>
          <w:kern w:val="0"/>
          <w:szCs w:val="28"/>
        </w:rPr>
        <w:t>)</w:t>
      </w:r>
      <w:r>
        <w:tab/>
      </w:r>
      <w:r>
        <w:fldChar w:fldCharType="begin"/>
      </w:r>
      <w:r>
        <w:instrText xml:space="preserve"> PAGEREF _Toc29464 \h </w:instrText>
      </w:r>
      <w:r>
        <w:fldChar w:fldCharType="separate"/>
      </w:r>
      <w:r>
        <w:t>61</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_Toc13631 </w:instrText>
      </w:r>
      <w:r>
        <w:rPr>
          <w:rFonts w:cs="宋体" w:asciiTheme="minorEastAsia" w:hAnsiTheme="minorEastAsia" w:eastAsiaTheme="minorEastAsia"/>
          <w:szCs w:val="28"/>
        </w:rPr>
        <w:fldChar w:fldCharType="separate"/>
      </w:r>
      <w:r>
        <w:rPr>
          <w:rFonts w:hint="eastAsia" w:ascii="宋体" w:hAnsi="宋体" w:eastAsia="宋体" w:cs="宋体"/>
          <w:bCs/>
          <w:lang w:val="en-US" w:eastAsia="zh-CN"/>
        </w:rPr>
        <w:t>9</w:t>
      </w:r>
      <w:r>
        <w:rPr>
          <w:rFonts w:hint="eastAsia" w:ascii="宋体" w:hAnsi="宋体" w:eastAsia="宋体" w:cs="宋体"/>
          <w:bCs/>
        </w:rPr>
        <w:t>、投标人须具有良好的商业信誉和完善的售后服务体系，并具有承担本项目的能力。（提供承诺函）。</w:t>
      </w:r>
      <w:r>
        <w:tab/>
      </w:r>
      <w:r>
        <w:fldChar w:fldCharType="begin"/>
      </w:r>
      <w:r>
        <w:instrText xml:space="preserve"> PAGEREF _Toc13631 \h </w:instrText>
      </w:r>
      <w:r>
        <w:fldChar w:fldCharType="separate"/>
      </w:r>
      <w:r>
        <w:t>61</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_Toc26138 </w:instrText>
      </w:r>
      <w:r>
        <w:rPr>
          <w:rFonts w:cs="宋体" w:asciiTheme="minorEastAsia" w:hAnsiTheme="minorEastAsia" w:eastAsiaTheme="minorEastAsia"/>
          <w:szCs w:val="28"/>
        </w:rPr>
        <w:fldChar w:fldCharType="separate"/>
      </w:r>
      <w:r>
        <w:rPr>
          <w:rFonts w:ascii="宋体" w:hAnsi="宋体" w:eastAsia="宋体" w:cs="宋体"/>
          <w:bCs/>
        </w:rPr>
        <w:t>1</w:t>
      </w:r>
      <w:r>
        <w:rPr>
          <w:rFonts w:hint="eastAsia" w:ascii="宋体" w:hAnsi="宋体" w:eastAsia="宋体" w:cs="宋体"/>
          <w:bCs/>
          <w:lang w:val="en-US" w:eastAsia="zh-CN"/>
        </w:rPr>
        <w:t>0</w:t>
      </w:r>
      <w:r>
        <w:rPr>
          <w:rFonts w:ascii="宋体" w:hAnsi="宋体" w:eastAsia="宋体" w:cs="宋体"/>
          <w:bCs/>
        </w:rPr>
        <w:t>、</w:t>
      </w:r>
      <w:r>
        <w:rPr>
          <w:rFonts w:hint="eastAsia" w:ascii="宋体" w:hAnsi="宋体" w:eastAsia="宋体" w:cs="宋体"/>
          <w:bCs/>
        </w:rPr>
        <w:t>投标单位负责人为同一人或者存在直接控股、管理关系的不同投标人，不得同时参加本项目的投标活动（提供承诺函）。</w:t>
      </w:r>
      <w:r>
        <w:tab/>
      </w:r>
      <w:r>
        <w:fldChar w:fldCharType="begin"/>
      </w:r>
      <w:r>
        <w:instrText xml:space="preserve"> PAGEREF _Toc26138 \h </w:instrText>
      </w:r>
      <w:r>
        <w:fldChar w:fldCharType="separate"/>
      </w:r>
      <w:r>
        <w:t>61</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_Toc3654 </w:instrText>
      </w:r>
      <w:r>
        <w:rPr>
          <w:rFonts w:cs="宋体" w:asciiTheme="minorEastAsia" w:hAnsiTheme="minorEastAsia" w:eastAsiaTheme="minorEastAsia"/>
          <w:szCs w:val="28"/>
        </w:rPr>
        <w:fldChar w:fldCharType="separate"/>
      </w:r>
      <w:r>
        <w:rPr>
          <w:rFonts w:ascii="宋体" w:hAnsi="宋体" w:eastAsia="宋体" w:cs="宋体"/>
          <w:bCs/>
        </w:rPr>
        <w:t>1</w:t>
      </w:r>
      <w:r>
        <w:rPr>
          <w:rFonts w:hint="eastAsia" w:ascii="宋体" w:hAnsi="宋体" w:eastAsia="宋体" w:cs="宋体"/>
          <w:bCs/>
          <w:lang w:val="en-US" w:eastAsia="zh-CN"/>
        </w:rPr>
        <w:t>1</w:t>
      </w:r>
      <w:r>
        <w:rPr>
          <w:rFonts w:hint="eastAsia" w:ascii="宋体" w:hAnsi="宋体" w:eastAsia="宋体" w:cs="宋体"/>
          <w:bCs/>
        </w:rPr>
        <w:t>、本招标项目不接受联合体投标（提供承诺函）。</w:t>
      </w:r>
      <w:r>
        <w:tab/>
      </w:r>
      <w:r>
        <w:fldChar w:fldCharType="begin"/>
      </w:r>
      <w:r>
        <w:instrText xml:space="preserve"> PAGEREF _Toc3654 \h </w:instrText>
      </w:r>
      <w:r>
        <w:fldChar w:fldCharType="separate"/>
      </w:r>
      <w:r>
        <w:t>61</w:t>
      </w:r>
      <w:r>
        <w:fldChar w:fldCharType="end"/>
      </w:r>
      <w:r>
        <w:rPr>
          <w:rFonts w:cs="宋体" w:asciiTheme="minorEastAsia" w:hAnsiTheme="minorEastAsia" w:eastAsiaTheme="minorEastAsia"/>
          <w:szCs w:val="28"/>
        </w:rPr>
        <w:fldChar w:fldCharType="end"/>
      </w:r>
    </w:p>
    <w:p>
      <w:pPr>
        <w:pStyle w:val="2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_Toc17271 </w:instrText>
      </w:r>
      <w:r>
        <w:rPr>
          <w:rFonts w:cs="宋体" w:asciiTheme="minorEastAsia" w:hAnsiTheme="minorEastAsia" w:eastAsiaTheme="minorEastAsia"/>
          <w:szCs w:val="28"/>
        </w:rPr>
        <w:fldChar w:fldCharType="separate"/>
      </w:r>
      <w:r>
        <w:rPr>
          <w:rFonts w:ascii="宋体" w:hAnsi="宋体" w:eastAsia="宋体" w:cs="宋体"/>
          <w:bCs/>
        </w:rPr>
        <w:t>1</w:t>
      </w:r>
      <w:r>
        <w:rPr>
          <w:rFonts w:hint="eastAsia" w:ascii="宋体" w:hAnsi="宋体" w:eastAsia="宋体" w:cs="宋体"/>
          <w:bCs/>
          <w:lang w:val="en-US" w:eastAsia="zh-CN"/>
        </w:rPr>
        <w:t>2</w:t>
      </w:r>
      <w:r>
        <w:rPr>
          <w:rFonts w:hint="eastAsia" w:ascii="宋体" w:hAnsi="宋体" w:eastAsia="宋体" w:cs="宋体"/>
          <w:bCs/>
        </w:rPr>
        <w:t>、招标文件要求提供的其他资格证明文件或投标人认为有必要提供的其他证明文件</w:t>
      </w:r>
      <w:r>
        <w:tab/>
      </w:r>
      <w:r>
        <w:fldChar w:fldCharType="begin"/>
      </w:r>
      <w:r>
        <w:instrText xml:space="preserve"> PAGEREF _Toc17271 \h </w:instrText>
      </w:r>
      <w:r>
        <w:fldChar w:fldCharType="separate"/>
      </w:r>
      <w:r>
        <w:t>61</w:t>
      </w:r>
      <w:r>
        <w:fldChar w:fldCharType="end"/>
      </w:r>
      <w:r>
        <w:rPr>
          <w:rFonts w:cs="宋体" w:asciiTheme="minorEastAsia" w:hAnsiTheme="minorEastAsia" w:eastAsiaTheme="minorEastAsia"/>
          <w:szCs w:val="28"/>
        </w:rPr>
        <w:fldChar w:fldCharType="end"/>
      </w:r>
    </w:p>
    <w:p>
      <w:pPr>
        <w:pStyle w:val="32"/>
        <w:tabs>
          <w:tab w:val="right" w:leader="dot" w:pos="8800"/>
        </w:tabs>
      </w:pPr>
      <w:r>
        <w:rPr>
          <w:rFonts w:cs="宋体" w:asciiTheme="minorEastAsia" w:hAnsiTheme="minorEastAsia" w:eastAsiaTheme="minorEastAsia"/>
          <w:szCs w:val="28"/>
        </w:rPr>
        <w:fldChar w:fldCharType="begin"/>
      </w:r>
      <w:r>
        <w:rPr>
          <w:rFonts w:cs="宋体" w:asciiTheme="minorEastAsia" w:hAnsiTheme="minorEastAsia" w:eastAsiaTheme="minorEastAsia"/>
          <w:szCs w:val="28"/>
        </w:rPr>
        <w:instrText xml:space="preserve"> HYPERLINK \l _Toc16631 </w:instrText>
      </w:r>
      <w:r>
        <w:rPr>
          <w:rFonts w:cs="宋体" w:asciiTheme="minorEastAsia" w:hAnsiTheme="minorEastAsia" w:eastAsiaTheme="minorEastAsia"/>
          <w:szCs w:val="28"/>
        </w:rPr>
        <w:fldChar w:fldCharType="separate"/>
      </w:r>
      <w:r>
        <w:rPr>
          <w:rFonts w:hint="eastAsia" w:ascii="宋体" w:hAnsi="宋体" w:cs="宋体"/>
          <w:bCs/>
          <w:szCs w:val="32"/>
        </w:rPr>
        <w:t>十、其他证明材料</w:t>
      </w:r>
      <w:r>
        <w:tab/>
      </w:r>
      <w:r>
        <w:fldChar w:fldCharType="begin"/>
      </w:r>
      <w:r>
        <w:instrText xml:space="preserve"> PAGEREF _Toc16631 \h </w:instrText>
      </w:r>
      <w:r>
        <w:fldChar w:fldCharType="separate"/>
      </w:r>
      <w:r>
        <w:t>62</w:t>
      </w:r>
      <w:r>
        <w:fldChar w:fldCharType="end"/>
      </w:r>
      <w:r>
        <w:rPr>
          <w:rFonts w:cs="宋体" w:asciiTheme="minorEastAsia" w:hAnsiTheme="minorEastAsia" w:eastAsiaTheme="minorEastAsia"/>
          <w:szCs w:val="28"/>
        </w:rPr>
        <w:fldChar w:fldCharType="end"/>
      </w:r>
    </w:p>
    <w:p>
      <w:pPr>
        <w:snapToGrid w:val="0"/>
        <w:spacing w:line="360" w:lineRule="auto"/>
        <w:jc w:val="center"/>
        <w:textAlignment w:val="baseline"/>
        <w:rPr>
          <w:rFonts w:ascii="宋体" w:cs="宋体"/>
          <w:sz w:val="24"/>
          <w:szCs w:val="24"/>
        </w:rPr>
      </w:pPr>
      <w:r>
        <w:rPr>
          <w:rFonts w:cs="宋体" w:asciiTheme="minorEastAsia" w:hAnsiTheme="minorEastAsia" w:eastAsiaTheme="minorEastAsia"/>
          <w:szCs w:val="28"/>
        </w:rPr>
        <w:fldChar w:fldCharType="end"/>
      </w:r>
    </w:p>
    <w:p>
      <w:pPr>
        <w:snapToGrid w:val="0"/>
        <w:jc w:val="center"/>
        <w:outlineLvl w:val="9"/>
        <w:rPr>
          <w:rFonts w:ascii="宋体" w:hAnsi="宋体" w:eastAsia="宋体" w:cs="宋体"/>
          <w:b/>
          <w:bCs/>
          <w:sz w:val="36"/>
          <w:szCs w:val="36"/>
        </w:rPr>
      </w:pPr>
      <w:r>
        <w:rPr>
          <w:rFonts w:ascii="宋体" w:eastAsia="宋体" w:cs="宋体"/>
          <w:sz w:val="24"/>
          <w:szCs w:val="24"/>
        </w:rPr>
        <w:br w:type="page"/>
      </w:r>
    </w:p>
    <w:p>
      <w:pPr>
        <w:pStyle w:val="5"/>
        <w:snapToGrid w:val="0"/>
        <w:jc w:val="center"/>
        <w:rPr>
          <w:rFonts w:ascii="宋体" w:hAnsi="宋体" w:eastAsia="宋体" w:cs="宋体"/>
          <w:b/>
          <w:bCs/>
          <w:sz w:val="36"/>
          <w:szCs w:val="36"/>
        </w:rPr>
      </w:pPr>
      <w:bookmarkStart w:id="0" w:name="_Toc256363510"/>
      <w:bookmarkStart w:id="1" w:name="_Toc18746"/>
      <w:r>
        <w:rPr>
          <w:rFonts w:hint="eastAsia" w:ascii="宋体" w:hAnsi="宋体" w:eastAsia="宋体" w:cs="宋体"/>
          <w:b/>
          <w:bCs/>
          <w:sz w:val="36"/>
          <w:szCs w:val="36"/>
        </w:rPr>
        <w:t>第一章</w:t>
      </w:r>
      <w:bookmarkEnd w:id="0"/>
      <w:r>
        <w:rPr>
          <w:rFonts w:hint="eastAsia" w:ascii="宋体" w:hAnsi="宋体" w:eastAsia="宋体" w:cs="宋体"/>
          <w:b/>
          <w:bCs/>
          <w:sz w:val="36"/>
          <w:szCs w:val="36"/>
        </w:rPr>
        <w:t>招标公告</w:t>
      </w:r>
      <w:bookmarkEnd w:id="1"/>
    </w:p>
    <w:p>
      <w:pPr>
        <w:shd w:val="clear" w:color="auto" w:fill="FFFFFF"/>
        <w:kinsoku w:val="0"/>
        <w:overflowPunct w:val="0"/>
        <w:autoSpaceDE w:val="0"/>
        <w:autoSpaceDN w:val="0"/>
        <w:adjustRightInd w:val="0"/>
        <w:snapToGrid w:val="0"/>
        <w:spacing w:line="400" w:lineRule="exact"/>
        <w:jc w:val="center"/>
        <w:rPr>
          <w:rFonts w:hint="eastAsia" w:ascii="宋体" w:hAnsi="宋体" w:eastAsia="宋体" w:cs="宋体"/>
          <w:b/>
          <w:bCs/>
          <w:kern w:val="0"/>
          <w:sz w:val="24"/>
          <w:szCs w:val="24"/>
          <w:lang w:eastAsia="zh-CN"/>
        </w:rPr>
      </w:pPr>
      <w:bookmarkStart w:id="2" w:name="OLE_LINK2"/>
      <w:bookmarkStart w:id="3" w:name="OLE_LINK1"/>
      <w:r>
        <w:rPr>
          <w:rFonts w:hint="eastAsia" w:ascii="宋体" w:hAnsi="宋体" w:cs="宋体"/>
          <w:b/>
          <w:bCs/>
          <w:kern w:val="0"/>
          <w:sz w:val="24"/>
          <w:szCs w:val="24"/>
          <w:lang w:eastAsia="zh-CN"/>
        </w:rPr>
        <w:t>商丘市中医院新院区第二批影像放射类2设备采购项目</w:t>
      </w:r>
    </w:p>
    <w:p>
      <w:pPr>
        <w:shd w:val="clear" w:color="auto" w:fill="FFFFFF"/>
        <w:kinsoku w:val="0"/>
        <w:overflowPunct w:val="0"/>
        <w:autoSpaceDE w:val="0"/>
        <w:autoSpaceDN w:val="0"/>
        <w:adjustRightInd w:val="0"/>
        <w:snapToGrid w:val="0"/>
        <w:spacing w:line="400" w:lineRule="exact"/>
        <w:jc w:val="center"/>
        <w:rPr>
          <w:rFonts w:ascii="宋体" w:hAnsi="宋体" w:cs="宋体"/>
          <w:b/>
          <w:bCs/>
          <w:kern w:val="0"/>
          <w:sz w:val="24"/>
          <w:szCs w:val="24"/>
        </w:rPr>
      </w:pPr>
      <w:r>
        <w:rPr>
          <w:rFonts w:hint="eastAsia" w:ascii="宋体" w:hAnsi="宋体" w:cs="宋体"/>
          <w:b/>
          <w:bCs/>
          <w:kern w:val="0"/>
          <w:sz w:val="24"/>
          <w:szCs w:val="24"/>
        </w:rPr>
        <w:t>招标公告</w:t>
      </w:r>
    </w:p>
    <w:p>
      <w:pPr>
        <w:spacing w:line="400" w:lineRule="exact"/>
        <w:jc w:val="center"/>
        <w:rPr>
          <w:rFonts w:hint="default" w:ascii="宋体"/>
          <w:b/>
          <w:bCs/>
          <w:kern w:val="0"/>
          <w:sz w:val="24"/>
          <w:szCs w:val="24"/>
          <w:highlight w:val="none"/>
          <w:lang w:val="en-US"/>
        </w:rPr>
      </w:pPr>
      <w:r>
        <w:rPr>
          <w:rFonts w:hint="eastAsia" w:ascii="宋体" w:hAnsi="宋体" w:cs="宋体"/>
          <w:kern w:val="0"/>
          <w:sz w:val="24"/>
          <w:szCs w:val="24"/>
          <w:highlight w:val="none"/>
        </w:rPr>
        <w:t>招标编号：商财采招-2022-</w:t>
      </w:r>
      <w:r>
        <w:rPr>
          <w:rFonts w:hint="eastAsia" w:ascii="宋体" w:hAnsi="宋体" w:eastAsia="宋体" w:cs="宋体"/>
          <w:kern w:val="0"/>
          <w:sz w:val="24"/>
          <w:szCs w:val="24"/>
          <w:highlight w:val="none"/>
          <w:lang w:val="en-US" w:eastAsia="zh-CN"/>
        </w:rPr>
        <w:t>154</w:t>
      </w:r>
    </w:p>
    <w:p>
      <w:pPr>
        <w:shd w:val="clear" w:color="auto" w:fill="FFFFFF"/>
        <w:kinsoku w:val="0"/>
        <w:overflowPunct w:val="0"/>
        <w:autoSpaceDE w:val="0"/>
        <w:autoSpaceDN w:val="0"/>
        <w:adjustRightInd w:val="0"/>
        <w:snapToGrid w:val="0"/>
        <w:spacing w:line="360" w:lineRule="auto"/>
        <w:rPr>
          <w:rFonts w:ascii="宋体"/>
          <w:b/>
          <w:bCs/>
          <w:kern w:val="0"/>
          <w:sz w:val="24"/>
          <w:szCs w:val="24"/>
        </w:rPr>
      </w:pPr>
      <w:bookmarkStart w:id="4" w:name="OLE_LINK4"/>
      <w:r>
        <w:rPr>
          <w:rFonts w:ascii="宋体" w:hAnsi="宋体" w:cs="宋体"/>
          <w:b/>
          <w:bCs/>
          <w:kern w:val="0"/>
          <w:sz w:val="24"/>
          <w:szCs w:val="24"/>
        </w:rPr>
        <w:t>1.</w:t>
      </w:r>
      <w:r>
        <w:rPr>
          <w:rFonts w:hint="eastAsia" w:ascii="宋体" w:hAnsi="宋体" w:cs="宋体"/>
          <w:b/>
          <w:bCs/>
          <w:kern w:val="0"/>
          <w:sz w:val="24"/>
          <w:szCs w:val="24"/>
        </w:rPr>
        <w:t>招标条件</w:t>
      </w:r>
    </w:p>
    <w:p>
      <w:pPr>
        <w:shd w:val="clear" w:color="auto" w:fill="FFFFFF"/>
        <w:kinsoku w:val="0"/>
        <w:overflowPunct w:val="0"/>
        <w:autoSpaceDE w:val="0"/>
        <w:autoSpaceDN w:val="0"/>
        <w:adjustRightInd w:val="0"/>
        <w:snapToGrid w:val="0"/>
        <w:spacing w:line="360" w:lineRule="auto"/>
        <w:ind w:firstLine="566" w:firstLineChars="236"/>
        <w:jc w:val="left"/>
        <w:rPr>
          <w:rFonts w:ascii="宋体"/>
          <w:kern w:val="0"/>
          <w:sz w:val="24"/>
          <w:szCs w:val="24"/>
        </w:rPr>
      </w:pPr>
      <w:r>
        <w:rPr>
          <w:rFonts w:hint="eastAsia" w:ascii="宋体" w:hAnsi="宋体" w:cs="宋体"/>
          <w:kern w:val="0"/>
          <w:sz w:val="24"/>
          <w:szCs w:val="24"/>
        </w:rPr>
        <w:t>京咨工程咨询有限公司受商丘市中医院的委托，对</w:t>
      </w:r>
      <w:r>
        <w:rPr>
          <w:rFonts w:hint="eastAsia" w:ascii="宋体" w:hAnsi="宋体" w:cs="宋体"/>
          <w:kern w:val="0"/>
          <w:sz w:val="24"/>
          <w:szCs w:val="24"/>
          <w:lang w:eastAsia="zh-CN"/>
        </w:rPr>
        <w:t>商丘市中医院新院区第二批影像放射类2设备采购项目</w:t>
      </w:r>
      <w:r>
        <w:rPr>
          <w:rFonts w:hint="eastAsia" w:ascii="宋体" w:hAnsi="宋体" w:cs="宋体"/>
          <w:kern w:val="0"/>
          <w:sz w:val="24"/>
          <w:szCs w:val="24"/>
        </w:rPr>
        <w:t>进行国内公开招标。本项目现已具备招标条件，欢迎具有相应资格的潜在投标人参加投标。</w:t>
      </w:r>
    </w:p>
    <w:p>
      <w:pPr>
        <w:shd w:val="clear" w:color="auto" w:fill="FFFFFF"/>
        <w:kinsoku w:val="0"/>
        <w:overflowPunct w:val="0"/>
        <w:autoSpaceDE w:val="0"/>
        <w:autoSpaceDN w:val="0"/>
        <w:adjustRightInd w:val="0"/>
        <w:snapToGrid w:val="0"/>
        <w:spacing w:line="360" w:lineRule="auto"/>
        <w:jc w:val="left"/>
        <w:rPr>
          <w:rFonts w:ascii="宋体"/>
          <w:b/>
          <w:bCs/>
          <w:kern w:val="0"/>
          <w:sz w:val="24"/>
          <w:szCs w:val="24"/>
        </w:rPr>
      </w:pPr>
      <w:r>
        <w:rPr>
          <w:rFonts w:ascii="宋体" w:hAnsi="宋体" w:cs="宋体"/>
          <w:b/>
          <w:bCs/>
          <w:kern w:val="0"/>
          <w:sz w:val="24"/>
          <w:szCs w:val="24"/>
        </w:rPr>
        <w:t>2.</w:t>
      </w:r>
      <w:r>
        <w:rPr>
          <w:rFonts w:hint="eastAsia" w:ascii="宋体" w:hAnsi="宋体" w:cs="宋体"/>
          <w:b/>
          <w:bCs/>
          <w:kern w:val="0"/>
          <w:sz w:val="24"/>
          <w:szCs w:val="24"/>
        </w:rPr>
        <w:t>项目概况、招标范围及招标要求</w:t>
      </w:r>
    </w:p>
    <w:p>
      <w:pPr>
        <w:shd w:val="clear" w:color="auto" w:fill="FFFFFF"/>
        <w:kinsoku w:val="0"/>
        <w:overflowPunct w:val="0"/>
        <w:autoSpaceDE w:val="0"/>
        <w:autoSpaceDN w:val="0"/>
        <w:adjustRightInd w:val="0"/>
        <w:snapToGrid w:val="0"/>
        <w:spacing w:line="360" w:lineRule="auto"/>
        <w:ind w:firstLine="566" w:firstLineChars="236"/>
        <w:jc w:val="left"/>
        <w:rPr>
          <w:rFonts w:ascii="宋体" w:hAnsi="宋体" w:cs="宋体"/>
          <w:kern w:val="0"/>
          <w:sz w:val="24"/>
          <w:szCs w:val="24"/>
        </w:rPr>
      </w:pPr>
      <w:r>
        <w:rPr>
          <w:rFonts w:ascii="宋体" w:hAnsi="宋体" w:cs="宋体"/>
          <w:kern w:val="0"/>
          <w:sz w:val="24"/>
          <w:szCs w:val="24"/>
        </w:rPr>
        <w:t>2.1</w:t>
      </w:r>
      <w:r>
        <w:rPr>
          <w:rFonts w:hint="eastAsia" w:ascii="宋体" w:hAnsi="宋体" w:cs="宋体"/>
          <w:kern w:val="0"/>
          <w:sz w:val="24"/>
          <w:szCs w:val="24"/>
        </w:rPr>
        <w:t>项目名称：</w:t>
      </w:r>
      <w:r>
        <w:rPr>
          <w:rFonts w:hint="eastAsia" w:ascii="宋体" w:hAnsi="宋体" w:cs="宋体"/>
          <w:kern w:val="0"/>
          <w:sz w:val="24"/>
          <w:szCs w:val="24"/>
          <w:lang w:eastAsia="zh-CN"/>
        </w:rPr>
        <w:t>商丘市中医院新院区第二批影像放射类2设备采购项目</w:t>
      </w:r>
      <w:r>
        <w:rPr>
          <w:rFonts w:hint="eastAsia" w:ascii="宋体" w:hAnsi="宋体" w:cs="宋体"/>
          <w:kern w:val="0"/>
          <w:sz w:val="24"/>
          <w:szCs w:val="24"/>
        </w:rPr>
        <w:t>。</w:t>
      </w:r>
    </w:p>
    <w:p>
      <w:pPr>
        <w:shd w:val="clear" w:color="auto" w:fill="FFFFFF"/>
        <w:kinsoku w:val="0"/>
        <w:overflowPunct w:val="0"/>
        <w:autoSpaceDE w:val="0"/>
        <w:autoSpaceDN w:val="0"/>
        <w:adjustRightInd w:val="0"/>
        <w:snapToGrid w:val="0"/>
        <w:spacing w:line="360" w:lineRule="auto"/>
        <w:ind w:firstLine="566" w:firstLineChars="236"/>
        <w:jc w:val="left"/>
        <w:rPr>
          <w:rFonts w:hint="default" w:ascii="宋体" w:hAnsi="宋体" w:cs="宋体"/>
          <w:kern w:val="0"/>
          <w:sz w:val="24"/>
          <w:szCs w:val="24"/>
          <w:highlight w:val="yellow"/>
          <w:lang w:val="en-US"/>
        </w:rPr>
      </w:pPr>
      <w:r>
        <w:rPr>
          <w:rFonts w:ascii="宋体" w:hAnsi="宋体" w:cs="宋体"/>
          <w:kern w:val="0"/>
          <w:sz w:val="24"/>
          <w:szCs w:val="24"/>
        </w:rPr>
        <w:t>2.2</w:t>
      </w:r>
      <w:r>
        <w:rPr>
          <w:rFonts w:hint="eastAsia" w:ascii="宋体" w:hAnsi="宋体" w:cs="宋体"/>
          <w:kern w:val="0"/>
          <w:sz w:val="24"/>
          <w:szCs w:val="24"/>
        </w:rPr>
        <w:t>招标编号：</w:t>
      </w:r>
      <w:r>
        <w:rPr>
          <w:rFonts w:hint="eastAsia" w:ascii="宋体" w:hAnsi="宋体" w:cs="宋体"/>
          <w:kern w:val="0"/>
          <w:sz w:val="24"/>
          <w:szCs w:val="24"/>
          <w:highlight w:val="none"/>
        </w:rPr>
        <w:t>商财采招-2022-</w:t>
      </w:r>
      <w:r>
        <w:rPr>
          <w:rFonts w:hint="eastAsia" w:ascii="宋体" w:hAnsi="宋体" w:cs="宋体"/>
          <w:kern w:val="0"/>
          <w:sz w:val="24"/>
          <w:szCs w:val="24"/>
          <w:highlight w:val="none"/>
          <w:lang w:val="en-US" w:eastAsia="zh-CN"/>
        </w:rPr>
        <w:t>154</w:t>
      </w:r>
    </w:p>
    <w:p>
      <w:pPr>
        <w:shd w:val="clear" w:color="auto" w:fill="FFFFFF"/>
        <w:kinsoku w:val="0"/>
        <w:overflowPunct w:val="0"/>
        <w:autoSpaceDE w:val="0"/>
        <w:autoSpaceDN w:val="0"/>
        <w:adjustRightInd w:val="0"/>
        <w:snapToGrid w:val="0"/>
        <w:spacing w:line="360" w:lineRule="auto"/>
        <w:ind w:firstLine="566" w:firstLineChars="236"/>
        <w:jc w:val="left"/>
        <w:rPr>
          <w:rFonts w:ascii="宋体" w:hAnsi="宋体" w:cs="宋体"/>
          <w:kern w:val="0"/>
          <w:sz w:val="24"/>
          <w:szCs w:val="24"/>
        </w:rPr>
      </w:pPr>
      <w:r>
        <w:rPr>
          <w:rFonts w:ascii="宋体" w:hAnsi="宋体" w:cs="宋体"/>
          <w:kern w:val="0"/>
          <w:sz w:val="24"/>
          <w:szCs w:val="24"/>
        </w:rPr>
        <w:t>2.3</w:t>
      </w:r>
      <w:r>
        <w:rPr>
          <w:rFonts w:hint="eastAsia" w:ascii="宋体" w:hAnsi="宋体" w:cs="宋体"/>
          <w:kern w:val="0"/>
          <w:sz w:val="24"/>
          <w:szCs w:val="24"/>
        </w:rPr>
        <w:t>招标范围</w:t>
      </w:r>
      <w:r>
        <w:rPr>
          <w:rFonts w:ascii="宋体" w:hAnsi="宋体" w:cs="宋体"/>
          <w:kern w:val="0"/>
          <w:sz w:val="24"/>
          <w:szCs w:val="24"/>
        </w:rPr>
        <w:t>:</w:t>
      </w:r>
      <w:r>
        <w:rPr>
          <w:rFonts w:hint="eastAsia" w:ascii="宋体" w:hAnsi="宋体" w:cs="宋体"/>
          <w:kern w:val="0"/>
          <w:sz w:val="24"/>
          <w:szCs w:val="24"/>
        </w:rPr>
        <w:t xml:space="preserve"> </w:t>
      </w:r>
      <w:r>
        <w:rPr>
          <w:rFonts w:hint="eastAsia" w:ascii="宋体" w:hAnsi="宋体" w:cs="宋体"/>
          <w:kern w:val="0"/>
          <w:sz w:val="24"/>
          <w:szCs w:val="24"/>
          <w:lang w:eastAsia="zh-CN"/>
        </w:rPr>
        <w:t>单光子发射及X射线计算机断层成像系统一套</w:t>
      </w:r>
      <w:r>
        <w:rPr>
          <w:rFonts w:hint="eastAsia" w:ascii="宋体" w:hAnsi="宋体" w:cs="宋体"/>
          <w:kern w:val="0"/>
          <w:sz w:val="24"/>
          <w:szCs w:val="24"/>
        </w:rPr>
        <w:t>（技术参数要求详见采购文件）。</w:t>
      </w:r>
    </w:p>
    <w:p>
      <w:pPr>
        <w:shd w:val="clear" w:color="auto" w:fill="FFFFFF"/>
        <w:kinsoku w:val="0"/>
        <w:overflowPunct w:val="0"/>
        <w:autoSpaceDE w:val="0"/>
        <w:autoSpaceDN w:val="0"/>
        <w:adjustRightInd w:val="0"/>
        <w:snapToGrid w:val="0"/>
        <w:spacing w:line="360" w:lineRule="auto"/>
        <w:ind w:firstLine="566" w:firstLineChars="236"/>
        <w:jc w:val="left"/>
        <w:rPr>
          <w:rFonts w:ascii="宋体" w:hAnsi="宋体" w:cs="宋体"/>
          <w:kern w:val="0"/>
          <w:sz w:val="24"/>
          <w:szCs w:val="24"/>
          <w:highlight w:val="none"/>
        </w:rPr>
      </w:pPr>
      <w:r>
        <w:rPr>
          <w:rFonts w:ascii="宋体" w:hAnsi="宋体" w:cs="宋体"/>
          <w:kern w:val="0"/>
          <w:sz w:val="24"/>
          <w:szCs w:val="24"/>
        </w:rPr>
        <w:t>2.4</w:t>
      </w:r>
      <w:r>
        <w:rPr>
          <w:rFonts w:hint="eastAsia" w:ascii="宋体" w:hAnsi="宋体" w:cs="宋体"/>
          <w:kern w:val="0"/>
          <w:sz w:val="24"/>
          <w:szCs w:val="24"/>
        </w:rPr>
        <w:t>资金来源</w:t>
      </w:r>
      <w:r>
        <w:rPr>
          <w:rFonts w:hint="eastAsia" w:ascii="宋体" w:hAnsi="宋体" w:cs="宋体"/>
          <w:kern w:val="0"/>
          <w:sz w:val="24"/>
          <w:szCs w:val="24"/>
          <w:highlight w:val="none"/>
        </w:rPr>
        <w:t>：自筹资金。</w:t>
      </w:r>
    </w:p>
    <w:p>
      <w:pPr>
        <w:kinsoku w:val="0"/>
        <w:overflowPunct w:val="0"/>
        <w:autoSpaceDE w:val="0"/>
        <w:autoSpaceDN w:val="0"/>
        <w:adjustRightInd w:val="0"/>
        <w:snapToGrid w:val="0"/>
        <w:spacing w:line="360" w:lineRule="auto"/>
        <w:jc w:val="left"/>
        <w:rPr>
          <w:rFonts w:ascii="宋体" w:hAnsi="宋体" w:cs="宋体"/>
          <w:kern w:val="0"/>
          <w:sz w:val="24"/>
          <w:szCs w:val="24"/>
          <w:highlight w:val="none"/>
        </w:rPr>
      </w:pPr>
      <w:r>
        <w:rPr>
          <w:rFonts w:ascii="宋体" w:hAnsi="宋体" w:cs="宋体"/>
          <w:kern w:val="0"/>
          <w:sz w:val="24"/>
          <w:szCs w:val="24"/>
          <w:highlight w:val="none"/>
        </w:rPr>
        <w:t xml:space="preserve">     2.5</w:t>
      </w:r>
      <w:r>
        <w:rPr>
          <w:rFonts w:hint="eastAsia" w:ascii="宋体" w:hAnsi="宋体" w:cs="宋体"/>
          <w:kern w:val="0"/>
          <w:sz w:val="24"/>
          <w:szCs w:val="24"/>
          <w:highlight w:val="none"/>
        </w:rPr>
        <w:t>标段划分：1个标段</w:t>
      </w:r>
    </w:p>
    <w:p>
      <w:pPr>
        <w:shd w:val="clear" w:color="auto" w:fill="FFFFFF"/>
        <w:kinsoku w:val="0"/>
        <w:overflowPunct w:val="0"/>
        <w:autoSpaceDE w:val="0"/>
        <w:autoSpaceDN w:val="0"/>
        <w:adjustRightInd w:val="0"/>
        <w:snapToGrid w:val="0"/>
        <w:spacing w:line="360" w:lineRule="auto"/>
        <w:ind w:firstLine="566" w:firstLineChars="236"/>
        <w:jc w:val="left"/>
        <w:rPr>
          <w:rFonts w:ascii="宋体" w:hAnsi="宋体" w:cs="宋体"/>
          <w:kern w:val="0"/>
          <w:sz w:val="24"/>
          <w:szCs w:val="24"/>
          <w:highlight w:val="none"/>
        </w:rPr>
      </w:pPr>
      <w:r>
        <w:rPr>
          <w:rFonts w:ascii="宋体" w:hAnsi="宋体" w:cs="宋体"/>
          <w:kern w:val="0"/>
          <w:sz w:val="24"/>
          <w:szCs w:val="24"/>
          <w:highlight w:val="none"/>
        </w:rPr>
        <w:t>2.6</w:t>
      </w:r>
      <w:r>
        <w:rPr>
          <w:rFonts w:hint="eastAsia" w:ascii="宋体" w:hAnsi="宋体" w:cs="宋体"/>
          <w:kern w:val="0"/>
          <w:sz w:val="24"/>
          <w:szCs w:val="24"/>
          <w:highlight w:val="none"/>
        </w:rPr>
        <w:t>交货期期限及交货服务地点：</w:t>
      </w:r>
    </w:p>
    <w:p>
      <w:pPr>
        <w:shd w:val="clear" w:color="auto" w:fill="FFFFFF"/>
        <w:kinsoku w:val="0"/>
        <w:overflowPunct w:val="0"/>
        <w:autoSpaceDE w:val="0"/>
        <w:autoSpaceDN w:val="0"/>
        <w:adjustRightInd w:val="0"/>
        <w:snapToGrid w:val="0"/>
        <w:spacing w:line="360" w:lineRule="auto"/>
        <w:ind w:firstLine="566" w:firstLineChars="236"/>
        <w:jc w:val="left"/>
        <w:rPr>
          <w:rFonts w:ascii="宋体" w:hAnsi="宋体" w:cs="宋体"/>
          <w:kern w:val="0"/>
          <w:sz w:val="24"/>
          <w:szCs w:val="24"/>
          <w:highlight w:val="none"/>
        </w:rPr>
      </w:pPr>
      <w:r>
        <w:rPr>
          <w:rFonts w:hint="eastAsia" w:ascii="宋体" w:hAnsi="宋体" w:cs="宋体"/>
          <w:kern w:val="0"/>
          <w:sz w:val="24"/>
          <w:szCs w:val="24"/>
          <w:highlight w:val="none"/>
        </w:rPr>
        <w:t>交货期：合同生效之日起，</w:t>
      </w:r>
      <w:r>
        <w:rPr>
          <w:rFonts w:hint="eastAsia" w:ascii="宋体" w:hAnsi="宋体" w:cs="宋体"/>
          <w:kern w:val="0"/>
          <w:sz w:val="24"/>
          <w:szCs w:val="24"/>
          <w:highlight w:val="none"/>
          <w:u w:val="none"/>
          <w:lang w:val="en-US" w:eastAsia="zh-CN"/>
        </w:rPr>
        <w:t>90</w:t>
      </w:r>
      <w:r>
        <w:rPr>
          <w:rFonts w:hint="eastAsia" w:ascii="宋体" w:hAnsi="宋体" w:cs="宋体"/>
          <w:kern w:val="0"/>
          <w:sz w:val="24"/>
          <w:szCs w:val="24"/>
          <w:highlight w:val="none"/>
          <w:u w:val="none"/>
        </w:rPr>
        <w:t>日</w:t>
      </w:r>
      <w:r>
        <w:rPr>
          <w:rFonts w:hint="eastAsia" w:ascii="宋体" w:hAnsi="宋体" w:cs="宋体"/>
          <w:kern w:val="0"/>
          <w:sz w:val="24"/>
          <w:szCs w:val="24"/>
          <w:highlight w:val="none"/>
        </w:rPr>
        <w:t>历天内供货、安装完毕</w:t>
      </w:r>
    </w:p>
    <w:p>
      <w:pPr>
        <w:shd w:val="clear" w:color="auto" w:fill="FFFFFF"/>
        <w:kinsoku w:val="0"/>
        <w:overflowPunct w:val="0"/>
        <w:autoSpaceDE w:val="0"/>
        <w:autoSpaceDN w:val="0"/>
        <w:adjustRightInd w:val="0"/>
        <w:snapToGrid w:val="0"/>
        <w:spacing w:line="360" w:lineRule="auto"/>
        <w:ind w:firstLine="566" w:firstLineChars="236"/>
        <w:jc w:val="left"/>
        <w:rPr>
          <w:rFonts w:hint="eastAsia" w:ascii="宋体" w:hAnsi="宋体" w:cs="宋体"/>
          <w:kern w:val="0"/>
          <w:sz w:val="24"/>
          <w:szCs w:val="24"/>
          <w:highlight w:val="none"/>
        </w:rPr>
      </w:pPr>
      <w:r>
        <w:rPr>
          <w:rFonts w:hint="eastAsia" w:ascii="宋体" w:hAnsi="宋体" w:cs="宋体"/>
          <w:kern w:val="0"/>
          <w:sz w:val="24"/>
          <w:szCs w:val="24"/>
          <w:highlight w:val="none"/>
        </w:rPr>
        <w:t>质保期：整机免费质保期1年</w:t>
      </w:r>
    </w:p>
    <w:p>
      <w:pPr>
        <w:shd w:val="clear" w:color="auto" w:fill="FFFFFF"/>
        <w:kinsoku w:val="0"/>
        <w:overflowPunct w:val="0"/>
        <w:autoSpaceDE w:val="0"/>
        <w:autoSpaceDN w:val="0"/>
        <w:adjustRightInd w:val="0"/>
        <w:snapToGrid w:val="0"/>
        <w:spacing w:line="360" w:lineRule="auto"/>
        <w:ind w:firstLine="566" w:firstLineChars="236"/>
        <w:jc w:val="left"/>
        <w:rPr>
          <w:rFonts w:hint="eastAsia" w:ascii="宋体" w:hAnsi="宋体" w:cs="宋体"/>
          <w:kern w:val="0"/>
          <w:sz w:val="24"/>
          <w:szCs w:val="24"/>
          <w:highlight w:val="none"/>
        </w:rPr>
      </w:pPr>
      <w:r>
        <w:rPr>
          <w:rFonts w:hint="eastAsia" w:ascii="宋体" w:hAnsi="宋体" w:cs="宋体"/>
          <w:kern w:val="0"/>
          <w:sz w:val="24"/>
          <w:szCs w:val="24"/>
          <w:highlight w:val="none"/>
        </w:rPr>
        <w:t>交货地点：采购人指定地点。</w:t>
      </w:r>
    </w:p>
    <w:p>
      <w:pPr>
        <w:shd w:val="clear" w:color="auto" w:fill="FFFFFF"/>
        <w:kinsoku w:val="0"/>
        <w:overflowPunct w:val="0"/>
        <w:autoSpaceDE w:val="0"/>
        <w:autoSpaceDN w:val="0"/>
        <w:adjustRightInd w:val="0"/>
        <w:snapToGrid w:val="0"/>
        <w:spacing w:line="360" w:lineRule="auto"/>
        <w:ind w:firstLine="566" w:firstLineChars="236"/>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2.7是否接受进口产品：是</w:t>
      </w:r>
    </w:p>
    <w:p>
      <w:pPr>
        <w:shd w:val="clear" w:color="auto" w:fill="FFFFFF"/>
        <w:kinsoku w:val="0"/>
        <w:overflowPunct w:val="0"/>
        <w:autoSpaceDE w:val="0"/>
        <w:autoSpaceDN w:val="0"/>
        <w:adjustRightInd w:val="0"/>
        <w:snapToGrid w:val="0"/>
        <w:spacing w:line="360" w:lineRule="auto"/>
        <w:ind w:firstLine="566" w:firstLineChars="236"/>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2.8是否为只面向小微采购：否</w:t>
      </w:r>
    </w:p>
    <w:p>
      <w:pPr>
        <w:shd w:val="clear" w:color="auto" w:fill="FFFFFF"/>
        <w:kinsoku w:val="0"/>
        <w:overflowPunct w:val="0"/>
        <w:autoSpaceDE w:val="0"/>
        <w:autoSpaceDN w:val="0"/>
        <w:adjustRightInd w:val="0"/>
        <w:snapToGrid w:val="0"/>
        <w:spacing w:line="360" w:lineRule="auto"/>
        <w:jc w:val="left"/>
        <w:rPr>
          <w:rFonts w:ascii="宋体"/>
          <w:b/>
          <w:bCs/>
          <w:kern w:val="0"/>
          <w:sz w:val="24"/>
          <w:szCs w:val="24"/>
        </w:rPr>
      </w:pPr>
      <w:r>
        <w:rPr>
          <w:rFonts w:ascii="宋体" w:hAnsi="宋体" w:cs="宋体"/>
          <w:b/>
          <w:bCs/>
          <w:kern w:val="0"/>
          <w:sz w:val="24"/>
          <w:szCs w:val="24"/>
        </w:rPr>
        <w:t>3.</w:t>
      </w:r>
      <w:r>
        <w:rPr>
          <w:rFonts w:hint="eastAsia" w:ascii="宋体" w:hAnsi="宋体" w:cs="宋体"/>
          <w:b/>
          <w:bCs/>
          <w:kern w:val="0"/>
          <w:sz w:val="24"/>
          <w:szCs w:val="24"/>
        </w:rPr>
        <w:t>投标人资格要求</w:t>
      </w:r>
    </w:p>
    <w:p>
      <w:pPr>
        <w:widowControl/>
        <w:spacing w:line="360" w:lineRule="auto"/>
        <w:ind w:firstLine="480" w:firstLineChars="200"/>
        <w:rPr>
          <w:rFonts w:ascii="宋体" w:hAnsi="宋体" w:cs="Tahoma"/>
          <w:bCs/>
          <w:sz w:val="24"/>
        </w:rPr>
      </w:pPr>
      <w:r>
        <w:rPr>
          <w:rFonts w:ascii="宋体" w:hAnsi="宋体" w:cs="Tahoma"/>
          <w:bCs/>
          <w:sz w:val="24"/>
        </w:rPr>
        <w:t>3.1</w:t>
      </w:r>
      <w:r>
        <w:rPr>
          <w:rFonts w:hint="eastAsia" w:ascii="宋体" w:hAnsi="宋体" w:cs="Tahoma"/>
          <w:bCs/>
          <w:sz w:val="24"/>
        </w:rPr>
        <w:t>投标人须是在中华人民共和国境内注册，</w:t>
      </w:r>
      <w:r>
        <w:rPr>
          <w:rFonts w:hint="eastAsia" w:ascii="宋体" w:hAnsi="宋体" w:cs="宋体"/>
          <w:sz w:val="24"/>
        </w:rPr>
        <w:t>具备履行合同所必需的设备和专业技术能力的法人或者其他组织</w:t>
      </w:r>
      <w:r>
        <w:rPr>
          <w:rFonts w:hint="eastAsia" w:ascii="宋体" w:hAnsi="宋体" w:cs="Tahoma"/>
          <w:bCs/>
          <w:sz w:val="24"/>
        </w:rPr>
        <w:t>。</w:t>
      </w:r>
    </w:p>
    <w:p>
      <w:pPr>
        <w:widowControl/>
        <w:spacing w:line="360" w:lineRule="auto"/>
        <w:ind w:firstLine="480" w:firstLineChars="200"/>
        <w:rPr>
          <w:rFonts w:ascii="宋体" w:hAnsi="宋体" w:cs="Tahoma"/>
          <w:bCs/>
          <w:sz w:val="24"/>
        </w:rPr>
      </w:pPr>
      <w:r>
        <w:rPr>
          <w:rFonts w:ascii="宋体" w:hAnsi="宋体" w:cs="Tahoma"/>
          <w:bCs/>
          <w:sz w:val="24"/>
        </w:rPr>
        <w:t>3.2</w:t>
      </w:r>
      <w:r>
        <w:rPr>
          <w:rFonts w:hint="eastAsia" w:ascii="宋体" w:hAnsi="宋体" w:cs="Tahoma"/>
          <w:bCs/>
          <w:sz w:val="24"/>
        </w:rPr>
        <w:t>投标人需具有良好的商业信誉和健全的财务会计制度（提供2021年度经审计的财务报告；如截止到开标时间投标人成立时间不足一年，须提供近三个月内其基本开户银行出具的资信证明），有依法缴纳税收和社会保障资金的良好记录（提供2021年</w:t>
      </w:r>
      <w:r>
        <w:rPr>
          <w:rFonts w:hint="eastAsia" w:ascii="宋体" w:hAnsi="宋体" w:cs="Tahoma"/>
          <w:bCs/>
          <w:sz w:val="24"/>
          <w:lang w:val="en-US" w:eastAsia="zh-CN"/>
        </w:rPr>
        <w:t>11</w:t>
      </w:r>
      <w:r>
        <w:rPr>
          <w:rFonts w:hint="eastAsia" w:ascii="宋体" w:hAnsi="宋体" w:cs="Tahoma"/>
          <w:bCs/>
          <w:sz w:val="24"/>
        </w:rPr>
        <w:t>月以来任意3个月纳税和社保证明材料&lt;依法免税企业，应提供相关证明文件&gt;）。</w:t>
      </w:r>
    </w:p>
    <w:p>
      <w:pPr>
        <w:widowControl/>
        <w:spacing w:line="360" w:lineRule="auto"/>
        <w:ind w:firstLine="480" w:firstLineChars="200"/>
        <w:rPr>
          <w:rFonts w:ascii="宋体" w:hAnsi="宋体" w:cs="Tahoma"/>
          <w:bCs/>
          <w:sz w:val="24"/>
        </w:rPr>
      </w:pPr>
      <w:r>
        <w:rPr>
          <w:rFonts w:ascii="宋体" w:hAnsi="宋体" w:cs="Tahoma"/>
          <w:bCs/>
          <w:sz w:val="24"/>
        </w:rPr>
        <w:t>3.3</w:t>
      </w:r>
      <w:r>
        <w:rPr>
          <w:rFonts w:hint="eastAsia" w:ascii="宋体" w:hAnsi="宋体" w:cs="Tahoma"/>
          <w:bCs/>
          <w:sz w:val="24"/>
        </w:rPr>
        <w:t>投标人须具有良好的商业信誉和完善的售后服务体系，并具有承担本项目的能力。</w:t>
      </w:r>
    </w:p>
    <w:p>
      <w:pPr>
        <w:spacing w:line="360" w:lineRule="auto"/>
        <w:ind w:left="0" w:leftChars="0" w:firstLine="420" w:firstLineChars="175"/>
        <w:jc w:val="left"/>
        <w:rPr>
          <w:rFonts w:ascii="宋体" w:hAnsi="宋体" w:cs="Tahoma"/>
          <w:bCs/>
          <w:sz w:val="24"/>
        </w:rPr>
      </w:pPr>
      <w:r>
        <w:rPr>
          <w:rFonts w:hint="eastAsia" w:ascii="宋体" w:hAnsi="宋体" w:cs="Tahoma"/>
          <w:bCs/>
          <w:sz w:val="24"/>
        </w:rPr>
        <w:t>3.4若投标人为经销商的应具有《医疗器械产品经营许可证》</w:t>
      </w:r>
      <w:r>
        <w:rPr>
          <w:rFonts w:hint="eastAsia" w:ascii="宋体" w:hAnsi="宋体" w:cs="Tahoma"/>
          <w:bCs/>
          <w:sz w:val="24"/>
          <w:lang w:val="en-US" w:eastAsia="zh-CN"/>
        </w:rPr>
        <w:t>和</w:t>
      </w:r>
      <w:r>
        <w:rPr>
          <w:rFonts w:hint="eastAsia" w:ascii="宋体" w:hAnsi="宋体" w:cs="Tahoma"/>
          <w:bCs/>
          <w:sz w:val="24"/>
        </w:rPr>
        <w:t>所投产品《医疗器械产品注册证》；若供应商为生产商的应具有《医疗器械生产许可证》、《医疗器械经营许可证》和《医疗器械产品注册证》。</w:t>
      </w:r>
    </w:p>
    <w:p>
      <w:pPr>
        <w:widowControl/>
        <w:spacing w:line="360" w:lineRule="auto"/>
        <w:ind w:firstLine="360" w:firstLineChars="150"/>
        <w:rPr>
          <w:rFonts w:ascii="宋体" w:hAnsi="宋体" w:cs="Tahoma"/>
          <w:bCs/>
          <w:sz w:val="24"/>
        </w:rPr>
      </w:pPr>
      <w:r>
        <w:rPr>
          <w:rFonts w:ascii="宋体" w:hAnsi="宋体" w:cs="Tahoma"/>
          <w:bCs/>
          <w:sz w:val="24"/>
        </w:rPr>
        <w:t>3.</w:t>
      </w:r>
      <w:r>
        <w:rPr>
          <w:rFonts w:hint="eastAsia" w:ascii="宋体" w:hAnsi="宋体" w:cs="Tahoma"/>
          <w:bCs/>
          <w:sz w:val="24"/>
        </w:rPr>
        <w:t>5投标单位负责人为同一人或者存在直接控股、管理关系的不同投标人，不得同时参加本项目的投标活动。</w:t>
      </w:r>
    </w:p>
    <w:p>
      <w:pPr>
        <w:widowControl/>
        <w:spacing w:line="360" w:lineRule="auto"/>
        <w:ind w:firstLine="360" w:firstLineChars="150"/>
        <w:rPr>
          <w:rFonts w:ascii="宋体" w:hAnsi="宋体" w:cs="Tahoma"/>
          <w:bCs/>
          <w:sz w:val="24"/>
        </w:rPr>
      </w:pPr>
      <w:r>
        <w:rPr>
          <w:rFonts w:ascii="宋体" w:hAnsi="宋体" w:cs="Tahoma"/>
          <w:bCs/>
          <w:sz w:val="24"/>
        </w:rPr>
        <w:t>3.</w:t>
      </w:r>
      <w:r>
        <w:rPr>
          <w:rFonts w:hint="eastAsia" w:ascii="宋体" w:hAnsi="宋体" w:cs="Tahoma"/>
          <w:bCs/>
          <w:sz w:val="24"/>
        </w:rPr>
        <w:t>6投标人未被列入“中国执行信息公开网（http://zxgk.court.gov.cn/shixin/）” “失信被执行人”，“信用中国”网站（http://www.creditchina.gov.cn/） “</w:t>
      </w:r>
      <w:r>
        <w:rPr>
          <w:rFonts w:hint="eastAsia" w:ascii="宋体" w:hAnsi="宋体" w:cs="宋体"/>
          <w:sz w:val="24"/>
        </w:rPr>
        <w:t>重大税收违法失信主体</w:t>
      </w:r>
      <w:r>
        <w:rPr>
          <w:rFonts w:hint="eastAsia" w:ascii="宋体" w:hAnsi="宋体" w:cs="Tahoma"/>
          <w:bCs/>
          <w:sz w:val="24"/>
        </w:rPr>
        <w:t>”名单。投标人须按以上查询方式提供网站查询页，有失信记录的将被取消投标资格</w:t>
      </w:r>
      <w:r>
        <w:rPr>
          <w:rFonts w:ascii="宋体" w:hAnsi="宋体" w:cs="Tahoma"/>
          <w:bCs/>
          <w:sz w:val="24"/>
        </w:rPr>
        <w:t>(</w:t>
      </w:r>
      <w:r>
        <w:rPr>
          <w:rFonts w:hint="eastAsia" w:ascii="宋体" w:hAnsi="宋体" w:cs="Tahoma"/>
          <w:bCs/>
          <w:sz w:val="24"/>
        </w:rPr>
        <w:t>查询网页须显示查询日期，查询日期在公告发布日期之后)。</w:t>
      </w:r>
    </w:p>
    <w:p>
      <w:pPr>
        <w:widowControl/>
        <w:spacing w:line="360" w:lineRule="auto"/>
        <w:ind w:firstLine="360" w:firstLineChars="150"/>
        <w:rPr>
          <w:rFonts w:ascii="宋体"/>
          <w:kern w:val="0"/>
          <w:sz w:val="24"/>
          <w:szCs w:val="24"/>
        </w:rPr>
      </w:pPr>
      <w:r>
        <w:rPr>
          <w:rFonts w:ascii="宋体" w:hAnsi="宋体" w:cs="Tahoma"/>
          <w:bCs/>
          <w:sz w:val="24"/>
        </w:rPr>
        <w:t>3.</w:t>
      </w:r>
      <w:r>
        <w:rPr>
          <w:rFonts w:hint="eastAsia" w:ascii="宋体" w:hAnsi="宋体" w:cs="Tahoma"/>
          <w:bCs/>
          <w:sz w:val="24"/>
        </w:rPr>
        <w:t>7本招标项目不接受联合体投标。</w:t>
      </w:r>
    </w:p>
    <w:p>
      <w:pPr>
        <w:kinsoku w:val="0"/>
        <w:overflowPunct w:val="0"/>
        <w:autoSpaceDE w:val="0"/>
        <w:autoSpaceDN w:val="0"/>
        <w:adjustRightInd w:val="0"/>
        <w:snapToGrid w:val="0"/>
        <w:spacing w:line="360" w:lineRule="auto"/>
        <w:rPr>
          <w:rFonts w:ascii="宋体"/>
          <w:kern w:val="0"/>
          <w:sz w:val="24"/>
        </w:rPr>
      </w:pPr>
      <w:r>
        <w:rPr>
          <w:rFonts w:ascii="宋体" w:hAnsi="宋体"/>
          <w:b/>
          <w:bCs/>
          <w:kern w:val="0"/>
          <w:sz w:val="24"/>
        </w:rPr>
        <w:t>4</w:t>
      </w:r>
      <w:r>
        <w:rPr>
          <w:rFonts w:hint="eastAsia" w:ascii="宋体" w:hAnsi="宋体"/>
          <w:b/>
          <w:bCs/>
          <w:kern w:val="0"/>
          <w:sz w:val="24"/>
        </w:rPr>
        <w:t>、招标文件的获取</w:t>
      </w:r>
    </w:p>
    <w:p>
      <w:pPr>
        <w:spacing w:line="360" w:lineRule="auto"/>
        <w:ind w:firstLine="240" w:firstLineChars="100"/>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4.1时间：2022年</w:t>
      </w:r>
      <w:r>
        <w:rPr>
          <w:rFonts w:hint="eastAsia" w:cs="Tahoma" w:asciiTheme="minorEastAsia" w:hAnsiTheme="minorEastAsia" w:eastAsiaTheme="minorEastAsia"/>
          <w:bCs/>
          <w:sz w:val="24"/>
          <w:szCs w:val="24"/>
          <w:lang w:val="en-US" w:eastAsia="zh-CN"/>
        </w:rPr>
        <w:t>12</w:t>
      </w:r>
      <w:r>
        <w:rPr>
          <w:rFonts w:hint="eastAsia" w:cs="Tahoma" w:asciiTheme="minorEastAsia" w:hAnsiTheme="minorEastAsia" w:eastAsiaTheme="minorEastAsia"/>
          <w:bCs/>
          <w:sz w:val="24"/>
          <w:szCs w:val="24"/>
        </w:rPr>
        <w:t>月</w:t>
      </w:r>
      <w:r>
        <w:rPr>
          <w:rFonts w:hint="eastAsia" w:cs="Tahoma" w:asciiTheme="minorEastAsia" w:hAnsiTheme="minorEastAsia" w:eastAsiaTheme="minorEastAsia"/>
          <w:bCs/>
          <w:sz w:val="24"/>
          <w:szCs w:val="24"/>
          <w:lang w:val="en-US" w:eastAsia="zh-CN"/>
        </w:rPr>
        <w:t>07</w:t>
      </w:r>
      <w:r>
        <w:rPr>
          <w:rFonts w:hint="eastAsia" w:cs="Tahoma" w:asciiTheme="minorEastAsia" w:hAnsiTheme="minorEastAsia" w:eastAsiaTheme="minorEastAsia"/>
          <w:bCs/>
          <w:sz w:val="24"/>
          <w:szCs w:val="24"/>
        </w:rPr>
        <w:t>日至2022年</w:t>
      </w:r>
      <w:r>
        <w:rPr>
          <w:rFonts w:hint="eastAsia" w:cs="Tahoma" w:asciiTheme="minorEastAsia" w:hAnsiTheme="minorEastAsia" w:eastAsiaTheme="minorEastAsia"/>
          <w:bCs/>
          <w:sz w:val="24"/>
          <w:szCs w:val="24"/>
          <w:lang w:val="en-US" w:eastAsia="zh-CN"/>
        </w:rPr>
        <w:t>12</w:t>
      </w:r>
      <w:r>
        <w:rPr>
          <w:rFonts w:hint="eastAsia" w:cs="Tahoma" w:asciiTheme="minorEastAsia" w:hAnsiTheme="minorEastAsia" w:eastAsiaTheme="minorEastAsia"/>
          <w:bCs/>
          <w:sz w:val="24"/>
          <w:szCs w:val="24"/>
        </w:rPr>
        <w:t>月</w:t>
      </w:r>
      <w:r>
        <w:rPr>
          <w:rFonts w:hint="eastAsia" w:cs="Tahoma" w:asciiTheme="minorEastAsia" w:hAnsiTheme="minorEastAsia" w:eastAsiaTheme="minorEastAsia"/>
          <w:bCs/>
          <w:sz w:val="24"/>
          <w:szCs w:val="24"/>
          <w:lang w:val="en-US" w:eastAsia="zh-CN"/>
        </w:rPr>
        <w:t>13</w:t>
      </w:r>
      <w:r>
        <w:rPr>
          <w:rFonts w:hint="eastAsia" w:cs="Tahoma" w:asciiTheme="minorEastAsia" w:hAnsiTheme="minorEastAsia" w:eastAsiaTheme="minorEastAsia"/>
          <w:bCs/>
          <w:sz w:val="24"/>
          <w:szCs w:val="24"/>
        </w:rPr>
        <w:t>日（北京时间）；</w:t>
      </w:r>
    </w:p>
    <w:p>
      <w:pPr>
        <w:spacing w:line="360" w:lineRule="auto"/>
        <w:ind w:firstLine="240" w:firstLineChars="100"/>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4.2 地点：河南省公共资源交易中心网站（http://www.hnggzy.net）</w:t>
      </w:r>
    </w:p>
    <w:p>
      <w:pPr>
        <w:spacing w:line="360" w:lineRule="auto"/>
        <w:ind w:firstLine="240" w:firstLineChars="100"/>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4.3方式：</w:t>
      </w:r>
    </w:p>
    <w:p>
      <w:pPr>
        <w:spacing w:line="360" w:lineRule="auto"/>
        <w:ind w:firstLine="240" w:firstLineChars="100"/>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4.3.1</w:t>
      </w:r>
      <w:r>
        <w:rPr>
          <w:rFonts w:hint="eastAsia" w:ascii="宋体" w:hAnsi="宋体" w:cs="宋体"/>
          <w:kern w:val="0"/>
          <w:sz w:val="24"/>
          <w:szCs w:val="24"/>
        </w:rPr>
        <w:t>市场主体需要完成信息登记及CA数字证书办理，才能通过省公共资源交易平台参与交易活动，具体办理事宜请查阅河南省公共资源交易中心网站“办事指南”专区的《新交易平台使用手册（培训资料）》。</w:t>
      </w:r>
    </w:p>
    <w:p>
      <w:pPr>
        <w:spacing w:line="360" w:lineRule="auto"/>
        <w:ind w:firstLine="120" w:firstLineChars="50"/>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4.3.2 登录“河南省公共资源交易中心网站”市场主体系统，凭企业身份认证锁（CA密钥）在上述规定时间内按网上提示下载招标文件及资料。</w:t>
      </w:r>
    </w:p>
    <w:p>
      <w:pPr>
        <w:spacing w:line="360" w:lineRule="auto"/>
        <w:ind w:firstLine="120" w:firstLineChars="50"/>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4.4 其他：</w:t>
      </w:r>
    </w:p>
    <w:p>
      <w:pPr>
        <w:spacing w:line="360" w:lineRule="auto"/>
        <w:ind w:firstLine="120" w:firstLineChars="50"/>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4.4.1 招标文件以《河南省公共资源交易中心网》的电子招标文件为准，招标人不再提供纸质招标文件。投标人未按规定时间在网上下载招标文件的，其投标将被拒绝。</w:t>
      </w:r>
    </w:p>
    <w:p>
      <w:pPr>
        <w:kinsoku w:val="0"/>
        <w:overflowPunct w:val="0"/>
        <w:autoSpaceDE w:val="0"/>
        <w:autoSpaceDN w:val="0"/>
        <w:adjustRightInd w:val="0"/>
        <w:snapToGrid w:val="0"/>
        <w:spacing w:line="360" w:lineRule="auto"/>
        <w:ind w:left="120" w:leftChars="57"/>
        <w:rPr>
          <w:rFonts w:ascii="宋体"/>
          <w:kern w:val="0"/>
          <w:sz w:val="24"/>
          <w:szCs w:val="24"/>
        </w:rPr>
      </w:pPr>
      <w:r>
        <w:rPr>
          <w:rFonts w:hint="eastAsia" w:cs="Tahoma" w:asciiTheme="minorEastAsia" w:hAnsiTheme="minorEastAsia" w:eastAsiaTheme="minorEastAsia"/>
          <w:bCs/>
          <w:sz w:val="24"/>
          <w:szCs w:val="24"/>
        </w:rPr>
        <w:t>4.4.2 获取招标文件后，投标人请到河南省公共资源交易中心网站—公共服务—下载专区栏目下载最新版本的投标文件制作工具安装包，并使用安装后的最新版本投标文件制作工具制作电子投标文件。</w:t>
      </w:r>
    </w:p>
    <w:p>
      <w:pPr>
        <w:kinsoku w:val="0"/>
        <w:overflowPunct w:val="0"/>
        <w:autoSpaceDE w:val="0"/>
        <w:autoSpaceDN w:val="0"/>
        <w:adjustRightInd w:val="0"/>
        <w:snapToGrid w:val="0"/>
        <w:spacing w:line="360" w:lineRule="auto"/>
        <w:rPr>
          <w:rFonts w:ascii="宋体"/>
          <w:kern w:val="0"/>
          <w:sz w:val="24"/>
          <w:szCs w:val="24"/>
        </w:rPr>
      </w:pPr>
      <w:r>
        <w:rPr>
          <w:rFonts w:ascii="宋体" w:hAnsi="宋体" w:cs="宋体"/>
          <w:b/>
          <w:bCs/>
          <w:kern w:val="0"/>
          <w:sz w:val="24"/>
          <w:szCs w:val="24"/>
        </w:rPr>
        <w:t>5</w:t>
      </w:r>
      <w:r>
        <w:rPr>
          <w:rFonts w:hint="eastAsia" w:ascii="宋体" w:hAnsi="宋体" w:cs="宋体"/>
          <w:b/>
          <w:bCs/>
          <w:kern w:val="0"/>
          <w:sz w:val="24"/>
          <w:szCs w:val="24"/>
        </w:rPr>
        <w:t>、</w:t>
      </w:r>
      <w:r>
        <w:rPr>
          <w:rFonts w:hint="eastAsia" w:ascii="宋体" w:hAnsi="宋体"/>
          <w:b/>
          <w:bCs/>
          <w:kern w:val="0"/>
          <w:sz w:val="24"/>
        </w:rPr>
        <w:t>投标文件的递交</w:t>
      </w:r>
    </w:p>
    <w:p>
      <w:pPr>
        <w:widowControl/>
        <w:shd w:val="clear" w:color="auto" w:fill="FFFFFF"/>
        <w:spacing w:line="360" w:lineRule="auto"/>
        <w:ind w:left="-193" w:leftChars="-92" w:right="-420" w:rightChars="-200" w:firstLine="472" w:firstLineChars="197"/>
        <w:jc w:val="left"/>
        <w:rPr>
          <w:rFonts w:hint="eastAsia"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5.1 投标文件递交的截止时间(开标时间)：2022年</w:t>
      </w:r>
      <w:r>
        <w:rPr>
          <w:rFonts w:hint="eastAsia" w:cs="Tahoma" w:asciiTheme="minorEastAsia" w:hAnsiTheme="minorEastAsia" w:eastAsiaTheme="minorEastAsia"/>
          <w:bCs/>
          <w:sz w:val="24"/>
          <w:szCs w:val="24"/>
          <w:lang w:val="en-US" w:eastAsia="zh-CN"/>
        </w:rPr>
        <w:t>12</w:t>
      </w:r>
      <w:r>
        <w:rPr>
          <w:rFonts w:hint="eastAsia" w:cs="Tahoma" w:asciiTheme="minorEastAsia" w:hAnsiTheme="minorEastAsia" w:eastAsiaTheme="minorEastAsia"/>
          <w:bCs/>
          <w:sz w:val="24"/>
          <w:szCs w:val="24"/>
        </w:rPr>
        <w:t>月</w:t>
      </w:r>
      <w:r>
        <w:rPr>
          <w:rFonts w:hint="eastAsia" w:cs="Tahoma" w:asciiTheme="minorEastAsia" w:hAnsiTheme="minorEastAsia" w:eastAsiaTheme="minorEastAsia"/>
          <w:bCs/>
          <w:sz w:val="24"/>
          <w:szCs w:val="24"/>
          <w:lang w:val="en-US" w:eastAsia="zh-CN"/>
        </w:rPr>
        <w:t>27</w:t>
      </w:r>
      <w:r>
        <w:rPr>
          <w:rFonts w:hint="eastAsia" w:cs="Tahoma" w:asciiTheme="minorEastAsia" w:hAnsiTheme="minorEastAsia" w:eastAsiaTheme="minorEastAsia"/>
          <w:bCs/>
          <w:sz w:val="24"/>
          <w:szCs w:val="24"/>
        </w:rPr>
        <w:t>日9时。</w:t>
      </w:r>
    </w:p>
    <w:p>
      <w:pPr>
        <w:widowControl/>
        <w:shd w:val="clear" w:color="auto" w:fill="FFFFFF"/>
        <w:spacing w:line="360" w:lineRule="auto"/>
        <w:ind w:left="-193" w:leftChars="-92" w:right="-420" w:rightChars="-200" w:firstLine="472" w:firstLineChars="197"/>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5.2地点：河南省公共资源交易中心交易系统。</w:t>
      </w:r>
    </w:p>
    <w:p>
      <w:pPr>
        <w:widowControl/>
        <w:shd w:val="clear" w:color="auto" w:fill="FFFFFF"/>
        <w:spacing w:line="360" w:lineRule="auto"/>
        <w:ind w:left="-193" w:leftChars="-92" w:right="-420" w:rightChars="-200" w:firstLine="472" w:firstLineChars="197"/>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5.3 递交方式：投标人需在投标文件递交截止时间前在河南省公共资源交易中心交易系统中上传加密电子投标文件。</w:t>
      </w:r>
    </w:p>
    <w:p>
      <w:pPr>
        <w:widowControl/>
        <w:shd w:val="clear" w:color="auto" w:fill="FFFFFF"/>
        <w:spacing w:line="360" w:lineRule="auto"/>
        <w:ind w:left="-193" w:leftChars="-92" w:right="-420" w:rightChars="-200" w:firstLine="472" w:firstLineChars="197"/>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5.4 电子投标文件逾期上传，招标人不予受理。</w:t>
      </w:r>
    </w:p>
    <w:p>
      <w:pPr>
        <w:widowControl/>
        <w:shd w:val="clear" w:color="auto" w:fill="FFFFFF"/>
        <w:spacing w:line="360" w:lineRule="auto"/>
        <w:ind w:right="-420" w:rightChars="-200"/>
        <w:jc w:val="left"/>
        <w:rPr>
          <w:rFonts w:ascii="宋体" w:hAnsi="宋体"/>
          <w:b/>
          <w:bCs/>
          <w:kern w:val="0"/>
          <w:sz w:val="24"/>
        </w:rPr>
      </w:pPr>
      <w:r>
        <w:rPr>
          <w:rFonts w:hint="eastAsia" w:ascii="宋体" w:hAnsi="宋体" w:cs="宋体"/>
          <w:b/>
          <w:bCs/>
          <w:kern w:val="0"/>
          <w:sz w:val="24"/>
          <w:szCs w:val="24"/>
        </w:rPr>
        <w:t>6、</w:t>
      </w:r>
      <w:r>
        <w:rPr>
          <w:rFonts w:hint="eastAsia" w:ascii="宋体" w:hAnsi="宋体"/>
          <w:b/>
          <w:bCs/>
          <w:kern w:val="0"/>
          <w:sz w:val="24"/>
        </w:rPr>
        <w:t>开标时间及地点：</w:t>
      </w:r>
    </w:p>
    <w:p>
      <w:pPr>
        <w:widowControl/>
        <w:shd w:val="clear" w:color="auto" w:fill="FFFFFF"/>
        <w:spacing w:line="360" w:lineRule="auto"/>
        <w:ind w:left="-193" w:leftChars="-92" w:right="-420" w:rightChars="-200" w:firstLine="472" w:firstLineChars="197"/>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6.1时间：2022年</w:t>
      </w:r>
      <w:r>
        <w:rPr>
          <w:rFonts w:hint="eastAsia" w:cs="Tahoma" w:asciiTheme="minorEastAsia" w:hAnsiTheme="minorEastAsia" w:eastAsiaTheme="minorEastAsia"/>
          <w:bCs/>
          <w:sz w:val="24"/>
          <w:szCs w:val="24"/>
          <w:lang w:val="en-US" w:eastAsia="zh-CN"/>
        </w:rPr>
        <w:t>12</w:t>
      </w:r>
      <w:r>
        <w:rPr>
          <w:rFonts w:hint="eastAsia" w:cs="Tahoma" w:asciiTheme="minorEastAsia" w:hAnsiTheme="minorEastAsia" w:eastAsiaTheme="minorEastAsia"/>
          <w:bCs/>
          <w:sz w:val="24"/>
          <w:szCs w:val="24"/>
        </w:rPr>
        <w:t>月</w:t>
      </w:r>
      <w:r>
        <w:rPr>
          <w:rFonts w:hint="eastAsia" w:cs="Tahoma" w:asciiTheme="minorEastAsia" w:hAnsiTheme="minorEastAsia" w:eastAsiaTheme="minorEastAsia"/>
          <w:bCs/>
          <w:sz w:val="24"/>
          <w:szCs w:val="24"/>
          <w:lang w:val="en-US" w:eastAsia="zh-CN"/>
        </w:rPr>
        <w:t>27</w:t>
      </w:r>
      <w:r>
        <w:rPr>
          <w:rFonts w:hint="eastAsia" w:cs="Tahoma" w:asciiTheme="minorEastAsia" w:hAnsiTheme="minorEastAsia" w:eastAsiaTheme="minorEastAsia"/>
          <w:bCs/>
          <w:sz w:val="24"/>
          <w:szCs w:val="24"/>
        </w:rPr>
        <w:t>日9时。</w:t>
      </w:r>
    </w:p>
    <w:p>
      <w:pPr>
        <w:widowControl/>
        <w:shd w:val="clear" w:color="auto" w:fill="FFFFFF"/>
        <w:spacing w:line="360" w:lineRule="auto"/>
        <w:ind w:left="-193" w:leftChars="-92" w:right="-420" w:rightChars="-200" w:firstLine="472" w:firstLineChars="197"/>
        <w:jc w:val="left"/>
        <w:rPr>
          <w:rFonts w:cs="Tahoma" w:asciiTheme="minorEastAsia" w:hAnsiTheme="minorEastAsia" w:eastAsiaTheme="minorEastAsia"/>
          <w:bCs/>
          <w:sz w:val="24"/>
          <w:szCs w:val="24"/>
        </w:rPr>
      </w:pPr>
      <w:r>
        <w:rPr>
          <w:rFonts w:hint="eastAsia" w:cs="Tahoma" w:asciiTheme="minorEastAsia" w:hAnsiTheme="minorEastAsia" w:eastAsiaTheme="minorEastAsia"/>
          <w:bCs/>
          <w:sz w:val="24"/>
          <w:szCs w:val="24"/>
        </w:rPr>
        <w:t>6.2地点：河南省公共资源交易中心不见面开标大厅。</w:t>
      </w:r>
    </w:p>
    <w:p>
      <w:pPr>
        <w:widowControl/>
        <w:shd w:val="clear" w:color="auto" w:fill="FFFFFF"/>
        <w:spacing w:line="360" w:lineRule="auto"/>
        <w:ind w:left="-193" w:leftChars="-92" w:right="-420" w:rightChars="-200" w:firstLine="472" w:firstLineChars="197"/>
        <w:jc w:val="left"/>
        <w:rPr>
          <w:rFonts w:ascii="宋体" w:hAnsi="宋体" w:cs="Tahoma"/>
          <w:bCs/>
          <w:sz w:val="24"/>
        </w:rPr>
      </w:pPr>
      <w:r>
        <w:rPr>
          <w:rFonts w:hint="eastAsia" w:cs="Tahoma" w:asciiTheme="minorEastAsia" w:hAnsiTheme="minorEastAsia" w:eastAsiaTheme="minorEastAsia"/>
          <w:bCs/>
          <w:sz w:val="24"/>
          <w:szCs w:val="24"/>
        </w:rPr>
        <w:t>6.3 本项目采用“远程不见面”开标方式，远程开标大厅网址为http://www.hnggzy.net/，投标人无需到河南省公共资源交易中心现场参加开标会议，无需到达现场提交原件资料。投标人应当在投标截止时间前，登录不见面开标大厅，在线准时参加开标活动并进行文件解密等。</w:t>
      </w:r>
    </w:p>
    <w:p>
      <w:pPr>
        <w:widowControl/>
        <w:spacing w:line="360" w:lineRule="auto"/>
        <w:rPr>
          <w:rFonts w:ascii="宋体"/>
          <w:kern w:val="0"/>
          <w:sz w:val="24"/>
          <w:szCs w:val="24"/>
        </w:rPr>
      </w:pPr>
      <w:r>
        <w:rPr>
          <w:rFonts w:hint="eastAsia" w:ascii="宋体" w:hAnsi="宋体" w:cs="宋体"/>
          <w:b/>
          <w:bCs/>
          <w:kern w:val="0"/>
          <w:sz w:val="24"/>
          <w:szCs w:val="24"/>
        </w:rPr>
        <w:t>7、发布公告的媒介</w:t>
      </w:r>
    </w:p>
    <w:p>
      <w:pPr>
        <w:kinsoku w:val="0"/>
        <w:overflowPunct w:val="0"/>
        <w:autoSpaceDE w:val="0"/>
        <w:autoSpaceDN w:val="0"/>
        <w:adjustRightInd w:val="0"/>
        <w:snapToGrid w:val="0"/>
        <w:spacing w:line="360" w:lineRule="auto"/>
        <w:ind w:firstLine="360" w:firstLineChars="150"/>
        <w:rPr>
          <w:rFonts w:ascii="宋体"/>
          <w:kern w:val="0"/>
          <w:sz w:val="24"/>
          <w:szCs w:val="24"/>
        </w:rPr>
      </w:pPr>
      <w:r>
        <w:rPr>
          <w:rFonts w:hint="eastAsia" w:ascii="宋体" w:hAnsi="宋体" w:cs="宋体"/>
          <w:snapToGrid w:val="0"/>
          <w:kern w:val="0"/>
          <w:sz w:val="24"/>
          <w:szCs w:val="24"/>
        </w:rPr>
        <w:t>本次招标公告同时在《河南省公共资源交易中心门户网》、</w:t>
      </w:r>
      <w:r>
        <w:rPr>
          <w:rFonts w:hint="eastAsia" w:ascii="宋体"/>
          <w:sz w:val="24"/>
        </w:rPr>
        <w:t>《中国招标投标公共服务平台》</w:t>
      </w:r>
      <w:r>
        <w:rPr>
          <w:rFonts w:hint="eastAsia" w:ascii="宋体"/>
          <w:sz w:val="24"/>
          <w:lang w:eastAsia="zh-CN"/>
        </w:rPr>
        <w:t>、《河南省政府采购网》、《商丘市政府采购网》</w:t>
      </w:r>
      <w:r>
        <w:rPr>
          <w:rFonts w:hint="eastAsia" w:ascii="宋体" w:hAnsi="宋体" w:cs="宋体"/>
          <w:snapToGrid w:val="0"/>
          <w:kern w:val="0"/>
          <w:sz w:val="24"/>
          <w:szCs w:val="24"/>
        </w:rPr>
        <w:t>上发布。</w:t>
      </w:r>
    </w:p>
    <w:p>
      <w:pPr>
        <w:kinsoku w:val="0"/>
        <w:overflowPunct w:val="0"/>
        <w:autoSpaceDE w:val="0"/>
        <w:autoSpaceDN w:val="0"/>
        <w:adjustRightInd w:val="0"/>
        <w:snapToGrid w:val="0"/>
        <w:spacing w:line="360" w:lineRule="auto"/>
        <w:rPr>
          <w:rFonts w:ascii="宋体"/>
          <w:b/>
          <w:bCs/>
          <w:kern w:val="0"/>
          <w:sz w:val="24"/>
          <w:szCs w:val="24"/>
        </w:rPr>
      </w:pPr>
      <w:r>
        <w:rPr>
          <w:rFonts w:hint="eastAsia" w:ascii="宋体" w:hAnsi="宋体" w:cs="宋体"/>
          <w:b/>
          <w:bCs/>
          <w:kern w:val="0"/>
          <w:sz w:val="24"/>
          <w:szCs w:val="24"/>
        </w:rPr>
        <w:t>8、联系方式</w:t>
      </w:r>
    </w:p>
    <w:p>
      <w:pPr>
        <w:snapToGrid w:val="0"/>
        <w:spacing w:line="360" w:lineRule="auto"/>
        <w:rPr>
          <w:rFonts w:ascii="宋体"/>
          <w:sz w:val="24"/>
          <w:szCs w:val="24"/>
          <w:u w:val="single"/>
        </w:rPr>
      </w:pPr>
      <w:r>
        <w:rPr>
          <w:rFonts w:hint="eastAsia" w:ascii="宋体" w:hAnsi="宋体" w:cs="宋体"/>
          <w:kern w:val="0"/>
          <w:sz w:val="24"/>
          <w:szCs w:val="24"/>
        </w:rPr>
        <w:t>8</w:t>
      </w:r>
      <w:r>
        <w:rPr>
          <w:rFonts w:ascii="宋体" w:hAnsi="宋体" w:cs="宋体"/>
          <w:kern w:val="0"/>
          <w:sz w:val="24"/>
          <w:szCs w:val="24"/>
        </w:rPr>
        <w:t>.1 </w:t>
      </w:r>
      <w:r>
        <w:rPr>
          <w:rFonts w:hint="eastAsia" w:ascii="宋体" w:hAnsi="宋体" w:cs="宋体"/>
          <w:sz w:val="24"/>
          <w:szCs w:val="24"/>
        </w:rPr>
        <w:t>招标人：</w:t>
      </w:r>
      <w:r>
        <w:rPr>
          <w:rFonts w:hint="eastAsia" w:ascii="宋体" w:hAnsi="宋体" w:cs="宋体"/>
          <w:kern w:val="0"/>
          <w:sz w:val="24"/>
          <w:szCs w:val="24"/>
        </w:rPr>
        <w:t>商丘市中医院</w:t>
      </w:r>
    </w:p>
    <w:p>
      <w:pPr>
        <w:snapToGrid w:val="0"/>
        <w:spacing w:line="360" w:lineRule="auto"/>
        <w:ind w:firstLine="600" w:firstLineChars="250"/>
        <w:rPr>
          <w:rFonts w:ascii="宋体"/>
          <w:kern w:val="0"/>
          <w:sz w:val="24"/>
          <w:szCs w:val="24"/>
        </w:rPr>
      </w:pPr>
      <w:r>
        <w:rPr>
          <w:rFonts w:hint="eastAsia" w:ascii="宋体" w:hAnsi="宋体" w:cs="宋体"/>
          <w:kern w:val="0"/>
          <w:sz w:val="24"/>
          <w:szCs w:val="24"/>
        </w:rPr>
        <w:t>地址：商丘市梁园区团结东路38号</w:t>
      </w:r>
    </w:p>
    <w:p>
      <w:pPr>
        <w:snapToGrid w:val="0"/>
        <w:spacing w:line="360" w:lineRule="auto"/>
        <w:ind w:firstLine="600" w:firstLineChars="250"/>
        <w:rPr>
          <w:rFonts w:ascii="宋体" w:cs="宋体"/>
          <w:kern w:val="0"/>
          <w:sz w:val="24"/>
          <w:szCs w:val="24"/>
        </w:rPr>
      </w:pPr>
      <w:r>
        <w:rPr>
          <w:rFonts w:hint="eastAsia" w:ascii="宋体" w:hAnsi="宋体" w:cs="宋体"/>
          <w:sz w:val="24"/>
          <w:szCs w:val="24"/>
        </w:rPr>
        <w:t>联系人：</w:t>
      </w:r>
      <w:r>
        <w:rPr>
          <w:rFonts w:hint="eastAsia" w:ascii="宋体" w:hAnsi="宋体" w:cs="宋体"/>
          <w:kern w:val="0"/>
          <w:sz w:val="24"/>
          <w:szCs w:val="24"/>
        </w:rPr>
        <w:t>朱先生</w:t>
      </w:r>
    </w:p>
    <w:p>
      <w:pPr>
        <w:snapToGrid w:val="0"/>
        <w:spacing w:line="360" w:lineRule="auto"/>
        <w:ind w:firstLine="600" w:firstLineChars="250"/>
        <w:rPr>
          <w:rFonts w:ascii="宋体"/>
          <w:kern w:val="0"/>
          <w:sz w:val="24"/>
          <w:szCs w:val="24"/>
        </w:rPr>
      </w:pPr>
      <w:r>
        <w:rPr>
          <w:rFonts w:hint="eastAsia" w:ascii="宋体" w:hAnsi="宋体" w:cs="宋体"/>
          <w:sz w:val="24"/>
          <w:szCs w:val="24"/>
        </w:rPr>
        <w:t>电话：0370-2678535</w:t>
      </w:r>
    </w:p>
    <w:p>
      <w:pPr>
        <w:shd w:val="clear" w:color="auto" w:fill="FFFFFF"/>
        <w:kinsoku w:val="0"/>
        <w:overflowPunct w:val="0"/>
        <w:autoSpaceDE w:val="0"/>
        <w:autoSpaceDN w:val="0"/>
        <w:adjustRightInd w:val="0"/>
        <w:snapToGrid w:val="0"/>
        <w:spacing w:line="360" w:lineRule="auto"/>
        <w:rPr>
          <w:rFonts w:ascii="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8</w:t>
      </w:r>
      <w:r>
        <w:rPr>
          <w:rFonts w:ascii="宋体" w:hAnsi="宋体" w:cs="宋体"/>
          <w:kern w:val="0"/>
          <w:sz w:val="24"/>
          <w:szCs w:val="24"/>
        </w:rPr>
        <w:t>.2 </w:t>
      </w:r>
      <w:r>
        <w:rPr>
          <w:rFonts w:hint="eastAsia" w:ascii="宋体" w:hAnsi="宋体" w:cs="宋体"/>
          <w:kern w:val="0"/>
          <w:sz w:val="24"/>
          <w:szCs w:val="24"/>
        </w:rPr>
        <w:t>招标代理机构：京咨工程咨询有限公司</w:t>
      </w:r>
    </w:p>
    <w:p>
      <w:pPr>
        <w:shd w:val="clear" w:color="auto" w:fill="FFFFFF"/>
        <w:kinsoku w:val="0"/>
        <w:overflowPunct w:val="0"/>
        <w:autoSpaceDE w:val="0"/>
        <w:autoSpaceDN w:val="0"/>
        <w:adjustRightInd w:val="0"/>
        <w:snapToGrid w:val="0"/>
        <w:spacing w:line="360" w:lineRule="auto"/>
        <w:ind w:firstLine="600" w:firstLineChars="250"/>
        <w:rPr>
          <w:rFonts w:ascii="宋体"/>
          <w:kern w:val="0"/>
          <w:sz w:val="24"/>
          <w:szCs w:val="24"/>
        </w:rPr>
      </w:pPr>
      <w:r>
        <w:rPr>
          <w:rFonts w:hint="eastAsia" w:ascii="宋体" w:hAnsi="宋体" w:cs="宋体"/>
          <w:kern w:val="0"/>
          <w:sz w:val="24"/>
          <w:szCs w:val="24"/>
        </w:rPr>
        <w:t>地址：郑州市金水东路东风南路绿地原盛国际1号楼B座19楼203室</w:t>
      </w:r>
    </w:p>
    <w:p>
      <w:pPr>
        <w:shd w:val="clear" w:color="auto" w:fill="FFFFFF"/>
        <w:kinsoku w:val="0"/>
        <w:overflowPunct w:val="0"/>
        <w:autoSpaceDE w:val="0"/>
        <w:autoSpaceDN w:val="0"/>
        <w:adjustRightInd w:val="0"/>
        <w:snapToGrid w:val="0"/>
        <w:spacing w:line="360" w:lineRule="auto"/>
        <w:ind w:firstLine="600" w:firstLineChars="250"/>
        <w:rPr>
          <w:rFonts w:ascii="宋体"/>
          <w:kern w:val="0"/>
          <w:sz w:val="24"/>
          <w:szCs w:val="24"/>
        </w:rPr>
      </w:pPr>
      <w:r>
        <w:rPr>
          <w:rFonts w:hint="eastAsia" w:ascii="宋体" w:hAnsi="宋体" w:cs="宋体"/>
          <w:kern w:val="0"/>
          <w:sz w:val="24"/>
          <w:szCs w:val="24"/>
        </w:rPr>
        <w:t>联系人：陈女士</w:t>
      </w:r>
    </w:p>
    <w:p>
      <w:pPr>
        <w:shd w:val="clear" w:color="auto" w:fill="FFFFFF"/>
        <w:kinsoku w:val="0"/>
        <w:overflowPunct w:val="0"/>
        <w:autoSpaceDE w:val="0"/>
        <w:autoSpaceDN w:val="0"/>
        <w:adjustRightInd w:val="0"/>
        <w:snapToGrid w:val="0"/>
        <w:spacing w:line="360" w:lineRule="auto"/>
        <w:ind w:firstLine="480" w:firstLineChars="200"/>
        <w:rPr>
          <w:rFonts w:ascii="宋体"/>
          <w:kern w:val="0"/>
          <w:sz w:val="24"/>
          <w:szCs w:val="24"/>
        </w:rPr>
      </w:pPr>
      <w:r>
        <w:rPr>
          <w:rFonts w:hint="eastAsia" w:ascii="宋体" w:hAnsi="宋体" w:cs="宋体"/>
          <w:kern w:val="0"/>
          <w:sz w:val="24"/>
          <w:szCs w:val="24"/>
        </w:rPr>
        <w:t>联系电话：</w:t>
      </w:r>
      <w:r>
        <w:rPr>
          <w:rFonts w:ascii="宋体"/>
          <w:kern w:val="0"/>
          <w:sz w:val="24"/>
          <w:szCs w:val="24"/>
        </w:rPr>
        <w:t> </w:t>
      </w:r>
      <w:r>
        <w:rPr>
          <w:rFonts w:hint="eastAsia" w:ascii="宋体" w:hAnsi="宋体" w:cs="宋体"/>
          <w:kern w:val="0"/>
          <w:sz w:val="24"/>
          <w:szCs w:val="24"/>
        </w:rPr>
        <w:t>15003886379</w:t>
      </w:r>
    </w:p>
    <w:p>
      <w:pPr>
        <w:shd w:val="clear" w:color="auto" w:fill="FFFFFF"/>
        <w:kinsoku w:val="0"/>
        <w:overflowPunct w:val="0"/>
        <w:autoSpaceDE w:val="0"/>
        <w:autoSpaceDN w:val="0"/>
        <w:adjustRightInd w:val="0"/>
        <w:snapToGrid w:val="0"/>
        <w:spacing w:line="360" w:lineRule="auto"/>
        <w:jc w:val="right"/>
        <w:rPr>
          <w:rFonts w:ascii="宋体"/>
          <w:kern w:val="0"/>
          <w:sz w:val="24"/>
          <w:szCs w:val="24"/>
        </w:rPr>
      </w:pPr>
      <w:r>
        <w:rPr>
          <w:rFonts w:ascii="宋体"/>
          <w:kern w:val="0"/>
          <w:sz w:val="24"/>
          <w:szCs w:val="24"/>
        </w:rPr>
        <w:t>  </w:t>
      </w:r>
      <w:r>
        <w:rPr>
          <w:rFonts w:hint="eastAsia" w:ascii="宋体" w:hAnsi="宋体" w:cs="宋体"/>
          <w:kern w:val="0"/>
          <w:sz w:val="24"/>
          <w:szCs w:val="24"/>
        </w:rPr>
        <w:t>商丘市中医院</w:t>
      </w:r>
    </w:p>
    <w:p>
      <w:pPr>
        <w:shd w:val="clear" w:color="auto" w:fill="FFFFFF"/>
        <w:kinsoku w:val="0"/>
        <w:overflowPunct w:val="0"/>
        <w:autoSpaceDE w:val="0"/>
        <w:autoSpaceDN w:val="0"/>
        <w:adjustRightInd w:val="0"/>
        <w:snapToGrid w:val="0"/>
        <w:spacing w:line="360" w:lineRule="auto"/>
        <w:jc w:val="right"/>
        <w:rPr>
          <w:rFonts w:ascii="宋体"/>
          <w:kern w:val="0"/>
          <w:sz w:val="24"/>
          <w:szCs w:val="24"/>
        </w:rPr>
      </w:pPr>
      <w:r>
        <w:rPr>
          <w:rFonts w:hint="eastAsia" w:ascii="宋体" w:hAnsi="宋体" w:cs="宋体"/>
          <w:kern w:val="0"/>
          <w:sz w:val="24"/>
          <w:szCs w:val="24"/>
        </w:rPr>
        <w:t>京咨工程咨询有限公司</w:t>
      </w:r>
    </w:p>
    <w:p>
      <w:pPr>
        <w:jc w:val="right"/>
        <w:rPr>
          <w:highlight w:val="yellow"/>
        </w:rPr>
      </w:pPr>
      <w:r>
        <w:rPr>
          <w:rFonts w:hint="eastAsia" w:ascii="宋体" w:hAnsi="宋体" w:cs="宋体"/>
          <w:kern w:val="0"/>
          <w:sz w:val="24"/>
          <w:szCs w:val="24"/>
        </w:rPr>
        <w:t>2022年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06</w:t>
      </w:r>
      <w:r>
        <w:rPr>
          <w:rFonts w:hint="eastAsia" w:ascii="宋体" w:hAnsi="宋体" w:cs="宋体"/>
          <w:kern w:val="0"/>
          <w:sz w:val="24"/>
          <w:szCs w:val="24"/>
        </w:rPr>
        <w:t>日</w:t>
      </w:r>
    </w:p>
    <w:bookmarkEnd w:id="2"/>
    <w:bookmarkEnd w:id="3"/>
    <w:bookmarkEnd w:id="4"/>
    <w:p>
      <w:pPr>
        <w:snapToGrid w:val="0"/>
        <w:spacing w:line="360" w:lineRule="auto"/>
        <w:jc w:val="right"/>
        <w:textAlignment w:val="baseline"/>
        <w:rPr>
          <w:rFonts w:ascii="宋体"/>
          <w:b/>
          <w:bCs/>
          <w:sz w:val="36"/>
          <w:szCs w:val="36"/>
        </w:rPr>
      </w:pPr>
      <w:r>
        <w:rPr>
          <w:rFonts w:ascii="宋体"/>
          <w:b/>
          <w:bCs/>
          <w:sz w:val="36"/>
          <w:szCs w:val="36"/>
        </w:rPr>
        <w:br w:type="page"/>
      </w:r>
    </w:p>
    <w:p>
      <w:pPr>
        <w:pStyle w:val="5"/>
        <w:snapToGrid w:val="0"/>
        <w:jc w:val="center"/>
        <w:rPr>
          <w:rFonts w:ascii="宋体" w:hAnsi="宋体" w:eastAsia="宋体" w:cs="宋体"/>
          <w:b/>
          <w:bCs/>
          <w:sz w:val="36"/>
          <w:szCs w:val="36"/>
        </w:rPr>
      </w:pPr>
      <w:bookmarkStart w:id="5" w:name="_Toc27543"/>
      <w:r>
        <w:rPr>
          <w:rFonts w:hint="eastAsia" w:ascii="宋体" w:hAnsi="宋体" w:eastAsia="宋体" w:cs="宋体"/>
          <w:b/>
          <w:bCs/>
          <w:sz w:val="36"/>
          <w:szCs w:val="36"/>
        </w:rPr>
        <w:t>第二章投标须知</w:t>
      </w:r>
      <w:bookmarkEnd w:id="5"/>
    </w:p>
    <w:p>
      <w:pPr>
        <w:snapToGrid w:val="0"/>
        <w:ind w:left="0" w:firstLine="0"/>
        <w:jc w:val="center"/>
        <w:outlineLvl w:val="9"/>
        <w:rPr>
          <w:rFonts w:ascii="宋体" w:hAnsi="宋体" w:eastAsia="宋体"/>
          <w:sz w:val="28"/>
          <w:szCs w:val="28"/>
        </w:rPr>
      </w:pPr>
      <w:bookmarkStart w:id="6" w:name="_Toc256363511"/>
      <w:bookmarkStart w:id="7" w:name="_Toc74732257"/>
      <w:bookmarkStart w:id="8" w:name="_Toc74732314"/>
      <w:r>
        <w:rPr>
          <w:rFonts w:hint="eastAsia" w:ascii="宋体" w:hAnsi="宋体" w:eastAsia="宋体" w:cs="宋体"/>
          <w:sz w:val="28"/>
          <w:szCs w:val="28"/>
        </w:rPr>
        <w:t>投标须知前附表</w:t>
      </w:r>
      <w:bookmarkEnd w:id="6"/>
      <w:bookmarkEnd w:id="7"/>
      <w:bookmarkEnd w:id="8"/>
    </w:p>
    <w:tbl>
      <w:tblPr>
        <w:tblStyle w:val="39"/>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2125"/>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00" w:type="dxa"/>
            <w:vAlign w:val="center"/>
          </w:tcPr>
          <w:p>
            <w:pPr>
              <w:snapToGrid w:val="0"/>
              <w:jc w:val="center"/>
              <w:textAlignment w:val="baseline"/>
              <w:rPr>
                <w:rFonts w:ascii="宋体"/>
                <w:sz w:val="20"/>
              </w:rPr>
            </w:pPr>
            <w:r>
              <w:rPr>
                <w:rFonts w:hint="eastAsia" w:ascii="宋体" w:hAnsi="宋体" w:cs="宋体"/>
              </w:rPr>
              <w:t>条款号</w:t>
            </w:r>
          </w:p>
        </w:tc>
        <w:tc>
          <w:tcPr>
            <w:tcW w:w="2125" w:type="dxa"/>
            <w:vAlign w:val="center"/>
          </w:tcPr>
          <w:p>
            <w:pPr>
              <w:snapToGrid w:val="0"/>
              <w:jc w:val="center"/>
              <w:textAlignment w:val="baseline"/>
              <w:rPr>
                <w:rFonts w:ascii="宋体"/>
                <w:sz w:val="20"/>
              </w:rPr>
            </w:pPr>
            <w:r>
              <w:rPr>
                <w:rFonts w:hint="eastAsia" w:ascii="宋体" w:hAnsi="宋体" w:cs="宋体"/>
              </w:rPr>
              <w:t>条款名称</w:t>
            </w:r>
          </w:p>
        </w:tc>
        <w:tc>
          <w:tcPr>
            <w:tcW w:w="6338" w:type="dxa"/>
            <w:vAlign w:val="center"/>
          </w:tcPr>
          <w:p>
            <w:pPr>
              <w:snapToGrid w:val="0"/>
              <w:jc w:val="center"/>
              <w:textAlignment w:val="baseline"/>
              <w:rPr>
                <w:rFonts w:ascii="宋体"/>
                <w:sz w:val="20"/>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00" w:type="dxa"/>
            <w:vAlign w:val="center"/>
          </w:tcPr>
          <w:p>
            <w:pPr>
              <w:snapToGrid w:val="0"/>
              <w:jc w:val="center"/>
              <w:textAlignment w:val="baseline"/>
              <w:rPr>
                <w:rFonts w:ascii="宋体" w:cs="宋体"/>
                <w:sz w:val="20"/>
              </w:rPr>
            </w:pPr>
            <w:r>
              <w:rPr>
                <w:rFonts w:ascii="宋体" w:hAnsi="宋体" w:cs="宋体"/>
              </w:rPr>
              <w:t>1.1.2</w:t>
            </w:r>
          </w:p>
        </w:tc>
        <w:tc>
          <w:tcPr>
            <w:tcW w:w="2125" w:type="dxa"/>
            <w:vAlign w:val="center"/>
          </w:tcPr>
          <w:p>
            <w:pPr>
              <w:snapToGrid w:val="0"/>
              <w:jc w:val="center"/>
              <w:textAlignment w:val="baseline"/>
              <w:rPr>
                <w:rFonts w:ascii="宋体"/>
                <w:kern w:val="0"/>
                <w:sz w:val="20"/>
              </w:rPr>
            </w:pPr>
            <w:r>
              <w:rPr>
                <w:rFonts w:hint="eastAsia" w:ascii="宋体" w:hAnsi="宋体" w:cs="宋体"/>
                <w:kern w:val="0"/>
              </w:rPr>
              <w:t>招标人</w:t>
            </w:r>
          </w:p>
        </w:tc>
        <w:tc>
          <w:tcPr>
            <w:tcW w:w="6338" w:type="dxa"/>
            <w:vAlign w:val="center"/>
          </w:tcPr>
          <w:p>
            <w:pPr>
              <w:snapToGrid w:val="0"/>
              <w:spacing w:line="400" w:lineRule="exact"/>
              <w:textAlignment w:val="baseline"/>
              <w:rPr>
                <w:rFonts w:ascii="宋体"/>
                <w:kern w:val="0"/>
                <w:sz w:val="20"/>
              </w:rPr>
            </w:pPr>
            <w:r>
              <w:rPr>
                <w:rFonts w:hint="eastAsia" w:ascii="宋体" w:hAnsi="宋体" w:cs="宋体"/>
                <w:kern w:val="0"/>
              </w:rPr>
              <w:t>招标人：商丘市中医院</w:t>
            </w:r>
          </w:p>
          <w:p>
            <w:pPr>
              <w:snapToGrid w:val="0"/>
              <w:spacing w:line="400" w:lineRule="exact"/>
              <w:textAlignment w:val="baseline"/>
              <w:rPr>
                <w:rFonts w:ascii="宋体" w:cs="宋体"/>
                <w:kern w:val="0"/>
                <w:sz w:val="20"/>
              </w:rPr>
            </w:pPr>
            <w:r>
              <w:rPr>
                <w:rFonts w:hint="eastAsia" w:ascii="宋体" w:hAnsi="宋体" w:cs="宋体"/>
                <w:kern w:val="0"/>
              </w:rPr>
              <w:t>地址：商丘市梁园区团结东路38号</w:t>
            </w:r>
          </w:p>
          <w:p>
            <w:pPr>
              <w:snapToGrid w:val="0"/>
              <w:spacing w:line="400" w:lineRule="exact"/>
              <w:textAlignment w:val="baseline"/>
              <w:rPr>
                <w:rFonts w:ascii="宋体" w:cs="宋体"/>
                <w:kern w:val="0"/>
                <w:sz w:val="20"/>
              </w:rPr>
            </w:pPr>
            <w:r>
              <w:rPr>
                <w:rFonts w:hint="eastAsia" w:ascii="宋体" w:hAnsi="宋体" w:cs="宋体"/>
                <w:kern w:val="0"/>
              </w:rPr>
              <w:t>联系人：朱先生</w:t>
            </w:r>
          </w:p>
          <w:p>
            <w:pPr>
              <w:shd w:val="clear" w:color="auto" w:fill="FFFFFF"/>
              <w:snapToGrid w:val="0"/>
              <w:spacing w:line="400" w:lineRule="exact"/>
              <w:textAlignment w:val="baseline"/>
              <w:rPr>
                <w:rFonts w:ascii="宋体"/>
                <w:kern w:val="0"/>
                <w:sz w:val="24"/>
                <w:szCs w:val="24"/>
              </w:rPr>
            </w:pPr>
            <w:r>
              <w:rPr>
                <w:rFonts w:hint="eastAsia" w:ascii="宋体" w:hAnsi="宋体" w:cs="宋体"/>
                <w:kern w:val="0"/>
              </w:rPr>
              <w:t>电话：0370-2678535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1000" w:type="dxa"/>
            <w:vAlign w:val="center"/>
          </w:tcPr>
          <w:p>
            <w:pPr>
              <w:snapToGrid w:val="0"/>
              <w:jc w:val="center"/>
              <w:textAlignment w:val="baseline"/>
              <w:rPr>
                <w:rFonts w:ascii="宋体" w:cs="宋体"/>
                <w:sz w:val="20"/>
              </w:rPr>
            </w:pPr>
            <w:r>
              <w:rPr>
                <w:rFonts w:ascii="宋体" w:hAnsi="宋体" w:cs="宋体"/>
              </w:rPr>
              <w:t>1.1.3</w:t>
            </w:r>
          </w:p>
        </w:tc>
        <w:tc>
          <w:tcPr>
            <w:tcW w:w="2125" w:type="dxa"/>
            <w:vAlign w:val="center"/>
          </w:tcPr>
          <w:p>
            <w:pPr>
              <w:snapToGrid w:val="0"/>
              <w:jc w:val="center"/>
              <w:textAlignment w:val="baseline"/>
              <w:rPr>
                <w:rFonts w:ascii="宋体"/>
                <w:sz w:val="20"/>
              </w:rPr>
            </w:pPr>
            <w:r>
              <w:rPr>
                <w:rFonts w:hint="eastAsia" w:ascii="宋体" w:hAnsi="宋体" w:cs="宋体"/>
              </w:rPr>
              <w:t>招标代理机构</w:t>
            </w:r>
          </w:p>
        </w:tc>
        <w:tc>
          <w:tcPr>
            <w:tcW w:w="6338" w:type="dxa"/>
            <w:vAlign w:val="center"/>
          </w:tcPr>
          <w:p>
            <w:pPr>
              <w:pStyle w:val="3"/>
              <w:snapToGrid w:val="0"/>
              <w:spacing w:line="360" w:lineRule="exact"/>
              <w:ind w:left="840" w:hanging="840" w:hangingChars="400"/>
              <w:jc w:val="both"/>
              <w:textAlignment w:val="baseline"/>
              <w:rPr>
                <w:rFonts w:hAnsi="宋体"/>
                <w:sz w:val="21"/>
                <w:szCs w:val="21"/>
              </w:rPr>
            </w:pPr>
            <w:r>
              <w:rPr>
                <w:rFonts w:hint="eastAsia" w:hAnsi="宋体" w:cs="宋体"/>
                <w:sz w:val="21"/>
                <w:szCs w:val="21"/>
              </w:rPr>
              <w:t>招标代理机构：京咨工程咨询有限公司</w:t>
            </w:r>
          </w:p>
          <w:p>
            <w:pPr>
              <w:pStyle w:val="3"/>
              <w:snapToGrid w:val="0"/>
              <w:spacing w:line="360" w:lineRule="exact"/>
              <w:ind w:left="840" w:hanging="840" w:hangingChars="400"/>
              <w:jc w:val="both"/>
              <w:textAlignment w:val="baseline"/>
              <w:rPr>
                <w:rFonts w:hAnsi="宋体"/>
                <w:sz w:val="21"/>
                <w:szCs w:val="21"/>
              </w:rPr>
            </w:pPr>
            <w:r>
              <w:rPr>
                <w:rFonts w:hint="eastAsia" w:hAnsi="宋体" w:cs="宋体"/>
                <w:sz w:val="21"/>
                <w:szCs w:val="21"/>
              </w:rPr>
              <w:t>地址：郑州市金水东路东风南路绿地原盛国际1号楼B座19楼203室</w:t>
            </w:r>
          </w:p>
          <w:p>
            <w:pPr>
              <w:pStyle w:val="3"/>
              <w:snapToGrid w:val="0"/>
              <w:spacing w:line="360" w:lineRule="exact"/>
              <w:ind w:left="840" w:hanging="840" w:hangingChars="400"/>
              <w:jc w:val="both"/>
              <w:textAlignment w:val="baseline"/>
              <w:rPr>
                <w:rFonts w:hAnsi="宋体"/>
                <w:sz w:val="21"/>
                <w:szCs w:val="21"/>
              </w:rPr>
            </w:pPr>
            <w:r>
              <w:rPr>
                <w:rFonts w:hint="eastAsia" w:hAnsi="宋体" w:cs="宋体"/>
                <w:sz w:val="21"/>
                <w:szCs w:val="21"/>
              </w:rPr>
              <w:t>联系人：陈女士</w:t>
            </w:r>
          </w:p>
          <w:p>
            <w:pPr>
              <w:pStyle w:val="3"/>
              <w:snapToGrid w:val="0"/>
              <w:spacing w:line="360" w:lineRule="exact"/>
              <w:ind w:left="840" w:hanging="840" w:hangingChars="400"/>
              <w:jc w:val="both"/>
              <w:textAlignment w:val="baseline"/>
              <w:rPr>
                <w:rFonts w:hAnsi="宋体"/>
                <w:sz w:val="21"/>
                <w:szCs w:val="21"/>
              </w:rPr>
            </w:pPr>
            <w:r>
              <w:rPr>
                <w:rFonts w:hint="eastAsia" w:hAnsi="宋体" w:cs="宋体"/>
                <w:sz w:val="21"/>
                <w:szCs w:val="21"/>
              </w:rPr>
              <w:t>联系电话：</w:t>
            </w:r>
            <w:r>
              <w:rPr>
                <w:rFonts w:hint="eastAsia" w:hAnsi="宋体"/>
                <w:sz w:val="21"/>
                <w:szCs w:val="21"/>
              </w:rPr>
              <w:t>15003886379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00" w:type="dxa"/>
            <w:vAlign w:val="center"/>
          </w:tcPr>
          <w:p>
            <w:pPr>
              <w:snapToGrid w:val="0"/>
              <w:jc w:val="center"/>
              <w:textAlignment w:val="baseline"/>
              <w:rPr>
                <w:rFonts w:ascii="宋体" w:cs="宋体"/>
                <w:sz w:val="20"/>
              </w:rPr>
            </w:pPr>
            <w:r>
              <w:rPr>
                <w:rFonts w:ascii="宋体" w:hAnsi="宋体" w:cs="宋体"/>
              </w:rPr>
              <w:t>1.1.4</w:t>
            </w:r>
          </w:p>
        </w:tc>
        <w:tc>
          <w:tcPr>
            <w:tcW w:w="2125" w:type="dxa"/>
            <w:vAlign w:val="center"/>
          </w:tcPr>
          <w:p>
            <w:pPr>
              <w:snapToGrid w:val="0"/>
              <w:jc w:val="center"/>
              <w:textAlignment w:val="baseline"/>
              <w:rPr>
                <w:rFonts w:ascii="宋体"/>
                <w:sz w:val="20"/>
              </w:rPr>
            </w:pPr>
            <w:r>
              <w:rPr>
                <w:rFonts w:hint="eastAsia" w:ascii="宋体" w:hAnsi="宋体" w:cs="宋体"/>
              </w:rPr>
              <w:t>项目名称</w:t>
            </w:r>
          </w:p>
        </w:tc>
        <w:tc>
          <w:tcPr>
            <w:tcW w:w="6338" w:type="dxa"/>
            <w:vAlign w:val="center"/>
          </w:tcPr>
          <w:p>
            <w:pPr>
              <w:snapToGrid w:val="0"/>
              <w:jc w:val="left"/>
              <w:textAlignment w:val="baseline"/>
              <w:rPr>
                <w:rFonts w:hint="eastAsia" w:ascii="宋体" w:eastAsia="宋体" w:cs="宋体"/>
                <w:sz w:val="21"/>
                <w:szCs w:val="21"/>
                <w:lang w:eastAsia="zh-CN"/>
              </w:rPr>
            </w:pPr>
            <w:r>
              <w:rPr>
                <w:rFonts w:hint="eastAsia" w:ascii="宋体" w:hAnsi="宋体" w:cs="宋体"/>
                <w:sz w:val="21"/>
                <w:szCs w:val="21"/>
                <w:lang w:eastAsia="zh-CN"/>
              </w:rPr>
              <w:t>商丘市中医院新院区第二批影像放射类2设备采购项目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1.2.1</w:t>
            </w:r>
          </w:p>
        </w:tc>
        <w:tc>
          <w:tcPr>
            <w:tcW w:w="2125" w:type="dxa"/>
            <w:vAlign w:val="center"/>
          </w:tcPr>
          <w:p>
            <w:pPr>
              <w:snapToGrid w:val="0"/>
              <w:jc w:val="center"/>
              <w:textAlignment w:val="baseline"/>
              <w:rPr>
                <w:rFonts w:ascii="宋体"/>
                <w:sz w:val="20"/>
                <w:highlight w:val="none"/>
              </w:rPr>
            </w:pPr>
            <w:r>
              <w:rPr>
                <w:rFonts w:hint="eastAsia" w:ascii="宋体" w:hAnsi="宋体" w:cs="宋体"/>
                <w:highlight w:val="none"/>
              </w:rPr>
              <w:t>资金来源</w:t>
            </w:r>
          </w:p>
        </w:tc>
        <w:tc>
          <w:tcPr>
            <w:tcW w:w="6338" w:type="dxa"/>
            <w:vAlign w:val="center"/>
          </w:tcPr>
          <w:p>
            <w:pPr>
              <w:snapToGrid w:val="0"/>
              <w:textAlignment w:val="baseline"/>
              <w:rPr>
                <w:rFonts w:ascii="宋体"/>
                <w:sz w:val="21"/>
                <w:szCs w:val="21"/>
                <w:highlight w:val="none"/>
              </w:rPr>
            </w:pPr>
            <w:r>
              <w:rPr>
                <w:rFonts w:hint="eastAsia" w:ascii="宋体" w:hAnsi="宋体" w:cs="宋体"/>
                <w:sz w:val="21"/>
                <w:szCs w:val="21"/>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1.2.2</w:t>
            </w:r>
          </w:p>
        </w:tc>
        <w:tc>
          <w:tcPr>
            <w:tcW w:w="2125" w:type="dxa"/>
            <w:vAlign w:val="center"/>
          </w:tcPr>
          <w:p>
            <w:pPr>
              <w:snapToGrid w:val="0"/>
              <w:jc w:val="center"/>
              <w:textAlignment w:val="baseline"/>
              <w:rPr>
                <w:rFonts w:ascii="宋体"/>
                <w:sz w:val="20"/>
              </w:rPr>
            </w:pPr>
            <w:r>
              <w:rPr>
                <w:rFonts w:hint="eastAsia" w:ascii="宋体" w:hAnsi="宋体" w:cs="宋体"/>
              </w:rPr>
              <w:t>出资比例</w:t>
            </w:r>
          </w:p>
        </w:tc>
        <w:tc>
          <w:tcPr>
            <w:tcW w:w="6338" w:type="dxa"/>
            <w:vAlign w:val="center"/>
          </w:tcPr>
          <w:p>
            <w:pPr>
              <w:snapToGrid w:val="0"/>
              <w:jc w:val="left"/>
              <w:textAlignment w:val="baseline"/>
              <w:rPr>
                <w:rFonts w:ascii="宋体" w:cs="宋体"/>
                <w:sz w:val="21"/>
                <w:szCs w:val="21"/>
              </w:rPr>
            </w:pPr>
            <w:r>
              <w:rPr>
                <w:rFonts w:ascii="宋体" w:hAnsi="宋体" w:cs="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1.2.3</w:t>
            </w:r>
          </w:p>
        </w:tc>
        <w:tc>
          <w:tcPr>
            <w:tcW w:w="2125" w:type="dxa"/>
            <w:vAlign w:val="center"/>
          </w:tcPr>
          <w:p>
            <w:pPr>
              <w:snapToGrid w:val="0"/>
              <w:jc w:val="center"/>
              <w:textAlignment w:val="baseline"/>
              <w:rPr>
                <w:rFonts w:ascii="宋体"/>
                <w:sz w:val="20"/>
              </w:rPr>
            </w:pPr>
            <w:r>
              <w:rPr>
                <w:rFonts w:hint="eastAsia" w:ascii="宋体" w:hAnsi="宋体" w:cs="宋体"/>
              </w:rPr>
              <w:t>资金落实情况</w:t>
            </w:r>
          </w:p>
        </w:tc>
        <w:tc>
          <w:tcPr>
            <w:tcW w:w="6338" w:type="dxa"/>
            <w:vAlign w:val="center"/>
          </w:tcPr>
          <w:p>
            <w:pPr>
              <w:snapToGrid w:val="0"/>
              <w:jc w:val="left"/>
              <w:textAlignment w:val="baseline"/>
              <w:rPr>
                <w:rFonts w:ascii="宋体"/>
                <w:sz w:val="21"/>
                <w:szCs w:val="21"/>
              </w:rPr>
            </w:pPr>
            <w:r>
              <w:rPr>
                <w:rFonts w:hint="eastAsia" w:ascii="宋体" w:hAnsi="宋体" w:cs="宋体"/>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00" w:type="dxa"/>
            <w:vAlign w:val="center"/>
          </w:tcPr>
          <w:p>
            <w:pPr>
              <w:snapToGrid w:val="0"/>
              <w:jc w:val="center"/>
              <w:textAlignment w:val="baseline"/>
              <w:rPr>
                <w:rFonts w:ascii="宋体" w:cs="宋体"/>
                <w:sz w:val="20"/>
              </w:rPr>
            </w:pPr>
            <w:r>
              <w:rPr>
                <w:rFonts w:ascii="宋体" w:hAnsi="宋体" w:cs="宋体"/>
              </w:rPr>
              <w:t>1.3.1</w:t>
            </w:r>
          </w:p>
        </w:tc>
        <w:tc>
          <w:tcPr>
            <w:tcW w:w="2125" w:type="dxa"/>
            <w:vAlign w:val="center"/>
          </w:tcPr>
          <w:p>
            <w:pPr>
              <w:snapToGrid w:val="0"/>
              <w:jc w:val="center"/>
              <w:textAlignment w:val="baseline"/>
              <w:rPr>
                <w:rFonts w:ascii="宋体"/>
                <w:sz w:val="20"/>
              </w:rPr>
            </w:pPr>
            <w:r>
              <w:rPr>
                <w:rFonts w:hint="eastAsia" w:ascii="宋体" w:hAnsi="宋体" w:cs="宋体"/>
              </w:rPr>
              <w:t>招标范围及标段划分</w:t>
            </w:r>
          </w:p>
        </w:tc>
        <w:tc>
          <w:tcPr>
            <w:tcW w:w="6338" w:type="dxa"/>
            <w:vAlign w:val="center"/>
          </w:tcPr>
          <w:p>
            <w:pPr>
              <w:snapToGrid w:val="0"/>
              <w:spacing w:line="360" w:lineRule="exact"/>
              <w:textAlignment w:val="baseline"/>
              <w:rPr>
                <w:rFonts w:ascii="宋体"/>
                <w:kern w:val="0"/>
                <w:sz w:val="21"/>
                <w:szCs w:val="21"/>
              </w:rPr>
            </w:pPr>
            <w:r>
              <w:rPr>
                <w:rFonts w:hint="eastAsia" w:ascii="宋体" w:hAnsi="宋体" w:cs="宋体"/>
                <w:sz w:val="21"/>
                <w:szCs w:val="21"/>
              </w:rPr>
              <w:t>一个标段：</w:t>
            </w:r>
            <w:r>
              <w:rPr>
                <w:rFonts w:hint="eastAsia" w:ascii="宋体" w:hAnsi="宋体" w:cs="宋体"/>
                <w:sz w:val="21"/>
                <w:szCs w:val="21"/>
                <w:lang w:eastAsia="zh-CN"/>
              </w:rPr>
              <w:t>单光子发射及X射线计算机断层成像系统一套</w:t>
            </w:r>
            <w:r>
              <w:rPr>
                <w:rFonts w:hint="eastAsia" w:ascii="宋体" w:hAnsi="宋体" w:cs="宋体"/>
                <w:sz w:val="21"/>
                <w:szCs w:val="21"/>
              </w:rPr>
              <w:t>（技术参数要求详见采购文件）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hAnsi="宋体" w:cs="宋体"/>
                <w:sz w:val="20"/>
              </w:rPr>
            </w:pPr>
            <w:r>
              <w:rPr>
                <w:rFonts w:ascii="宋体" w:hAnsi="宋体" w:cs="宋体"/>
              </w:rPr>
              <w:t>1.3.2</w:t>
            </w:r>
          </w:p>
        </w:tc>
        <w:tc>
          <w:tcPr>
            <w:tcW w:w="2125" w:type="dxa"/>
            <w:vAlign w:val="center"/>
          </w:tcPr>
          <w:p>
            <w:pPr>
              <w:snapToGrid w:val="0"/>
              <w:jc w:val="center"/>
              <w:textAlignment w:val="baseline"/>
              <w:rPr>
                <w:rFonts w:ascii="宋体" w:hAnsi="宋体" w:cs="宋体"/>
                <w:sz w:val="20"/>
              </w:rPr>
            </w:pPr>
            <w:r>
              <w:rPr>
                <w:rFonts w:hint="eastAsia" w:ascii="宋体" w:hAnsi="宋体" w:cs="宋体"/>
              </w:rPr>
              <w:t>质保期</w:t>
            </w:r>
          </w:p>
        </w:tc>
        <w:tc>
          <w:tcPr>
            <w:tcW w:w="6338" w:type="dxa"/>
            <w:vAlign w:val="center"/>
          </w:tcPr>
          <w:p>
            <w:pPr>
              <w:snapToGrid w:val="0"/>
              <w:spacing w:line="360" w:lineRule="exact"/>
              <w:textAlignment w:val="baseline"/>
              <w:rPr>
                <w:rFonts w:ascii="宋体" w:hAnsi="宋体" w:cs="宋体"/>
                <w:b/>
                <w:sz w:val="21"/>
                <w:szCs w:val="21"/>
                <w:highlight w:val="none"/>
              </w:rPr>
            </w:pPr>
            <w:r>
              <w:rPr>
                <w:rFonts w:hint="eastAsia" w:ascii="宋体" w:hAnsi="宋体" w:cs="宋体"/>
                <w:kern w:val="0"/>
                <w:sz w:val="21"/>
                <w:szCs w:val="21"/>
                <w:highlight w:val="none"/>
              </w:rPr>
              <w:t>整机免费质保期1年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00" w:type="dxa"/>
            <w:vAlign w:val="center"/>
          </w:tcPr>
          <w:p>
            <w:pPr>
              <w:snapToGrid w:val="0"/>
              <w:jc w:val="center"/>
              <w:textAlignment w:val="baseline"/>
              <w:rPr>
                <w:rFonts w:ascii="宋体" w:hAnsi="宋体" w:cs="宋体"/>
                <w:sz w:val="20"/>
              </w:rPr>
            </w:pPr>
            <w:r>
              <w:rPr>
                <w:rFonts w:ascii="宋体" w:hAnsi="宋体" w:cs="宋体"/>
              </w:rPr>
              <w:t>1.3.3</w:t>
            </w:r>
          </w:p>
        </w:tc>
        <w:tc>
          <w:tcPr>
            <w:tcW w:w="2125" w:type="dxa"/>
            <w:vAlign w:val="center"/>
          </w:tcPr>
          <w:p>
            <w:pPr>
              <w:snapToGrid w:val="0"/>
              <w:jc w:val="center"/>
              <w:textAlignment w:val="baseline"/>
              <w:rPr>
                <w:rFonts w:ascii="宋体" w:hAnsi="宋体" w:cs="宋体"/>
              </w:rPr>
            </w:pPr>
            <w:r>
              <w:rPr>
                <w:rFonts w:hint="eastAsia" w:ascii="宋体" w:hAnsi="宋体" w:cs="宋体"/>
              </w:rPr>
              <w:t>交货期期限、交货地点</w:t>
            </w:r>
          </w:p>
        </w:tc>
        <w:tc>
          <w:tcPr>
            <w:tcW w:w="6338" w:type="dxa"/>
            <w:vAlign w:val="center"/>
          </w:tcPr>
          <w:p>
            <w:pPr>
              <w:shd w:val="clear" w:color="auto" w:fill="FFFFFF"/>
              <w:kinsoku w:val="0"/>
              <w:overflowPunct w:val="0"/>
              <w:autoSpaceDE w:val="0"/>
              <w:autoSpaceDN w:val="0"/>
              <w:adjustRightInd w:val="0"/>
              <w:snapToGrid w:val="0"/>
              <w:spacing w:line="360" w:lineRule="auto"/>
              <w:jc w:val="left"/>
              <w:rPr>
                <w:rFonts w:ascii="宋体" w:hAnsi="宋体" w:cs="宋体"/>
                <w:sz w:val="21"/>
                <w:szCs w:val="21"/>
                <w:highlight w:val="none"/>
              </w:rPr>
            </w:pPr>
            <w:r>
              <w:rPr>
                <w:rFonts w:hint="eastAsia" w:ascii="宋体" w:hAnsi="宋体" w:cs="宋体"/>
                <w:sz w:val="21"/>
                <w:szCs w:val="21"/>
                <w:highlight w:val="none"/>
              </w:rPr>
              <w:t>交货期：合同生效之日起，</w:t>
            </w:r>
            <w:r>
              <w:rPr>
                <w:rFonts w:hint="eastAsia" w:ascii="宋体" w:hAnsi="宋体" w:cs="宋体"/>
                <w:sz w:val="21"/>
                <w:szCs w:val="21"/>
                <w:highlight w:val="none"/>
                <w:lang w:val="en-US" w:eastAsia="zh-CN"/>
              </w:rPr>
              <w:t>9</w:t>
            </w:r>
            <w:r>
              <w:rPr>
                <w:rFonts w:hint="eastAsia" w:ascii="宋体" w:hAnsi="宋体" w:cs="宋体"/>
                <w:sz w:val="21"/>
                <w:szCs w:val="21"/>
                <w:highlight w:val="none"/>
              </w:rPr>
              <w:t>0日历天内供货、安装完毕</w:t>
            </w:r>
          </w:p>
          <w:p>
            <w:pPr>
              <w:snapToGrid w:val="0"/>
              <w:spacing w:line="360" w:lineRule="exact"/>
              <w:jc w:val="left"/>
              <w:textAlignment w:val="baseline"/>
              <w:rPr>
                <w:rFonts w:ascii="宋体" w:hAnsi="宋体" w:cs="宋体"/>
                <w:sz w:val="21"/>
                <w:szCs w:val="21"/>
                <w:highlight w:val="none"/>
              </w:rPr>
            </w:pPr>
            <w:r>
              <w:rPr>
                <w:rFonts w:hint="eastAsia" w:ascii="宋体" w:hAnsi="宋体" w:cs="宋体"/>
                <w:sz w:val="21"/>
                <w:szCs w:val="21"/>
                <w:highlight w:val="none"/>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1.3.4</w:t>
            </w:r>
          </w:p>
        </w:tc>
        <w:tc>
          <w:tcPr>
            <w:tcW w:w="2125" w:type="dxa"/>
            <w:vAlign w:val="center"/>
          </w:tcPr>
          <w:p>
            <w:pPr>
              <w:snapToGrid w:val="0"/>
              <w:jc w:val="center"/>
              <w:textAlignment w:val="baseline"/>
              <w:rPr>
                <w:rFonts w:ascii="宋体"/>
                <w:sz w:val="20"/>
              </w:rPr>
            </w:pPr>
            <w:r>
              <w:rPr>
                <w:rFonts w:hint="eastAsia" w:ascii="宋体" w:hAnsi="宋体" w:cs="宋体"/>
              </w:rPr>
              <w:t>质量要求</w:t>
            </w:r>
          </w:p>
        </w:tc>
        <w:tc>
          <w:tcPr>
            <w:tcW w:w="6338" w:type="dxa"/>
            <w:vAlign w:val="center"/>
          </w:tcPr>
          <w:p>
            <w:pPr>
              <w:snapToGrid w:val="0"/>
              <w:spacing w:line="360" w:lineRule="exact"/>
              <w:textAlignment w:val="baseline"/>
              <w:rPr>
                <w:rFonts w:ascii="宋体"/>
                <w:sz w:val="20"/>
              </w:rPr>
            </w:pPr>
            <w:r>
              <w:rPr>
                <w:rFonts w:hint="eastAsia" w:ascii="宋体" w:hAnsi="宋体" w:cs="宋体"/>
              </w:rPr>
              <w:t>符合国家或行业规定的合格标准。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00" w:type="dxa"/>
            <w:vAlign w:val="center"/>
          </w:tcPr>
          <w:p>
            <w:pPr>
              <w:snapToGrid w:val="0"/>
              <w:jc w:val="center"/>
              <w:textAlignment w:val="baseline"/>
              <w:rPr>
                <w:rFonts w:ascii="宋体" w:cs="宋体"/>
                <w:sz w:val="20"/>
              </w:rPr>
            </w:pPr>
            <w:r>
              <w:rPr>
                <w:rFonts w:ascii="宋体" w:hAnsi="宋体" w:cs="宋体"/>
              </w:rPr>
              <w:t>1.4.1</w:t>
            </w:r>
          </w:p>
        </w:tc>
        <w:tc>
          <w:tcPr>
            <w:tcW w:w="2125" w:type="dxa"/>
            <w:vAlign w:val="center"/>
          </w:tcPr>
          <w:p>
            <w:pPr>
              <w:snapToGrid w:val="0"/>
              <w:jc w:val="center"/>
              <w:textAlignment w:val="baseline"/>
              <w:rPr>
                <w:rFonts w:ascii="宋体"/>
                <w:sz w:val="20"/>
              </w:rPr>
            </w:pPr>
            <w:r>
              <w:rPr>
                <w:rFonts w:hint="eastAsia" w:ascii="宋体" w:hAnsi="宋体" w:cs="宋体"/>
              </w:rPr>
              <w:t>投标人资质条件、能力和信誉</w:t>
            </w:r>
          </w:p>
        </w:tc>
        <w:tc>
          <w:tcPr>
            <w:tcW w:w="6338" w:type="dxa"/>
            <w:vAlign w:val="center"/>
          </w:tcPr>
          <w:p>
            <w:pPr>
              <w:widowControl/>
              <w:snapToGrid w:val="0"/>
              <w:spacing w:line="360" w:lineRule="auto"/>
              <w:textAlignment w:val="baseline"/>
              <w:rPr>
                <w:rFonts w:ascii="宋体" w:hAnsi="宋体" w:cs="宋体"/>
              </w:rPr>
            </w:pPr>
            <w:r>
              <w:rPr>
                <w:rFonts w:ascii="宋体" w:hAnsi="宋体" w:cs="宋体"/>
              </w:rPr>
              <w:t>1</w:t>
            </w:r>
            <w:r>
              <w:rPr>
                <w:rFonts w:hint="eastAsia" w:ascii="宋体" w:hAnsi="宋体" w:cs="宋体"/>
              </w:rPr>
              <w:t>投标人须是在中华人民共和国境内注册，具备履行合同所必需的设备和专业技术能力的法人或者其他组织。</w:t>
            </w:r>
          </w:p>
          <w:p>
            <w:pPr>
              <w:widowControl/>
              <w:snapToGrid w:val="0"/>
              <w:spacing w:line="360" w:lineRule="auto"/>
              <w:textAlignment w:val="baseline"/>
              <w:rPr>
                <w:rFonts w:ascii="宋体" w:hAnsi="宋体" w:cs="宋体"/>
              </w:rPr>
            </w:pPr>
            <w:r>
              <w:rPr>
                <w:rFonts w:ascii="宋体" w:hAnsi="宋体" w:cs="宋体"/>
              </w:rPr>
              <w:t>2</w:t>
            </w:r>
            <w:r>
              <w:rPr>
                <w:rFonts w:hint="eastAsia" w:ascii="宋体" w:hAnsi="宋体" w:cs="宋体"/>
              </w:rPr>
              <w:t>投标人需具有良好的商业信誉和健全的财务会计制度（提供2021年度经审计的财务报告；如截止到开标时间投标人成立时间不足一年，须提供近三个月内其基本开户银行出具的资信证明），有依法缴纳税收和社会保障资金的良好记录（提供2021年</w:t>
            </w:r>
            <w:r>
              <w:rPr>
                <w:rFonts w:hint="eastAsia" w:ascii="宋体" w:hAnsi="宋体" w:cs="宋体"/>
                <w:lang w:val="en-US" w:eastAsia="zh-CN"/>
              </w:rPr>
              <w:t>11</w:t>
            </w:r>
            <w:r>
              <w:rPr>
                <w:rFonts w:hint="eastAsia" w:ascii="宋体" w:hAnsi="宋体" w:cs="宋体"/>
              </w:rPr>
              <w:t>月以来任意3个月纳税和社保证明材料&lt;依法免税企业，应提供相关证明文件&gt;）。</w:t>
            </w:r>
          </w:p>
          <w:p>
            <w:pPr>
              <w:widowControl/>
              <w:snapToGrid w:val="0"/>
              <w:spacing w:line="360" w:lineRule="auto"/>
              <w:textAlignment w:val="baseline"/>
              <w:rPr>
                <w:rFonts w:ascii="宋体" w:hAnsi="宋体" w:cs="宋体"/>
              </w:rPr>
            </w:pPr>
            <w:r>
              <w:rPr>
                <w:rFonts w:ascii="宋体" w:hAnsi="宋体" w:cs="宋体"/>
              </w:rPr>
              <w:t>3</w:t>
            </w:r>
            <w:r>
              <w:rPr>
                <w:rFonts w:hint="eastAsia" w:ascii="宋体" w:hAnsi="宋体" w:cs="宋体"/>
              </w:rPr>
              <w:t>投标人须具有良好的商业信誉和完善的售后服务体系，并具有承担本项目的能力。</w:t>
            </w:r>
          </w:p>
          <w:p>
            <w:pPr>
              <w:widowControl/>
              <w:snapToGrid w:val="0"/>
              <w:spacing w:line="360" w:lineRule="auto"/>
              <w:textAlignment w:val="baseline"/>
              <w:rPr>
                <w:rFonts w:hint="eastAsia" w:ascii="宋体" w:hAnsi="宋体" w:cs="宋体"/>
              </w:rPr>
            </w:pPr>
            <w:r>
              <w:rPr>
                <w:rFonts w:hint="eastAsia" w:ascii="宋体" w:hAnsi="宋体" w:cs="宋体"/>
              </w:rPr>
              <w:t>4若投标人为经销商的应具有《医疗器械产品经营许可证》</w:t>
            </w:r>
            <w:r>
              <w:rPr>
                <w:rFonts w:hint="eastAsia" w:ascii="宋体" w:hAnsi="宋体" w:cs="宋体"/>
                <w:lang w:val="en-US" w:eastAsia="zh-CN"/>
              </w:rPr>
              <w:t>和</w:t>
            </w:r>
            <w:r>
              <w:rPr>
                <w:rFonts w:hint="eastAsia" w:ascii="宋体" w:hAnsi="宋体" w:cs="宋体"/>
              </w:rPr>
              <w:t>所投产品《医疗器械产品注册证》；若供应商为生产商的应具有《医疗器械生产许可证》、《医疗器械经营许可证》和《医疗器械产品注册证》。</w:t>
            </w:r>
          </w:p>
          <w:p>
            <w:pPr>
              <w:widowControl/>
              <w:snapToGrid w:val="0"/>
              <w:spacing w:line="360" w:lineRule="auto"/>
              <w:textAlignment w:val="baseline"/>
              <w:rPr>
                <w:rFonts w:ascii="宋体" w:hAnsi="宋体" w:cs="宋体"/>
              </w:rPr>
            </w:pPr>
            <w:r>
              <w:rPr>
                <w:rFonts w:hint="eastAsia" w:ascii="宋体" w:hAnsi="宋体" w:cs="宋体"/>
              </w:rPr>
              <w:t>5投标单位负责人为同一人或者存在直接控股、管理关系的不同投标人，不得同时参加本项目的投标活动。</w:t>
            </w:r>
          </w:p>
          <w:p>
            <w:pPr>
              <w:widowControl/>
              <w:snapToGrid w:val="0"/>
              <w:spacing w:line="360" w:lineRule="auto"/>
              <w:textAlignment w:val="baseline"/>
              <w:rPr>
                <w:rFonts w:ascii="宋体" w:hAnsi="宋体" w:cs="宋体"/>
              </w:rPr>
            </w:pPr>
            <w:r>
              <w:rPr>
                <w:rFonts w:hint="eastAsia" w:ascii="宋体" w:hAnsi="宋体" w:cs="宋体"/>
              </w:rPr>
              <w:t>6投标人未被列入“中国执行信息公开网（http://zxgk.court.gov.cn/shixin/）” “失信被执行人”，“信用中国”网站（http://www.creditchina.gov.cn/） “重大税收违法失信主体”名单。投标人须按以上查询方式提供网站查询页，有失信记录的将被取消投标资格</w:t>
            </w:r>
            <w:r>
              <w:rPr>
                <w:rFonts w:ascii="宋体" w:hAnsi="宋体" w:cs="宋体"/>
              </w:rPr>
              <w:t>(</w:t>
            </w:r>
            <w:r>
              <w:rPr>
                <w:rFonts w:hint="eastAsia" w:ascii="宋体" w:hAnsi="宋体" w:cs="宋体"/>
              </w:rPr>
              <w:t>查询网页须显示查询日期，查询日期在公告发布日期之后)。</w:t>
            </w:r>
          </w:p>
          <w:p>
            <w:pPr>
              <w:widowControl/>
              <w:snapToGrid w:val="0"/>
              <w:spacing w:line="360" w:lineRule="auto"/>
              <w:textAlignment w:val="baseline"/>
              <w:rPr>
                <w:rFonts w:ascii="宋体"/>
                <w:kern w:val="0"/>
                <w:sz w:val="20"/>
              </w:rPr>
            </w:pPr>
            <w:r>
              <w:rPr>
                <w:rFonts w:hint="eastAsia" w:ascii="宋体" w:hAnsi="宋体" w:cs="宋体"/>
              </w:rPr>
              <w:t>7本招标项目不接受联合体投标。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1.4.2</w:t>
            </w:r>
          </w:p>
        </w:tc>
        <w:tc>
          <w:tcPr>
            <w:tcW w:w="2125" w:type="dxa"/>
            <w:vAlign w:val="center"/>
          </w:tcPr>
          <w:p>
            <w:pPr>
              <w:snapToGrid w:val="0"/>
              <w:jc w:val="center"/>
              <w:textAlignment w:val="baseline"/>
              <w:rPr>
                <w:rFonts w:ascii="宋体"/>
                <w:sz w:val="20"/>
              </w:rPr>
            </w:pPr>
            <w:r>
              <w:rPr>
                <w:rFonts w:hint="eastAsia" w:ascii="宋体" w:hAnsi="宋体" w:cs="宋体"/>
              </w:rPr>
              <w:t>是否接受联合体</w:t>
            </w:r>
          </w:p>
          <w:p>
            <w:pPr>
              <w:snapToGrid w:val="0"/>
              <w:jc w:val="center"/>
              <w:textAlignment w:val="baseline"/>
              <w:rPr>
                <w:rFonts w:ascii="宋体"/>
                <w:sz w:val="20"/>
              </w:rPr>
            </w:pPr>
            <w:r>
              <w:rPr>
                <w:rFonts w:hint="eastAsia" w:ascii="宋体" w:hAnsi="宋体" w:cs="宋体"/>
              </w:rPr>
              <w:t>投标</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1.9.1</w:t>
            </w:r>
          </w:p>
        </w:tc>
        <w:tc>
          <w:tcPr>
            <w:tcW w:w="2125" w:type="dxa"/>
            <w:vAlign w:val="center"/>
          </w:tcPr>
          <w:p>
            <w:pPr>
              <w:snapToGrid w:val="0"/>
              <w:jc w:val="center"/>
              <w:textAlignment w:val="baseline"/>
              <w:rPr>
                <w:rFonts w:ascii="宋体"/>
                <w:sz w:val="20"/>
              </w:rPr>
            </w:pPr>
            <w:r>
              <w:rPr>
                <w:rFonts w:hint="eastAsia" w:ascii="宋体" w:hAnsi="宋体" w:cs="宋体"/>
              </w:rPr>
              <w:t>踏勘现场</w:t>
            </w:r>
          </w:p>
        </w:tc>
        <w:tc>
          <w:tcPr>
            <w:tcW w:w="6338" w:type="dxa"/>
            <w:vAlign w:val="center"/>
          </w:tcPr>
          <w:p>
            <w:pPr>
              <w:snapToGrid w:val="0"/>
              <w:jc w:val="left"/>
              <w:textAlignment w:val="baseline"/>
              <w:rPr>
                <w:rFonts w:ascii="宋体"/>
                <w:sz w:val="20"/>
              </w:rPr>
            </w:pPr>
            <w:r>
              <w:rPr>
                <w:rFonts w:hint="eastAsia" w:ascii="宋体" w:hAnsi="宋体" w:cs="宋体"/>
              </w:rPr>
              <w:t>本项目投标人自行踏勘现场，招标人不统一组织。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1.10.1</w:t>
            </w:r>
          </w:p>
        </w:tc>
        <w:tc>
          <w:tcPr>
            <w:tcW w:w="2125" w:type="dxa"/>
            <w:vAlign w:val="center"/>
          </w:tcPr>
          <w:p>
            <w:pPr>
              <w:snapToGrid w:val="0"/>
              <w:jc w:val="center"/>
              <w:textAlignment w:val="baseline"/>
              <w:rPr>
                <w:rFonts w:ascii="宋体"/>
                <w:sz w:val="20"/>
              </w:rPr>
            </w:pPr>
            <w:r>
              <w:rPr>
                <w:rFonts w:hint="eastAsia" w:ascii="宋体" w:hAnsi="宋体" w:cs="宋体"/>
              </w:rPr>
              <w:t>投标预备会</w:t>
            </w:r>
          </w:p>
        </w:tc>
        <w:tc>
          <w:tcPr>
            <w:tcW w:w="6338" w:type="dxa"/>
            <w:vAlign w:val="center"/>
          </w:tcPr>
          <w:p>
            <w:pPr>
              <w:snapToGrid w:val="0"/>
              <w:jc w:val="left"/>
              <w:textAlignment w:val="baseline"/>
              <w:rPr>
                <w:rFonts w:ascii="宋体"/>
                <w:sz w:val="20"/>
              </w:rPr>
            </w:pP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1.10.2</w:t>
            </w:r>
          </w:p>
        </w:tc>
        <w:tc>
          <w:tcPr>
            <w:tcW w:w="2125" w:type="dxa"/>
            <w:vAlign w:val="center"/>
          </w:tcPr>
          <w:p>
            <w:pPr>
              <w:snapToGrid w:val="0"/>
              <w:jc w:val="center"/>
              <w:textAlignment w:val="baseline"/>
              <w:rPr>
                <w:rFonts w:ascii="宋体"/>
                <w:sz w:val="20"/>
              </w:rPr>
            </w:pPr>
            <w:r>
              <w:rPr>
                <w:rFonts w:hint="eastAsia" w:ascii="宋体" w:hAnsi="宋体" w:cs="宋体"/>
              </w:rPr>
              <w:t>投标人提出问题的</w:t>
            </w:r>
          </w:p>
          <w:p>
            <w:pPr>
              <w:snapToGrid w:val="0"/>
              <w:jc w:val="center"/>
              <w:textAlignment w:val="baseline"/>
              <w:rPr>
                <w:rFonts w:ascii="宋体"/>
                <w:sz w:val="20"/>
              </w:rPr>
            </w:pPr>
            <w:r>
              <w:rPr>
                <w:rFonts w:hint="eastAsia" w:ascii="宋体" w:hAnsi="宋体" w:cs="宋体"/>
              </w:rPr>
              <w:t>截止时间</w:t>
            </w:r>
          </w:p>
        </w:tc>
        <w:tc>
          <w:tcPr>
            <w:tcW w:w="6338" w:type="dxa"/>
            <w:vAlign w:val="center"/>
          </w:tcPr>
          <w:p>
            <w:pPr>
              <w:snapToGrid w:val="0"/>
              <w:spacing w:line="360" w:lineRule="exact"/>
              <w:textAlignment w:val="baseline"/>
              <w:rPr>
                <w:rFonts w:ascii="宋体"/>
                <w:sz w:val="20"/>
              </w:rPr>
            </w:pPr>
            <w:r>
              <w:rPr>
                <w:rFonts w:hint="eastAsia" w:ascii="宋体" w:hAnsi="宋体" w:cs="宋体"/>
              </w:rPr>
              <w:t>投标截止之日</w:t>
            </w:r>
            <w:r>
              <w:rPr>
                <w:rFonts w:ascii="宋体" w:hAnsi="宋体" w:cs="宋体"/>
              </w:rPr>
              <w:t>10</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1.10.3</w:t>
            </w:r>
          </w:p>
        </w:tc>
        <w:tc>
          <w:tcPr>
            <w:tcW w:w="2125" w:type="dxa"/>
            <w:vAlign w:val="center"/>
          </w:tcPr>
          <w:p>
            <w:pPr>
              <w:snapToGrid w:val="0"/>
              <w:jc w:val="center"/>
              <w:textAlignment w:val="baseline"/>
              <w:rPr>
                <w:rFonts w:ascii="宋体"/>
                <w:sz w:val="20"/>
              </w:rPr>
            </w:pPr>
            <w:r>
              <w:rPr>
                <w:rFonts w:hint="eastAsia" w:ascii="宋体" w:hAnsi="宋体" w:cs="宋体"/>
              </w:rPr>
              <w:t>招标人书面澄清的</w:t>
            </w:r>
          </w:p>
          <w:p>
            <w:pPr>
              <w:snapToGrid w:val="0"/>
              <w:jc w:val="center"/>
              <w:textAlignment w:val="baseline"/>
              <w:rPr>
                <w:rFonts w:ascii="宋体"/>
                <w:sz w:val="20"/>
              </w:rPr>
            </w:pPr>
            <w:r>
              <w:rPr>
                <w:rFonts w:hint="eastAsia" w:ascii="宋体" w:hAnsi="宋体" w:cs="宋体"/>
              </w:rPr>
              <w:t>时间</w:t>
            </w:r>
          </w:p>
        </w:tc>
        <w:tc>
          <w:tcPr>
            <w:tcW w:w="6338" w:type="dxa"/>
            <w:vAlign w:val="center"/>
          </w:tcPr>
          <w:p>
            <w:pPr>
              <w:snapToGrid w:val="0"/>
              <w:textAlignment w:val="baseline"/>
              <w:rPr>
                <w:rFonts w:ascii="宋体"/>
                <w:sz w:val="20"/>
              </w:rPr>
            </w:pPr>
            <w:r>
              <w:rPr>
                <w:rFonts w:hint="eastAsia" w:ascii="宋体" w:hAnsi="宋体" w:cs="宋体"/>
              </w:rPr>
              <w:t>投标截止之日</w:t>
            </w:r>
            <w:r>
              <w:rPr>
                <w:rFonts w:ascii="宋体" w:hAnsi="宋体" w:cs="宋体"/>
                <w:u w:color="000000"/>
              </w:rPr>
              <w:t>15</w:t>
            </w:r>
            <w:r>
              <w:rPr>
                <w:rFonts w:hint="eastAsia" w:ascii="宋体" w:hAnsi="宋体" w:cs="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1.11</w:t>
            </w:r>
          </w:p>
        </w:tc>
        <w:tc>
          <w:tcPr>
            <w:tcW w:w="2125" w:type="dxa"/>
            <w:vAlign w:val="center"/>
          </w:tcPr>
          <w:p>
            <w:pPr>
              <w:snapToGrid w:val="0"/>
              <w:jc w:val="center"/>
              <w:textAlignment w:val="baseline"/>
              <w:rPr>
                <w:rFonts w:ascii="宋体"/>
                <w:sz w:val="20"/>
              </w:rPr>
            </w:pPr>
            <w:r>
              <w:rPr>
                <w:rFonts w:hint="eastAsia" w:ascii="宋体" w:hAnsi="宋体" w:cs="宋体"/>
              </w:rPr>
              <w:t>分包</w:t>
            </w:r>
          </w:p>
        </w:tc>
        <w:tc>
          <w:tcPr>
            <w:tcW w:w="6338" w:type="dxa"/>
            <w:vAlign w:val="center"/>
          </w:tcPr>
          <w:p>
            <w:pPr>
              <w:snapToGrid w:val="0"/>
              <w:textAlignment w:val="baseline"/>
              <w:rPr>
                <w:rFonts w:ascii="宋体"/>
                <w:sz w:val="20"/>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2.1</w:t>
            </w:r>
          </w:p>
        </w:tc>
        <w:tc>
          <w:tcPr>
            <w:tcW w:w="2125" w:type="dxa"/>
            <w:vAlign w:val="center"/>
          </w:tcPr>
          <w:p>
            <w:pPr>
              <w:snapToGrid w:val="0"/>
              <w:jc w:val="center"/>
              <w:textAlignment w:val="baseline"/>
              <w:rPr>
                <w:rFonts w:ascii="宋体"/>
                <w:sz w:val="20"/>
              </w:rPr>
            </w:pPr>
            <w:r>
              <w:rPr>
                <w:rFonts w:hint="eastAsia" w:ascii="宋体" w:hAnsi="宋体" w:cs="宋体"/>
              </w:rPr>
              <w:t>构成招标文件的</w:t>
            </w:r>
          </w:p>
          <w:p>
            <w:pPr>
              <w:snapToGrid w:val="0"/>
              <w:jc w:val="center"/>
              <w:textAlignment w:val="baseline"/>
              <w:rPr>
                <w:rFonts w:ascii="宋体"/>
                <w:sz w:val="20"/>
              </w:rPr>
            </w:pPr>
            <w:r>
              <w:rPr>
                <w:rFonts w:hint="eastAsia" w:ascii="宋体" w:hAnsi="宋体" w:cs="宋体"/>
              </w:rPr>
              <w:t>其他材料</w:t>
            </w:r>
          </w:p>
        </w:tc>
        <w:tc>
          <w:tcPr>
            <w:tcW w:w="6338" w:type="dxa"/>
            <w:vAlign w:val="center"/>
          </w:tcPr>
          <w:p>
            <w:pPr>
              <w:snapToGrid w:val="0"/>
              <w:jc w:val="left"/>
              <w:textAlignment w:val="baseline"/>
              <w:rPr>
                <w:rFonts w:ascii="宋体"/>
                <w:sz w:val="20"/>
              </w:rPr>
            </w:pPr>
            <w:r>
              <w:rPr>
                <w:rFonts w:hint="eastAsia" w:ascii="宋体" w:hAnsi="宋体" w:cs="宋体"/>
              </w:rPr>
              <w:t>招标文件的补充文件（如有）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00" w:type="dxa"/>
            <w:vAlign w:val="center"/>
          </w:tcPr>
          <w:p>
            <w:pPr>
              <w:snapToGrid w:val="0"/>
              <w:jc w:val="center"/>
              <w:textAlignment w:val="baseline"/>
              <w:rPr>
                <w:rFonts w:ascii="宋体" w:cs="宋体"/>
                <w:sz w:val="20"/>
              </w:rPr>
            </w:pPr>
            <w:r>
              <w:rPr>
                <w:rFonts w:ascii="宋体" w:hAnsi="宋体" w:cs="宋体"/>
              </w:rPr>
              <w:t>2.2.1</w:t>
            </w:r>
          </w:p>
        </w:tc>
        <w:tc>
          <w:tcPr>
            <w:tcW w:w="2125" w:type="dxa"/>
            <w:vAlign w:val="center"/>
          </w:tcPr>
          <w:p>
            <w:pPr>
              <w:snapToGrid w:val="0"/>
              <w:jc w:val="center"/>
              <w:textAlignment w:val="baseline"/>
              <w:rPr>
                <w:rFonts w:ascii="宋体"/>
                <w:sz w:val="20"/>
              </w:rPr>
            </w:pPr>
            <w:r>
              <w:rPr>
                <w:rFonts w:hint="eastAsia" w:ascii="宋体" w:hAnsi="宋体" w:cs="宋体"/>
              </w:rPr>
              <w:t>投标人要求澄清招标文件的截止时间</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投标截止之日</w:t>
            </w:r>
            <w:r>
              <w:rPr>
                <w:rFonts w:ascii="宋体" w:hAnsi="宋体" w:cs="宋体"/>
              </w:rPr>
              <w:t>1</w:t>
            </w:r>
            <w:r>
              <w:rPr>
                <w:rFonts w:hint="eastAsia" w:ascii="宋体" w:hAnsi="宋体" w:cs="宋体"/>
              </w:rPr>
              <w:t>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2.2.2</w:t>
            </w:r>
          </w:p>
        </w:tc>
        <w:tc>
          <w:tcPr>
            <w:tcW w:w="2125" w:type="dxa"/>
            <w:vAlign w:val="center"/>
          </w:tcPr>
          <w:p>
            <w:pPr>
              <w:snapToGrid w:val="0"/>
              <w:jc w:val="center"/>
              <w:textAlignment w:val="baseline"/>
              <w:rPr>
                <w:rFonts w:ascii="宋体"/>
                <w:sz w:val="20"/>
              </w:rPr>
            </w:pPr>
            <w:r>
              <w:rPr>
                <w:rFonts w:hint="eastAsia" w:ascii="宋体" w:hAnsi="宋体" w:cs="宋体"/>
              </w:rPr>
              <w:t>投标截止时间</w:t>
            </w:r>
          </w:p>
        </w:tc>
        <w:tc>
          <w:tcPr>
            <w:tcW w:w="6338" w:type="dxa"/>
            <w:vAlign w:val="center"/>
          </w:tcPr>
          <w:p>
            <w:pPr>
              <w:snapToGrid w:val="0"/>
              <w:jc w:val="left"/>
              <w:textAlignment w:val="baseline"/>
              <w:rPr>
                <w:rFonts w:ascii="宋体"/>
                <w:sz w:val="20"/>
              </w:rPr>
            </w:pPr>
            <w:r>
              <w:rPr>
                <w:rFonts w:hint="eastAsia" w:ascii="宋体" w:hAnsi="宋体" w:cs="宋体"/>
              </w:rPr>
              <w:t>2022年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27</w:t>
            </w:r>
            <w:r>
              <w:rPr>
                <w:rFonts w:hint="eastAsia" w:ascii="宋体" w:hAnsi="宋体" w:cs="宋体"/>
              </w:rPr>
              <w:t>日09时00分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2.2.3</w:t>
            </w:r>
          </w:p>
        </w:tc>
        <w:tc>
          <w:tcPr>
            <w:tcW w:w="2125" w:type="dxa"/>
            <w:vAlign w:val="center"/>
          </w:tcPr>
          <w:p>
            <w:pPr>
              <w:snapToGrid w:val="0"/>
              <w:jc w:val="center"/>
              <w:textAlignment w:val="baseline"/>
              <w:rPr>
                <w:rFonts w:ascii="宋体"/>
                <w:sz w:val="20"/>
              </w:rPr>
            </w:pPr>
            <w:r>
              <w:rPr>
                <w:rFonts w:hint="eastAsia" w:ascii="宋体" w:hAnsi="宋体" w:cs="宋体"/>
              </w:rPr>
              <w:t>投标人确认收到招标文件澄清的时间</w:t>
            </w:r>
          </w:p>
        </w:tc>
        <w:tc>
          <w:tcPr>
            <w:tcW w:w="6338" w:type="dxa"/>
            <w:vAlign w:val="center"/>
          </w:tcPr>
          <w:p>
            <w:pPr>
              <w:snapToGrid w:val="0"/>
              <w:jc w:val="left"/>
              <w:textAlignment w:val="baseline"/>
              <w:rPr>
                <w:rFonts w:ascii="宋体"/>
                <w:sz w:val="20"/>
                <w:u w:val="single"/>
              </w:rPr>
            </w:pPr>
            <w:r>
              <w:rPr>
                <w:rFonts w:hint="eastAsia" w:ascii="宋体" w:hAnsi="宋体" w:cs="宋体"/>
              </w:rPr>
              <w:t>在收到相应澄清文件后</w:t>
            </w:r>
            <w:r>
              <w:rPr>
                <w:rFonts w:ascii="宋体" w:hAnsi="宋体" w:cs="宋体"/>
                <w:u w:val="single" w:color="000000"/>
              </w:rPr>
              <w:t xml:space="preserve"> 24 </w:t>
            </w:r>
            <w:r>
              <w:rPr>
                <w:rFonts w:hint="eastAsia" w:ascii="宋体" w:hAnsi="宋体" w:cs="宋体"/>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2.3.2</w:t>
            </w:r>
          </w:p>
        </w:tc>
        <w:tc>
          <w:tcPr>
            <w:tcW w:w="2125" w:type="dxa"/>
            <w:vAlign w:val="center"/>
          </w:tcPr>
          <w:p>
            <w:pPr>
              <w:snapToGrid w:val="0"/>
              <w:jc w:val="center"/>
              <w:textAlignment w:val="baseline"/>
              <w:rPr>
                <w:rFonts w:ascii="宋体"/>
                <w:sz w:val="20"/>
              </w:rPr>
            </w:pPr>
            <w:r>
              <w:rPr>
                <w:rFonts w:hint="eastAsia" w:ascii="宋体" w:hAnsi="宋体" w:cs="宋体"/>
              </w:rPr>
              <w:t>投标人确认收到招标文件修改的时间</w:t>
            </w:r>
          </w:p>
        </w:tc>
        <w:tc>
          <w:tcPr>
            <w:tcW w:w="6338" w:type="dxa"/>
            <w:vAlign w:val="center"/>
          </w:tcPr>
          <w:p>
            <w:pPr>
              <w:snapToGrid w:val="0"/>
              <w:jc w:val="left"/>
              <w:textAlignment w:val="baseline"/>
              <w:rPr>
                <w:rFonts w:ascii="宋体"/>
                <w:sz w:val="20"/>
              </w:rPr>
            </w:pPr>
            <w:r>
              <w:rPr>
                <w:rFonts w:hint="eastAsia" w:ascii="宋体" w:hAnsi="宋体" w:cs="宋体"/>
              </w:rPr>
              <w:t>在收到相应修改文件后</w:t>
            </w:r>
            <w:r>
              <w:rPr>
                <w:rFonts w:ascii="宋体" w:hAnsi="宋体" w:cs="宋体"/>
                <w:u w:val="single" w:color="000000"/>
              </w:rPr>
              <w:t xml:space="preserve"> 24 </w:t>
            </w:r>
            <w:r>
              <w:rPr>
                <w:rFonts w:hint="eastAsia" w:ascii="宋体" w:hAnsi="宋体" w:cs="宋体"/>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3.1.1</w:t>
            </w:r>
          </w:p>
        </w:tc>
        <w:tc>
          <w:tcPr>
            <w:tcW w:w="2125" w:type="dxa"/>
            <w:vAlign w:val="center"/>
          </w:tcPr>
          <w:p>
            <w:pPr>
              <w:snapToGrid w:val="0"/>
              <w:jc w:val="center"/>
              <w:textAlignment w:val="baseline"/>
              <w:rPr>
                <w:rFonts w:ascii="宋体"/>
                <w:sz w:val="20"/>
              </w:rPr>
            </w:pPr>
            <w:r>
              <w:rPr>
                <w:rFonts w:hint="eastAsia" w:ascii="宋体" w:hAnsi="宋体" w:cs="宋体"/>
              </w:rPr>
              <w:t>构成投标文件的</w:t>
            </w:r>
          </w:p>
          <w:p>
            <w:pPr>
              <w:snapToGrid w:val="0"/>
              <w:jc w:val="center"/>
              <w:textAlignment w:val="baseline"/>
              <w:rPr>
                <w:rFonts w:ascii="宋体"/>
                <w:sz w:val="20"/>
              </w:rPr>
            </w:pPr>
            <w:r>
              <w:rPr>
                <w:rFonts w:hint="eastAsia" w:ascii="宋体" w:hAnsi="宋体" w:cs="宋体"/>
              </w:rPr>
              <w:t>其他材料</w:t>
            </w:r>
          </w:p>
        </w:tc>
        <w:tc>
          <w:tcPr>
            <w:tcW w:w="6338" w:type="dxa"/>
            <w:vAlign w:val="center"/>
          </w:tcPr>
          <w:p>
            <w:pPr>
              <w:snapToGrid w:val="0"/>
              <w:spacing w:line="360" w:lineRule="exact"/>
              <w:textAlignment w:val="baseline"/>
              <w:rPr>
                <w:rFonts w:ascii="宋体"/>
                <w:sz w:val="20"/>
              </w:rPr>
            </w:pPr>
            <w:r>
              <w:rPr>
                <w:rFonts w:hint="eastAsia" w:ascii="宋体" w:hAnsi="宋体" w:cs="宋体"/>
              </w:rPr>
              <w:t>招标文件中要求提交的其他资料以及投标人认为有利于其投标的其他资料。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3.2.2</w:t>
            </w:r>
          </w:p>
        </w:tc>
        <w:tc>
          <w:tcPr>
            <w:tcW w:w="2125" w:type="dxa"/>
            <w:vAlign w:val="center"/>
          </w:tcPr>
          <w:p>
            <w:pPr>
              <w:snapToGrid w:val="0"/>
              <w:jc w:val="center"/>
              <w:textAlignment w:val="baseline"/>
              <w:rPr>
                <w:rFonts w:ascii="宋体"/>
                <w:sz w:val="20"/>
              </w:rPr>
            </w:pPr>
            <w:r>
              <w:rPr>
                <w:rFonts w:hint="eastAsia" w:ascii="宋体" w:hAnsi="宋体" w:cs="宋体"/>
              </w:rPr>
              <w:t>投标报价</w:t>
            </w:r>
          </w:p>
        </w:tc>
        <w:tc>
          <w:tcPr>
            <w:tcW w:w="6338" w:type="dxa"/>
            <w:vAlign w:val="center"/>
          </w:tcPr>
          <w:p>
            <w:pPr>
              <w:snapToGrid w:val="0"/>
              <w:textAlignment w:val="baseline"/>
              <w:rPr>
                <w:rFonts w:ascii="宋体"/>
                <w:sz w:val="20"/>
              </w:rPr>
            </w:pPr>
            <w:r>
              <w:rPr>
                <w:rFonts w:hint="eastAsia" w:ascii="宋体" w:hAnsi="宋体" w:cs="宋体"/>
              </w:rPr>
              <w:t>总价，包含验收合格正式交付招标人使用前所发生的一切费用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3.3.1</w:t>
            </w:r>
          </w:p>
        </w:tc>
        <w:tc>
          <w:tcPr>
            <w:tcW w:w="2125" w:type="dxa"/>
            <w:vAlign w:val="center"/>
          </w:tcPr>
          <w:p>
            <w:pPr>
              <w:snapToGrid w:val="0"/>
              <w:jc w:val="center"/>
              <w:textAlignment w:val="baseline"/>
              <w:rPr>
                <w:rFonts w:ascii="宋体"/>
                <w:sz w:val="20"/>
              </w:rPr>
            </w:pPr>
            <w:r>
              <w:rPr>
                <w:rFonts w:hint="eastAsia" w:ascii="宋体" w:hAnsi="宋体" w:cs="宋体"/>
              </w:rPr>
              <w:t>投标有效期</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lang w:eastAsia="zh-CN"/>
              </w:rPr>
              <w:t>投标截止之日起90日历天</w:t>
            </w:r>
            <w:r>
              <w:rPr>
                <w:rFonts w:hint="eastAsia" w:ascii="宋体" w:hAnsi="宋体" w:cs="宋体"/>
              </w:rPr>
              <w:t>。</w:t>
            </w:r>
          </w:p>
          <w:p>
            <w:pPr>
              <w:snapToGrid w:val="0"/>
              <w:spacing w:line="360" w:lineRule="exact"/>
              <w:jc w:val="left"/>
              <w:textAlignment w:val="baseline"/>
              <w:rPr>
                <w:rFonts w:ascii="宋体"/>
                <w:sz w:val="20"/>
              </w:rPr>
            </w:pPr>
            <w:r>
              <w:rPr>
                <w:rFonts w:hint="eastAsia" w:ascii="宋体" w:hAnsi="宋体" w:cs="宋体"/>
              </w:rPr>
              <w:t>如果出现特殊情况，招标人可要求投标人将有效期延长一段时间。投标人可以拒绝这种要求而不被没收投标保证金。同意延期的投标人，不允许修改投标文件，但需要将其投标保证金延长相同的时间；在延长期内，应满足投标须知第</w:t>
            </w:r>
            <w:r>
              <w:rPr>
                <w:rFonts w:ascii="宋体" w:hAnsi="宋体" w:cs="宋体"/>
              </w:rPr>
              <w:t>3.4</w:t>
            </w:r>
            <w:r>
              <w:rPr>
                <w:rFonts w:hint="eastAsia" w:ascii="宋体" w:hAnsi="宋体" w:cs="宋体"/>
              </w:rPr>
              <w:t>条款的全部规定。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3.4.1</w:t>
            </w:r>
          </w:p>
        </w:tc>
        <w:tc>
          <w:tcPr>
            <w:tcW w:w="2125" w:type="dxa"/>
            <w:vAlign w:val="center"/>
          </w:tcPr>
          <w:p>
            <w:pPr>
              <w:snapToGrid w:val="0"/>
              <w:jc w:val="center"/>
              <w:textAlignment w:val="baseline"/>
              <w:rPr>
                <w:rFonts w:ascii="宋体"/>
                <w:sz w:val="20"/>
              </w:rPr>
            </w:pPr>
            <w:r>
              <w:rPr>
                <w:rFonts w:hint="eastAsia" w:ascii="宋体" w:hAnsi="宋体" w:cs="宋体"/>
              </w:rPr>
              <w:t>投标保证金</w:t>
            </w:r>
          </w:p>
        </w:tc>
        <w:tc>
          <w:tcPr>
            <w:tcW w:w="6338" w:type="dxa"/>
            <w:vAlign w:val="center"/>
          </w:tcPr>
          <w:p>
            <w:pPr>
              <w:snapToGrid w:val="0"/>
              <w:spacing w:line="360" w:lineRule="exact"/>
              <w:textAlignment w:val="baseline"/>
              <w:rPr>
                <w:rFonts w:ascii="宋体"/>
                <w:sz w:val="20"/>
              </w:rPr>
            </w:pPr>
            <w:r>
              <w:rPr>
                <w:rFonts w:hint="eastAsia" w:ascii="宋体" w:hAnsi="宋体" w:cs="宋体"/>
              </w:rPr>
              <w:t>投标保证金的金额：</w:t>
            </w:r>
            <w:r>
              <w:rPr>
                <w:rFonts w:hint="eastAsia" w:ascii="宋体" w:hAnsi="宋体" w:cs="宋体"/>
                <w:lang w:val="en-US" w:eastAsia="zh-CN"/>
              </w:rPr>
              <w:t>0</w:t>
            </w:r>
            <w:r>
              <w:rPr>
                <w:rFonts w:hint="eastAsia" w:ascii="宋体" w:hAnsi="宋体" w:cs="宋体"/>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0" w:type="dxa"/>
            <w:vAlign w:val="center"/>
          </w:tcPr>
          <w:p>
            <w:pPr>
              <w:snapToGrid w:val="0"/>
              <w:jc w:val="center"/>
              <w:textAlignment w:val="baseline"/>
              <w:rPr>
                <w:rFonts w:ascii="宋体" w:cs="宋体"/>
                <w:sz w:val="20"/>
              </w:rPr>
            </w:pPr>
            <w:r>
              <w:rPr>
                <w:rFonts w:ascii="宋体" w:hAnsi="宋体" w:cs="宋体"/>
              </w:rPr>
              <w:t>3.6</w:t>
            </w:r>
          </w:p>
        </w:tc>
        <w:tc>
          <w:tcPr>
            <w:tcW w:w="2125" w:type="dxa"/>
            <w:vAlign w:val="center"/>
          </w:tcPr>
          <w:p>
            <w:pPr>
              <w:snapToGrid w:val="0"/>
              <w:jc w:val="center"/>
              <w:textAlignment w:val="baseline"/>
              <w:rPr>
                <w:rFonts w:ascii="宋体"/>
                <w:sz w:val="20"/>
              </w:rPr>
            </w:pPr>
            <w:r>
              <w:rPr>
                <w:rFonts w:hint="eastAsia" w:ascii="宋体" w:hAnsi="宋体" w:cs="宋体"/>
              </w:rPr>
              <w:t>是否允许递交备选投标方案</w:t>
            </w:r>
          </w:p>
        </w:tc>
        <w:tc>
          <w:tcPr>
            <w:tcW w:w="6338" w:type="dxa"/>
            <w:vAlign w:val="center"/>
          </w:tcPr>
          <w:p>
            <w:pPr>
              <w:snapToGrid w:val="0"/>
              <w:jc w:val="left"/>
              <w:textAlignment w:val="baseline"/>
              <w:rPr>
                <w:rFonts w:ascii="宋体"/>
                <w:sz w:val="20"/>
                <w:u w:val="single"/>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3.7.3</w:t>
            </w:r>
          </w:p>
        </w:tc>
        <w:tc>
          <w:tcPr>
            <w:tcW w:w="2125" w:type="dxa"/>
            <w:vAlign w:val="center"/>
          </w:tcPr>
          <w:p>
            <w:pPr>
              <w:snapToGrid w:val="0"/>
              <w:jc w:val="center"/>
              <w:textAlignment w:val="baseline"/>
              <w:rPr>
                <w:rFonts w:ascii="宋体"/>
                <w:sz w:val="20"/>
              </w:rPr>
            </w:pPr>
            <w:r>
              <w:rPr>
                <w:rFonts w:hint="eastAsia" w:ascii="宋体" w:hAnsi="宋体" w:cs="宋体"/>
              </w:rPr>
              <w:t>签字和（或）盖章要求</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电子投标文件签章要求</w:t>
            </w:r>
          </w:p>
          <w:p>
            <w:pPr>
              <w:snapToGrid w:val="0"/>
              <w:spacing w:line="360" w:lineRule="exact"/>
              <w:jc w:val="left"/>
              <w:textAlignment w:val="baseline"/>
              <w:rPr>
                <w:rFonts w:ascii="宋体"/>
                <w:sz w:val="20"/>
              </w:rPr>
            </w:pPr>
            <w:r>
              <w:rPr>
                <w:rFonts w:hint="eastAsia" w:ascii="宋体" w:hAnsi="宋体" w:cs="宋体"/>
              </w:rPr>
              <w:t>（</w:t>
            </w:r>
            <w:r>
              <w:rPr>
                <w:rFonts w:ascii="宋体" w:hAnsi="宋体" w:cs="宋体"/>
              </w:rPr>
              <w:t>1</w:t>
            </w:r>
            <w:r>
              <w:rPr>
                <w:rFonts w:hint="eastAsia" w:ascii="宋体" w:hAnsi="宋体" w:cs="宋体"/>
              </w:rPr>
              <w:t>）所有要求投标人加盖公章的地方都应用投标人单位的</w:t>
            </w:r>
            <w:r>
              <w:rPr>
                <w:rFonts w:ascii="宋体" w:hAnsi="宋体" w:cs="宋体"/>
              </w:rPr>
              <w:t>CA</w:t>
            </w:r>
            <w:r>
              <w:rPr>
                <w:rFonts w:hint="eastAsia" w:ascii="宋体" w:hAnsi="宋体" w:cs="宋体"/>
              </w:rPr>
              <w:t>印章。</w:t>
            </w:r>
          </w:p>
          <w:p>
            <w:pPr>
              <w:snapToGrid w:val="0"/>
              <w:spacing w:line="360" w:lineRule="exact"/>
              <w:jc w:val="left"/>
              <w:textAlignment w:val="baseline"/>
              <w:rPr>
                <w:rFonts w:ascii="宋体"/>
                <w:sz w:val="20"/>
              </w:rPr>
            </w:pPr>
            <w:r>
              <w:rPr>
                <w:rFonts w:hint="eastAsia" w:ascii="宋体" w:hAnsi="宋体" w:cs="宋体"/>
              </w:rPr>
              <w:t>（</w:t>
            </w:r>
            <w:r>
              <w:rPr>
                <w:rFonts w:ascii="宋体" w:hAnsi="宋体" w:cs="宋体"/>
              </w:rPr>
              <w:t>2</w:t>
            </w:r>
            <w:r>
              <w:rPr>
                <w:rFonts w:hint="eastAsia" w:ascii="宋体" w:hAnsi="宋体" w:cs="宋体"/>
              </w:rPr>
              <w:t>）所有要求法定代表人签字的地方都应用法定代表人的</w:t>
            </w:r>
            <w:r>
              <w:rPr>
                <w:rFonts w:ascii="宋体" w:hAnsi="宋体" w:cs="宋体"/>
              </w:rPr>
              <w:t>CA</w:t>
            </w:r>
            <w:r>
              <w:rPr>
                <w:rFonts w:hint="eastAsia" w:ascii="宋体" w:hAnsi="宋体" w:cs="宋体"/>
              </w:rPr>
              <w:t>印章。若有委托代理人，且委托代理人没有</w:t>
            </w:r>
            <w:r>
              <w:rPr>
                <w:rFonts w:ascii="宋体" w:hAnsi="宋体" w:cs="宋体"/>
              </w:rPr>
              <w:t>CA</w:t>
            </w:r>
            <w:r>
              <w:rPr>
                <w:rFonts w:hint="eastAsia" w:ascii="宋体" w:hAnsi="宋体" w:cs="宋体"/>
              </w:rPr>
              <w:t>锁，则投标文件需上传有手写签名的扫描件。</w:t>
            </w:r>
          </w:p>
          <w:p>
            <w:pPr>
              <w:snapToGrid w:val="0"/>
              <w:spacing w:line="360" w:lineRule="exact"/>
              <w:jc w:val="left"/>
              <w:textAlignment w:val="baseline"/>
              <w:rPr>
                <w:rFonts w:ascii="宋体"/>
                <w:sz w:val="20"/>
              </w:rPr>
            </w:pPr>
            <w:r>
              <w:rPr>
                <w:rFonts w:hint="eastAsia" w:ascii="宋体" w:hAnsi="宋体" w:cs="宋体"/>
              </w:rPr>
              <w:t>不需要投标人提供纸质投标文件。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3.7.4</w:t>
            </w:r>
          </w:p>
        </w:tc>
        <w:tc>
          <w:tcPr>
            <w:tcW w:w="2125" w:type="dxa"/>
            <w:vAlign w:val="center"/>
          </w:tcPr>
          <w:p>
            <w:pPr>
              <w:snapToGrid w:val="0"/>
              <w:jc w:val="center"/>
              <w:textAlignment w:val="baseline"/>
              <w:rPr>
                <w:rFonts w:ascii="宋体"/>
                <w:sz w:val="20"/>
              </w:rPr>
            </w:pPr>
            <w:r>
              <w:rPr>
                <w:rFonts w:hint="eastAsia" w:ascii="宋体" w:hAnsi="宋体" w:cs="宋体"/>
              </w:rPr>
              <w:t>投标文件份数</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加密的电子投标文件壹份（</w:t>
            </w:r>
            <w:r>
              <w:rPr>
                <w:rFonts w:ascii="宋体" w:hAnsi="宋体" w:cs="宋体"/>
              </w:rPr>
              <w:t xml:space="preserve">*.hntf </w:t>
            </w:r>
            <w:r>
              <w:rPr>
                <w:rFonts w:hint="eastAsia" w:ascii="宋体" w:hAnsi="宋体" w:cs="宋体"/>
              </w:rPr>
              <w:t>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4.2.1</w:t>
            </w:r>
          </w:p>
        </w:tc>
        <w:tc>
          <w:tcPr>
            <w:tcW w:w="2125" w:type="dxa"/>
            <w:vAlign w:val="center"/>
          </w:tcPr>
          <w:p>
            <w:pPr>
              <w:snapToGrid w:val="0"/>
              <w:jc w:val="center"/>
              <w:textAlignment w:val="baseline"/>
              <w:rPr>
                <w:rFonts w:ascii="宋体"/>
                <w:sz w:val="20"/>
              </w:rPr>
            </w:pPr>
            <w:r>
              <w:rPr>
                <w:rFonts w:hint="eastAsia" w:ascii="宋体" w:hAnsi="宋体" w:cs="宋体"/>
              </w:rPr>
              <w:t>投标文件的递交</w:t>
            </w:r>
          </w:p>
        </w:tc>
        <w:tc>
          <w:tcPr>
            <w:tcW w:w="6338" w:type="dxa"/>
            <w:vAlign w:val="center"/>
          </w:tcPr>
          <w:p>
            <w:pPr>
              <w:snapToGrid w:val="0"/>
              <w:spacing w:line="360" w:lineRule="exact"/>
              <w:textAlignment w:val="baseline"/>
              <w:rPr>
                <w:rFonts w:ascii="宋体"/>
                <w:sz w:val="20"/>
              </w:rPr>
            </w:pPr>
            <w:r>
              <w:rPr>
                <w:rFonts w:ascii="宋体" w:hAnsi="宋体" w:cs="宋体"/>
              </w:rPr>
              <w:t>a</w:t>
            </w:r>
            <w:r>
              <w:rPr>
                <w:rFonts w:hint="eastAsia" w:ascii="宋体" w:hAnsi="宋体" w:cs="宋体"/>
              </w:rPr>
              <w:t>、各投标人应在投标截止时间前上传加密的电子投标文件（</w:t>
            </w:r>
            <w:r>
              <w:rPr>
                <w:rFonts w:ascii="宋体" w:hAnsi="宋体" w:cs="宋体"/>
              </w:rPr>
              <w:t>*.hntf</w:t>
            </w:r>
            <w:r>
              <w:rPr>
                <w:rFonts w:hint="eastAsia" w:ascii="宋体" w:hAnsi="宋体" w:cs="宋体"/>
              </w:rPr>
              <w:t>）到会员系统的指定位置。上传时必须得到电脑“上传成功”的确认回复。请投标人在上传时认真检查上传投标文件是否完整、正确。</w:t>
            </w:r>
          </w:p>
          <w:p>
            <w:pPr>
              <w:snapToGrid w:val="0"/>
              <w:spacing w:line="360" w:lineRule="exact"/>
              <w:textAlignment w:val="baseline"/>
              <w:rPr>
                <w:rFonts w:ascii="宋体"/>
                <w:sz w:val="20"/>
              </w:rPr>
            </w:pPr>
            <w:r>
              <w:rPr>
                <w:rFonts w:ascii="宋体" w:hAnsi="宋体" w:cs="宋体"/>
              </w:rPr>
              <w:t>b</w:t>
            </w:r>
            <w:r>
              <w:rPr>
                <w:rFonts w:hint="eastAsia" w:ascii="宋体" w:hAnsi="宋体" w:cs="宋体"/>
              </w:rPr>
              <w:t>、投标人因交易中心投标系统问题无法上传电子投标文件时，请在工作时间与河南省公共资源交易中心联系，联系电话：</w:t>
            </w:r>
            <w:r>
              <w:rPr>
                <w:rFonts w:ascii="宋体" w:hAnsi="宋体" w:cs="宋体"/>
              </w:rPr>
              <w:t>0371-</w:t>
            </w:r>
            <w:r>
              <w:rPr>
                <w:rFonts w:hint="eastAsia" w:ascii="宋体" w:hAnsi="宋体" w:cs="宋体"/>
              </w:rPr>
              <w:t>65915520。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4.2.2</w:t>
            </w:r>
          </w:p>
        </w:tc>
        <w:tc>
          <w:tcPr>
            <w:tcW w:w="2125" w:type="dxa"/>
            <w:vAlign w:val="center"/>
          </w:tcPr>
          <w:p>
            <w:pPr>
              <w:snapToGrid w:val="0"/>
              <w:jc w:val="center"/>
              <w:textAlignment w:val="baseline"/>
              <w:rPr>
                <w:rFonts w:ascii="宋体"/>
                <w:sz w:val="20"/>
              </w:rPr>
            </w:pPr>
            <w:r>
              <w:rPr>
                <w:rFonts w:hint="eastAsia" w:ascii="宋体" w:hAnsi="宋体" w:cs="宋体"/>
              </w:rPr>
              <w:t>开标地点</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河南省公共资源交易中心不见面开标大厅。投标人不需要到开标现场，只需按照要求进行远程解密。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4.2.3</w:t>
            </w:r>
          </w:p>
        </w:tc>
        <w:tc>
          <w:tcPr>
            <w:tcW w:w="2125" w:type="dxa"/>
            <w:vAlign w:val="center"/>
          </w:tcPr>
          <w:p>
            <w:pPr>
              <w:snapToGrid w:val="0"/>
              <w:jc w:val="center"/>
              <w:textAlignment w:val="baseline"/>
              <w:rPr>
                <w:rFonts w:ascii="宋体"/>
                <w:sz w:val="20"/>
              </w:rPr>
            </w:pPr>
            <w:r>
              <w:rPr>
                <w:rFonts w:hint="eastAsia" w:ascii="宋体" w:hAnsi="宋体" w:cs="宋体"/>
              </w:rPr>
              <w:t>是否退还投标文件</w:t>
            </w:r>
          </w:p>
        </w:tc>
        <w:tc>
          <w:tcPr>
            <w:tcW w:w="6338" w:type="dxa"/>
            <w:vAlign w:val="center"/>
          </w:tcPr>
          <w:p>
            <w:pPr>
              <w:snapToGrid w:val="0"/>
              <w:jc w:val="left"/>
              <w:textAlignment w:val="baseline"/>
              <w:rPr>
                <w:rFonts w:ascii="宋体"/>
                <w:sz w:val="20"/>
                <w:u w:val="single"/>
              </w:rPr>
            </w:pP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5.1</w:t>
            </w:r>
          </w:p>
        </w:tc>
        <w:tc>
          <w:tcPr>
            <w:tcW w:w="2125" w:type="dxa"/>
            <w:vAlign w:val="center"/>
          </w:tcPr>
          <w:p>
            <w:pPr>
              <w:snapToGrid w:val="0"/>
              <w:jc w:val="center"/>
              <w:textAlignment w:val="baseline"/>
              <w:rPr>
                <w:rFonts w:ascii="宋体"/>
                <w:sz w:val="20"/>
              </w:rPr>
            </w:pPr>
            <w:r>
              <w:rPr>
                <w:rFonts w:hint="eastAsia" w:ascii="宋体" w:hAnsi="宋体" w:cs="宋体"/>
              </w:rPr>
              <w:t>开标时间</w:t>
            </w:r>
          </w:p>
        </w:tc>
        <w:tc>
          <w:tcPr>
            <w:tcW w:w="6338" w:type="dxa"/>
            <w:vAlign w:val="center"/>
          </w:tcPr>
          <w:p>
            <w:pPr>
              <w:snapToGrid w:val="0"/>
              <w:spacing w:line="360" w:lineRule="exact"/>
              <w:textAlignment w:val="baseline"/>
              <w:rPr>
                <w:rFonts w:ascii="宋体"/>
                <w:sz w:val="20"/>
              </w:rPr>
            </w:pPr>
            <w:r>
              <w:rPr>
                <w:rFonts w:hint="eastAsia" w:ascii="宋体" w:hAnsi="宋体" w:cs="宋体"/>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00" w:type="dxa"/>
            <w:vAlign w:val="center"/>
          </w:tcPr>
          <w:p>
            <w:pPr>
              <w:snapToGrid w:val="0"/>
              <w:jc w:val="center"/>
              <w:textAlignment w:val="baseline"/>
              <w:rPr>
                <w:rFonts w:ascii="宋体" w:cs="宋体"/>
                <w:sz w:val="20"/>
              </w:rPr>
            </w:pPr>
            <w:r>
              <w:rPr>
                <w:rFonts w:ascii="宋体" w:hAnsi="宋体" w:cs="宋体"/>
              </w:rPr>
              <w:t>5.2</w:t>
            </w:r>
          </w:p>
        </w:tc>
        <w:tc>
          <w:tcPr>
            <w:tcW w:w="2125" w:type="dxa"/>
            <w:vAlign w:val="center"/>
          </w:tcPr>
          <w:p>
            <w:pPr>
              <w:snapToGrid w:val="0"/>
              <w:jc w:val="center"/>
              <w:textAlignment w:val="baseline"/>
              <w:rPr>
                <w:rFonts w:ascii="宋体"/>
                <w:sz w:val="20"/>
              </w:rPr>
            </w:pPr>
            <w:r>
              <w:rPr>
                <w:rFonts w:hint="eastAsia" w:ascii="宋体" w:hAnsi="宋体" w:cs="宋体"/>
              </w:rPr>
              <w:t>开标程序</w:t>
            </w:r>
          </w:p>
        </w:tc>
        <w:tc>
          <w:tcPr>
            <w:tcW w:w="6338" w:type="dxa"/>
            <w:vAlign w:val="center"/>
          </w:tcPr>
          <w:p>
            <w:pPr>
              <w:snapToGrid w:val="0"/>
              <w:spacing w:line="360" w:lineRule="exact"/>
              <w:textAlignment w:val="baseline"/>
              <w:rPr>
                <w:rFonts w:ascii="宋体"/>
                <w:sz w:val="20"/>
              </w:rPr>
            </w:pPr>
            <w:r>
              <w:rPr>
                <w:rFonts w:hint="eastAsia" w:ascii="宋体" w:hAnsi="宋体" w:cs="宋体"/>
              </w:rPr>
              <w:t>本次招标项目河南省公共资源交易中心现采用“远程不见面”开标方式，投标人须提前进入不见面开标大厅（</w:t>
            </w:r>
            <w:r>
              <w:rPr>
                <w:rFonts w:ascii="宋体" w:hAnsi="宋体" w:cs="宋体"/>
              </w:rPr>
              <w:t>http://www.hnggzy.net/</w:t>
            </w:r>
            <w:r>
              <w:rPr>
                <w:rFonts w:hint="eastAsia" w:ascii="宋体" w:hAnsi="宋体" w:cs="宋体"/>
              </w:rPr>
              <w:t>）进行开标操作和投标文件的解密。具体操作流程及程序，请投标人登录河南省公共资源交易中心平台查阅。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6.1.1</w:t>
            </w:r>
          </w:p>
        </w:tc>
        <w:tc>
          <w:tcPr>
            <w:tcW w:w="2125" w:type="dxa"/>
            <w:vAlign w:val="center"/>
          </w:tcPr>
          <w:p>
            <w:pPr>
              <w:snapToGrid w:val="0"/>
              <w:jc w:val="center"/>
              <w:textAlignment w:val="baseline"/>
              <w:rPr>
                <w:rFonts w:ascii="宋体"/>
                <w:sz w:val="20"/>
              </w:rPr>
            </w:pPr>
            <w:r>
              <w:rPr>
                <w:rFonts w:hint="eastAsia" w:ascii="宋体" w:hAnsi="宋体" w:cs="宋体"/>
              </w:rPr>
              <w:t>评标委员会的组建</w:t>
            </w:r>
          </w:p>
        </w:tc>
        <w:tc>
          <w:tcPr>
            <w:tcW w:w="6338" w:type="dxa"/>
            <w:vAlign w:val="center"/>
          </w:tcPr>
          <w:p>
            <w:pPr>
              <w:snapToGrid w:val="0"/>
              <w:spacing w:line="360" w:lineRule="exact"/>
              <w:textAlignment w:val="baseline"/>
              <w:rPr>
                <w:rFonts w:ascii="宋体"/>
                <w:sz w:val="20"/>
              </w:rPr>
            </w:pPr>
            <w:r>
              <w:rPr>
                <w:rFonts w:hint="eastAsia" w:ascii="宋体" w:hAnsi="宋体" w:cs="宋体"/>
              </w:rPr>
              <w:t>评标委员会构成：</w:t>
            </w:r>
            <w:r>
              <w:rPr>
                <w:rFonts w:hint="eastAsia" w:ascii="宋体" w:hAnsi="宋体" w:cs="宋体"/>
                <w:u w:val="single" w:color="000000"/>
                <w:lang w:val="en-US" w:eastAsia="zh-CN"/>
              </w:rPr>
              <w:t>7</w:t>
            </w:r>
            <w:r>
              <w:rPr>
                <w:rFonts w:hint="eastAsia" w:ascii="宋体" w:hAnsi="宋体" w:cs="宋体"/>
              </w:rPr>
              <w:t>人，其中招标人代表</w:t>
            </w:r>
            <w:r>
              <w:rPr>
                <w:rFonts w:hint="eastAsia" w:ascii="宋体" w:hAnsi="宋体" w:cs="宋体"/>
                <w:u w:val="single" w:color="000000"/>
                <w:lang w:val="en-US" w:eastAsia="zh-CN"/>
              </w:rPr>
              <w:t>2</w:t>
            </w:r>
            <w:r>
              <w:rPr>
                <w:rFonts w:hint="eastAsia" w:ascii="宋体" w:hAnsi="宋体" w:cs="宋体"/>
              </w:rPr>
              <w:t>人，有关经济、技术专家</w:t>
            </w:r>
            <w:r>
              <w:rPr>
                <w:rFonts w:hint="eastAsia" w:ascii="宋体" w:hAnsi="宋体" w:cs="宋体"/>
                <w:u w:val="single" w:color="000000"/>
                <w:lang w:val="en-US" w:eastAsia="zh-CN"/>
              </w:rPr>
              <w:t>5</w:t>
            </w:r>
            <w:r>
              <w:rPr>
                <w:rFonts w:hint="eastAsia" w:ascii="宋体" w:hAnsi="宋体" w:cs="宋体"/>
              </w:rPr>
              <w:t>人；</w:t>
            </w:r>
          </w:p>
          <w:p>
            <w:pPr>
              <w:snapToGrid w:val="0"/>
              <w:spacing w:line="360" w:lineRule="exact"/>
              <w:textAlignment w:val="baseline"/>
              <w:rPr>
                <w:rFonts w:ascii="宋体"/>
                <w:sz w:val="20"/>
              </w:rPr>
            </w:pPr>
            <w:r>
              <w:rPr>
                <w:rFonts w:hint="eastAsia" w:ascii="宋体" w:hAnsi="宋体" w:cs="宋体"/>
              </w:rPr>
              <w:t>有关经济、技术专家确定方式：</w:t>
            </w:r>
            <w:r>
              <w:rPr>
                <w:rFonts w:hint="eastAsia" w:ascii="宋体" w:hAnsi="宋体" w:cs="宋体"/>
                <w:u w:val="single" w:color="000000"/>
              </w:rPr>
              <w:t>从河南省综合评标专家库中随机抽取</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dxa"/>
            <w:vAlign w:val="center"/>
          </w:tcPr>
          <w:p>
            <w:pPr>
              <w:snapToGrid w:val="0"/>
              <w:jc w:val="center"/>
              <w:textAlignment w:val="baseline"/>
              <w:rPr>
                <w:rFonts w:ascii="宋体" w:cs="宋体"/>
                <w:sz w:val="20"/>
              </w:rPr>
            </w:pPr>
            <w:r>
              <w:rPr>
                <w:rFonts w:ascii="宋体" w:hAnsi="宋体" w:cs="宋体"/>
              </w:rPr>
              <w:t>6.3.4</w:t>
            </w:r>
          </w:p>
        </w:tc>
        <w:tc>
          <w:tcPr>
            <w:tcW w:w="2125" w:type="dxa"/>
            <w:vAlign w:val="center"/>
          </w:tcPr>
          <w:p>
            <w:pPr>
              <w:snapToGrid w:val="0"/>
              <w:jc w:val="center"/>
              <w:textAlignment w:val="baseline"/>
              <w:rPr>
                <w:rFonts w:ascii="宋体"/>
                <w:sz w:val="20"/>
              </w:rPr>
            </w:pPr>
            <w:r>
              <w:rPr>
                <w:rFonts w:hint="eastAsia" w:ascii="宋体" w:hAnsi="宋体" w:cs="宋体"/>
              </w:rPr>
              <w:t>本次评标采用的评标方法</w:t>
            </w:r>
          </w:p>
        </w:tc>
        <w:tc>
          <w:tcPr>
            <w:tcW w:w="6338" w:type="dxa"/>
            <w:vAlign w:val="center"/>
          </w:tcPr>
          <w:p>
            <w:pPr>
              <w:snapToGrid w:val="0"/>
              <w:textAlignment w:val="baseline"/>
              <w:rPr>
                <w:rFonts w:ascii="宋体"/>
                <w:sz w:val="20"/>
              </w:rPr>
            </w:pPr>
            <w:r>
              <w:rPr>
                <w:rFonts w:hint="eastAsia" w:ascii="宋体" w:hAnsi="宋体" w:cs="宋体"/>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dxa"/>
            <w:vAlign w:val="center"/>
          </w:tcPr>
          <w:p>
            <w:pPr>
              <w:snapToGrid w:val="0"/>
              <w:jc w:val="center"/>
              <w:textAlignment w:val="baseline"/>
              <w:rPr>
                <w:rFonts w:ascii="宋体" w:cs="宋体"/>
                <w:sz w:val="20"/>
              </w:rPr>
            </w:pPr>
            <w:r>
              <w:rPr>
                <w:rFonts w:ascii="宋体" w:hAnsi="宋体" w:cs="宋体"/>
              </w:rPr>
              <w:t>6.3.5</w:t>
            </w:r>
          </w:p>
        </w:tc>
        <w:tc>
          <w:tcPr>
            <w:tcW w:w="2125" w:type="dxa"/>
            <w:vAlign w:val="center"/>
          </w:tcPr>
          <w:p>
            <w:pPr>
              <w:snapToGrid w:val="0"/>
              <w:jc w:val="center"/>
              <w:textAlignment w:val="baseline"/>
              <w:rPr>
                <w:rFonts w:ascii="宋体"/>
                <w:sz w:val="20"/>
              </w:rPr>
            </w:pPr>
            <w:r>
              <w:rPr>
                <w:rFonts w:hint="eastAsia" w:ascii="宋体" w:hAnsi="宋体" w:cs="宋体"/>
              </w:rPr>
              <w:t>评标方式</w:t>
            </w:r>
          </w:p>
        </w:tc>
        <w:tc>
          <w:tcPr>
            <w:tcW w:w="6338" w:type="dxa"/>
            <w:vAlign w:val="center"/>
          </w:tcPr>
          <w:p>
            <w:pPr>
              <w:snapToGrid w:val="0"/>
              <w:textAlignment w:val="baseline"/>
              <w:rPr>
                <w:rFonts w:ascii="宋体"/>
                <w:sz w:val="20"/>
              </w:rPr>
            </w:pPr>
            <w:r>
              <w:rPr>
                <w:rFonts w:hint="eastAsia" w:ascii="宋体" w:hAnsi="宋体" w:cs="宋体"/>
              </w:rPr>
              <w:t>网络电子评标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0" w:type="dxa"/>
            <w:vAlign w:val="center"/>
          </w:tcPr>
          <w:p>
            <w:pPr>
              <w:snapToGrid w:val="0"/>
              <w:jc w:val="center"/>
              <w:textAlignment w:val="baseline"/>
              <w:rPr>
                <w:rFonts w:ascii="宋体" w:cs="宋体"/>
                <w:sz w:val="20"/>
              </w:rPr>
            </w:pPr>
            <w:r>
              <w:rPr>
                <w:rFonts w:ascii="宋体" w:hAnsi="宋体" w:cs="宋体"/>
              </w:rPr>
              <w:t>7.1</w:t>
            </w:r>
          </w:p>
        </w:tc>
        <w:tc>
          <w:tcPr>
            <w:tcW w:w="2125" w:type="dxa"/>
            <w:vAlign w:val="center"/>
          </w:tcPr>
          <w:p>
            <w:pPr>
              <w:snapToGrid w:val="0"/>
              <w:jc w:val="center"/>
              <w:textAlignment w:val="baseline"/>
              <w:rPr>
                <w:rFonts w:ascii="宋体"/>
                <w:sz w:val="20"/>
              </w:rPr>
            </w:pPr>
            <w:r>
              <w:rPr>
                <w:rFonts w:hint="eastAsia" w:ascii="宋体" w:hAnsi="宋体" w:cs="宋体"/>
              </w:rPr>
              <w:t>是否授权评标委员会确定中标人</w:t>
            </w:r>
          </w:p>
        </w:tc>
        <w:tc>
          <w:tcPr>
            <w:tcW w:w="6338" w:type="dxa"/>
            <w:vAlign w:val="center"/>
          </w:tcPr>
          <w:p>
            <w:pPr>
              <w:snapToGrid w:val="0"/>
              <w:jc w:val="left"/>
              <w:textAlignment w:val="baseline"/>
              <w:rPr>
                <w:rFonts w:ascii="宋体"/>
                <w:sz w:val="20"/>
              </w:rPr>
            </w:pPr>
            <w:r>
              <w:rPr>
                <w:rFonts w:hint="eastAsia" w:ascii="宋体" w:hAnsi="宋体" w:cs="宋体"/>
              </w:rPr>
              <w:t>否，推荐的中标候选人数：</w:t>
            </w:r>
            <w:r>
              <w:rPr>
                <w:rFonts w:hint="eastAsia" w:ascii="宋体" w:hAnsi="宋体" w:cs="宋体"/>
                <w:u w:val="single"/>
                <w:lang w:val="en-US" w:eastAsia="zh-CN"/>
              </w:rPr>
              <w:t>1-</w:t>
            </w:r>
            <w:r>
              <w:rPr>
                <w:rFonts w:ascii="宋体" w:hAnsi="宋体" w:cs="宋体"/>
                <w:u w:val="single" w:color="000000"/>
              </w:rPr>
              <w:t>3</w:t>
            </w:r>
            <w:r>
              <w:rPr>
                <w:rFonts w:hint="eastAsia" w:ascii="宋体" w:hAnsi="宋体" w:cs="宋体"/>
                <w:u w:val="single" w:color="000000"/>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63" w:type="dxa"/>
            <w:gridSpan w:val="3"/>
            <w:vAlign w:val="center"/>
          </w:tcPr>
          <w:p>
            <w:pPr>
              <w:snapToGrid w:val="0"/>
              <w:textAlignment w:val="baseline"/>
              <w:rPr>
                <w:rFonts w:ascii="宋体"/>
                <w:sz w:val="24"/>
                <w:szCs w:val="24"/>
              </w:rPr>
            </w:pPr>
            <w:r>
              <w:rPr>
                <w:rFonts w:ascii="宋体" w:hAnsi="宋体" w:cs="宋体"/>
                <w:sz w:val="24"/>
                <w:szCs w:val="24"/>
              </w:rPr>
              <w:t xml:space="preserve">10.  </w:t>
            </w:r>
            <w:r>
              <w:rPr>
                <w:rFonts w:hint="eastAsia" w:ascii="宋体" w:hAnsi="宋体" w:cs="宋体"/>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vAlign w:val="center"/>
          </w:tcPr>
          <w:p>
            <w:pPr>
              <w:snapToGrid w:val="0"/>
              <w:jc w:val="center"/>
              <w:textAlignment w:val="baseline"/>
              <w:rPr>
                <w:rFonts w:ascii="宋体" w:cs="宋体"/>
                <w:sz w:val="20"/>
              </w:rPr>
            </w:pPr>
            <w:r>
              <w:rPr>
                <w:rFonts w:ascii="宋体" w:hAnsi="宋体" w:cs="宋体"/>
              </w:rPr>
              <w:t>10.1</w:t>
            </w:r>
          </w:p>
        </w:tc>
        <w:tc>
          <w:tcPr>
            <w:tcW w:w="2125" w:type="dxa"/>
            <w:vAlign w:val="center"/>
          </w:tcPr>
          <w:p>
            <w:pPr>
              <w:snapToGrid w:val="0"/>
              <w:jc w:val="center"/>
              <w:textAlignment w:val="baseline"/>
              <w:rPr>
                <w:rFonts w:ascii="宋体"/>
                <w:sz w:val="20"/>
              </w:rPr>
            </w:pPr>
            <w:r>
              <w:rPr>
                <w:rFonts w:hint="eastAsia" w:ascii="宋体" w:hAnsi="宋体" w:cs="宋体"/>
              </w:rPr>
              <w:t>对中标人的要求</w:t>
            </w:r>
          </w:p>
        </w:tc>
        <w:tc>
          <w:tcPr>
            <w:tcW w:w="6338" w:type="dxa"/>
            <w:vAlign w:val="center"/>
          </w:tcPr>
          <w:p>
            <w:pPr>
              <w:snapToGrid w:val="0"/>
              <w:spacing w:line="360" w:lineRule="exact"/>
              <w:ind w:left="23" w:leftChars="11" w:firstLine="1"/>
              <w:textAlignment w:val="baseline"/>
              <w:rPr>
                <w:rFonts w:ascii="宋体"/>
                <w:sz w:val="20"/>
              </w:rPr>
            </w:pPr>
            <w:r>
              <w:rPr>
                <w:rFonts w:ascii="宋体" w:hAnsi="宋体" w:cs="宋体"/>
              </w:rPr>
              <w:t>1.</w:t>
            </w:r>
            <w:r>
              <w:rPr>
                <w:rFonts w:hint="eastAsia" w:ascii="宋体" w:hAnsi="宋体" w:cs="宋体"/>
              </w:rPr>
              <w:t>投标人所投设备/服务的报价应包含招标文件要求的所有内容。</w:t>
            </w:r>
          </w:p>
          <w:p>
            <w:pPr>
              <w:snapToGrid w:val="0"/>
              <w:spacing w:line="360" w:lineRule="exact"/>
              <w:ind w:left="23" w:leftChars="11" w:firstLine="1"/>
              <w:textAlignment w:val="baseline"/>
              <w:rPr>
                <w:rFonts w:ascii="宋体"/>
                <w:sz w:val="20"/>
              </w:rPr>
            </w:pPr>
            <w:r>
              <w:rPr>
                <w:rFonts w:ascii="宋体" w:hAnsi="宋体" w:cs="宋体"/>
              </w:rPr>
              <w:t>2.</w:t>
            </w:r>
            <w:r>
              <w:rPr>
                <w:rFonts w:hint="eastAsia" w:ascii="宋体" w:hAnsi="宋体" w:cs="宋体"/>
              </w:rPr>
              <w:t>投标人应提供详细的技术/服务响应方案。</w:t>
            </w:r>
          </w:p>
          <w:p>
            <w:pPr>
              <w:snapToGrid w:val="0"/>
              <w:spacing w:line="360" w:lineRule="exact"/>
              <w:ind w:left="23" w:leftChars="11" w:firstLine="1"/>
              <w:textAlignment w:val="baseline"/>
              <w:rPr>
                <w:rFonts w:ascii="宋体"/>
                <w:sz w:val="20"/>
              </w:rPr>
            </w:pPr>
            <w:r>
              <w:rPr>
                <w:rFonts w:ascii="宋体" w:hAnsi="宋体" w:cs="宋体"/>
              </w:rPr>
              <w:t>3.</w:t>
            </w:r>
            <w:r>
              <w:rPr>
                <w:rFonts w:hint="eastAsia" w:ascii="宋体" w:hAnsi="宋体" w:cs="宋体"/>
              </w:rPr>
              <w:t>中标人对合同义务全面全责；对本项目招标范围内的全面负责。</w:t>
            </w:r>
          </w:p>
          <w:p>
            <w:pPr>
              <w:snapToGrid w:val="0"/>
              <w:spacing w:line="360" w:lineRule="exact"/>
              <w:ind w:left="23" w:leftChars="11" w:firstLine="1"/>
              <w:textAlignment w:val="baseline"/>
              <w:rPr>
                <w:rFonts w:ascii="宋体"/>
                <w:sz w:val="20"/>
              </w:rPr>
            </w:pPr>
            <w:r>
              <w:rPr>
                <w:rFonts w:ascii="宋体" w:hAnsi="宋体" w:cs="宋体"/>
              </w:rPr>
              <w:t>4.</w:t>
            </w:r>
            <w:r>
              <w:rPr>
                <w:rFonts w:hint="eastAsia" w:ascii="宋体" w:hAnsi="宋体" w:cs="宋体"/>
              </w:rPr>
              <w:t>如中标人不按招标文件约定谈签合同，采购代理机构和招标人将报请取消其中标资格，并没收其投标保证金。招标人可在候选中标单位中按顺序重新选定中标单位或重新招标。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10.2</w:t>
            </w:r>
          </w:p>
        </w:tc>
        <w:tc>
          <w:tcPr>
            <w:tcW w:w="2125" w:type="dxa"/>
            <w:vAlign w:val="center"/>
          </w:tcPr>
          <w:p>
            <w:pPr>
              <w:snapToGrid w:val="0"/>
              <w:spacing w:line="360" w:lineRule="exact"/>
              <w:ind w:left="23" w:leftChars="11" w:firstLine="1"/>
              <w:textAlignment w:val="baseline"/>
              <w:rPr>
                <w:rFonts w:ascii="宋体" w:hAnsi="宋体" w:cs="宋体"/>
              </w:rPr>
            </w:pPr>
            <w:r>
              <w:rPr>
                <w:rFonts w:hint="eastAsia" w:ascii="宋体" w:hAnsi="宋体" w:cs="宋体"/>
              </w:rPr>
              <w:t>合同款支付方式</w:t>
            </w:r>
          </w:p>
        </w:tc>
        <w:tc>
          <w:tcPr>
            <w:tcW w:w="6338" w:type="dxa"/>
            <w:vAlign w:val="center"/>
          </w:tcPr>
          <w:p>
            <w:pPr>
              <w:snapToGrid w:val="0"/>
              <w:spacing w:line="360" w:lineRule="exact"/>
              <w:ind w:left="23" w:leftChars="11" w:firstLine="1"/>
              <w:textAlignment w:val="baseline"/>
              <w:rPr>
                <w:rFonts w:ascii="宋体" w:hAnsi="宋体" w:cs="宋体"/>
              </w:rPr>
            </w:pPr>
            <w:r>
              <w:rPr>
                <w:rFonts w:hint="eastAsia" w:ascii="宋体" w:hAnsi="宋体" w:cs="宋体"/>
                <w:highlight w:val="none"/>
              </w:rPr>
              <w:t>合同签订时约定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10.3</w:t>
            </w:r>
          </w:p>
        </w:tc>
        <w:tc>
          <w:tcPr>
            <w:tcW w:w="2125" w:type="dxa"/>
            <w:vAlign w:val="center"/>
          </w:tcPr>
          <w:p>
            <w:pPr>
              <w:snapToGrid w:val="0"/>
              <w:spacing w:line="360" w:lineRule="exact"/>
              <w:jc w:val="center"/>
              <w:textAlignment w:val="baseline"/>
              <w:rPr>
                <w:rFonts w:ascii="宋体"/>
                <w:sz w:val="20"/>
              </w:rPr>
            </w:pPr>
            <w:r>
              <w:rPr>
                <w:rFonts w:hint="eastAsia" w:ascii="宋体" w:hAnsi="宋体" w:cs="宋体"/>
              </w:rPr>
              <w:t>投标费用</w:t>
            </w:r>
          </w:p>
        </w:tc>
        <w:tc>
          <w:tcPr>
            <w:tcW w:w="6338" w:type="dxa"/>
            <w:vAlign w:val="center"/>
          </w:tcPr>
          <w:p>
            <w:pPr>
              <w:snapToGrid w:val="0"/>
              <w:spacing w:line="360" w:lineRule="exact"/>
              <w:jc w:val="left"/>
              <w:textAlignment w:val="baseline"/>
              <w:rPr>
                <w:rFonts w:ascii="宋体"/>
                <w:sz w:val="20"/>
              </w:rPr>
            </w:pPr>
            <w:r>
              <w:rPr>
                <w:rFonts w:ascii="宋体" w:hAnsi="宋体" w:cs="宋体"/>
              </w:rPr>
              <w:t>1.</w:t>
            </w:r>
            <w:r>
              <w:rPr>
                <w:rFonts w:hint="eastAsia" w:ascii="宋体" w:hAnsi="宋体" w:cs="宋体"/>
              </w:rPr>
              <w:t>投标人准备和参加投标活动发生的费用自理。在任何情况下招标人和招标代理机构对上述费用均不承担任何责任。</w:t>
            </w:r>
          </w:p>
          <w:p>
            <w:pPr>
              <w:snapToGrid w:val="0"/>
              <w:spacing w:line="360" w:lineRule="exact"/>
              <w:jc w:val="left"/>
              <w:textAlignment w:val="baseline"/>
              <w:rPr>
                <w:rFonts w:ascii="宋体"/>
                <w:sz w:val="20"/>
              </w:rPr>
            </w:pPr>
            <w:r>
              <w:rPr>
                <w:rFonts w:ascii="宋体" w:hAnsi="宋体" w:cs="宋体"/>
              </w:rPr>
              <w:t xml:space="preserve">2. </w:t>
            </w:r>
            <w:r>
              <w:rPr>
                <w:rFonts w:hint="eastAsia" w:ascii="宋体" w:hAnsi="宋体" w:cs="宋体"/>
              </w:rPr>
              <w:t>本次招标项目的招标代理服务费由中标人承担。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10.4</w:t>
            </w:r>
          </w:p>
        </w:tc>
        <w:tc>
          <w:tcPr>
            <w:tcW w:w="2125" w:type="dxa"/>
            <w:vAlign w:val="center"/>
          </w:tcPr>
          <w:p>
            <w:pPr>
              <w:snapToGrid w:val="0"/>
              <w:jc w:val="center"/>
              <w:textAlignment w:val="baseline"/>
              <w:rPr>
                <w:rFonts w:ascii="宋体"/>
                <w:sz w:val="20"/>
              </w:rPr>
            </w:pPr>
            <w:r>
              <w:rPr>
                <w:rFonts w:hint="eastAsia" w:ascii="宋体" w:hAnsi="宋体" w:cs="宋体"/>
              </w:rPr>
              <w:t>“暗标”评审</w:t>
            </w:r>
          </w:p>
        </w:tc>
        <w:tc>
          <w:tcPr>
            <w:tcW w:w="6338" w:type="dxa"/>
            <w:vAlign w:val="center"/>
          </w:tcPr>
          <w:p>
            <w:pPr>
              <w:snapToGrid w:val="0"/>
              <w:jc w:val="left"/>
              <w:textAlignment w:val="baseline"/>
              <w:rPr>
                <w:rFonts w:ascii="宋体"/>
                <w:sz w:val="20"/>
              </w:rPr>
            </w:pPr>
            <w:r>
              <w:rPr>
                <w:rFonts w:hint="eastAsia" w:ascii="宋体" w:hAnsi="宋体" w:cs="宋体"/>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10.5</w:t>
            </w:r>
          </w:p>
        </w:tc>
        <w:tc>
          <w:tcPr>
            <w:tcW w:w="2125" w:type="dxa"/>
            <w:vAlign w:val="center"/>
          </w:tcPr>
          <w:p>
            <w:pPr>
              <w:snapToGrid w:val="0"/>
              <w:spacing w:line="360" w:lineRule="exact"/>
              <w:jc w:val="center"/>
              <w:textAlignment w:val="baseline"/>
              <w:rPr>
                <w:rFonts w:ascii="宋体"/>
                <w:sz w:val="20"/>
              </w:rPr>
            </w:pPr>
            <w:r>
              <w:rPr>
                <w:rFonts w:hint="eastAsia" w:ascii="宋体" w:hAnsi="宋体" w:cs="宋体"/>
              </w:rPr>
              <w:t>电子投标文件</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电子投标文件格式：电子投标文件格式文件必须使用《河南省公共资源交易中心电子投标文件编制系统》制作。</w:t>
            </w:r>
          </w:p>
          <w:p>
            <w:pPr>
              <w:snapToGrid w:val="0"/>
              <w:spacing w:line="360" w:lineRule="exact"/>
              <w:jc w:val="left"/>
              <w:textAlignment w:val="baseline"/>
              <w:rPr>
                <w:rFonts w:ascii="宋体"/>
                <w:sz w:val="20"/>
              </w:rPr>
            </w:pPr>
            <w:r>
              <w:rPr>
                <w:rFonts w:hint="eastAsia" w:ascii="宋体" w:hAnsi="宋体" w:cs="宋体"/>
              </w:rPr>
              <w:t>电子投标文件编制及报送要求：须按照河南省公共资源交易中心规定执行。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10.6</w:t>
            </w:r>
          </w:p>
        </w:tc>
        <w:tc>
          <w:tcPr>
            <w:tcW w:w="2125" w:type="dxa"/>
            <w:vAlign w:val="center"/>
          </w:tcPr>
          <w:p>
            <w:pPr>
              <w:snapToGrid w:val="0"/>
              <w:jc w:val="center"/>
              <w:textAlignment w:val="baseline"/>
              <w:rPr>
                <w:rFonts w:ascii="宋体"/>
                <w:sz w:val="20"/>
              </w:rPr>
            </w:pPr>
            <w:r>
              <w:rPr>
                <w:rFonts w:hint="eastAsia" w:ascii="宋体" w:hAnsi="宋体" w:cs="宋体"/>
              </w:rPr>
              <w:t>投标人代表出席开标会</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本次项目采用远程开标，不需要投标人代表出席现场开标会。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10.7</w:t>
            </w:r>
          </w:p>
        </w:tc>
        <w:tc>
          <w:tcPr>
            <w:tcW w:w="2125" w:type="dxa"/>
            <w:vAlign w:val="center"/>
          </w:tcPr>
          <w:p>
            <w:pPr>
              <w:snapToGrid w:val="0"/>
              <w:jc w:val="center"/>
              <w:textAlignment w:val="baseline"/>
              <w:rPr>
                <w:rFonts w:ascii="宋体"/>
                <w:sz w:val="20"/>
              </w:rPr>
            </w:pPr>
            <w:r>
              <w:rPr>
                <w:rFonts w:hint="eastAsia" w:ascii="宋体" w:hAnsi="宋体" w:cs="宋体"/>
              </w:rPr>
              <w:t>中标公示</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在中标通知书发出前，招标人将中标候选人的情况在本招标项目招标公告发布的同一媒介予以公示，公示期不少于</w:t>
            </w:r>
            <w:r>
              <w:rPr>
                <w:rFonts w:ascii="宋体" w:hAnsi="宋体" w:cs="宋体"/>
                <w:u w:val="single" w:color="000000"/>
              </w:rPr>
              <w:t xml:space="preserve"> 3 </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10.8</w:t>
            </w:r>
          </w:p>
        </w:tc>
        <w:tc>
          <w:tcPr>
            <w:tcW w:w="2125" w:type="dxa"/>
            <w:vAlign w:val="center"/>
          </w:tcPr>
          <w:p>
            <w:pPr>
              <w:snapToGrid w:val="0"/>
              <w:jc w:val="center"/>
              <w:textAlignment w:val="baseline"/>
              <w:rPr>
                <w:rFonts w:ascii="宋体"/>
                <w:sz w:val="20"/>
              </w:rPr>
            </w:pPr>
            <w:r>
              <w:rPr>
                <w:rFonts w:hint="eastAsia" w:ascii="宋体" w:hAnsi="宋体" w:cs="宋体"/>
              </w:rPr>
              <w:t>知识产权</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构成本招标文件各个组成部分的文件，未经招标人书面同意，投标人不得擅自复印和用于非本招标项目所需的其他目的。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10.9</w:t>
            </w:r>
          </w:p>
        </w:tc>
        <w:tc>
          <w:tcPr>
            <w:tcW w:w="2125" w:type="dxa"/>
            <w:vAlign w:val="center"/>
          </w:tcPr>
          <w:p>
            <w:pPr>
              <w:snapToGrid w:val="0"/>
              <w:jc w:val="center"/>
              <w:textAlignment w:val="baseline"/>
              <w:rPr>
                <w:rFonts w:ascii="宋体"/>
                <w:sz w:val="20"/>
              </w:rPr>
            </w:pPr>
            <w:r>
              <w:rPr>
                <w:rFonts w:hint="eastAsia" w:ascii="宋体" w:hAnsi="宋体" w:cs="宋体"/>
              </w:rPr>
              <w:t>重新确定中标人</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确定的中标候选人出现下述情况：排名第一的中标候选人放弃中标</w:t>
            </w:r>
            <w:r>
              <w:rPr>
                <w:rFonts w:ascii="宋体" w:hAnsi="宋体" w:cs="宋体"/>
              </w:rPr>
              <w:t xml:space="preserve"> / </w:t>
            </w:r>
            <w:r>
              <w:rPr>
                <w:rFonts w:hint="eastAsia" w:ascii="宋体" w:hAnsi="宋体" w:cs="宋体"/>
              </w:rPr>
              <w:t>或者因不可抗力不能履行合同</w:t>
            </w:r>
            <w:r>
              <w:rPr>
                <w:rFonts w:ascii="宋体" w:hAnsi="宋体" w:cs="宋体"/>
              </w:rPr>
              <w:t xml:space="preserve"> /</w:t>
            </w:r>
            <w:r>
              <w:rPr>
                <w:rFonts w:hint="eastAsia" w:ascii="宋体" w:hAnsi="宋体" w:cs="宋体"/>
              </w:rPr>
              <w:t>或者被查实存在影响中标结果的违法行为等情形，招标人可以按照评标委员会提出的中标候选人名单排序依次确定其他中标候选人为中标人，也可以重新招标。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10.10</w:t>
            </w:r>
          </w:p>
        </w:tc>
        <w:tc>
          <w:tcPr>
            <w:tcW w:w="2125" w:type="dxa"/>
            <w:vAlign w:val="center"/>
          </w:tcPr>
          <w:p>
            <w:pPr>
              <w:snapToGrid w:val="0"/>
              <w:jc w:val="center"/>
              <w:textAlignment w:val="baseline"/>
              <w:rPr>
                <w:rFonts w:ascii="宋体"/>
                <w:sz w:val="20"/>
              </w:rPr>
            </w:pPr>
            <w:r>
              <w:rPr>
                <w:rFonts w:hint="eastAsia" w:ascii="宋体" w:hAnsi="宋体" w:cs="宋体"/>
              </w:rPr>
              <w:t>重新招标的其他情形</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除投标人须知正文第</w:t>
            </w:r>
            <w:r>
              <w:rPr>
                <w:rFonts w:ascii="宋体" w:hAnsi="宋体" w:cs="宋体"/>
              </w:rPr>
              <w:t>8</w:t>
            </w:r>
            <w:r>
              <w:rPr>
                <w:rFonts w:hint="eastAsia" w:ascii="宋体" w:hAnsi="宋体" w:cs="宋体"/>
              </w:rPr>
              <w:t>条规定的情形外，除非已经产生中标候选人，在投标有效期内同意延长投标有效期的投标人少于三个的，招标人应当依法重新招标。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00" w:type="dxa"/>
            <w:vAlign w:val="center"/>
          </w:tcPr>
          <w:p>
            <w:pPr>
              <w:snapToGrid w:val="0"/>
              <w:jc w:val="center"/>
              <w:textAlignment w:val="baseline"/>
              <w:rPr>
                <w:rFonts w:ascii="宋体" w:cs="宋体"/>
                <w:sz w:val="20"/>
              </w:rPr>
            </w:pPr>
            <w:r>
              <w:rPr>
                <w:rFonts w:ascii="宋体" w:hAnsi="宋体" w:cs="宋体"/>
              </w:rPr>
              <w:t>10.11</w:t>
            </w:r>
          </w:p>
        </w:tc>
        <w:tc>
          <w:tcPr>
            <w:tcW w:w="2125" w:type="dxa"/>
            <w:vAlign w:val="center"/>
          </w:tcPr>
          <w:p>
            <w:pPr>
              <w:snapToGrid w:val="0"/>
              <w:jc w:val="center"/>
              <w:textAlignment w:val="baseline"/>
              <w:rPr>
                <w:rFonts w:ascii="宋体"/>
                <w:sz w:val="20"/>
              </w:rPr>
            </w:pPr>
            <w:r>
              <w:rPr>
                <w:rFonts w:hint="eastAsia" w:ascii="宋体" w:hAnsi="宋体" w:cs="宋体"/>
              </w:rPr>
              <w:t>同义词语</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构成招标文件组成部分的章节中出现的措辞“发包人”和“承包人”，在招标投标阶段应当分别按“招标人”和“投标人”、“中标人”进行理解。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10.12</w:t>
            </w:r>
          </w:p>
        </w:tc>
        <w:tc>
          <w:tcPr>
            <w:tcW w:w="2125" w:type="dxa"/>
            <w:vAlign w:val="center"/>
          </w:tcPr>
          <w:p>
            <w:pPr>
              <w:snapToGrid w:val="0"/>
              <w:jc w:val="center"/>
              <w:textAlignment w:val="baseline"/>
              <w:rPr>
                <w:rFonts w:ascii="宋体"/>
                <w:sz w:val="20"/>
              </w:rPr>
            </w:pPr>
            <w:r>
              <w:rPr>
                <w:rFonts w:hint="eastAsia" w:ascii="宋体" w:hAnsi="宋体" w:cs="宋体"/>
              </w:rPr>
              <w:t>监督</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本项目的招标投标活动及其相关当事人应当接受有管辖权的招标投标行政监督部门依法实施的监督。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10.13</w:t>
            </w:r>
          </w:p>
        </w:tc>
        <w:tc>
          <w:tcPr>
            <w:tcW w:w="2125" w:type="dxa"/>
            <w:vAlign w:val="center"/>
          </w:tcPr>
          <w:p>
            <w:pPr>
              <w:snapToGrid w:val="0"/>
              <w:jc w:val="center"/>
              <w:textAlignment w:val="baseline"/>
              <w:rPr>
                <w:rFonts w:ascii="宋体"/>
                <w:sz w:val="20"/>
              </w:rPr>
            </w:pPr>
            <w:r>
              <w:rPr>
                <w:rFonts w:hint="eastAsia" w:ascii="宋体" w:hAnsi="宋体" w:cs="宋体"/>
              </w:rPr>
              <w:t>其他要求</w:t>
            </w:r>
          </w:p>
        </w:tc>
        <w:tc>
          <w:tcPr>
            <w:tcW w:w="6338" w:type="dxa"/>
            <w:vAlign w:val="center"/>
          </w:tcPr>
          <w:p>
            <w:pPr>
              <w:snapToGrid w:val="0"/>
              <w:spacing w:line="360" w:lineRule="exact"/>
              <w:jc w:val="left"/>
              <w:textAlignment w:val="baseline"/>
              <w:rPr>
                <w:rFonts w:ascii="宋体"/>
                <w:b/>
                <w:sz w:val="20"/>
              </w:rPr>
            </w:pPr>
            <w:r>
              <w:rPr>
                <w:rFonts w:hint="eastAsia" w:ascii="宋体"/>
                <w:b/>
              </w:rPr>
              <w:t>如投标商在参数中弄虚作假，提供虚假信息，一旦在评标过程中发现，将取消其今后招标人所有招标项目的投标资格。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10.14</w:t>
            </w:r>
          </w:p>
        </w:tc>
        <w:tc>
          <w:tcPr>
            <w:tcW w:w="2125" w:type="dxa"/>
            <w:vAlign w:val="center"/>
          </w:tcPr>
          <w:p>
            <w:pPr>
              <w:snapToGrid w:val="0"/>
              <w:jc w:val="center"/>
              <w:textAlignment w:val="baseline"/>
              <w:rPr>
                <w:rFonts w:ascii="宋体"/>
                <w:sz w:val="20"/>
              </w:rPr>
            </w:pPr>
            <w:r>
              <w:rPr>
                <w:rFonts w:hint="eastAsia" w:ascii="宋体" w:hAnsi="宋体" w:cs="宋体"/>
              </w:rPr>
              <w:t>解释权</w:t>
            </w:r>
          </w:p>
        </w:tc>
        <w:tc>
          <w:tcPr>
            <w:tcW w:w="6338" w:type="dxa"/>
            <w:vAlign w:val="center"/>
          </w:tcPr>
          <w:p>
            <w:pPr>
              <w:snapToGrid w:val="0"/>
              <w:spacing w:line="360" w:lineRule="exact"/>
              <w:jc w:val="left"/>
              <w:textAlignment w:val="baseline"/>
              <w:rPr>
                <w:rFonts w:ascii="宋体"/>
                <w:sz w:val="20"/>
              </w:rPr>
            </w:pPr>
            <w:r>
              <w:rPr>
                <w:rFonts w:hint="eastAsia" w:ascii="宋体" w:hAnsi="宋体" w:cs="宋体"/>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hAnsi="宋体" w:cs="宋体"/>
              </w:rPr>
            </w:pPr>
            <w:r>
              <w:rPr>
                <w:rFonts w:hint="eastAsia" w:ascii="宋体" w:hAnsi="宋体" w:cs="宋体"/>
              </w:rPr>
              <w:t>10.15</w:t>
            </w:r>
          </w:p>
        </w:tc>
        <w:tc>
          <w:tcPr>
            <w:tcW w:w="2125" w:type="dxa"/>
            <w:vAlign w:val="center"/>
          </w:tcPr>
          <w:p>
            <w:pPr>
              <w:snapToGrid w:val="0"/>
              <w:jc w:val="center"/>
              <w:textAlignment w:val="baseline"/>
              <w:rPr>
                <w:rFonts w:ascii="宋体" w:hAnsi="宋体" w:cs="宋体"/>
              </w:rPr>
            </w:pPr>
            <w:r>
              <w:rPr>
                <w:rFonts w:hint="eastAsia" w:ascii="宋体" w:hAnsi="宋体" w:cs="宋体"/>
              </w:rPr>
              <w:t>招标控制价</w:t>
            </w:r>
          </w:p>
        </w:tc>
        <w:tc>
          <w:tcPr>
            <w:tcW w:w="6338" w:type="dxa"/>
            <w:vAlign w:val="center"/>
          </w:tcPr>
          <w:p>
            <w:pPr>
              <w:snapToGrid w:val="0"/>
              <w:spacing w:line="360" w:lineRule="exact"/>
              <w:jc w:val="left"/>
              <w:textAlignment w:val="baseline"/>
              <w:rPr>
                <w:rFonts w:ascii="宋体" w:hAnsi="宋体" w:cs="宋体"/>
              </w:rPr>
            </w:pPr>
            <w:r>
              <w:rPr>
                <w:rFonts w:hint="eastAsia" w:ascii="宋体" w:hAnsi="宋体" w:cs="宋体"/>
                <w:b/>
                <w:bCs/>
              </w:rPr>
              <w:t>本项目招标控制价为：</w:t>
            </w:r>
            <w:r>
              <w:rPr>
                <w:rFonts w:hint="eastAsia" w:ascii="宋体" w:hAnsi="宋体" w:cs="宋体"/>
                <w:b/>
                <w:bCs/>
                <w:lang w:val="en-US" w:eastAsia="zh-CN"/>
              </w:rPr>
              <w:t>15000000</w:t>
            </w:r>
            <w:r>
              <w:rPr>
                <w:rFonts w:hint="eastAsia" w:ascii="宋体" w:hAnsi="宋体" w:cs="宋体"/>
                <w:b/>
                <w:bCs/>
              </w:rPr>
              <w:t>.00元，投标报价超过控制价的按无效标处理。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00" w:type="dxa"/>
            <w:vAlign w:val="center"/>
          </w:tcPr>
          <w:p>
            <w:pPr>
              <w:snapToGrid w:val="0"/>
              <w:jc w:val="center"/>
              <w:textAlignment w:val="baseline"/>
              <w:rPr>
                <w:rFonts w:ascii="宋体" w:cs="宋体"/>
                <w:sz w:val="20"/>
              </w:rPr>
            </w:pPr>
            <w:r>
              <w:rPr>
                <w:rFonts w:ascii="宋体" w:hAnsi="宋体" w:cs="宋体"/>
              </w:rPr>
              <w:t>10.</w:t>
            </w:r>
            <w:r>
              <w:rPr>
                <w:rFonts w:hint="eastAsia" w:ascii="宋体" w:hAnsi="宋体" w:cs="宋体"/>
              </w:rPr>
              <w:t>16</w:t>
            </w:r>
          </w:p>
        </w:tc>
        <w:tc>
          <w:tcPr>
            <w:tcW w:w="2125" w:type="dxa"/>
            <w:vAlign w:val="center"/>
          </w:tcPr>
          <w:p>
            <w:pPr>
              <w:snapToGrid w:val="0"/>
              <w:jc w:val="center"/>
              <w:textAlignment w:val="baseline"/>
              <w:rPr>
                <w:rFonts w:ascii="宋体"/>
                <w:sz w:val="20"/>
              </w:rPr>
            </w:pPr>
            <w:r>
              <w:rPr>
                <w:rFonts w:hint="eastAsia" w:ascii="宋体" w:hAnsi="宋体" w:cs="宋体"/>
              </w:rPr>
              <w:t>特别提醒</w:t>
            </w:r>
          </w:p>
        </w:tc>
        <w:tc>
          <w:tcPr>
            <w:tcW w:w="6338" w:type="dxa"/>
            <w:vAlign w:val="center"/>
          </w:tcPr>
          <w:p>
            <w:pPr>
              <w:snapToGrid w:val="0"/>
              <w:spacing w:line="360" w:lineRule="exact"/>
              <w:jc w:val="left"/>
              <w:textAlignment w:val="baseline"/>
              <w:rPr>
                <w:rFonts w:ascii="宋体"/>
                <w:sz w:val="20"/>
              </w:rPr>
            </w:pPr>
            <w:r>
              <w:rPr>
                <w:rFonts w:ascii="宋体" w:hAnsi="宋体" w:cs="宋体"/>
              </w:rPr>
              <w:t>1.</w:t>
            </w:r>
            <w:r>
              <w:rPr>
                <w:rFonts w:hint="eastAsia" w:ascii="宋体" w:hAnsi="宋体" w:cs="宋体"/>
              </w:rPr>
              <w:t>招标人和招标代理机构对已发出的招标文件进行的澄清、更正或更改，澄清、更正或更改的内容将作为招标文件组成部分。招标代理机构将通过网站“变更公告”和系统内部“答疑文件”告知投标人，对于各项目中已经成功报名并下载招标文件的项目投标人，系统将通过第三方短信群发方式提醒投标人进行查询。各投标人须重新下载最新的招标文件及答疑文件，以此编制投标文件。投标人注册时所留手机联系方式要保持畅通，因联系方式变更而未及时更新系统内联系方式的，将会造成收不到短信。此短信仅系友情提示，并具有任何约束性和必要性，招标人和招标代理机构不承担投标人未收到短信而引起的一切后果和法律责任。</w:t>
            </w:r>
          </w:p>
          <w:p>
            <w:pPr>
              <w:snapToGrid w:val="0"/>
              <w:spacing w:line="360" w:lineRule="exact"/>
              <w:jc w:val="left"/>
              <w:textAlignment w:val="baseline"/>
              <w:rPr>
                <w:rFonts w:ascii="宋体"/>
                <w:b/>
                <w:bCs/>
                <w:sz w:val="20"/>
              </w:rPr>
            </w:pPr>
            <w:r>
              <w:rPr>
                <w:rFonts w:ascii="宋体" w:hAnsi="宋体" w:cs="宋体"/>
                <w:b/>
                <w:bCs/>
              </w:rPr>
              <w:t>2.</w:t>
            </w:r>
            <w:r>
              <w:rPr>
                <w:rFonts w:hint="eastAsia" w:ascii="宋体" w:hAnsi="宋体" w:cs="宋体"/>
                <w:b/>
                <w:bCs/>
              </w:rPr>
              <w:t>因河南省公共资源交易中心平台在开标前具有保密性，投标人在投标文件递交截止时间前须自行查看项目进展、变更通知、澄清及回复，因投标人未及时查看而造成的后果自负。</w:t>
            </w:r>
          </w:p>
          <w:p>
            <w:pPr>
              <w:snapToGrid w:val="0"/>
              <w:spacing w:line="400" w:lineRule="exact"/>
              <w:textAlignment w:val="baseline"/>
              <w:rPr>
                <w:rFonts w:ascii="宋体"/>
                <w:sz w:val="20"/>
              </w:rPr>
            </w:pPr>
            <w:r>
              <w:rPr>
                <w:rFonts w:ascii="宋体" w:hAnsi="宋体" w:cs="宋体"/>
                <w:b/>
                <w:bCs/>
              </w:rPr>
              <w:t>3</w:t>
            </w:r>
            <w:r>
              <w:rPr>
                <w:rFonts w:hint="eastAsia" w:ascii="宋体" w:hAnsi="宋体" w:cs="宋体"/>
                <w:b/>
                <w:bCs/>
              </w:rPr>
              <w:t>、投标人获取本项目招标文件后，应仔细阅读所有内容，如有疑问或异议请按招标文件规定的时间提出，招标人或招标代理机构将及时予以答复。如投标人提交投标文件的，则视同投标人理解并认可招标文件，招标人或招标代理机构将不再接收涉及招标文件的质疑。</w:t>
            </w:r>
          </w:p>
        </w:tc>
      </w:tr>
    </w:tbl>
    <w:p>
      <w:pPr>
        <w:pStyle w:val="6"/>
        <w:snapToGrid w:val="0"/>
        <w:rPr>
          <w:rFonts w:ascii="宋体" w:hAnsi="宋体" w:eastAsia="宋体" w:cs="Times New Roman"/>
        </w:rPr>
      </w:pPr>
    </w:p>
    <w:p>
      <w:pPr>
        <w:widowControl/>
        <w:snapToGrid w:val="0"/>
        <w:jc w:val="left"/>
        <w:textAlignment w:val="baseline"/>
        <w:rPr>
          <w:rFonts w:ascii="宋体"/>
          <w:kern w:val="0"/>
          <w:sz w:val="28"/>
          <w:szCs w:val="28"/>
        </w:rPr>
      </w:pPr>
      <w:r>
        <w:rPr>
          <w:rFonts w:ascii="宋体"/>
          <w:kern w:val="0"/>
          <w:sz w:val="28"/>
          <w:szCs w:val="28"/>
        </w:rPr>
        <w:br w:type="page"/>
      </w:r>
    </w:p>
    <w:p>
      <w:pPr>
        <w:widowControl/>
        <w:snapToGrid w:val="0"/>
        <w:jc w:val="left"/>
        <w:textAlignment w:val="baseline"/>
        <w:rPr>
          <w:rFonts w:ascii="宋体"/>
          <w:kern w:val="0"/>
          <w:sz w:val="28"/>
          <w:szCs w:val="28"/>
        </w:rPr>
      </w:pPr>
    </w:p>
    <w:p>
      <w:pPr>
        <w:keepLines/>
        <w:snapToGrid w:val="0"/>
        <w:spacing w:line="540" w:lineRule="exact"/>
        <w:textAlignment w:val="baseline"/>
        <w:rPr>
          <w:rFonts w:ascii="宋体"/>
          <w:b/>
          <w:bCs/>
          <w:sz w:val="24"/>
          <w:szCs w:val="24"/>
        </w:rPr>
      </w:pPr>
      <w:bookmarkStart w:id="9" w:name="_Toc74732258"/>
      <w:bookmarkStart w:id="10" w:name="_Toc20145"/>
      <w:bookmarkStart w:id="11" w:name="_Toc74732315"/>
      <w:bookmarkStart w:id="12" w:name="_Toc345178448"/>
      <w:bookmarkStart w:id="13" w:name="_Toc184635071"/>
      <w:r>
        <w:rPr>
          <w:rFonts w:ascii="宋体" w:hAnsi="宋体" w:cs="宋体"/>
          <w:b/>
          <w:bCs/>
          <w:sz w:val="24"/>
          <w:szCs w:val="24"/>
        </w:rPr>
        <w:t>1.</w:t>
      </w:r>
      <w:r>
        <w:rPr>
          <w:rFonts w:hint="eastAsia" w:ascii="宋体" w:hAnsi="宋体" w:cs="宋体"/>
          <w:b/>
          <w:bCs/>
          <w:sz w:val="24"/>
          <w:szCs w:val="24"/>
        </w:rPr>
        <w:t>总则</w:t>
      </w:r>
      <w:bookmarkEnd w:id="9"/>
      <w:bookmarkEnd w:id="10"/>
      <w:bookmarkEnd w:id="11"/>
      <w:bookmarkEnd w:id="12"/>
      <w:bookmarkEnd w:id="13"/>
      <w:bookmarkStart w:id="14" w:name="_Toc9974"/>
    </w:p>
    <w:p>
      <w:pPr>
        <w:keepLines/>
        <w:snapToGrid w:val="0"/>
        <w:spacing w:line="540" w:lineRule="exact"/>
        <w:textAlignment w:val="baseline"/>
        <w:rPr>
          <w:rFonts w:ascii="宋体"/>
          <w:b/>
          <w:bCs/>
          <w:sz w:val="24"/>
          <w:szCs w:val="24"/>
        </w:rPr>
      </w:pPr>
      <w:bookmarkStart w:id="15" w:name="_Toc492577679"/>
      <w:bookmarkStart w:id="16" w:name="_Toc74732259"/>
      <w:bookmarkStart w:id="17" w:name="_Toc74732316"/>
      <w:bookmarkStart w:id="18" w:name="_Toc487128323"/>
      <w:r>
        <w:rPr>
          <w:rFonts w:ascii="宋体" w:hAnsi="宋体" w:cs="宋体"/>
          <w:b/>
          <w:bCs/>
          <w:sz w:val="24"/>
          <w:szCs w:val="24"/>
        </w:rPr>
        <w:t xml:space="preserve">1.1 </w:t>
      </w:r>
      <w:r>
        <w:rPr>
          <w:rFonts w:hint="eastAsia" w:ascii="宋体" w:hAnsi="宋体" w:cs="宋体"/>
          <w:b/>
          <w:bCs/>
          <w:sz w:val="24"/>
          <w:szCs w:val="24"/>
        </w:rPr>
        <w:t>项目概况</w:t>
      </w:r>
      <w:bookmarkEnd w:id="14"/>
      <w:bookmarkEnd w:id="15"/>
      <w:bookmarkEnd w:id="16"/>
      <w:bookmarkEnd w:id="17"/>
      <w:bookmarkEnd w:id="18"/>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1.1.1 </w:t>
      </w:r>
      <w:r>
        <w:rPr>
          <w:rFonts w:hint="eastAsia" w:ascii="宋体" w:hAnsi="宋体" w:cs="宋体"/>
          <w:sz w:val="24"/>
          <w:szCs w:val="24"/>
        </w:rPr>
        <w:t>根据《中华人民共和国招标投标法》等有关法律、法规和规章的规定，本招标项目己具备招标条件，现对本项目进行招标。</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1.1.2 </w:t>
      </w:r>
      <w:r>
        <w:rPr>
          <w:rFonts w:hint="eastAsia" w:ascii="宋体" w:hAnsi="宋体" w:cs="宋体"/>
          <w:sz w:val="24"/>
          <w:szCs w:val="24"/>
        </w:rPr>
        <w:t>本招标项目招标人：见投标人须知前附表。</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1.1.3 </w:t>
      </w:r>
      <w:r>
        <w:rPr>
          <w:rFonts w:hint="eastAsia" w:ascii="宋体" w:hAnsi="宋体" w:cs="宋体"/>
          <w:sz w:val="24"/>
          <w:szCs w:val="24"/>
        </w:rPr>
        <w:t>本招标代理机构：见投标人须知前附表。</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1.1.4 </w:t>
      </w:r>
      <w:r>
        <w:rPr>
          <w:rFonts w:hint="eastAsia" w:ascii="宋体" w:hAnsi="宋体" w:cs="宋体"/>
          <w:sz w:val="24"/>
          <w:szCs w:val="24"/>
        </w:rPr>
        <w:t>本招标项目名称：见投标人须知前附表。</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1.1.5 </w:t>
      </w:r>
      <w:r>
        <w:rPr>
          <w:rFonts w:hint="eastAsia" w:ascii="宋体" w:hAnsi="宋体" w:cs="宋体"/>
          <w:sz w:val="24"/>
          <w:szCs w:val="24"/>
        </w:rPr>
        <w:t>本招标项目概况：见投标人须知前附表。</w:t>
      </w:r>
    </w:p>
    <w:p>
      <w:pPr>
        <w:keepLines/>
        <w:snapToGrid w:val="0"/>
        <w:spacing w:line="540" w:lineRule="exact"/>
        <w:textAlignment w:val="baseline"/>
        <w:rPr>
          <w:rFonts w:ascii="宋体"/>
          <w:b/>
          <w:bCs/>
          <w:sz w:val="24"/>
          <w:szCs w:val="24"/>
        </w:rPr>
      </w:pPr>
      <w:bookmarkStart w:id="19" w:name="_Toc20332"/>
      <w:r>
        <w:rPr>
          <w:rFonts w:ascii="宋体" w:hAnsi="宋体" w:cs="宋体"/>
          <w:b/>
          <w:bCs/>
          <w:sz w:val="24"/>
          <w:szCs w:val="24"/>
        </w:rPr>
        <w:t xml:space="preserve">1.2 </w:t>
      </w:r>
      <w:r>
        <w:rPr>
          <w:rFonts w:hint="eastAsia" w:ascii="宋体" w:hAnsi="宋体" w:cs="宋体"/>
          <w:b/>
          <w:bCs/>
          <w:sz w:val="24"/>
          <w:szCs w:val="24"/>
        </w:rPr>
        <w:t>资金来源和落实情况</w:t>
      </w:r>
      <w:bookmarkEnd w:id="19"/>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1.2.1 </w:t>
      </w:r>
      <w:r>
        <w:rPr>
          <w:rFonts w:hint="eastAsia" w:ascii="宋体" w:hAnsi="宋体" w:cs="宋体"/>
          <w:sz w:val="24"/>
          <w:szCs w:val="24"/>
        </w:rPr>
        <w:t>本招标项目的资金来源：见投标人须知前附表。</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1.2.2 </w:t>
      </w:r>
      <w:r>
        <w:rPr>
          <w:rFonts w:hint="eastAsia" w:ascii="宋体" w:hAnsi="宋体" w:cs="宋体"/>
          <w:sz w:val="24"/>
          <w:szCs w:val="24"/>
        </w:rPr>
        <w:t>本招标项目的出资比例：见投标人须知前附表。</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1.2.3 </w:t>
      </w:r>
      <w:r>
        <w:rPr>
          <w:rFonts w:hint="eastAsia" w:ascii="宋体" w:hAnsi="宋体" w:cs="宋体"/>
          <w:sz w:val="24"/>
          <w:szCs w:val="24"/>
        </w:rPr>
        <w:t>本招标项目的资金落实情况：见投标人须知前附表。</w:t>
      </w:r>
    </w:p>
    <w:p>
      <w:pPr>
        <w:snapToGrid w:val="0"/>
        <w:spacing w:line="540" w:lineRule="exact"/>
        <w:ind w:firstLine="482" w:firstLineChars="200"/>
        <w:textAlignment w:val="baseline"/>
        <w:rPr>
          <w:rFonts w:ascii="宋体"/>
          <w:b/>
          <w:bCs/>
          <w:sz w:val="24"/>
          <w:szCs w:val="24"/>
        </w:rPr>
      </w:pPr>
      <w:bookmarkStart w:id="20" w:name="_Toc13037"/>
      <w:r>
        <w:rPr>
          <w:rFonts w:ascii="宋体" w:hAnsi="宋体" w:cs="宋体"/>
          <w:b/>
          <w:bCs/>
          <w:sz w:val="24"/>
          <w:szCs w:val="24"/>
        </w:rPr>
        <w:t xml:space="preserve">1.3 </w:t>
      </w:r>
      <w:r>
        <w:rPr>
          <w:rFonts w:hint="eastAsia" w:ascii="宋体" w:hAnsi="宋体" w:cs="宋体"/>
          <w:b/>
          <w:bCs/>
          <w:sz w:val="24"/>
          <w:szCs w:val="24"/>
        </w:rPr>
        <w:t>招标范围、质保期、服务期</w:t>
      </w:r>
      <w:bookmarkEnd w:id="20"/>
      <w:r>
        <w:rPr>
          <w:rFonts w:hint="eastAsia" w:ascii="宋体" w:hAnsi="宋体" w:cs="宋体"/>
          <w:b/>
          <w:bCs/>
          <w:sz w:val="24"/>
          <w:szCs w:val="24"/>
        </w:rPr>
        <w:t>、质量要求</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1.3.1 </w:t>
      </w:r>
      <w:r>
        <w:rPr>
          <w:rFonts w:hint="eastAsia" w:ascii="宋体" w:hAnsi="宋体" w:cs="宋体"/>
          <w:sz w:val="24"/>
          <w:szCs w:val="24"/>
        </w:rPr>
        <w:t>本次招标范围及标段划分：见投标人须知前附表。</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1.3.2 </w:t>
      </w:r>
      <w:r>
        <w:rPr>
          <w:rFonts w:hint="eastAsia" w:ascii="宋体" w:hAnsi="宋体" w:cs="宋体"/>
          <w:sz w:val="24"/>
          <w:szCs w:val="24"/>
        </w:rPr>
        <w:t>本次招标的质保期：见投标人须知前附表。</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1.3.3 </w:t>
      </w:r>
      <w:r>
        <w:rPr>
          <w:rFonts w:hint="eastAsia" w:ascii="宋体" w:hAnsi="宋体" w:cs="宋体"/>
          <w:sz w:val="24"/>
          <w:szCs w:val="24"/>
        </w:rPr>
        <w:t>本次招标的交货期/服务期限：见投标人须知前附表。</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1.3.4 </w:t>
      </w:r>
      <w:r>
        <w:rPr>
          <w:rFonts w:hint="eastAsia" w:ascii="宋体" w:hAnsi="宋体" w:cs="宋体"/>
          <w:sz w:val="24"/>
          <w:szCs w:val="24"/>
        </w:rPr>
        <w:t>本次招标的质量要求：见投标人须知前附表。</w:t>
      </w:r>
    </w:p>
    <w:p>
      <w:pPr>
        <w:keepLines/>
        <w:snapToGrid w:val="0"/>
        <w:spacing w:line="540" w:lineRule="exact"/>
        <w:textAlignment w:val="baseline"/>
        <w:rPr>
          <w:rFonts w:ascii="宋体"/>
          <w:b/>
          <w:bCs/>
          <w:sz w:val="24"/>
          <w:szCs w:val="24"/>
        </w:rPr>
      </w:pPr>
      <w:bookmarkStart w:id="21" w:name="_Toc24498"/>
      <w:r>
        <w:rPr>
          <w:rFonts w:ascii="宋体" w:hAnsi="宋体" w:cs="宋体"/>
          <w:b/>
          <w:bCs/>
          <w:sz w:val="24"/>
          <w:szCs w:val="24"/>
        </w:rPr>
        <w:t xml:space="preserve">1.4 </w:t>
      </w:r>
      <w:r>
        <w:rPr>
          <w:rFonts w:hint="eastAsia" w:ascii="宋体" w:hAnsi="宋体" w:cs="宋体"/>
          <w:b/>
          <w:bCs/>
          <w:sz w:val="24"/>
          <w:szCs w:val="24"/>
        </w:rPr>
        <w:t>投标人资格要求</w:t>
      </w:r>
      <w:bookmarkEnd w:id="21"/>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1.4.1 </w:t>
      </w:r>
      <w:r>
        <w:rPr>
          <w:rFonts w:hint="eastAsia" w:ascii="宋体" w:hAnsi="宋体" w:cs="宋体"/>
          <w:sz w:val="24"/>
          <w:szCs w:val="24"/>
        </w:rPr>
        <w:t>投标人应具备承担本项目的资质条件、能力、信誉。见投标人须知前附表。</w:t>
      </w:r>
    </w:p>
    <w:p>
      <w:pPr>
        <w:snapToGrid w:val="0"/>
        <w:spacing w:line="500" w:lineRule="exact"/>
        <w:ind w:firstLine="480" w:firstLineChars="200"/>
        <w:textAlignment w:val="baseline"/>
        <w:rPr>
          <w:rFonts w:ascii="宋体"/>
          <w:sz w:val="24"/>
          <w:szCs w:val="24"/>
        </w:rPr>
      </w:pPr>
      <w:r>
        <w:rPr>
          <w:rFonts w:ascii="宋体" w:hAnsi="宋体" w:cs="宋体"/>
          <w:sz w:val="24"/>
          <w:szCs w:val="24"/>
        </w:rPr>
        <w:t>1.4.2</w:t>
      </w:r>
      <w:r>
        <w:rPr>
          <w:rFonts w:hint="eastAsia" w:ascii="宋体" w:hAnsi="宋体" w:cs="宋体"/>
          <w:sz w:val="24"/>
          <w:szCs w:val="24"/>
        </w:rPr>
        <w:t>本项目不接受联合体投标的，</w:t>
      </w:r>
    </w:p>
    <w:p>
      <w:pPr>
        <w:snapToGrid w:val="0"/>
        <w:spacing w:line="500" w:lineRule="exact"/>
        <w:ind w:firstLine="480" w:firstLineChars="200"/>
        <w:textAlignment w:val="baseline"/>
        <w:rPr>
          <w:rFonts w:ascii="宋体"/>
          <w:sz w:val="24"/>
          <w:szCs w:val="24"/>
        </w:rPr>
      </w:pPr>
      <w:r>
        <w:rPr>
          <w:rFonts w:ascii="宋体" w:hAnsi="宋体" w:cs="宋体"/>
          <w:sz w:val="24"/>
          <w:szCs w:val="24"/>
        </w:rPr>
        <w:t>1.4.3</w:t>
      </w:r>
      <w:r>
        <w:rPr>
          <w:rFonts w:hint="eastAsia" w:ascii="宋体" w:hAnsi="宋体" w:cs="宋体"/>
          <w:sz w:val="24"/>
          <w:szCs w:val="24"/>
        </w:rPr>
        <w:t>投标人不得存在下列情形之一：</w:t>
      </w:r>
    </w:p>
    <w:p>
      <w:pPr>
        <w:snapToGrid w:val="0"/>
        <w:spacing w:line="500" w:lineRule="exact"/>
        <w:ind w:firstLine="480" w:firstLineChars="200"/>
        <w:textAlignment w:val="baseline"/>
        <w:rPr>
          <w:rFonts w:ascii="宋体"/>
          <w:sz w:val="24"/>
          <w:szCs w:val="24"/>
        </w:rPr>
      </w:pPr>
      <w:bookmarkStart w:id="22" w:name="_Toc18874"/>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）为招标人不具有独立法人资格的附属机构（单位）；</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）为本项目提供招标代理服务的；</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）与本项目的采购代理机构同为一个法定代表人的；</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）与本项目的采购代理机构相互控股或参股的；</w:t>
      </w:r>
      <w:bookmarkStart w:id="23" w:name="page16"/>
      <w:bookmarkEnd w:id="23"/>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）与本项目的采购代理机构相互任职或工作的；</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）被责令停业的；</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）被暂停或取消投标资格的；</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）财产被接管或冻结的；</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）在最近三年内有骗取中标或严重违约或重大质量问题的。</w:t>
      </w:r>
    </w:p>
    <w:p>
      <w:pPr>
        <w:keepLines/>
        <w:snapToGrid w:val="0"/>
        <w:spacing w:line="540" w:lineRule="exact"/>
        <w:textAlignment w:val="baseline"/>
        <w:rPr>
          <w:rFonts w:ascii="宋体"/>
          <w:b/>
          <w:bCs/>
          <w:sz w:val="24"/>
          <w:szCs w:val="24"/>
        </w:rPr>
      </w:pPr>
      <w:r>
        <w:rPr>
          <w:rFonts w:ascii="宋体" w:hAnsi="宋体" w:cs="宋体"/>
          <w:b/>
          <w:bCs/>
          <w:sz w:val="24"/>
          <w:szCs w:val="24"/>
        </w:rPr>
        <w:t xml:space="preserve">1.5 </w:t>
      </w:r>
      <w:r>
        <w:rPr>
          <w:rFonts w:hint="eastAsia" w:ascii="宋体" w:hAnsi="宋体" w:cs="宋体"/>
          <w:b/>
          <w:bCs/>
          <w:sz w:val="24"/>
          <w:szCs w:val="24"/>
        </w:rPr>
        <w:t>费用承担</w:t>
      </w:r>
      <w:bookmarkEnd w:id="22"/>
    </w:p>
    <w:p>
      <w:pPr>
        <w:snapToGrid w:val="0"/>
        <w:spacing w:line="540" w:lineRule="exact"/>
        <w:ind w:firstLine="480" w:firstLineChars="200"/>
        <w:textAlignment w:val="baseline"/>
        <w:rPr>
          <w:rFonts w:ascii="宋体"/>
          <w:sz w:val="24"/>
          <w:szCs w:val="24"/>
        </w:rPr>
      </w:pPr>
      <w:r>
        <w:rPr>
          <w:rFonts w:hint="eastAsia" w:ascii="宋体" w:hAnsi="宋体" w:cs="宋体"/>
          <w:sz w:val="24"/>
          <w:szCs w:val="24"/>
        </w:rPr>
        <w:t>投标人准备和参加投标活动发生的费用自理。</w:t>
      </w:r>
    </w:p>
    <w:p>
      <w:pPr>
        <w:keepLines/>
        <w:snapToGrid w:val="0"/>
        <w:spacing w:line="540" w:lineRule="exact"/>
        <w:textAlignment w:val="baseline"/>
        <w:rPr>
          <w:rFonts w:ascii="宋体"/>
          <w:b/>
          <w:bCs/>
          <w:sz w:val="24"/>
          <w:szCs w:val="24"/>
        </w:rPr>
      </w:pPr>
      <w:bookmarkStart w:id="24" w:name="_Toc6153"/>
      <w:r>
        <w:rPr>
          <w:rFonts w:ascii="宋体" w:hAnsi="宋体" w:cs="宋体"/>
          <w:b/>
          <w:bCs/>
          <w:sz w:val="24"/>
          <w:szCs w:val="24"/>
        </w:rPr>
        <w:t xml:space="preserve">1.6 </w:t>
      </w:r>
      <w:r>
        <w:rPr>
          <w:rFonts w:hint="eastAsia" w:ascii="宋体" w:hAnsi="宋体" w:cs="宋体"/>
          <w:b/>
          <w:bCs/>
          <w:sz w:val="24"/>
          <w:szCs w:val="24"/>
        </w:rPr>
        <w:t>保密</w:t>
      </w:r>
      <w:bookmarkEnd w:id="24"/>
    </w:p>
    <w:p>
      <w:pPr>
        <w:snapToGrid w:val="0"/>
        <w:spacing w:line="540" w:lineRule="exact"/>
        <w:ind w:firstLine="480" w:firstLineChars="200"/>
        <w:textAlignment w:val="baseline"/>
        <w:rPr>
          <w:rFonts w:ascii="宋体"/>
          <w:sz w:val="24"/>
          <w:szCs w:val="24"/>
        </w:rPr>
      </w:pPr>
      <w:r>
        <w:rPr>
          <w:rFonts w:hint="eastAsia" w:ascii="宋体" w:hAnsi="宋体" w:cs="宋体"/>
          <w:sz w:val="24"/>
          <w:szCs w:val="24"/>
        </w:rPr>
        <w:t>参与招标投标活动的各方应对招标文件和投标文件中的商业和技术等秘密保密，否则应承担相应的法律责任。</w:t>
      </w:r>
    </w:p>
    <w:p>
      <w:pPr>
        <w:keepLines/>
        <w:snapToGrid w:val="0"/>
        <w:spacing w:line="540" w:lineRule="exact"/>
        <w:textAlignment w:val="baseline"/>
        <w:rPr>
          <w:rFonts w:ascii="宋体"/>
          <w:b/>
          <w:bCs/>
          <w:sz w:val="24"/>
          <w:szCs w:val="24"/>
        </w:rPr>
      </w:pPr>
      <w:bookmarkStart w:id="25" w:name="_Toc12185"/>
      <w:r>
        <w:rPr>
          <w:rFonts w:ascii="宋体" w:hAnsi="宋体" w:cs="宋体"/>
          <w:b/>
          <w:bCs/>
          <w:sz w:val="24"/>
          <w:szCs w:val="24"/>
        </w:rPr>
        <w:t xml:space="preserve">1.7 </w:t>
      </w:r>
      <w:r>
        <w:rPr>
          <w:rFonts w:hint="eastAsia" w:ascii="宋体" w:hAnsi="宋体" w:cs="宋体"/>
          <w:b/>
          <w:bCs/>
          <w:sz w:val="24"/>
          <w:szCs w:val="24"/>
        </w:rPr>
        <w:t>语言文字</w:t>
      </w:r>
      <w:bookmarkEnd w:id="25"/>
    </w:p>
    <w:p>
      <w:pPr>
        <w:snapToGrid w:val="0"/>
        <w:spacing w:line="540" w:lineRule="exact"/>
        <w:ind w:firstLine="480" w:firstLineChars="200"/>
        <w:textAlignment w:val="baseline"/>
        <w:rPr>
          <w:rFonts w:ascii="宋体"/>
          <w:sz w:val="24"/>
          <w:szCs w:val="24"/>
        </w:rPr>
      </w:pPr>
      <w:r>
        <w:rPr>
          <w:rFonts w:hint="eastAsia" w:ascii="宋体" w:hAnsi="宋体" w:cs="宋体"/>
          <w:sz w:val="24"/>
          <w:szCs w:val="24"/>
        </w:rPr>
        <w:t>招标投标文件使用的语言文字为中文。专用术语使用外文的，应附有中文注释。</w:t>
      </w:r>
    </w:p>
    <w:p>
      <w:pPr>
        <w:keepLines/>
        <w:snapToGrid w:val="0"/>
        <w:spacing w:line="540" w:lineRule="exact"/>
        <w:textAlignment w:val="baseline"/>
        <w:rPr>
          <w:rFonts w:ascii="宋体"/>
          <w:b/>
          <w:bCs/>
          <w:sz w:val="24"/>
          <w:szCs w:val="24"/>
        </w:rPr>
      </w:pPr>
      <w:bookmarkStart w:id="26" w:name="_Toc10849"/>
      <w:r>
        <w:rPr>
          <w:rFonts w:ascii="宋体" w:hAnsi="宋体" w:cs="宋体"/>
          <w:b/>
          <w:bCs/>
          <w:sz w:val="24"/>
          <w:szCs w:val="24"/>
        </w:rPr>
        <w:t xml:space="preserve">1.8 </w:t>
      </w:r>
      <w:r>
        <w:rPr>
          <w:rFonts w:hint="eastAsia" w:ascii="宋体" w:hAnsi="宋体" w:cs="宋体"/>
          <w:b/>
          <w:bCs/>
          <w:sz w:val="24"/>
          <w:szCs w:val="24"/>
        </w:rPr>
        <w:t>计量单位</w:t>
      </w:r>
      <w:bookmarkEnd w:id="26"/>
    </w:p>
    <w:p>
      <w:pPr>
        <w:snapToGrid w:val="0"/>
        <w:spacing w:line="540" w:lineRule="exact"/>
        <w:ind w:firstLine="480" w:firstLineChars="200"/>
        <w:textAlignment w:val="baseline"/>
        <w:rPr>
          <w:rFonts w:ascii="宋体"/>
          <w:sz w:val="24"/>
          <w:szCs w:val="24"/>
        </w:rPr>
      </w:pPr>
      <w:r>
        <w:rPr>
          <w:rFonts w:hint="eastAsia" w:ascii="宋体" w:hAnsi="宋体" w:cs="宋体"/>
          <w:sz w:val="24"/>
          <w:szCs w:val="24"/>
        </w:rPr>
        <w:t>所有计量均采用中华人民共和国法定计量单位。</w:t>
      </w:r>
    </w:p>
    <w:p>
      <w:pPr>
        <w:keepLines/>
        <w:snapToGrid w:val="0"/>
        <w:spacing w:line="540" w:lineRule="exact"/>
        <w:textAlignment w:val="baseline"/>
        <w:rPr>
          <w:rFonts w:ascii="宋体"/>
          <w:b/>
          <w:bCs/>
          <w:sz w:val="24"/>
          <w:szCs w:val="24"/>
        </w:rPr>
      </w:pPr>
      <w:bookmarkStart w:id="27" w:name="_Toc23251"/>
      <w:r>
        <w:rPr>
          <w:rFonts w:ascii="宋体" w:hAnsi="宋体" w:cs="宋体"/>
          <w:b/>
          <w:bCs/>
          <w:sz w:val="24"/>
          <w:szCs w:val="24"/>
        </w:rPr>
        <w:t xml:space="preserve">1.9 </w:t>
      </w:r>
      <w:r>
        <w:rPr>
          <w:rFonts w:hint="eastAsia" w:ascii="宋体" w:hAnsi="宋体" w:cs="宋体"/>
          <w:b/>
          <w:bCs/>
          <w:sz w:val="24"/>
          <w:szCs w:val="24"/>
        </w:rPr>
        <w:t>踏勘现场</w:t>
      </w:r>
      <w:bookmarkEnd w:id="27"/>
    </w:p>
    <w:p>
      <w:pPr>
        <w:tabs>
          <w:tab w:val="left" w:pos="0"/>
        </w:tabs>
        <w:snapToGrid w:val="0"/>
        <w:spacing w:line="500" w:lineRule="exact"/>
        <w:ind w:firstLine="480" w:firstLineChars="200"/>
        <w:textAlignment w:val="baseline"/>
        <w:rPr>
          <w:rFonts w:ascii="宋体"/>
          <w:kern w:val="0"/>
          <w:sz w:val="24"/>
          <w:szCs w:val="24"/>
        </w:rPr>
      </w:pPr>
      <w:r>
        <w:rPr>
          <w:rFonts w:ascii="宋体" w:hAnsi="宋体" w:cs="宋体"/>
          <w:kern w:val="0"/>
          <w:sz w:val="24"/>
          <w:szCs w:val="24"/>
        </w:rPr>
        <w:t xml:space="preserve">1.9.1 </w:t>
      </w:r>
      <w:r>
        <w:rPr>
          <w:rFonts w:hint="eastAsia" w:ascii="宋体" w:hAnsi="宋体" w:cs="宋体"/>
          <w:kern w:val="0"/>
          <w:sz w:val="24"/>
          <w:szCs w:val="24"/>
        </w:rPr>
        <w:t>投标人须知前附表规定组织踏勘现场的，招标人按投标人须知前附表规定的时间、地点组织投标人踏勘项目现场。</w:t>
      </w:r>
    </w:p>
    <w:p>
      <w:pPr>
        <w:tabs>
          <w:tab w:val="left" w:pos="0"/>
        </w:tabs>
        <w:snapToGrid w:val="0"/>
        <w:spacing w:line="500" w:lineRule="exact"/>
        <w:ind w:firstLine="480" w:firstLineChars="200"/>
        <w:textAlignment w:val="baseline"/>
        <w:rPr>
          <w:rFonts w:ascii="宋体"/>
          <w:kern w:val="0"/>
          <w:sz w:val="24"/>
          <w:szCs w:val="24"/>
        </w:rPr>
      </w:pPr>
      <w:r>
        <w:rPr>
          <w:rFonts w:ascii="宋体" w:hAnsi="宋体" w:cs="宋体"/>
          <w:kern w:val="0"/>
          <w:sz w:val="24"/>
          <w:szCs w:val="24"/>
        </w:rPr>
        <w:t xml:space="preserve">1.9.2 </w:t>
      </w:r>
      <w:r>
        <w:rPr>
          <w:rFonts w:hint="eastAsia" w:ascii="宋体" w:hAnsi="宋体" w:cs="宋体"/>
          <w:kern w:val="0"/>
          <w:sz w:val="24"/>
          <w:szCs w:val="24"/>
        </w:rPr>
        <w:t>投标人踏勘现场发生的费用自理。</w:t>
      </w:r>
    </w:p>
    <w:p>
      <w:pPr>
        <w:tabs>
          <w:tab w:val="left" w:pos="0"/>
        </w:tabs>
        <w:snapToGrid w:val="0"/>
        <w:spacing w:line="500" w:lineRule="exact"/>
        <w:ind w:firstLine="480" w:firstLineChars="200"/>
        <w:textAlignment w:val="baseline"/>
        <w:rPr>
          <w:rFonts w:ascii="宋体"/>
          <w:kern w:val="0"/>
          <w:sz w:val="24"/>
          <w:szCs w:val="24"/>
        </w:rPr>
      </w:pPr>
      <w:r>
        <w:rPr>
          <w:rFonts w:ascii="宋体" w:hAnsi="宋体" w:cs="宋体"/>
          <w:kern w:val="0"/>
          <w:sz w:val="24"/>
          <w:szCs w:val="24"/>
        </w:rPr>
        <w:t>1.9.3</w:t>
      </w:r>
      <w:r>
        <w:rPr>
          <w:rFonts w:hint="eastAsia" w:ascii="宋体" w:hAnsi="宋体" w:cs="宋体"/>
          <w:kern w:val="0"/>
          <w:sz w:val="24"/>
          <w:szCs w:val="24"/>
        </w:rPr>
        <w:t>投标人自行负责在踏勘现场中所发生的人员伤亡和财产损失。</w:t>
      </w:r>
    </w:p>
    <w:p>
      <w:pPr>
        <w:tabs>
          <w:tab w:val="left" w:pos="0"/>
        </w:tabs>
        <w:snapToGrid w:val="0"/>
        <w:spacing w:line="500" w:lineRule="exact"/>
        <w:ind w:firstLine="480" w:firstLineChars="200"/>
        <w:textAlignment w:val="baseline"/>
        <w:rPr>
          <w:rFonts w:ascii="宋体"/>
          <w:kern w:val="0"/>
          <w:sz w:val="24"/>
          <w:szCs w:val="24"/>
        </w:rPr>
      </w:pPr>
      <w:r>
        <w:rPr>
          <w:rFonts w:ascii="宋体" w:hAnsi="宋体" w:cs="宋体"/>
          <w:kern w:val="0"/>
          <w:sz w:val="24"/>
          <w:szCs w:val="24"/>
        </w:rPr>
        <w:t xml:space="preserve">1.9.4 </w:t>
      </w:r>
      <w:r>
        <w:rPr>
          <w:rFonts w:hint="eastAsia" w:ascii="宋体" w:hAnsi="宋体" w:cs="宋体"/>
          <w:kern w:val="0"/>
          <w:sz w:val="24"/>
          <w:szCs w:val="24"/>
        </w:rPr>
        <w:t>招标人在踏勘现场中介绍的工程场地和相关的周边环境情况，供投标人在编制投标文件时参考，招标人不对投标人据此作出的判断和决策负责。</w:t>
      </w:r>
    </w:p>
    <w:p>
      <w:pPr>
        <w:keepLines/>
        <w:snapToGrid w:val="0"/>
        <w:spacing w:line="540" w:lineRule="exact"/>
        <w:textAlignment w:val="baseline"/>
        <w:rPr>
          <w:rFonts w:ascii="宋体"/>
          <w:b/>
          <w:bCs/>
          <w:sz w:val="24"/>
          <w:szCs w:val="24"/>
        </w:rPr>
      </w:pPr>
      <w:bookmarkStart w:id="28" w:name="_Toc30607"/>
      <w:r>
        <w:rPr>
          <w:rFonts w:ascii="宋体" w:hAnsi="宋体" w:cs="宋体"/>
          <w:b/>
          <w:bCs/>
          <w:sz w:val="24"/>
          <w:szCs w:val="24"/>
        </w:rPr>
        <w:t xml:space="preserve">1.10 </w:t>
      </w:r>
      <w:r>
        <w:rPr>
          <w:rFonts w:hint="eastAsia" w:ascii="宋体" w:hAnsi="宋体" w:cs="宋体"/>
          <w:b/>
          <w:bCs/>
          <w:sz w:val="24"/>
          <w:szCs w:val="24"/>
        </w:rPr>
        <w:t>投标预备会</w:t>
      </w:r>
      <w:bookmarkEnd w:id="28"/>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1.10.1 </w:t>
      </w:r>
      <w:r>
        <w:rPr>
          <w:rFonts w:hint="eastAsia" w:ascii="宋体" w:hAnsi="宋体" w:cs="宋体"/>
          <w:sz w:val="24"/>
          <w:szCs w:val="24"/>
        </w:rPr>
        <w:t>投标人须知前附表规定召开投标预备会的，招标人按投标人须知前附表规定的时间和地点召开投标预备会，澄清投标人提出的问题。</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1.10.2 </w:t>
      </w:r>
      <w:r>
        <w:rPr>
          <w:rFonts w:hint="eastAsia" w:ascii="宋体" w:hAnsi="宋体" w:cs="宋体"/>
          <w:sz w:val="24"/>
          <w:szCs w:val="24"/>
        </w:rPr>
        <w:t>投标人应在投标人须知前附表规定的时间前，以书面形式将提出的问题送达招标人，以便招标人在会议期间澄清。</w:t>
      </w:r>
    </w:p>
    <w:p>
      <w:pPr>
        <w:snapToGrid w:val="0"/>
        <w:spacing w:line="540" w:lineRule="exact"/>
        <w:ind w:firstLine="480" w:firstLineChars="200"/>
        <w:textAlignment w:val="baseline"/>
        <w:rPr>
          <w:rFonts w:ascii="宋体"/>
          <w:sz w:val="24"/>
          <w:szCs w:val="24"/>
        </w:rPr>
      </w:pPr>
      <w:r>
        <w:rPr>
          <w:rFonts w:ascii="宋体" w:hAnsi="宋体" w:cs="宋体"/>
          <w:sz w:val="24"/>
          <w:szCs w:val="24"/>
        </w:rPr>
        <w:t xml:space="preserve">1.10.3 </w:t>
      </w:r>
      <w:r>
        <w:rPr>
          <w:rFonts w:hint="eastAsia" w:ascii="宋体" w:hAnsi="宋体" w:cs="宋体"/>
          <w:sz w:val="24"/>
          <w:szCs w:val="24"/>
        </w:rPr>
        <w:t>投标预备会后，招标人在投标人须知前附表规定的时间内，将对投标人所提问颗的澄清，以书面方式通知所有购买招标文件的投标人。该澄清内容为招标文件的组成部分。</w:t>
      </w:r>
    </w:p>
    <w:p>
      <w:pPr>
        <w:keepLines/>
        <w:snapToGrid w:val="0"/>
        <w:spacing w:line="540" w:lineRule="exact"/>
        <w:textAlignment w:val="baseline"/>
        <w:rPr>
          <w:rFonts w:ascii="宋体"/>
          <w:b/>
          <w:bCs/>
          <w:sz w:val="24"/>
          <w:szCs w:val="24"/>
        </w:rPr>
      </w:pPr>
      <w:bookmarkStart w:id="29" w:name="_Toc281837604"/>
      <w:bookmarkStart w:id="30" w:name="_Toc9680"/>
      <w:bookmarkStart w:id="31" w:name="_Toc323212686"/>
      <w:bookmarkStart w:id="32" w:name="_Toc184635072"/>
      <w:r>
        <w:rPr>
          <w:rFonts w:ascii="宋体" w:hAnsi="宋体" w:cs="宋体"/>
          <w:b/>
          <w:bCs/>
          <w:sz w:val="24"/>
          <w:szCs w:val="24"/>
        </w:rPr>
        <w:t xml:space="preserve">1.11  </w:t>
      </w:r>
      <w:r>
        <w:rPr>
          <w:rFonts w:hint="eastAsia" w:ascii="宋体" w:hAnsi="宋体" w:cs="宋体"/>
          <w:b/>
          <w:bCs/>
          <w:sz w:val="24"/>
          <w:szCs w:val="24"/>
        </w:rPr>
        <w:t>偏离</w:t>
      </w:r>
      <w:bookmarkEnd w:id="29"/>
      <w:bookmarkEnd w:id="30"/>
      <w:bookmarkEnd w:id="31"/>
    </w:p>
    <w:p>
      <w:pPr>
        <w:snapToGrid w:val="0"/>
        <w:spacing w:line="500" w:lineRule="exact"/>
        <w:ind w:left="210" w:leftChars="100" w:firstLine="480" w:firstLineChars="200"/>
        <w:textAlignment w:val="baseline"/>
        <w:rPr>
          <w:rFonts w:ascii="宋体"/>
          <w:sz w:val="24"/>
          <w:szCs w:val="24"/>
        </w:rPr>
      </w:pPr>
      <w:bookmarkStart w:id="33" w:name="_Toc345178449"/>
      <w:r>
        <w:rPr>
          <w:rFonts w:hint="eastAsia" w:ascii="宋体" w:hAnsi="宋体" w:cs="宋体"/>
          <w:sz w:val="24"/>
          <w:szCs w:val="24"/>
        </w:rPr>
        <w:t>不允许负偏离招标文件规定的实质性要求和条件。</w:t>
      </w:r>
    </w:p>
    <w:p>
      <w:pPr>
        <w:keepLines/>
        <w:snapToGrid w:val="0"/>
        <w:spacing w:line="540" w:lineRule="exact"/>
        <w:textAlignment w:val="baseline"/>
        <w:rPr>
          <w:rFonts w:ascii="宋体"/>
          <w:b/>
          <w:bCs/>
          <w:sz w:val="24"/>
          <w:szCs w:val="24"/>
        </w:rPr>
      </w:pPr>
      <w:bookmarkStart w:id="34" w:name="_Toc74732317"/>
      <w:bookmarkStart w:id="35" w:name="_Toc8608"/>
      <w:bookmarkStart w:id="36" w:name="_Toc74732260"/>
      <w:r>
        <w:rPr>
          <w:rFonts w:ascii="宋体" w:hAnsi="宋体" w:cs="宋体"/>
          <w:b/>
          <w:bCs/>
          <w:sz w:val="24"/>
          <w:szCs w:val="24"/>
        </w:rPr>
        <w:t>2.</w:t>
      </w:r>
      <w:r>
        <w:rPr>
          <w:rFonts w:hint="eastAsia" w:ascii="宋体" w:hAnsi="宋体" w:cs="宋体"/>
          <w:b/>
          <w:bCs/>
          <w:sz w:val="24"/>
          <w:szCs w:val="24"/>
        </w:rPr>
        <w:t>招标文件</w:t>
      </w:r>
      <w:bookmarkEnd w:id="32"/>
      <w:bookmarkEnd w:id="33"/>
      <w:bookmarkEnd w:id="34"/>
      <w:bookmarkEnd w:id="35"/>
      <w:bookmarkEnd w:id="36"/>
    </w:p>
    <w:p>
      <w:pPr>
        <w:keepLines/>
        <w:snapToGrid w:val="0"/>
        <w:spacing w:line="540" w:lineRule="exact"/>
        <w:textAlignment w:val="baseline"/>
        <w:rPr>
          <w:rFonts w:ascii="宋体"/>
          <w:b/>
          <w:bCs/>
          <w:sz w:val="24"/>
          <w:szCs w:val="24"/>
        </w:rPr>
      </w:pPr>
      <w:bookmarkStart w:id="37" w:name="_Toc7846"/>
      <w:r>
        <w:rPr>
          <w:rFonts w:ascii="宋体" w:hAnsi="宋体" w:cs="宋体"/>
          <w:b/>
          <w:bCs/>
          <w:sz w:val="24"/>
          <w:szCs w:val="24"/>
        </w:rPr>
        <w:t>2.1</w:t>
      </w:r>
      <w:r>
        <w:rPr>
          <w:rFonts w:hint="eastAsia" w:ascii="宋体" w:hAnsi="宋体" w:cs="宋体"/>
          <w:b/>
          <w:bCs/>
          <w:sz w:val="24"/>
          <w:szCs w:val="24"/>
        </w:rPr>
        <w:t>招标文件的组成</w:t>
      </w:r>
      <w:bookmarkEnd w:id="37"/>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本招标文件包括：</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）招标公告；</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）投标须知；</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）评标办法；</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）合同条款及格式；</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）技术要求；</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）投标文件格式；</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根据本章第</w:t>
      </w:r>
      <w:r>
        <w:rPr>
          <w:rFonts w:ascii="宋体" w:hAnsi="宋体" w:cs="宋体"/>
          <w:sz w:val="24"/>
          <w:szCs w:val="24"/>
        </w:rPr>
        <w:t xml:space="preserve">1.10 </w:t>
      </w:r>
      <w:r>
        <w:rPr>
          <w:rFonts w:hint="eastAsia" w:ascii="宋体" w:hAnsi="宋体" w:cs="宋体"/>
          <w:sz w:val="24"/>
          <w:szCs w:val="24"/>
        </w:rPr>
        <w:t>款、第</w:t>
      </w:r>
      <w:r>
        <w:rPr>
          <w:rFonts w:ascii="宋体" w:hAnsi="宋体" w:cs="宋体"/>
          <w:sz w:val="24"/>
          <w:szCs w:val="24"/>
        </w:rPr>
        <w:t xml:space="preserve">2.2 </w:t>
      </w:r>
      <w:r>
        <w:rPr>
          <w:rFonts w:hint="eastAsia" w:ascii="宋体" w:hAnsi="宋体" w:cs="宋体"/>
          <w:sz w:val="24"/>
          <w:szCs w:val="24"/>
        </w:rPr>
        <w:t>款和第</w:t>
      </w:r>
      <w:r>
        <w:rPr>
          <w:rFonts w:ascii="宋体" w:hAnsi="宋体" w:cs="宋体"/>
          <w:sz w:val="24"/>
          <w:szCs w:val="24"/>
        </w:rPr>
        <w:t xml:space="preserve">2.3 </w:t>
      </w:r>
      <w:r>
        <w:rPr>
          <w:rFonts w:hint="eastAsia" w:ascii="宋体" w:hAnsi="宋体" w:cs="宋体"/>
          <w:sz w:val="24"/>
          <w:szCs w:val="24"/>
        </w:rPr>
        <w:t>款对招标文件所作的澄清、修改，构成招标文件的组成部分。</w:t>
      </w:r>
    </w:p>
    <w:p>
      <w:pPr>
        <w:keepLines/>
        <w:snapToGrid w:val="0"/>
        <w:spacing w:line="540" w:lineRule="exact"/>
        <w:textAlignment w:val="baseline"/>
        <w:rPr>
          <w:rFonts w:ascii="宋体"/>
          <w:b/>
          <w:bCs/>
          <w:sz w:val="24"/>
          <w:szCs w:val="24"/>
        </w:rPr>
      </w:pPr>
      <w:bookmarkStart w:id="38" w:name="_Toc2466"/>
      <w:r>
        <w:rPr>
          <w:rFonts w:ascii="宋体" w:hAnsi="宋体" w:cs="宋体"/>
          <w:b/>
          <w:bCs/>
          <w:sz w:val="24"/>
          <w:szCs w:val="24"/>
        </w:rPr>
        <w:t xml:space="preserve">2.2 </w:t>
      </w:r>
      <w:r>
        <w:rPr>
          <w:rFonts w:hint="eastAsia" w:ascii="宋体" w:hAnsi="宋体" w:cs="宋体"/>
          <w:b/>
          <w:bCs/>
          <w:sz w:val="24"/>
          <w:szCs w:val="24"/>
        </w:rPr>
        <w:t>招标文件的澄清</w:t>
      </w:r>
      <w:bookmarkEnd w:id="38"/>
    </w:p>
    <w:p>
      <w:pPr>
        <w:snapToGrid w:val="0"/>
        <w:spacing w:line="500" w:lineRule="exact"/>
        <w:ind w:firstLine="480" w:firstLineChars="200"/>
        <w:textAlignment w:val="baseline"/>
        <w:rPr>
          <w:rFonts w:ascii="宋体"/>
          <w:sz w:val="24"/>
          <w:szCs w:val="24"/>
        </w:rPr>
      </w:pPr>
      <w:r>
        <w:rPr>
          <w:rFonts w:ascii="宋体" w:hAnsi="宋体" w:cs="宋体"/>
          <w:sz w:val="24"/>
          <w:szCs w:val="24"/>
        </w:rPr>
        <w:t>2.2.1</w:t>
      </w:r>
      <w:r>
        <w:rPr>
          <w:rFonts w:hint="eastAsia" w:ascii="宋体" w:hAnsi="宋体" w:cs="宋体"/>
          <w:sz w:val="24"/>
          <w:szCs w:val="24"/>
        </w:rPr>
        <w:t>投标人应仔细阅读和检查招标文件的全部内容。如发现缺页或附件不全，应及时向招标人提出，以便补齐。如有疑问，应在投标人须知前附表规定的时间前在交易平台上进行提问，要求招标人对招标文件予以澄清。</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2.2.2 </w:t>
      </w:r>
      <w:r>
        <w:rPr>
          <w:rFonts w:hint="eastAsia" w:ascii="宋体" w:hAnsi="宋体" w:cs="宋体"/>
          <w:sz w:val="24"/>
          <w:szCs w:val="24"/>
        </w:rPr>
        <w:t>招标文件的澄清将在投标人须知前附表规定的投标截止时间</w:t>
      </w:r>
      <w:r>
        <w:rPr>
          <w:rFonts w:ascii="宋体" w:hAnsi="宋体" w:cs="宋体"/>
          <w:sz w:val="24"/>
          <w:szCs w:val="24"/>
        </w:rPr>
        <w:t>15</w:t>
      </w:r>
      <w:r>
        <w:rPr>
          <w:rFonts w:hint="eastAsia" w:ascii="宋体" w:hAnsi="宋体" w:cs="宋体"/>
          <w:sz w:val="24"/>
          <w:szCs w:val="24"/>
        </w:rPr>
        <w:t>天前在交易平台上发给所有购买招标文件的投标人，但不指明澄清问题的来源。</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2.2.3 </w:t>
      </w:r>
      <w:r>
        <w:rPr>
          <w:rFonts w:hint="eastAsia" w:ascii="宋体" w:hAnsi="宋体" w:cs="宋体"/>
          <w:sz w:val="24"/>
          <w:szCs w:val="24"/>
        </w:rPr>
        <w:t>投标人在收到澄清后，应在投标人须知前附表规定的时间内在交易平台上回复确认已收到该澄清。</w:t>
      </w:r>
    </w:p>
    <w:p>
      <w:pPr>
        <w:keepLines/>
        <w:snapToGrid w:val="0"/>
        <w:spacing w:line="540" w:lineRule="exact"/>
        <w:textAlignment w:val="baseline"/>
        <w:rPr>
          <w:rFonts w:ascii="宋体"/>
          <w:b/>
          <w:bCs/>
          <w:sz w:val="24"/>
          <w:szCs w:val="24"/>
        </w:rPr>
      </w:pPr>
      <w:bookmarkStart w:id="39" w:name="_Toc18485"/>
      <w:r>
        <w:rPr>
          <w:rFonts w:ascii="宋体" w:hAnsi="宋体" w:cs="宋体"/>
          <w:b/>
          <w:bCs/>
          <w:sz w:val="24"/>
          <w:szCs w:val="24"/>
        </w:rPr>
        <w:t xml:space="preserve">2.3 </w:t>
      </w:r>
      <w:r>
        <w:rPr>
          <w:rFonts w:hint="eastAsia" w:ascii="宋体" w:hAnsi="宋体" w:cs="宋体"/>
          <w:b/>
          <w:bCs/>
          <w:sz w:val="24"/>
          <w:szCs w:val="24"/>
        </w:rPr>
        <w:t>招标文件的修改</w:t>
      </w:r>
      <w:bookmarkEnd w:id="39"/>
    </w:p>
    <w:p>
      <w:pPr>
        <w:snapToGrid w:val="0"/>
        <w:spacing w:line="500" w:lineRule="exact"/>
        <w:ind w:firstLine="480" w:firstLineChars="200"/>
        <w:textAlignment w:val="baseline"/>
        <w:rPr>
          <w:rFonts w:ascii="宋体"/>
          <w:sz w:val="24"/>
          <w:szCs w:val="24"/>
        </w:rPr>
      </w:pPr>
      <w:bookmarkStart w:id="40" w:name="_Toc184635073"/>
      <w:r>
        <w:rPr>
          <w:rFonts w:ascii="宋体" w:hAnsi="宋体" w:cs="宋体"/>
          <w:sz w:val="24"/>
          <w:szCs w:val="24"/>
        </w:rPr>
        <w:t xml:space="preserve">2.3.1 </w:t>
      </w:r>
      <w:r>
        <w:rPr>
          <w:rFonts w:hint="eastAsia" w:ascii="宋体" w:hAnsi="宋体" w:cs="宋体"/>
          <w:sz w:val="24"/>
          <w:szCs w:val="24"/>
        </w:rPr>
        <w:t>在投标截止时间</w:t>
      </w:r>
      <w:r>
        <w:rPr>
          <w:rFonts w:ascii="宋体" w:hAnsi="宋体" w:cs="宋体"/>
          <w:sz w:val="24"/>
          <w:szCs w:val="24"/>
        </w:rPr>
        <w:t>15</w:t>
      </w:r>
      <w:r>
        <w:rPr>
          <w:rFonts w:hint="eastAsia" w:ascii="宋体" w:hAnsi="宋体" w:cs="宋体"/>
          <w:sz w:val="24"/>
          <w:szCs w:val="24"/>
        </w:rPr>
        <w:t>天前，招标人可以修改招标文件。如有修改，应在交易平台上发给所有购买招标文件的投标人。</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2.3.2 </w:t>
      </w:r>
      <w:r>
        <w:rPr>
          <w:rFonts w:hint="eastAsia" w:ascii="宋体" w:hAnsi="宋体" w:cs="宋体"/>
          <w:sz w:val="24"/>
          <w:szCs w:val="24"/>
        </w:rPr>
        <w:t>投标人收到修改内容后，应在投标人须知前附表规定的时间内在交易平台上回复确认已收到该修改。</w:t>
      </w:r>
    </w:p>
    <w:p>
      <w:pPr>
        <w:keepLines/>
        <w:snapToGrid w:val="0"/>
        <w:spacing w:line="540" w:lineRule="exact"/>
        <w:textAlignment w:val="baseline"/>
        <w:rPr>
          <w:rFonts w:ascii="宋体"/>
          <w:b/>
          <w:bCs/>
          <w:sz w:val="24"/>
          <w:szCs w:val="24"/>
        </w:rPr>
      </w:pPr>
      <w:bookmarkStart w:id="41" w:name="_Toc74732318"/>
      <w:bookmarkStart w:id="42" w:name="_Toc23766"/>
      <w:bookmarkStart w:id="43" w:name="_Toc74732261"/>
      <w:r>
        <w:rPr>
          <w:rFonts w:ascii="宋体" w:hAnsi="宋体" w:cs="宋体"/>
          <w:b/>
          <w:bCs/>
          <w:sz w:val="24"/>
          <w:szCs w:val="24"/>
        </w:rPr>
        <w:t>3.</w:t>
      </w:r>
      <w:r>
        <w:rPr>
          <w:rFonts w:hint="eastAsia" w:ascii="宋体" w:hAnsi="宋体" w:cs="宋体"/>
          <w:b/>
          <w:bCs/>
          <w:sz w:val="24"/>
          <w:szCs w:val="24"/>
        </w:rPr>
        <w:t>投标文件</w:t>
      </w:r>
      <w:bookmarkEnd w:id="40"/>
      <w:bookmarkEnd w:id="41"/>
      <w:bookmarkEnd w:id="42"/>
      <w:bookmarkEnd w:id="43"/>
    </w:p>
    <w:p>
      <w:pPr>
        <w:keepLines/>
        <w:snapToGrid w:val="0"/>
        <w:spacing w:line="540" w:lineRule="exact"/>
        <w:textAlignment w:val="baseline"/>
        <w:rPr>
          <w:rFonts w:ascii="宋体"/>
          <w:b/>
          <w:bCs/>
          <w:sz w:val="24"/>
          <w:szCs w:val="24"/>
        </w:rPr>
      </w:pPr>
      <w:bookmarkStart w:id="44" w:name="_Toc274"/>
      <w:r>
        <w:rPr>
          <w:rFonts w:ascii="宋体" w:hAnsi="宋体" w:cs="宋体"/>
          <w:b/>
          <w:bCs/>
          <w:sz w:val="24"/>
          <w:szCs w:val="24"/>
        </w:rPr>
        <w:t>3.1</w:t>
      </w:r>
      <w:r>
        <w:rPr>
          <w:rFonts w:hint="eastAsia" w:ascii="宋体" w:hAnsi="宋体" w:cs="宋体"/>
          <w:b/>
          <w:bCs/>
          <w:sz w:val="24"/>
          <w:szCs w:val="24"/>
        </w:rPr>
        <w:t>投标文件的组成</w:t>
      </w:r>
      <w:bookmarkEnd w:id="44"/>
    </w:p>
    <w:p>
      <w:pPr>
        <w:snapToGrid w:val="0"/>
        <w:spacing w:line="500" w:lineRule="exact"/>
        <w:ind w:firstLine="480" w:firstLineChars="200"/>
        <w:textAlignment w:val="baseline"/>
        <w:rPr>
          <w:rFonts w:ascii="宋体" w:hAnsi="宋体" w:cs="宋体"/>
          <w:sz w:val="24"/>
          <w:szCs w:val="24"/>
        </w:rPr>
      </w:pPr>
      <w:r>
        <w:rPr>
          <w:rFonts w:ascii="宋体" w:hAnsi="宋体" w:cs="宋体"/>
          <w:sz w:val="24"/>
          <w:szCs w:val="24"/>
        </w:rPr>
        <w:t>3.1.1</w:t>
      </w:r>
    </w:p>
    <w:p>
      <w:pPr>
        <w:snapToGrid w:val="0"/>
        <w:spacing w:line="600" w:lineRule="exact"/>
        <w:ind w:firstLine="480" w:firstLineChars="200"/>
        <w:textAlignment w:val="baseline"/>
        <w:rPr>
          <w:rFonts w:ascii="宋体" w:hAnsi="宋体" w:cs="宋体"/>
          <w:sz w:val="24"/>
          <w:szCs w:val="24"/>
        </w:rPr>
      </w:pPr>
      <w:r>
        <w:rPr>
          <w:rFonts w:hint="eastAsia" w:ascii="宋体" w:hAnsi="宋体" w:cs="宋体"/>
          <w:sz w:val="24"/>
          <w:szCs w:val="24"/>
        </w:rPr>
        <w:t>一、投标函</w:t>
      </w:r>
    </w:p>
    <w:p>
      <w:pPr>
        <w:snapToGrid w:val="0"/>
        <w:spacing w:line="600" w:lineRule="exact"/>
        <w:ind w:firstLine="480" w:firstLineChars="200"/>
        <w:textAlignment w:val="baseline"/>
        <w:rPr>
          <w:rFonts w:ascii="宋体" w:hAnsi="宋体" w:cs="宋体"/>
          <w:sz w:val="24"/>
          <w:szCs w:val="24"/>
        </w:rPr>
      </w:pPr>
      <w:r>
        <w:rPr>
          <w:rFonts w:hint="eastAsia" w:ascii="宋体" w:hAnsi="宋体" w:cs="宋体"/>
          <w:sz w:val="24"/>
          <w:szCs w:val="24"/>
        </w:rPr>
        <w:t>二、开标一览表</w:t>
      </w:r>
    </w:p>
    <w:p>
      <w:pPr>
        <w:snapToGrid w:val="0"/>
        <w:spacing w:line="600" w:lineRule="exact"/>
        <w:ind w:firstLine="480" w:firstLineChars="200"/>
        <w:textAlignment w:val="baseline"/>
        <w:rPr>
          <w:rFonts w:ascii="宋体" w:hAnsi="宋体" w:cs="宋体"/>
          <w:sz w:val="24"/>
          <w:szCs w:val="24"/>
        </w:rPr>
      </w:pPr>
      <w:r>
        <w:rPr>
          <w:rFonts w:hint="eastAsia" w:ascii="宋体" w:hAnsi="宋体" w:cs="宋体"/>
          <w:sz w:val="24"/>
          <w:szCs w:val="24"/>
        </w:rPr>
        <w:t>三、投标报价分项表</w:t>
      </w:r>
    </w:p>
    <w:p>
      <w:pPr>
        <w:snapToGrid w:val="0"/>
        <w:spacing w:line="600" w:lineRule="exact"/>
        <w:ind w:firstLine="480" w:firstLineChars="200"/>
        <w:textAlignment w:val="baseline"/>
        <w:rPr>
          <w:rFonts w:ascii="宋体" w:hAnsi="宋体" w:cs="宋体"/>
          <w:sz w:val="24"/>
          <w:szCs w:val="24"/>
        </w:rPr>
      </w:pPr>
      <w:r>
        <w:rPr>
          <w:rFonts w:hint="eastAsia" w:ascii="宋体" w:hAnsi="宋体" w:cs="宋体"/>
          <w:sz w:val="24"/>
          <w:szCs w:val="24"/>
        </w:rPr>
        <w:t>四、技术方案</w:t>
      </w:r>
    </w:p>
    <w:p>
      <w:pPr>
        <w:snapToGrid w:val="0"/>
        <w:spacing w:line="600" w:lineRule="exact"/>
        <w:ind w:firstLine="480" w:firstLineChars="200"/>
        <w:textAlignment w:val="baseline"/>
        <w:rPr>
          <w:rFonts w:ascii="宋体" w:hAnsi="宋体" w:cs="宋体"/>
          <w:sz w:val="24"/>
          <w:szCs w:val="24"/>
        </w:rPr>
      </w:pPr>
      <w:r>
        <w:rPr>
          <w:rFonts w:hint="eastAsia" w:ascii="宋体" w:hAnsi="宋体" w:cs="宋体"/>
          <w:sz w:val="24"/>
          <w:szCs w:val="24"/>
        </w:rPr>
        <w:t>五、技术及商务偏差表</w:t>
      </w:r>
    </w:p>
    <w:p>
      <w:pPr>
        <w:snapToGrid w:val="0"/>
        <w:spacing w:line="600" w:lineRule="exact"/>
        <w:ind w:firstLine="480" w:firstLineChars="200"/>
        <w:textAlignment w:val="baseline"/>
        <w:rPr>
          <w:rFonts w:ascii="宋体" w:hAnsi="宋体" w:cs="宋体"/>
          <w:sz w:val="24"/>
          <w:szCs w:val="24"/>
        </w:rPr>
      </w:pPr>
      <w:r>
        <w:rPr>
          <w:rFonts w:hint="eastAsia" w:ascii="宋体" w:hAnsi="宋体" w:cs="宋体"/>
          <w:sz w:val="24"/>
          <w:szCs w:val="24"/>
        </w:rPr>
        <w:t>六、售后服务计划</w:t>
      </w:r>
    </w:p>
    <w:p>
      <w:pPr>
        <w:snapToGrid w:val="0"/>
        <w:spacing w:line="600" w:lineRule="exact"/>
        <w:ind w:firstLine="480" w:firstLineChars="200"/>
        <w:textAlignment w:val="baseline"/>
        <w:rPr>
          <w:rFonts w:ascii="宋体" w:hAnsi="宋体" w:cs="宋体"/>
          <w:sz w:val="24"/>
          <w:szCs w:val="24"/>
        </w:rPr>
      </w:pPr>
      <w:r>
        <w:rPr>
          <w:rFonts w:hint="eastAsia" w:ascii="宋体" w:hAnsi="宋体" w:cs="宋体"/>
          <w:sz w:val="24"/>
          <w:szCs w:val="24"/>
        </w:rPr>
        <w:t>七、法定代表身份证明及法定代表人授权书</w:t>
      </w:r>
    </w:p>
    <w:p>
      <w:pPr>
        <w:snapToGrid w:val="0"/>
        <w:spacing w:line="600" w:lineRule="exact"/>
        <w:ind w:firstLine="480" w:firstLineChars="200"/>
        <w:textAlignment w:val="baseline"/>
        <w:rPr>
          <w:rFonts w:ascii="宋体" w:hAnsi="宋体" w:cs="宋体"/>
          <w:sz w:val="24"/>
          <w:szCs w:val="24"/>
        </w:rPr>
      </w:pPr>
      <w:r>
        <w:rPr>
          <w:rFonts w:hint="eastAsia" w:ascii="宋体" w:hAnsi="宋体" w:cs="宋体"/>
          <w:sz w:val="24"/>
          <w:szCs w:val="24"/>
        </w:rPr>
        <w:t>八、投标保证金</w:t>
      </w:r>
    </w:p>
    <w:p>
      <w:pPr>
        <w:snapToGrid w:val="0"/>
        <w:spacing w:line="600" w:lineRule="exact"/>
        <w:ind w:firstLine="480" w:firstLineChars="200"/>
        <w:textAlignment w:val="baseline"/>
        <w:rPr>
          <w:rFonts w:ascii="宋体" w:hAnsi="宋体" w:cs="宋体"/>
          <w:sz w:val="24"/>
          <w:szCs w:val="24"/>
        </w:rPr>
      </w:pPr>
      <w:r>
        <w:rPr>
          <w:rFonts w:hint="eastAsia" w:ascii="宋体" w:hAnsi="宋体" w:cs="宋体"/>
          <w:sz w:val="24"/>
          <w:szCs w:val="24"/>
        </w:rPr>
        <w:t>九、资格审查资料</w:t>
      </w:r>
    </w:p>
    <w:p>
      <w:pPr>
        <w:snapToGrid w:val="0"/>
        <w:spacing w:line="500" w:lineRule="exact"/>
        <w:ind w:firstLine="480" w:firstLineChars="200"/>
        <w:textAlignment w:val="baseline"/>
        <w:rPr>
          <w:rFonts w:ascii="宋体" w:hAnsi="宋体" w:cs="宋体"/>
          <w:sz w:val="24"/>
          <w:szCs w:val="24"/>
        </w:rPr>
      </w:pPr>
      <w:r>
        <w:rPr>
          <w:rFonts w:hint="eastAsia" w:ascii="宋体" w:hAnsi="宋体" w:cs="宋体"/>
          <w:sz w:val="24"/>
          <w:szCs w:val="24"/>
        </w:rPr>
        <w:t>十、其他证明材料</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投标人在评标过程中作出的符合法律法规和招标文件规定的澄清确认，构成投标文件的组成部分。</w:t>
      </w:r>
    </w:p>
    <w:p>
      <w:pPr>
        <w:snapToGrid w:val="0"/>
        <w:spacing w:line="500" w:lineRule="exact"/>
        <w:ind w:firstLine="480" w:firstLineChars="200"/>
        <w:textAlignment w:val="baseline"/>
        <w:rPr>
          <w:rFonts w:ascii="宋体" w:cs="宋体"/>
          <w:sz w:val="24"/>
          <w:szCs w:val="24"/>
        </w:rPr>
      </w:pPr>
      <w:r>
        <w:rPr>
          <w:rFonts w:ascii="宋体" w:hAnsi="宋体" w:cs="宋体"/>
          <w:sz w:val="24"/>
          <w:szCs w:val="24"/>
        </w:rPr>
        <w:t xml:space="preserve">3.1.2 </w:t>
      </w:r>
      <w:r>
        <w:rPr>
          <w:rFonts w:hint="eastAsia" w:ascii="宋体" w:hAnsi="宋体" w:cs="宋体"/>
          <w:sz w:val="24"/>
          <w:szCs w:val="24"/>
        </w:rPr>
        <w:t>投标人须知前附表规定不接受联合体投标的，或投标人没有组成联合体的，投标文件不包括本章第</w:t>
      </w:r>
      <w:r>
        <w:rPr>
          <w:rFonts w:ascii="宋体" w:hAnsi="宋体" w:cs="宋体"/>
          <w:sz w:val="24"/>
          <w:szCs w:val="24"/>
        </w:rPr>
        <w:t>3.1.1</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）目所指的联合体协议书。</w:t>
      </w:r>
    </w:p>
    <w:p>
      <w:pPr>
        <w:snapToGrid w:val="0"/>
        <w:spacing w:line="500" w:lineRule="exact"/>
        <w:ind w:firstLine="480" w:firstLineChars="200"/>
        <w:textAlignment w:val="baseline"/>
        <w:rPr>
          <w:rFonts w:ascii="宋体"/>
          <w:sz w:val="24"/>
          <w:szCs w:val="24"/>
        </w:rPr>
      </w:pPr>
      <w:r>
        <w:rPr>
          <w:rFonts w:ascii="宋体" w:hAnsi="宋体" w:cs="宋体"/>
          <w:sz w:val="24"/>
          <w:szCs w:val="24"/>
        </w:rPr>
        <w:t>3.1.3</w:t>
      </w:r>
      <w:r>
        <w:rPr>
          <w:rFonts w:hint="eastAsia" w:ascii="宋体" w:hAnsi="宋体" w:cs="宋体"/>
          <w:sz w:val="24"/>
          <w:szCs w:val="24"/>
        </w:rPr>
        <w:t>投标人须知前附表未要求提交投标保证金的，投标文件不包括本章第</w:t>
      </w:r>
      <w:r>
        <w:rPr>
          <w:rFonts w:ascii="宋体" w:hAnsi="宋体" w:cs="宋体"/>
          <w:sz w:val="24"/>
          <w:szCs w:val="24"/>
        </w:rPr>
        <w:t>3.1.1</w:t>
      </w:r>
      <w:r>
        <w:rPr>
          <w:rFonts w:hint="eastAsia" w:ascii="宋体" w:hAnsi="宋体" w:cs="宋体"/>
          <w:sz w:val="24"/>
          <w:szCs w:val="24"/>
        </w:rPr>
        <w:t>所指的投标保证金。</w:t>
      </w:r>
    </w:p>
    <w:p>
      <w:pPr>
        <w:keepLines/>
        <w:snapToGrid w:val="0"/>
        <w:spacing w:line="540" w:lineRule="exact"/>
        <w:textAlignment w:val="baseline"/>
        <w:rPr>
          <w:rFonts w:ascii="宋体"/>
          <w:b/>
          <w:bCs/>
          <w:sz w:val="24"/>
          <w:szCs w:val="24"/>
        </w:rPr>
      </w:pPr>
      <w:bookmarkStart w:id="45" w:name="_Toc13425"/>
      <w:r>
        <w:rPr>
          <w:rFonts w:ascii="宋体" w:hAnsi="宋体" w:cs="宋体"/>
          <w:b/>
          <w:bCs/>
          <w:sz w:val="24"/>
          <w:szCs w:val="24"/>
        </w:rPr>
        <w:t xml:space="preserve">3.2 </w:t>
      </w:r>
      <w:r>
        <w:rPr>
          <w:rFonts w:hint="eastAsia" w:ascii="宋体" w:hAnsi="宋体" w:cs="宋体"/>
          <w:b/>
          <w:bCs/>
          <w:sz w:val="24"/>
          <w:szCs w:val="24"/>
        </w:rPr>
        <w:t>投标报价</w:t>
      </w:r>
      <w:bookmarkEnd w:id="45"/>
    </w:p>
    <w:p>
      <w:pPr>
        <w:snapToGrid w:val="0"/>
        <w:spacing w:line="520" w:lineRule="exact"/>
        <w:ind w:firstLine="480" w:firstLineChars="200"/>
        <w:textAlignment w:val="baseline"/>
        <w:rPr>
          <w:rFonts w:ascii="宋体"/>
          <w:sz w:val="24"/>
          <w:szCs w:val="24"/>
        </w:rPr>
      </w:pPr>
      <w:bookmarkStart w:id="46" w:name="_Toc247965702"/>
      <w:bookmarkStart w:id="47" w:name="_Toc257026310"/>
      <w:bookmarkStart w:id="48" w:name="_Toc256760544"/>
      <w:bookmarkStart w:id="49" w:name="_Toc257025777"/>
      <w:bookmarkStart w:id="50" w:name="_Toc247961842"/>
      <w:bookmarkStart w:id="51" w:name="_Toc247965803"/>
      <w:r>
        <w:rPr>
          <w:rFonts w:ascii="宋体" w:hAnsi="宋体" w:cs="宋体"/>
          <w:sz w:val="24"/>
          <w:szCs w:val="24"/>
        </w:rPr>
        <w:t xml:space="preserve">3.2.1 </w:t>
      </w:r>
      <w:r>
        <w:rPr>
          <w:rFonts w:hint="eastAsia" w:ascii="宋体" w:hAnsi="宋体" w:cs="宋体"/>
          <w:sz w:val="24"/>
          <w:szCs w:val="24"/>
        </w:rPr>
        <w:t>投标报价应包括国家规定的增值税税金，除投标人须知前附表另有规定外，增值税税金按一般计税方法计算。投标货币投标文件中投标报价全部采用人民币表示。</w:t>
      </w:r>
    </w:p>
    <w:p>
      <w:pPr>
        <w:snapToGrid w:val="0"/>
        <w:spacing w:line="520" w:lineRule="exact"/>
        <w:ind w:firstLine="480" w:firstLineChars="200"/>
        <w:textAlignment w:val="baseline"/>
        <w:rPr>
          <w:rFonts w:ascii="宋体"/>
          <w:sz w:val="24"/>
          <w:szCs w:val="24"/>
        </w:rPr>
      </w:pPr>
      <w:r>
        <w:rPr>
          <w:rFonts w:ascii="宋体" w:hAnsi="宋体" w:cs="宋体"/>
          <w:sz w:val="24"/>
          <w:szCs w:val="24"/>
        </w:rPr>
        <w:t>3.2.2</w:t>
      </w:r>
      <w:r>
        <w:rPr>
          <w:rFonts w:hint="eastAsia" w:ascii="宋体" w:hAnsi="宋体" w:cs="宋体"/>
          <w:sz w:val="24"/>
          <w:szCs w:val="24"/>
        </w:rPr>
        <w:t>投标报价</w:t>
      </w:r>
    </w:p>
    <w:p>
      <w:pPr>
        <w:snapToGrid w:val="0"/>
        <w:spacing w:line="52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人的投标报价为包含招标文件要求所有内容的报价；有关培训、技术服务等所需的全部费用。投标人应结合自身条件，充分考虑本项目实际情况以及市场因素、现场环境因素、社会因素等各方面的风险因素，投标报价将被认为已综合考虑可能发生的全部不可预见的风险费用。中标人无权再以估计不足为由提出任何延长服务期、增加价款或索赔等要求。</w:t>
      </w:r>
    </w:p>
    <w:p>
      <w:pPr>
        <w:snapToGrid w:val="0"/>
        <w:spacing w:line="520" w:lineRule="exact"/>
        <w:ind w:firstLine="480" w:firstLineChars="200"/>
        <w:textAlignment w:val="baseline"/>
        <w:rPr>
          <w:rFonts w:ascii="宋体"/>
          <w:sz w:val="24"/>
          <w:szCs w:val="24"/>
        </w:rPr>
      </w:pPr>
      <w:r>
        <w:rPr>
          <w:rFonts w:hint="eastAsia" w:ascii="宋体" w:hAnsi="宋体" w:cs="宋体"/>
          <w:sz w:val="24"/>
          <w:szCs w:val="24"/>
        </w:rPr>
        <w:t>注：投标人的投标报价中须包含供货后开具发票的费用。</w:t>
      </w:r>
    </w:p>
    <w:p>
      <w:pPr>
        <w:snapToGrid w:val="0"/>
        <w:spacing w:line="52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）投标人的投标报价如有漏项，视为已经包含在投标报价内。</w:t>
      </w:r>
      <w:bookmarkStart w:id="52" w:name="page19"/>
      <w:bookmarkEnd w:id="52"/>
    </w:p>
    <w:p>
      <w:pPr>
        <w:snapToGrid w:val="0"/>
        <w:spacing w:line="52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）投标报价包含单价和合价，单价乘数量与合价不符时以单价为准修正合价，单价小数点明显错误的除外。数字表示的价格与文字表示的价格不一致时以文字表示的为准。</w:t>
      </w:r>
    </w:p>
    <w:p>
      <w:pPr>
        <w:snapToGrid w:val="0"/>
        <w:spacing w:line="52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）投标文件中凡是与“报价”、“金额”有关的条款，前后金额数应一致，不一致时以投标函中的金额为准。</w:t>
      </w:r>
    </w:p>
    <w:p>
      <w:pPr>
        <w:snapToGrid w:val="0"/>
        <w:spacing w:line="52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）投标人应考虑价格变化风险。</w:t>
      </w:r>
    </w:p>
    <w:p>
      <w:pPr>
        <w:snapToGrid w:val="0"/>
        <w:spacing w:line="52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）投标报价不得低于企业成本。</w:t>
      </w:r>
    </w:p>
    <w:bookmarkEnd w:id="46"/>
    <w:bookmarkEnd w:id="47"/>
    <w:bookmarkEnd w:id="48"/>
    <w:bookmarkEnd w:id="49"/>
    <w:bookmarkEnd w:id="50"/>
    <w:bookmarkEnd w:id="51"/>
    <w:p>
      <w:pPr>
        <w:keepLines/>
        <w:snapToGrid w:val="0"/>
        <w:spacing w:line="540" w:lineRule="exact"/>
        <w:textAlignment w:val="baseline"/>
        <w:rPr>
          <w:rFonts w:ascii="宋体"/>
          <w:b/>
          <w:bCs/>
          <w:sz w:val="24"/>
          <w:szCs w:val="24"/>
        </w:rPr>
      </w:pPr>
      <w:bookmarkStart w:id="53" w:name="_Toc9931"/>
      <w:r>
        <w:rPr>
          <w:rFonts w:ascii="宋体" w:hAnsi="宋体" w:cs="宋体"/>
          <w:b/>
          <w:bCs/>
          <w:sz w:val="24"/>
          <w:szCs w:val="24"/>
        </w:rPr>
        <w:t xml:space="preserve">3.3 </w:t>
      </w:r>
      <w:r>
        <w:rPr>
          <w:rFonts w:hint="eastAsia" w:ascii="宋体" w:hAnsi="宋体" w:cs="宋体"/>
          <w:b/>
          <w:bCs/>
          <w:sz w:val="24"/>
          <w:szCs w:val="24"/>
        </w:rPr>
        <w:t>投标有效期</w:t>
      </w:r>
      <w:bookmarkEnd w:id="53"/>
    </w:p>
    <w:p>
      <w:pPr>
        <w:snapToGrid w:val="0"/>
        <w:spacing w:line="500" w:lineRule="exact"/>
        <w:ind w:firstLine="470" w:firstLineChars="196"/>
        <w:textAlignment w:val="baseline"/>
        <w:rPr>
          <w:rFonts w:ascii="宋体"/>
          <w:sz w:val="24"/>
          <w:szCs w:val="24"/>
        </w:rPr>
      </w:pPr>
      <w:r>
        <w:rPr>
          <w:rFonts w:ascii="宋体" w:hAnsi="宋体" w:cs="宋体"/>
          <w:sz w:val="24"/>
          <w:szCs w:val="24"/>
        </w:rPr>
        <w:t xml:space="preserve">3.3.1  </w:t>
      </w:r>
      <w:r>
        <w:rPr>
          <w:rFonts w:hint="eastAsia" w:ascii="宋体" w:hAnsi="宋体" w:cs="宋体"/>
          <w:sz w:val="24"/>
          <w:szCs w:val="24"/>
        </w:rPr>
        <w:t>在投标有效期内，投标人撤销投标文件的，应承担招标文件和法律规定的责任。</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3.3.2  </w:t>
      </w:r>
      <w:r>
        <w:rPr>
          <w:rFonts w:hint="eastAsia" w:ascii="宋体" w:hAnsi="宋体" w:cs="宋体"/>
          <w:sz w:val="24"/>
          <w:szCs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Lines/>
        <w:snapToGrid w:val="0"/>
        <w:spacing w:line="540" w:lineRule="exact"/>
        <w:textAlignment w:val="baseline"/>
        <w:rPr>
          <w:rFonts w:hint="eastAsia" w:ascii="宋体" w:eastAsia="宋体"/>
          <w:b/>
          <w:bCs/>
          <w:sz w:val="24"/>
          <w:szCs w:val="24"/>
          <w:lang w:eastAsia="zh-CN"/>
        </w:rPr>
      </w:pPr>
      <w:bookmarkStart w:id="54" w:name="_Toc9293"/>
      <w:r>
        <w:rPr>
          <w:rFonts w:ascii="宋体" w:hAnsi="宋体" w:cs="宋体"/>
          <w:b/>
          <w:bCs/>
          <w:sz w:val="24"/>
          <w:szCs w:val="24"/>
        </w:rPr>
        <w:t xml:space="preserve">3.4 </w:t>
      </w:r>
      <w:r>
        <w:rPr>
          <w:rFonts w:hint="eastAsia" w:ascii="宋体" w:hAnsi="宋体" w:cs="宋体"/>
          <w:b/>
          <w:bCs/>
          <w:sz w:val="24"/>
          <w:szCs w:val="24"/>
        </w:rPr>
        <w:t>投标保证金</w:t>
      </w:r>
      <w:bookmarkEnd w:id="54"/>
      <w:r>
        <w:rPr>
          <w:rFonts w:hint="eastAsia" w:ascii="宋体" w:hAnsi="宋体" w:cs="宋体"/>
          <w:b/>
          <w:bCs/>
          <w:sz w:val="24"/>
          <w:szCs w:val="24"/>
          <w:lang w:eastAsia="zh-CN"/>
        </w:rPr>
        <w:t>（不适用）</w:t>
      </w:r>
    </w:p>
    <w:p>
      <w:pPr>
        <w:snapToGrid w:val="0"/>
        <w:spacing w:line="500" w:lineRule="exact"/>
        <w:ind w:firstLine="480" w:firstLineChars="200"/>
        <w:textAlignment w:val="baseline"/>
        <w:rPr>
          <w:rFonts w:ascii="宋体"/>
          <w:sz w:val="24"/>
          <w:szCs w:val="24"/>
        </w:rPr>
      </w:pPr>
      <w:r>
        <w:rPr>
          <w:rFonts w:ascii="宋体" w:hAnsi="宋体" w:cs="宋体"/>
          <w:sz w:val="24"/>
          <w:szCs w:val="24"/>
        </w:rPr>
        <w:t>3.4.1</w:t>
      </w:r>
      <w:r>
        <w:rPr>
          <w:rFonts w:hint="eastAsia" w:ascii="宋体" w:hAnsi="宋体" w:cs="宋体"/>
          <w:sz w:val="24"/>
          <w:szCs w:val="24"/>
        </w:rPr>
        <w:t>投标人在递交投标文件的同时，应按投标人须知前附表规定的金额、形式和第六章“投标文件格式”规定的投标保证金格式递交投标保证金，并作为其投标文件的组成部分。境内投标人以现金或支票形式提交的投标保证金，应当从其基本账户转出并在投标文件中附上基本账户开户证明。联合体投标的，其投标保证金可以由牵头人递交，并应符合投标人须知前附表的规定。</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3.4.2 </w:t>
      </w:r>
      <w:r>
        <w:rPr>
          <w:rFonts w:hint="eastAsia" w:ascii="宋体" w:hAnsi="宋体" w:cs="宋体"/>
          <w:sz w:val="24"/>
          <w:szCs w:val="24"/>
        </w:rPr>
        <w:t>投标人不按本章第</w:t>
      </w:r>
      <w:r>
        <w:rPr>
          <w:rFonts w:ascii="宋体" w:hAnsi="宋体" w:cs="宋体"/>
          <w:sz w:val="24"/>
          <w:szCs w:val="24"/>
        </w:rPr>
        <w:t xml:space="preserve">3.4.1 </w:t>
      </w:r>
      <w:r>
        <w:rPr>
          <w:rFonts w:hint="eastAsia" w:ascii="宋体" w:hAnsi="宋体" w:cs="宋体"/>
          <w:sz w:val="24"/>
          <w:szCs w:val="24"/>
        </w:rPr>
        <w:t>项要求提交投标保证金的，评标委员会将否决其投标。</w:t>
      </w:r>
    </w:p>
    <w:p>
      <w:pPr>
        <w:snapToGrid w:val="0"/>
        <w:spacing w:line="500" w:lineRule="exact"/>
        <w:ind w:firstLine="480" w:firstLineChars="200"/>
        <w:textAlignment w:val="baseline"/>
        <w:rPr>
          <w:rFonts w:ascii="宋体"/>
          <w:sz w:val="24"/>
          <w:szCs w:val="24"/>
        </w:rPr>
      </w:pPr>
      <w:r>
        <w:rPr>
          <w:rFonts w:ascii="宋体" w:hAnsi="宋体" w:cs="宋体"/>
          <w:sz w:val="24"/>
          <w:szCs w:val="24"/>
        </w:rPr>
        <w:t>3.4.3</w:t>
      </w:r>
      <w:r>
        <w:rPr>
          <w:rFonts w:hint="eastAsia" w:ascii="宋体" w:hAnsi="宋体" w:cs="宋体"/>
          <w:sz w:val="24"/>
          <w:szCs w:val="24"/>
        </w:rPr>
        <w:t>招标人最迟将在与中标人签订合同后</w:t>
      </w:r>
      <w:r>
        <w:rPr>
          <w:rFonts w:ascii="宋体" w:hAnsi="宋体" w:cs="宋体"/>
          <w:sz w:val="24"/>
          <w:szCs w:val="24"/>
        </w:rPr>
        <w:t>5</w:t>
      </w:r>
      <w:r>
        <w:rPr>
          <w:rFonts w:hint="eastAsia" w:ascii="宋体" w:hAnsi="宋体" w:cs="宋体"/>
          <w:sz w:val="24"/>
          <w:szCs w:val="24"/>
        </w:rPr>
        <w:t>日内，向未中标的投标人和中标人退还投标保证金。投标保证金以现金或支票形式递交的，还应退还银行同期存款利息。</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3.4.4 </w:t>
      </w:r>
      <w:r>
        <w:rPr>
          <w:rFonts w:hint="eastAsia" w:ascii="宋体" w:hAnsi="宋体" w:cs="宋体"/>
          <w:sz w:val="24"/>
          <w:szCs w:val="24"/>
        </w:rPr>
        <w:t>有下列情形之一的，投标保证金将不予退还：</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⑴投标人在投标有效期内撤销投标文件；</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⑵中标人在收到中标通知书后，无正当理由不与招标人订立合同，在签订合同时向招标人提出附加条件；</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⑶投标人未在开标前通知招标人，主动放弃投标的；</w:t>
      </w:r>
    </w:p>
    <w:p>
      <w:pPr>
        <w:snapToGrid w:val="0"/>
        <w:spacing w:line="500" w:lineRule="exact"/>
        <w:ind w:firstLine="360" w:firstLineChars="150"/>
        <w:textAlignment w:val="baseline"/>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）发生投标人须知前附表规定的其他可以不予退还投标保证金的情形。</w:t>
      </w:r>
    </w:p>
    <w:p>
      <w:pPr>
        <w:keepLines/>
        <w:snapToGrid w:val="0"/>
        <w:spacing w:line="540" w:lineRule="exact"/>
        <w:textAlignment w:val="baseline"/>
        <w:rPr>
          <w:rFonts w:ascii="宋体"/>
          <w:b/>
          <w:bCs/>
          <w:sz w:val="24"/>
          <w:szCs w:val="24"/>
        </w:rPr>
      </w:pPr>
      <w:bookmarkStart w:id="55" w:name="_Toc73"/>
      <w:r>
        <w:rPr>
          <w:rFonts w:ascii="宋体" w:hAnsi="宋体" w:cs="宋体"/>
          <w:b/>
          <w:bCs/>
          <w:sz w:val="24"/>
          <w:szCs w:val="24"/>
        </w:rPr>
        <w:t xml:space="preserve">3.5 </w:t>
      </w:r>
      <w:r>
        <w:rPr>
          <w:rFonts w:hint="eastAsia" w:ascii="宋体" w:hAnsi="宋体" w:cs="宋体"/>
          <w:b/>
          <w:bCs/>
          <w:sz w:val="24"/>
          <w:szCs w:val="24"/>
        </w:rPr>
        <w:t>资格审查资料</w:t>
      </w:r>
      <w:bookmarkEnd w:id="55"/>
    </w:p>
    <w:p>
      <w:pPr>
        <w:snapToGrid w:val="0"/>
        <w:spacing w:line="500" w:lineRule="exact"/>
        <w:ind w:firstLine="482" w:firstLineChars="200"/>
        <w:textAlignment w:val="baseline"/>
        <w:rPr>
          <w:rFonts w:ascii="宋体"/>
          <w:b/>
          <w:bCs/>
          <w:sz w:val="24"/>
          <w:szCs w:val="24"/>
        </w:rPr>
      </w:pPr>
      <w:r>
        <w:rPr>
          <w:rFonts w:ascii="宋体" w:hAnsi="宋体" w:cs="宋体"/>
          <w:b/>
          <w:bCs/>
          <w:sz w:val="24"/>
          <w:szCs w:val="24"/>
        </w:rPr>
        <w:t>3.5.1</w:t>
      </w:r>
      <w:r>
        <w:rPr>
          <w:rFonts w:hint="eastAsia" w:ascii="宋体" w:hAnsi="宋体" w:cs="宋体"/>
          <w:b/>
          <w:bCs/>
          <w:sz w:val="24"/>
          <w:szCs w:val="24"/>
        </w:rPr>
        <w:t>见投标人须知前附表</w:t>
      </w:r>
    </w:p>
    <w:p>
      <w:pPr>
        <w:snapToGrid w:val="0"/>
        <w:spacing w:line="500" w:lineRule="exact"/>
        <w:ind w:firstLine="480" w:firstLineChars="200"/>
        <w:textAlignment w:val="baseline"/>
        <w:rPr>
          <w:rFonts w:ascii="宋体"/>
          <w:sz w:val="24"/>
          <w:szCs w:val="24"/>
        </w:rPr>
      </w:pPr>
      <w:r>
        <w:rPr>
          <w:rFonts w:ascii="宋体" w:hAnsi="宋体" w:cs="宋体"/>
          <w:sz w:val="24"/>
          <w:szCs w:val="24"/>
        </w:rPr>
        <w:t>3.5.2</w:t>
      </w:r>
      <w:r>
        <w:rPr>
          <w:rFonts w:hint="eastAsia" w:ascii="宋体" w:hAnsi="宋体" w:cs="宋体"/>
          <w:sz w:val="24"/>
          <w:szCs w:val="24"/>
        </w:rPr>
        <w:t>上述条款所需材料投标人应按前附表规定从河南省公共资源交易中心会员诚信库选择相应电子文件编入投标文件。投标人应及时更新河南省公共资源交易中心会员诚信库中的材料，确保相关材料真实有效。</w:t>
      </w:r>
    </w:p>
    <w:p>
      <w:pPr>
        <w:keepLines/>
        <w:snapToGrid w:val="0"/>
        <w:spacing w:line="540" w:lineRule="exact"/>
        <w:textAlignment w:val="baseline"/>
        <w:rPr>
          <w:rFonts w:ascii="宋体"/>
          <w:b/>
          <w:bCs/>
          <w:sz w:val="24"/>
          <w:szCs w:val="24"/>
        </w:rPr>
      </w:pPr>
      <w:bookmarkStart w:id="56" w:name="_Toc14395"/>
      <w:r>
        <w:rPr>
          <w:rFonts w:ascii="宋体" w:hAnsi="宋体" w:cs="宋体"/>
          <w:b/>
          <w:bCs/>
          <w:sz w:val="24"/>
          <w:szCs w:val="24"/>
        </w:rPr>
        <w:t xml:space="preserve">3.6 </w:t>
      </w:r>
      <w:r>
        <w:rPr>
          <w:rFonts w:hint="eastAsia" w:ascii="宋体" w:hAnsi="宋体" w:cs="宋体"/>
          <w:b/>
          <w:bCs/>
          <w:sz w:val="24"/>
          <w:szCs w:val="24"/>
        </w:rPr>
        <w:t>备选投标方案</w:t>
      </w:r>
      <w:bookmarkEnd w:id="56"/>
    </w:p>
    <w:p>
      <w:pPr>
        <w:snapToGrid w:val="0"/>
        <w:spacing w:line="540" w:lineRule="exact"/>
        <w:ind w:firstLine="480" w:firstLineChars="200"/>
        <w:textAlignment w:val="baseline"/>
        <w:rPr>
          <w:rFonts w:ascii="宋体"/>
          <w:sz w:val="24"/>
          <w:szCs w:val="24"/>
        </w:rPr>
      </w:pPr>
      <w:r>
        <w:rPr>
          <w:rFonts w:hint="eastAsia" w:ascii="宋体" w:hAnsi="宋体" w:cs="宋体"/>
          <w:sz w:val="24"/>
          <w:szCs w:val="24"/>
        </w:rPr>
        <w:t>除投标人须知前附表另有规定外，投标人不得递交备选投标方案。允许投标人递交备选投标方案的，只有中标人所递交的备选投标方案方可予以考虑。评标委员会认为中标人的各选投标方案优于其按照招标文件要求编制的投标方案的，招标人可以接受该备选投标方案。</w:t>
      </w:r>
    </w:p>
    <w:p>
      <w:pPr>
        <w:keepLines/>
        <w:snapToGrid w:val="0"/>
        <w:spacing w:line="540" w:lineRule="exact"/>
        <w:textAlignment w:val="baseline"/>
        <w:rPr>
          <w:rFonts w:ascii="宋体"/>
          <w:b/>
          <w:bCs/>
          <w:sz w:val="24"/>
          <w:szCs w:val="24"/>
        </w:rPr>
      </w:pPr>
      <w:bookmarkStart w:id="57" w:name="_Toc4196"/>
      <w:r>
        <w:rPr>
          <w:rFonts w:ascii="宋体" w:hAnsi="宋体" w:cs="宋体"/>
          <w:b/>
          <w:bCs/>
          <w:sz w:val="24"/>
          <w:szCs w:val="24"/>
        </w:rPr>
        <w:t xml:space="preserve">3.7 </w:t>
      </w:r>
      <w:r>
        <w:rPr>
          <w:rFonts w:hint="eastAsia" w:ascii="宋体" w:hAnsi="宋体" w:cs="宋体"/>
          <w:b/>
          <w:bCs/>
          <w:sz w:val="24"/>
          <w:szCs w:val="24"/>
        </w:rPr>
        <w:t>投标文件的编制</w:t>
      </w:r>
      <w:bookmarkEnd w:id="57"/>
    </w:p>
    <w:p>
      <w:pPr>
        <w:snapToGrid w:val="0"/>
        <w:spacing w:line="500" w:lineRule="exact"/>
        <w:ind w:firstLine="480" w:firstLineChars="200"/>
        <w:textAlignment w:val="baseline"/>
        <w:rPr>
          <w:rFonts w:ascii="宋体"/>
          <w:sz w:val="24"/>
          <w:szCs w:val="24"/>
        </w:rPr>
      </w:pPr>
      <w:bookmarkStart w:id="58" w:name="_Toc184635074"/>
      <w:bookmarkStart w:id="59" w:name="_Toc345178450"/>
      <w:r>
        <w:rPr>
          <w:rFonts w:ascii="宋体" w:hAnsi="宋体" w:cs="宋体"/>
          <w:sz w:val="24"/>
          <w:szCs w:val="24"/>
        </w:rPr>
        <w:t>3.7.1</w:t>
      </w:r>
      <w:r>
        <w:rPr>
          <w:rFonts w:hint="eastAsia" w:ascii="宋体" w:hAnsi="宋体" w:cs="宋体"/>
          <w:sz w:val="24"/>
          <w:szCs w:val="24"/>
        </w:rPr>
        <w:t>投标文件应按第六章“投标文件格式”使用河南省公共资源交易系统投标文件制作专用工具软件编制。</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3.7.2 </w:t>
      </w:r>
      <w:r>
        <w:rPr>
          <w:rFonts w:hint="eastAsia" w:ascii="宋体" w:hAnsi="宋体" w:cs="宋体"/>
          <w:sz w:val="24"/>
          <w:szCs w:val="24"/>
        </w:rPr>
        <w:t>投标文件应当对招标文件有关质保期、服务期限/交货期、技术标准和要求、招标范围等实质性内容作出响应。</w:t>
      </w:r>
    </w:p>
    <w:p>
      <w:pPr>
        <w:snapToGrid w:val="0"/>
        <w:spacing w:line="500" w:lineRule="exact"/>
        <w:ind w:firstLine="480" w:firstLineChars="200"/>
        <w:textAlignment w:val="baseline"/>
        <w:rPr>
          <w:rFonts w:ascii="宋体"/>
          <w:sz w:val="24"/>
          <w:szCs w:val="24"/>
        </w:rPr>
      </w:pPr>
      <w:r>
        <w:rPr>
          <w:rFonts w:ascii="宋体" w:hAnsi="宋体" w:cs="宋体"/>
          <w:sz w:val="24"/>
          <w:szCs w:val="24"/>
        </w:rPr>
        <w:t>3.7.4</w:t>
      </w:r>
      <w:r>
        <w:rPr>
          <w:rFonts w:hint="eastAsia" w:ascii="宋体" w:hAnsi="宋体" w:cs="宋体"/>
          <w:sz w:val="24"/>
          <w:szCs w:val="24"/>
        </w:rPr>
        <w:t>投标所需相关的资质、证明等资料均需先上传至河南省公共资源交易中心诚信库并经核验，投标人制作投标文件时所需资料须从诚信库中提取</w:t>
      </w:r>
      <w:bookmarkStart w:id="60" w:name="_Toc203530009"/>
      <w:bookmarkStart w:id="61" w:name="_Toc412733184"/>
      <w:bookmarkStart w:id="62" w:name="_Toc456203565"/>
      <w:r>
        <w:rPr>
          <w:rFonts w:hint="eastAsia" w:ascii="宋体" w:hAnsi="宋体" w:cs="宋体"/>
          <w:sz w:val="24"/>
          <w:szCs w:val="24"/>
        </w:rPr>
        <w:t>。</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3.7.5 </w:t>
      </w:r>
      <w:r>
        <w:rPr>
          <w:rFonts w:hint="eastAsia" w:ascii="宋体" w:hAnsi="宋体" w:cs="宋体"/>
          <w:sz w:val="24"/>
          <w:szCs w:val="24"/>
        </w:rPr>
        <w:t>投标资格文件</w:t>
      </w:r>
      <w:bookmarkEnd w:id="60"/>
      <w:bookmarkEnd w:id="61"/>
      <w:bookmarkEnd w:id="62"/>
    </w:p>
    <w:p>
      <w:pPr>
        <w:snapToGrid w:val="0"/>
        <w:spacing w:line="500" w:lineRule="exact"/>
        <w:ind w:firstLine="480" w:firstLineChars="200"/>
        <w:textAlignment w:val="baseline"/>
        <w:rPr>
          <w:rFonts w:ascii="宋体"/>
          <w:bCs/>
          <w:sz w:val="24"/>
          <w:szCs w:val="24"/>
        </w:rPr>
      </w:pPr>
      <w:r>
        <w:rPr>
          <w:rFonts w:ascii="宋体" w:hAnsi="宋体" w:cs="宋体"/>
          <w:bCs/>
          <w:sz w:val="24"/>
          <w:szCs w:val="24"/>
        </w:rPr>
        <w:t>3.7.5.1</w:t>
      </w:r>
      <w:r>
        <w:rPr>
          <w:rFonts w:hint="eastAsia" w:ascii="宋体" w:hAnsi="宋体" w:cs="宋体"/>
          <w:bCs/>
          <w:sz w:val="24"/>
          <w:szCs w:val="24"/>
        </w:rPr>
        <w:t>投标人必须提供有关投标符合招标文件要求的技术材料。</w:t>
      </w:r>
    </w:p>
    <w:p>
      <w:pPr>
        <w:snapToGrid w:val="0"/>
        <w:spacing w:line="500" w:lineRule="exact"/>
        <w:ind w:firstLine="480" w:firstLineChars="200"/>
        <w:textAlignment w:val="baseline"/>
        <w:rPr>
          <w:rFonts w:ascii="宋体"/>
          <w:sz w:val="24"/>
          <w:szCs w:val="24"/>
        </w:rPr>
      </w:pPr>
      <w:r>
        <w:rPr>
          <w:rFonts w:ascii="宋体" w:hAnsi="宋体" w:cs="宋体"/>
          <w:sz w:val="24"/>
          <w:szCs w:val="24"/>
        </w:rPr>
        <w:t>3.7.5.2</w:t>
      </w:r>
      <w:r>
        <w:rPr>
          <w:rFonts w:hint="eastAsia" w:ascii="宋体" w:hAnsi="宋体" w:cs="宋体"/>
          <w:sz w:val="24"/>
          <w:szCs w:val="24"/>
        </w:rPr>
        <w:t>投标人必须对招标文件中货物或服务的技术要求逐项、逐条明确答复；并认真、详细的填写“技术规格偏离表”，逐项、逐条说明响应或偏离情况。</w:t>
      </w:r>
    </w:p>
    <w:bookmarkEnd w:id="58"/>
    <w:bookmarkEnd w:id="59"/>
    <w:p>
      <w:pPr>
        <w:keepLines/>
        <w:snapToGrid w:val="0"/>
        <w:spacing w:line="540" w:lineRule="exact"/>
        <w:textAlignment w:val="baseline"/>
        <w:rPr>
          <w:rFonts w:ascii="宋体"/>
          <w:b/>
          <w:bCs/>
          <w:sz w:val="24"/>
          <w:szCs w:val="24"/>
        </w:rPr>
      </w:pPr>
      <w:bookmarkStart w:id="63" w:name="_Toc7385"/>
      <w:bookmarkStart w:id="64" w:name="_Toc74732262"/>
      <w:bookmarkStart w:id="65" w:name="_Toc74732319"/>
      <w:r>
        <w:rPr>
          <w:rFonts w:ascii="宋体" w:hAnsi="宋体" w:cs="宋体"/>
          <w:b/>
          <w:bCs/>
          <w:sz w:val="24"/>
          <w:szCs w:val="24"/>
        </w:rPr>
        <w:t>4.</w:t>
      </w:r>
      <w:r>
        <w:rPr>
          <w:rFonts w:hint="eastAsia" w:ascii="宋体" w:hAnsi="宋体" w:cs="宋体"/>
          <w:b/>
          <w:bCs/>
          <w:sz w:val="24"/>
          <w:szCs w:val="24"/>
        </w:rPr>
        <w:t>投标</w:t>
      </w:r>
      <w:bookmarkEnd w:id="63"/>
      <w:bookmarkEnd w:id="64"/>
      <w:bookmarkEnd w:id="65"/>
    </w:p>
    <w:p>
      <w:pPr>
        <w:keepLines/>
        <w:snapToGrid w:val="0"/>
        <w:spacing w:line="540" w:lineRule="exact"/>
        <w:textAlignment w:val="baseline"/>
        <w:rPr>
          <w:rFonts w:ascii="宋体"/>
          <w:b/>
          <w:bCs/>
          <w:sz w:val="24"/>
          <w:szCs w:val="24"/>
        </w:rPr>
      </w:pPr>
      <w:bookmarkStart w:id="66" w:name="_Toc14814"/>
      <w:r>
        <w:rPr>
          <w:rFonts w:ascii="宋体" w:hAnsi="宋体" w:cs="宋体"/>
          <w:b/>
          <w:bCs/>
          <w:sz w:val="24"/>
          <w:szCs w:val="24"/>
        </w:rPr>
        <w:t xml:space="preserve">4.1 </w:t>
      </w:r>
      <w:r>
        <w:rPr>
          <w:rFonts w:hint="eastAsia" w:ascii="宋体" w:hAnsi="宋体" w:cs="宋体"/>
          <w:b/>
          <w:bCs/>
          <w:sz w:val="24"/>
          <w:szCs w:val="24"/>
        </w:rPr>
        <w:t>投标文件的密封和标记</w:t>
      </w:r>
      <w:bookmarkEnd w:id="66"/>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4.1.1 </w:t>
      </w:r>
      <w:r>
        <w:rPr>
          <w:rFonts w:hint="eastAsia" w:ascii="宋体" w:hAnsi="宋体" w:cs="宋体"/>
          <w:sz w:val="24"/>
          <w:szCs w:val="24"/>
        </w:rPr>
        <w:t>网上上传的电子投标文件应使用数字证书认证并加密。</w:t>
      </w:r>
    </w:p>
    <w:p>
      <w:pPr>
        <w:keepLines/>
        <w:snapToGrid w:val="0"/>
        <w:spacing w:line="540" w:lineRule="exact"/>
        <w:textAlignment w:val="baseline"/>
        <w:rPr>
          <w:rFonts w:ascii="宋体"/>
          <w:b/>
          <w:bCs/>
          <w:sz w:val="24"/>
          <w:szCs w:val="24"/>
        </w:rPr>
      </w:pPr>
      <w:bookmarkStart w:id="67" w:name="_Toc22547"/>
      <w:r>
        <w:rPr>
          <w:rFonts w:ascii="宋体" w:hAnsi="宋体" w:cs="宋体"/>
          <w:b/>
          <w:bCs/>
          <w:sz w:val="24"/>
          <w:szCs w:val="24"/>
        </w:rPr>
        <w:t xml:space="preserve">4.2 </w:t>
      </w:r>
      <w:r>
        <w:rPr>
          <w:rFonts w:hint="eastAsia" w:ascii="宋体" w:hAnsi="宋体" w:cs="宋体"/>
          <w:b/>
          <w:bCs/>
          <w:sz w:val="24"/>
          <w:szCs w:val="24"/>
        </w:rPr>
        <w:t>投标文件的递交</w:t>
      </w:r>
      <w:bookmarkEnd w:id="67"/>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4.2.1 </w:t>
      </w:r>
      <w:r>
        <w:rPr>
          <w:rFonts w:hint="eastAsia" w:ascii="宋体" w:hAnsi="宋体" w:cs="宋体"/>
          <w:sz w:val="24"/>
          <w:szCs w:val="24"/>
        </w:rPr>
        <w:t>投标人应在本章第</w:t>
      </w:r>
      <w:r>
        <w:rPr>
          <w:rFonts w:ascii="宋体" w:hAnsi="宋体" w:cs="宋体"/>
          <w:sz w:val="24"/>
          <w:szCs w:val="24"/>
        </w:rPr>
        <w:t xml:space="preserve">2.2.2 </w:t>
      </w:r>
      <w:r>
        <w:rPr>
          <w:rFonts w:hint="eastAsia" w:ascii="宋体" w:hAnsi="宋体" w:cs="宋体"/>
          <w:sz w:val="24"/>
          <w:szCs w:val="24"/>
        </w:rPr>
        <w:t>项规定的投标截止时间前上传加密的电子投标文件（</w:t>
      </w:r>
      <w:r>
        <w:rPr>
          <w:rFonts w:ascii="宋体" w:hAnsi="宋体" w:cs="宋体"/>
          <w:sz w:val="24"/>
          <w:szCs w:val="24"/>
        </w:rPr>
        <w:t>*.hntf</w:t>
      </w:r>
      <w:r>
        <w:rPr>
          <w:rFonts w:hint="eastAsia" w:ascii="宋体" w:hAnsi="宋体" w:cs="宋体"/>
          <w:sz w:val="24"/>
          <w:szCs w:val="24"/>
        </w:rPr>
        <w:t>）到会员系统的指定位置。上传时必须得到电脑“上传成功”的确认。请投标人在上传时认真检查上传投标文件是否完整、正确。投标人因交易中心投标系统问题无法上传电子投标文件时，请在工作时间与河南省公共资源交易中心联系。</w:t>
      </w:r>
    </w:p>
    <w:p>
      <w:pPr>
        <w:snapToGrid w:val="0"/>
        <w:spacing w:line="540" w:lineRule="exact"/>
        <w:textAlignment w:val="baseline"/>
        <w:rPr>
          <w:rFonts w:ascii="宋体"/>
          <w:b/>
          <w:bCs/>
          <w:sz w:val="24"/>
          <w:szCs w:val="24"/>
        </w:rPr>
      </w:pPr>
      <w:r>
        <w:rPr>
          <w:rFonts w:ascii="宋体" w:hAnsi="宋体" w:cs="宋体"/>
          <w:b/>
          <w:bCs/>
          <w:sz w:val="24"/>
          <w:szCs w:val="24"/>
        </w:rPr>
        <w:t xml:space="preserve">4.3 </w:t>
      </w:r>
      <w:r>
        <w:rPr>
          <w:rFonts w:hint="eastAsia" w:ascii="宋体" w:hAnsi="宋体" w:cs="宋体"/>
          <w:b/>
          <w:bCs/>
          <w:sz w:val="24"/>
          <w:szCs w:val="24"/>
        </w:rPr>
        <w:t>投标文件的修改与撤回</w:t>
      </w:r>
    </w:p>
    <w:p>
      <w:pPr>
        <w:snapToGrid w:val="0"/>
        <w:spacing w:line="500" w:lineRule="exact"/>
        <w:ind w:firstLine="480" w:firstLineChars="200"/>
        <w:textAlignment w:val="baseline"/>
        <w:rPr>
          <w:rFonts w:ascii="宋体"/>
          <w:sz w:val="24"/>
          <w:szCs w:val="24"/>
        </w:rPr>
      </w:pPr>
      <w:bookmarkStart w:id="68" w:name="_Toc345178451"/>
      <w:bookmarkStart w:id="69" w:name="_Toc184635075"/>
      <w:r>
        <w:rPr>
          <w:rFonts w:ascii="宋体" w:hAnsi="宋体" w:cs="宋体"/>
          <w:sz w:val="24"/>
          <w:szCs w:val="24"/>
        </w:rPr>
        <w:t xml:space="preserve">4.3.1 </w:t>
      </w:r>
      <w:r>
        <w:rPr>
          <w:rFonts w:hint="eastAsia" w:ascii="宋体" w:hAnsi="宋体" w:cs="宋体"/>
          <w:sz w:val="24"/>
          <w:szCs w:val="24"/>
        </w:rPr>
        <w:t>在本章第</w:t>
      </w:r>
      <w:r>
        <w:rPr>
          <w:rFonts w:ascii="宋体" w:hAnsi="宋体" w:cs="宋体"/>
          <w:sz w:val="24"/>
          <w:szCs w:val="24"/>
        </w:rPr>
        <w:t>2.2.2</w:t>
      </w:r>
      <w:r>
        <w:rPr>
          <w:rFonts w:hint="eastAsia" w:ascii="宋体" w:hAnsi="宋体" w:cs="宋体"/>
          <w:sz w:val="24"/>
          <w:szCs w:val="24"/>
        </w:rPr>
        <w:t>项规定的投标截止时间前，投标人可以多次修改或撤回已递交的投标文件，最终投标文件以投标截止时间前完成上传至河南省公共资源交易中心交易系统最后一份投标文件为准。</w:t>
      </w:r>
    </w:p>
    <w:p>
      <w:pPr>
        <w:snapToGrid w:val="0"/>
        <w:spacing w:line="500" w:lineRule="exact"/>
        <w:ind w:firstLine="480" w:firstLineChars="200"/>
        <w:textAlignment w:val="baseline"/>
        <w:rPr>
          <w:rFonts w:ascii="宋体"/>
          <w:sz w:val="24"/>
          <w:szCs w:val="24"/>
        </w:rPr>
      </w:pPr>
      <w:r>
        <w:rPr>
          <w:rFonts w:ascii="宋体" w:hAnsi="宋体" w:cs="宋体"/>
          <w:sz w:val="24"/>
          <w:szCs w:val="24"/>
        </w:rPr>
        <w:t>4.3.2</w:t>
      </w:r>
      <w:r>
        <w:rPr>
          <w:rFonts w:hint="eastAsia" w:ascii="宋体" w:hAnsi="宋体" w:cs="宋体"/>
          <w:sz w:val="24"/>
          <w:szCs w:val="24"/>
        </w:rPr>
        <w:t>修改的投标文件应按照本章第</w:t>
      </w:r>
      <w:r>
        <w:rPr>
          <w:rFonts w:ascii="宋体" w:hAnsi="宋体" w:cs="宋体"/>
          <w:sz w:val="24"/>
          <w:szCs w:val="24"/>
        </w:rPr>
        <w:t>3</w:t>
      </w:r>
      <w:r>
        <w:rPr>
          <w:rFonts w:hint="eastAsia" w:ascii="宋体" w:hAnsi="宋体" w:cs="宋体"/>
          <w:sz w:val="24"/>
          <w:szCs w:val="24"/>
        </w:rPr>
        <w:t>条、第</w:t>
      </w:r>
      <w:r>
        <w:rPr>
          <w:rFonts w:ascii="宋体" w:hAnsi="宋体" w:cs="宋体"/>
          <w:sz w:val="24"/>
          <w:szCs w:val="24"/>
        </w:rPr>
        <w:t>4</w:t>
      </w:r>
      <w:r>
        <w:rPr>
          <w:rFonts w:hint="eastAsia" w:ascii="宋体" w:hAnsi="宋体" w:cs="宋体"/>
          <w:sz w:val="24"/>
          <w:szCs w:val="24"/>
        </w:rPr>
        <w:t>条规定进行编制和递交。</w:t>
      </w:r>
    </w:p>
    <w:p>
      <w:pPr>
        <w:keepLines/>
        <w:snapToGrid w:val="0"/>
        <w:spacing w:line="540" w:lineRule="exact"/>
        <w:textAlignment w:val="baseline"/>
        <w:rPr>
          <w:rFonts w:ascii="宋体"/>
          <w:b/>
          <w:bCs/>
          <w:sz w:val="24"/>
          <w:szCs w:val="24"/>
        </w:rPr>
      </w:pPr>
      <w:bookmarkStart w:id="70" w:name="_Toc74732320"/>
      <w:bookmarkStart w:id="71" w:name="_Toc10332"/>
      <w:bookmarkStart w:id="72" w:name="_Toc74732263"/>
      <w:r>
        <w:rPr>
          <w:rFonts w:ascii="宋体" w:hAnsi="宋体" w:cs="宋体"/>
          <w:b/>
          <w:bCs/>
          <w:sz w:val="24"/>
          <w:szCs w:val="24"/>
        </w:rPr>
        <w:t>5.</w:t>
      </w:r>
      <w:r>
        <w:rPr>
          <w:rFonts w:hint="eastAsia" w:ascii="宋体" w:hAnsi="宋体" w:cs="宋体"/>
          <w:b/>
          <w:bCs/>
          <w:sz w:val="24"/>
          <w:szCs w:val="24"/>
        </w:rPr>
        <w:t>开标</w:t>
      </w:r>
      <w:bookmarkEnd w:id="68"/>
      <w:bookmarkEnd w:id="69"/>
      <w:bookmarkEnd w:id="70"/>
      <w:bookmarkEnd w:id="71"/>
      <w:bookmarkEnd w:id="72"/>
    </w:p>
    <w:p>
      <w:pPr>
        <w:keepLines/>
        <w:snapToGrid w:val="0"/>
        <w:spacing w:line="540" w:lineRule="exact"/>
        <w:textAlignment w:val="baseline"/>
        <w:rPr>
          <w:rFonts w:ascii="宋体"/>
          <w:b/>
          <w:bCs/>
          <w:sz w:val="24"/>
          <w:szCs w:val="24"/>
        </w:rPr>
      </w:pPr>
      <w:bookmarkStart w:id="73" w:name="_Toc22203"/>
      <w:r>
        <w:rPr>
          <w:rFonts w:ascii="宋体" w:hAnsi="宋体" w:cs="宋体"/>
          <w:b/>
          <w:bCs/>
          <w:sz w:val="24"/>
          <w:szCs w:val="24"/>
        </w:rPr>
        <w:t xml:space="preserve">5.1 </w:t>
      </w:r>
      <w:r>
        <w:rPr>
          <w:rFonts w:hint="eastAsia" w:ascii="宋体" w:hAnsi="宋体" w:cs="宋体"/>
          <w:b/>
          <w:bCs/>
          <w:sz w:val="24"/>
          <w:szCs w:val="24"/>
        </w:rPr>
        <w:t>开标时间和地点</w:t>
      </w:r>
      <w:bookmarkEnd w:id="73"/>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5.1.1 </w:t>
      </w:r>
      <w:r>
        <w:rPr>
          <w:rFonts w:hint="eastAsia" w:ascii="宋体" w:hAnsi="宋体" w:cs="宋体"/>
          <w:sz w:val="24"/>
          <w:szCs w:val="24"/>
        </w:rPr>
        <w:t>招标人在本章第</w:t>
      </w:r>
      <w:r>
        <w:rPr>
          <w:rFonts w:ascii="宋体" w:hAnsi="宋体" w:cs="宋体"/>
          <w:sz w:val="24"/>
          <w:szCs w:val="24"/>
        </w:rPr>
        <w:t xml:space="preserve"> 2.2.2 </w:t>
      </w:r>
      <w:r>
        <w:rPr>
          <w:rFonts w:hint="eastAsia" w:ascii="宋体" w:hAnsi="宋体" w:cs="宋体"/>
          <w:sz w:val="24"/>
          <w:szCs w:val="24"/>
        </w:rPr>
        <w:t>项规定的投标截止时间（开标时间）和投标人须知前附表规定的地点通过远程进行公开开标。投标人不需要到开标现场，只需根据要求进行远程解密。</w:t>
      </w:r>
      <w:r>
        <w:rPr>
          <w:rFonts w:hint="eastAsia" w:ascii="宋体" w:hAnsi="宋体" w:cs="宋体"/>
          <w:kern w:val="0"/>
          <w:sz w:val="24"/>
          <w:szCs w:val="24"/>
        </w:rPr>
        <w:t>河南省公共资源交易中心现采用“远程不见面”开标方式，投标人须提前进入不见面开标大厅（</w:t>
      </w:r>
      <w:r>
        <w:rPr>
          <w:rFonts w:ascii="宋体" w:hAnsi="宋体" w:cs="宋体"/>
          <w:kern w:val="0"/>
          <w:sz w:val="24"/>
          <w:szCs w:val="24"/>
        </w:rPr>
        <w:t>http://www.hnggzy.net/</w:t>
      </w:r>
      <w:r>
        <w:rPr>
          <w:rFonts w:hint="eastAsia" w:ascii="宋体" w:hAnsi="宋体" w:cs="宋体"/>
          <w:kern w:val="0"/>
          <w:sz w:val="24"/>
          <w:szCs w:val="24"/>
        </w:rPr>
        <w:t>）进行开标操作和投标文件的解密。具体操作流程及程序，请投标人查阅河南省公共资源交易平台。</w:t>
      </w:r>
    </w:p>
    <w:p>
      <w:pPr>
        <w:keepLines/>
        <w:snapToGrid w:val="0"/>
        <w:spacing w:line="540" w:lineRule="exact"/>
        <w:textAlignment w:val="baseline"/>
        <w:rPr>
          <w:rFonts w:ascii="宋体"/>
          <w:b/>
          <w:bCs/>
          <w:sz w:val="24"/>
          <w:szCs w:val="24"/>
        </w:rPr>
      </w:pPr>
      <w:bookmarkStart w:id="74" w:name="_Toc19999"/>
      <w:r>
        <w:rPr>
          <w:rFonts w:ascii="宋体" w:hAnsi="宋体" w:cs="宋体"/>
          <w:b/>
          <w:bCs/>
          <w:sz w:val="24"/>
          <w:szCs w:val="24"/>
        </w:rPr>
        <w:t xml:space="preserve">5.2 </w:t>
      </w:r>
      <w:r>
        <w:rPr>
          <w:rFonts w:hint="eastAsia" w:ascii="宋体" w:hAnsi="宋体" w:cs="宋体"/>
          <w:b/>
          <w:bCs/>
          <w:sz w:val="24"/>
          <w:szCs w:val="24"/>
        </w:rPr>
        <w:t>开标程序</w:t>
      </w:r>
      <w:bookmarkEnd w:id="74"/>
    </w:p>
    <w:p>
      <w:pPr>
        <w:snapToGrid w:val="0"/>
        <w:spacing w:line="500" w:lineRule="exact"/>
        <w:ind w:firstLine="480" w:firstLineChars="200"/>
        <w:textAlignment w:val="baseline"/>
        <w:rPr>
          <w:rFonts w:ascii="宋体"/>
          <w:sz w:val="24"/>
          <w:szCs w:val="24"/>
        </w:rPr>
      </w:pPr>
      <w:bookmarkStart w:id="75" w:name="_Toc184635076"/>
      <w:bookmarkStart w:id="76" w:name="_Toc345178452"/>
      <w:r>
        <w:rPr>
          <w:rFonts w:ascii="宋体" w:hAnsi="宋体" w:cs="宋体"/>
          <w:sz w:val="24"/>
          <w:szCs w:val="24"/>
        </w:rPr>
        <w:t>5.2.1</w:t>
      </w:r>
      <w:r>
        <w:rPr>
          <w:rFonts w:hint="eastAsia" w:ascii="宋体" w:hAnsi="宋体" w:cs="宋体"/>
          <w:sz w:val="24"/>
          <w:szCs w:val="24"/>
        </w:rPr>
        <w:t>本项目采用电子开标。到投标截止时间止，各投标人按电子投标文件递交的顺序对电子投标文件进行解密。解密完成后各投标人的电子投标文件的实质性内容将自动显示在网页中。投标人在投标截止时间前未上传电子投标文件的将视为放弃投标。</w:t>
      </w:r>
    </w:p>
    <w:p>
      <w:pPr>
        <w:keepLines/>
        <w:snapToGrid w:val="0"/>
        <w:spacing w:line="540" w:lineRule="exact"/>
        <w:textAlignment w:val="baseline"/>
        <w:rPr>
          <w:rFonts w:ascii="宋体"/>
          <w:b/>
          <w:bCs/>
          <w:sz w:val="24"/>
          <w:szCs w:val="24"/>
        </w:rPr>
      </w:pPr>
      <w:bookmarkStart w:id="77" w:name="_Toc74732264"/>
      <w:bookmarkStart w:id="78" w:name="_Toc74732321"/>
      <w:bookmarkStart w:id="79" w:name="_Toc32736"/>
      <w:r>
        <w:rPr>
          <w:rFonts w:ascii="宋体" w:hAnsi="宋体" w:cs="宋体"/>
          <w:b/>
          <w:bCs/>
          <w:sz w:val="24"/>
          <w:szCs w:val="24"/>
        </w:rPr>
        <w:t>6.</w:t>
      </w:r>
      <w:r>
        <w:rPr>
          <w:rFonts w:hint="eastAsia" w:ascii="宋体" w:hAnsi="宋体" w:cs="宋体"/>
          <w:b/>
          <w:bCs/>
          <w:sz w:val="24"/>
          <w:szCs w:val="24"/>
        </w:rPr>
        <w:t>评标</w:t>
      </w:r>
      <w:bookmarkEnd w:id="75"/>
      <w:bookmarkEnd w:id="76"/>
      <w:bookmarkEnd w:id="77"/>
      <w:bookmarkEnd w:id="78"/>
      <w:bookmarkEnd w:id="79"/>
    </w:p>
    <w:p>
      <w:pPr>
        <w:keepLines/>
        <w:snapToGrid w:val="0"/>
        <w:spacing w:line="540" w:lineRule="exact"/>
        <w:textAlignment w:val="baseline"/>
        <w:rPr>
          <w:rFonts w:ascii="宋体"/>
          <w:b/>
          <w:bCs/>
          <w:sz w:val="24"/>
          <w:szCs w:val="24"/>
        </w:rPr>
      </w:pPr>
      <w:bookmarkStart w:id="80" w:name="_Toc1158"/>
      <w:r>
        <w:rPr>
          <w:rFonts w:ascii="宋体" w:hAnsi="宋体" w:cs="宋体"/>
          <w:b/>
          <w:bCs/>
          <w:sz w:val="24"/>
          <w:szCs w:val="24"/>
        </w:rPr>
        <w:t xml:space="preserve">6.1 </w:t>
      </w:r>
      <w:r>
        <w:rPr>
          <w:rFonts w:hint="eastAsia" w:ascii="宋体" w:hAnsi="宋体" w:cs="宋体"/>
          <w:b/>
          <w:bCs/>
          <w:sz w:val="24"/>
          <w:szCs w:val="24"/>
        </w:rPr>
        <w:t>评标委员会</w:t>
      </w:r>
      <w:bookmarkEnd w:id="80"/>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6.1.1 </w:t>
      </w:r>
      <w:r>
        <w:rPr>
          <w:rFonts w:hint="eastAsia" w:ascii="宋体" w:hAnsi="宋体" w:cs="宋体"/>
          <w:sz w:val="24"/>
          <w:szCs w:val="24"/>
        </w:rPr>
        <w:t>评标由招标人依法组建的评标委员会负责。评标委员会由招标人或其委托的代表，以及有关技术、经济等方面的专家组成。评标委员会成员人数以及技术、经济等方面专家的确定方式见投标人须知前附表。</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6.1.2  </w:t>
      </w:r>
      <w:r>
        <w:rPr>
          <w:rFonts w:hint="eastAsia" w:ascii="宋体" w:hAnsi="宋体" w:cs="宋体"/>
          <w:sz w:val="24"/>
          <w:szCs w:val="24"/>
        </w:rPr>
        <w:t>评标委员会成员有下列情形之一的，应当回避：</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）招标人或投标人的主要负责人的近亲属；</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）项目主管部门或者行政监督部门的人员；</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）与投标人有经济利益关系，可能影响对投标公正评审的；</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）曾因在招标、评标以及其他与招标投标有关活动中从事违法行为而受过行政处罚或刑事处罚的。</w:t>
      </w:r>
    </w:p>
    <w:p>
      <w:pPr>
        <w:keepLines/>
        <w:snapToGrid w:val="0"/>
        <w:spacing w:line="540" w:lineRule="exact"/>
        <w:textAlignment w:val="baseline"/>
        <w:rPr>
          <w:rFonts w:ascii="宋体"/>
          <w:b/>
          <w:bCs/>
          <w:sz w:val="24"/>
          <w:szCs w:val="24"/>
        </w:rPr>
      </w:pPr>
      <w:bookmarkStart w:id="81" w:name="_Toc17348"/>
      <w:r>
        <w:rPr>
          <w:rFonts w:ascii="宋体" w:hAnsi="宋体" w:cs="宋体"/>
          <w:b/>
          <w:bCs/>
          <w:sz w:val="24"/>
          <w:szCs w:val="24"/>
        </w:rPr>
        <w:t xml:space="preserve">6.2 </w:t>
      </w:r>
      <w:r>
        <w:rPr>
          <w:rFonts w:hint="eastAsia" w:ascii="宋体" w:hAnsi="宋体" w:cs="宋体"/>
          <w:b/>
          <w:bCs/>
          <w:sz w:val="24"/>
          <w:szCs w:val="24"/>
        </w:rPr>
        <w:t>评标原则</w:t>
      </w:r>
      <w:bookmarkEnd w:id="81"/>
    </w:p>
    <w:p>
      <w:pPr>
        <w:snapToGrid w:val="0"/>
        <w:spacing w:line="540" w:lineRule="exact"/>
        <w:ind w:firstLine="480" w:firstLineChars="200"/>
        <w:textAlignment w:val="baseline"/>
        <w:rPr>
          <w:rFonts w:ascii="宋体"/>
          <w:sz w:val="24"/>
          <w:szCs w:val="24"/>
        </w:rPr>
      </w:pPr>
      <w:r>
        <w:rPr>
          <w:rFonts w:ascii="宋体" w:hAnsi="宋体" w:cs="宋体"/>
          <w:sz w:val="24"/>
          <w:szCs w:val="24"/>
        </w:rPr>
        <w:t>6.2.1</w:t>
      </w:r>
      <w:r>
        <w:rPr>
          <w:rFonts w:hint="eastAsia" w:ascii="宋体" w:hAnsi="宋体" w:cs="宋体"/>
          <w:sz w:val="24"/>
          <w:szCs w:val="24"/>
        </w:rPr>
        <w:t>公平、公正、科学和择优；</w:t>
      </w:r>
    </w:p>
    <w:p>
      <w:pPr>
        <w:snapToGrid w:val="0"/>
        <w:spacing w:line="540" w:lineRule="exact"/>
        <w:ind w:firstLine="480" w:firstLineChars="200"/>
        <w:textAlignment w:val="baseline"/>
        <w:rPr>
          <w:rFonts w:ascii="宋体"/>
          <w:sz w:val="24"/>
          <w:szCs w:val="24"/>
        </w:rPr>
      </w:pPr>
      <w:r>
        <w:rPr>
          <w:rFonts w:ascii="宋体" w:hAnsi="宋体" w:cs="宋体"/>
          <w:sz w:val="24"/>
          <w:szCs w:val="24"/>
        </w:rPr>
        <w:t>6.2.2</w:t>
      </w:r>
      <w:r>
        <w:rPr>
          <w:rFonts w:hint="eastAsia" w:ascii="宋体" w:hAnsi="宋体" w:cs="宋体"/>
          <w:sz w:val="24"/>
          <w:szCs w:val="24"/>
        </w:rPr>
        <w:t>质量好、信誉高、价格合理、使用寿命长、技术先进可行；</w:t>
      </w:r>
    </w:p>
    <w:p>
      <w:pPr>
        <w:snapToGrid w:val="0"/>
        <w:spacing w:line="540" w:lineRule="exact"/>
        <w:ind w:firstLine="480" w:firstLineChars="200"/>
        <w:textAlignment w:val="baseline"/>
        <w:rPr>
          <w:rFonts w:ascii="宋体"/>
          <w:sz w:val="24"/>
          <w:szCs w:val="24"/>
        </w:rPr>
      </w:pPr>
      <w:r>
        <w:rPr>
          <w:rFonts w:ascii="宋体" w:hAnsi="宋体" w:cs="宋体"/>
          <w:sz w:val="24"/>
          <w:szCs w:val="24"/>
        </w:rPr>
        <w:t>6.2.3</w:t>
      </w:r>
      <w:r>
        <w:rPr>
          <w:rFonts w:hint="eastAsia" w:ascii="宋体" w:hAnsi="宋体" w:cs="宋体"/>
          <w:sz w:val="24"/>
          <w:szCs w:val="24"/>
        </w:rPr>
        <w:t>评标时，投标报价是评标的重要依据。</w:t>
      </w:r>
    </w:p>
    <w:p>
      <w:pPr>
        <w:keepLines/>
        <w:snapToGrid w:val="0"/>
        <w:spacing w:line="540" w:lineRule="exact"/>
        <w:textAlignment w:val="baseline"/>
        <w:rPr>
          <w:rFonts w:ascii="宋体"/>
          <w:b/>
          <w:bCs/>
          <w:sz w:val="24"/>
          <w:szCs w:val="24"/>
        </w:rPr>
      </w:pPr>
      <w:bookmarkStart w:id="82" w:name="_Toc3492"/>
      <w:r>
        <w:rPr>
          <w:rFonts w:ascii="宋体" w:hAnsi="宋体" w:cs="宋体"/>
          <w:b/>
          <w:bCs/>
          <w:sz w:val="24"/>
          <w:szCs w:val="24"/>
        </w:rPr>
        <w:t xml:space="preserve">6.3 </w:t>
      </w:r>
      <w:r>
        <w:rPr>
          <w:rFonts w:hint="eastAsia" w:ascii="宋体" w:hAnsi="宋体" w:cs="宋体"/>
          <w:b/>
          <w:bCs/>
          <w:sz w:val="24"/>
          <w:szCs w:val="24"/>
        </w:rPr>
        <w:t>评标</w:t>
      </w:r>
      <w:bookmarkEnd w:id="82"/>
    </w:p>
    <w:p>
      <w:pPr>
        <w:snapToGrid w:val="0"/>
        <w:spacing w:line="540" w:lineRule="exact"/>
        <w:ind w:firstLine="480" w:firstLineChars="200"/>
        <w:textAlignment w:val="baseline"/>
        <w:rPr>
          <w:rFonts w:ascii="宋体"/>
          <w:sz w:val="24"/>
          <w:szCs w:val="24"/>
        </w:rPr>
      </w:pPr>
      <w:r>
        <w:rPr>
          <w:rFonts w:hint="eastAsia" w:ascii="宋体" w:hAnsi="宋体" w:cs="宋体"/>
          <w:sz w:val="24"/>
          <w:szCs w:val="24"/>
        </w:rPr>
        <w:t>评标委员会按照第三章“评标办法”规定的方法、评审因素、标准和程序对投标文件进行评审。第三章“评标办法”没有规定的方法、评审因素和标准，不作为评标依据。</w:t>
      </w:r>
    </w:p>
    <w:p>
      <w:pPr>
        <w:keepLines/>
        <w:snapToGrid w:val="0"/>
        <w:spacing w:line="540" w:lineRule="exact"/>
        <w:textAlignment w:val="baseline"/>
        <w:rPr>
          <w:rFonts w:ascii="宋体"/>
          <w:b/>
          <w:bCs/>
          <w:sz w:val="24"/>
          <w:szCs w:val="24"/>
        </w:rPr>
      </w:pPr>
      <w:bookmarkStart w:id="83" w:name="_Toc184635077"/>
      <w:bookmarkStart w:id="84" w:name="_Toc2983"/>
      <w:bookmarkStart w:id="85" w:name="_Toc74732265"/>
      <w:bookmarkStart w:id="86" w:name="_Toc74732322"/>
      <w:bookmarkStart w:id="87" w:name="_Toc345178453"/>
      <w:r>
        <w:rPr>
          <w:rFonts w:ascii="宋体" w:hAnsi="宋体" w:cs="宋体"/>
          <w:b/>
          <w:bCs/>
          <w:sz w:val="24"/>
          <w:szCs w:val="24"/>
        </w:rPr>
        <w:t>7.</w:t>
      </w:r>
      <w:r>
        <w:rPr>
          <w:rFonts w:hint="eastAsia" w:ascii="宋体" w:hAnsi="宋体" w:cs="宋体"/>
          <w:b/>
          <w:bCs/>
          <w:sz w:val="24"/>
          <w:szCs w:val="24"/>
        </w:rPr>
        <w:t>合同授予</w:t>
      </w:r>
      <w:bookmarkEnd w:id="83"/>
      <w:bookmarkEnd w:id="84"/>
      <w:bookmarkEnd w:id="85"/>
      <w:bookmarkEnd w:id="86"/>
      <w:bookmarkEnd w:id="87"/>
    </w:p>
    <w:p>
      <w:pPr>
        <w:keepLines/>
        <w:snapToGrid w:val="0"/>
        <w:spacing w:line="540" w:lineRule="exact"/>
        <w:textAlignment w:val="baseline"/>
        <w:rPr>
          <w:rFonts w:ascii="宋体"/>
          <w:b/>
          <w:bCs/>
          <w:sz w:val="24"/>
          <w:szCs w:val="24"/>
        </w:rPr>
      </w:pPr>
      <w:bookmarkStart w:id="88" w:name="_Toc26471"/>
      <w:r>
        <w:rPr>
          <w:rFonts w:ascii="宋体" w:hAnsi="宋体" w:cs="宋体"/>
          <w:b/>
          <w:bCs/>
          <w:sz w:val="24"/>
          <w:szCs w:val="24"/>
        </w:rPr>
        <w:t xml:space="preserve">7.1 </w:t>
      </w:r>
      <w:r>
        <w:rPr>
          <w:rFonts w:hint="eastAsia" w:ascii="宋体" w:hAnsi="宋体" w:cs="宋体"/>
          <w:b/>
          <w:bCs/>
          <w:sz w:val="24"/>
          <w:szCs w:val="24"/>
        </w:rPr>
        <w:t>定标方式</w:t>
      </w:r>
      <w:bookmarkEnd w:id="88"/>
    </w:p>
    <w:p>
      <w:pPr>
        <w:snapToGrid w:val="0"/>
        <w:spacing w:line="500" w:lineRule="exact"/>
        <w:ind w:firstLine="480" w:firstLineChars="200"/>
        <w:textAlignment w:val="baseline"/>
        <w:rPr>
          <w:rFonts w:ascii="宋体"/>
          <w:kern w:val="0"/>
          <w:sz w:val="24"/>
          <w:szCs w:val="24"/>
        </w:rPr>
      </w:pPr>
      <w:r>
        <w:rPr>
          <w:rFonts w:hint="eastAsia" w:ascii="宋体" w:hAnsi="宋体" w:cs="宋体"/>
          <w:kern w:val="0"/>
          <w:sz w:val="24"/>
          <w:szCs w:val="24"/>
        </w:rPr>
        <w:t>除投标人须知前附表规定评标委员会直接确定中标人外，招标人依据评标委员会推荐的中标候选人确定中标人，招标人原则上按评标委员会依法推荐的中标候选人名次顺序确定中标人，若第一名中标候选人不再响应招标文件或确有重大实质性问题，可以按顺序确定排名第二名的中标候选人为中标人或重新组织招标。评标委员会推荐中标候选人的人数见投标人须知前附表。</w:t>
      </w:r>
    </w:p>
    <w:p>
      <w:pPr>
        <w:keepLines/>
        <w:snapToGrid w:val="0"/>
        <w:spacing w:line="540" w:lineRule="exact"/>
        <w:textAlignment w:val="baseline"/>
        <w:rPr>
          <w:rFonts w:ascii="宋体"/>
          <w:b/>
          <w:bCs/>
          <w:sz w:val="24"/>
          <w:szCs w:val="24"/>
        </w:rPr>
      </w:pPr>
      <w:bookmarkStart w:id="89" w:name="_Toc22718"/>
      <w:r>
        <w:rPr>
          <w:rFonts w:ascii="宋体" w:hAnsi="宋体" w:cs="宋体"/>
          <w:b/>
          <w:bCs/>
          <w:sz w:val="24"/>
          <w:szCs w:val="24"/>
        </w:rPr>
        <w:t xml:space="preserve">7.2 </w:t>
      </w:r>
      <w:r>
        <w:rPr>
          <w:rFonts w:hint="eastAsia" w:ascii="宋体" w:hAnsi="宋体" w:cs="宋体"/>
          <w:b/>
          <w:bCs/>
          <w:sz w:val="24"/>
          <w:szCs w:val="24"/>
        </w:rPr>
        <w:t>中标通知</w:t>
      </w:r>
      <w:bookmarkEnd w:id="89"/>
    </w:p>
    <w:p>
      <w:pPr>
        <w:snapToGrid w:val="0"/>
        <w:spacing w:line="500" w:lineRule="exact"/>
        <w:ind w:firstLine="480" w:firstLineChars="200"/>
        <w:textAlignment w:val="baseline"/>
        <w:rPr>
          <w:rFonts w:ascii="宋体"/>
          <w:kern w:val="0"/>
          <w:sz w:val="24"/>
          <w:szCs w:val="24"/>
        </w:rPr>
      </w:pPr>
      <w:bookmarkStart w:id="90" w:name="_Toc357522223"/>
      <w:bookmarkStart w:id="91" w:name="_Toc15022"/>
      <w:r>
        <w:rPr>
          <w:rFonts w:hint="eastAsia" w:ascii="宋体" w:hAnsi="宋体" w:cs="宋体"/>
          <w:kern w:val="0"/>
          <w:sz w:val="24"/>
          <w:szCs w:val="24"/>
        </w:rPr>
        <w:t>在本章第</w:t>
      </w:r>
      <w:r>
        <w:rPr>
          <w:rFonts w:ascii="宋体" w:hAnsi="宋体" w:cs="宋体"/>
          <w:kern w:val="0"/>
          <w:sz w:val="24"/>
          <w:szCs w:val="24"/>
        </w:rPr>
        <w:t>3.3</w:t>
      </w:r>
      <w:r>
        <w:rPr>
          <w:rFonts w:hint="eastAsia" w:ascii="宋体" w:hAnsi="宋体" w:cs="宋体"/>
          <w:kern w:val="0"/>
          <w:sz w:val="24"/>
          <w:szCs w:val="24"/>
        </w:rPr>
        <w:t>款规定的投标有效期内，招标人向中标人发出中标通知书。</w:t>
      </w:r>
    </w:p>
    <w:bookmarkEnd w:id="90"/>
    <w:bookmarkEnd w:id="91"/>
    <w:p>
      <w:pPr>
        <w:keepLines/>
        <w:snapToGrid w:val="0"/>
        <w:spacing w:line="540" w:lineRule="exact"/>
        <w:textAlignment w:val="baseline"/>
        <w:rPr>
          <w:rFonts w:ascii="宋体"/>
          <w:b/>
          <w:bCs/>
          <w:sz w:val="24"/>
          <w:szCs w:val="24"/>
        </w:rPr>
      </w:pPr>
      <w:bookmarkStart w:id="92" w:name="_Toc5133"/>
      <w:r>
        <w:rPr>
          <w:rFonts w:ascii="宋体" w:hAnsi="宋体" w:cs="宋体"/>
          <w:b/>
          <w:bCs/>
          <w:sz w:val="24"/>
          <w:szCs w:val="24"/>
        </w:rPr>
        <w:t xml:space="preserve">7.4 </w:t>
      </w:r>
      <w:r>
        <w:rPr>
          <w:rFonts w:hint="eastAsia" w:ascii="宋体" w:hAnsi="宋体" w:cs="宋体"/>
          <w:b/>
          <w:bCs/>
          <w:sz w:val="24"/>
          <w:szCs w:val="24"/>
        </w:rPr>
        <w:t>签订合同</w:t>
      </w:r>
      <w:bookmarkEnd w:id="92"/>
    </w:p>
    <w:p>
      <w:pPr>
        <w:snapToGrid w:val="0"/>
        <w:spacing w:line="500" w:lineRule="exact"/>
        <w:ind w:firstLine="480" w:firstLineChars="200"/>
        <w:textAlignment w:val="baseline"/>
        <w:rPr>
          <w:rFonts w:ascii="宋体"/>
          <w:kern w:val="0"/>
          <w:sz w:val="24"/>
          <w:szCs w:val="24"/>
        </w:rPr>
      </w:pPr>
      <w:bookmarkStart w:id="93" w:name="_Toc214173888"/>
      <w:bookmarkStart w:id="94" w:name="_Toc345178454"/>
      <w:bookmarkStart w:id="95" w:name="_Toc281837633"/>
      <w:bookmarkStart w:id="96" w:name="_Toc323212714"/>
      <w:bookmarkStart w:id="97" w:name="_Toc184635080"/>
      <w:r>
        <w:rPr>
          <w:rFonts w:ascii="宋体" w:hAnsi="宋体" w:cs="宋体"/>
          <w:kern w:val="0"/>
          <w:sz w:val="24"/>
          <w:szCs w:val="24"/>
        </w:rPr>
        <w:t>7.4.1</w:t>
      </w:r>
      <w:r>
        <w:rPr>
          <w:rFonts w:hint="eastAsia" w:ascii="宋体" w:hAnsi="宋体" w:cs="宋体"/>
          <w:kern w:val="0"/>
          <w:sz w:val="24"/>
          <w:szCs w:val="24"/>
        </w:rPr>
        <w:t>招标人和中标人应当自中标通知书发出之日起</w:t>
      </w:r>
      <w:r>
        <w:rPr>
          <w:rFonts w:ascii="宋体" w:hAnsi="宋体" w:cs="宋体"/>
          <w:kern w:val="0"/>
          <w:sz w:val="24"/>
          <w:szCs w:val="24"/>
        </w:rPr>
        <w:t>30</w:t>
      </w:r>
      <w:r>
        <w:rPr>
          <w:rFonts w:hint="eastAsia" w:ascii="宋体" w:hAnsi="宋体" w:cs="宋体"/>
          <w:kern w:val="0"/>
          <w:sz w:val="24"/>
          <w:szCs w:val="24"/>
        </w:rPr>
        <w:t>天内，根据招标文件和中标人的投标文件订立书面合同并由中标人在交易系统中上传。中标人无正当理由拒签合同的，招标人取消其中标资格，其投标保证金不予退还；给招标人造成的损失超过投标保证金数额的，中标人还应当对超过部分予以赔偿。</w:t>
      </w:r>
    </w:p>
    <w:p>
      <w:pPr>
        <w:snapToGrid w:val="0"/>
        <w:spacing w:line="500" w:lineRule="exact"/>
        <w:ind w:firstLine="480" w:firstLineChars="200"/>
        <w:textAlignment w:val="baseline"/>
        <w:rPr>
          <w:rFonts w:ascii="宋体"/>
          <w:kern w:val="0"/>
          <w:sz w:val="24"/>
          <w:szCs w:val="24"/>
        </w:rPr>
      </w:pPr>
      <w:r>
        <w:rPr>
          <w:rFonts w:ascii="宋体" w:hAnsi="宋体" w:cs="宋体"/>
          <w:kern w:val="0"/>
          <w:sz w:val="24"/>
          <w:szCs w:val="24"/>
        </w:rPr>
        <w:t xml:space="preserve">7.4.2 </w:t>
      </w:r>
      <w:r>
        <w:rPr>
          <w:rFonts w:hint="eastAsia" w:ascii="宋体" w:hAnsi="宋体" w:cs="宋体"/>
          <w:kern w:val="0"/>
          <w:sz w:val="24"/>
          <w:szCs w:val="24"/>
        </w:rPr>
        <w:t>发出中标通知书后，招标人无正当理由拒签合同的，招标人向中标人退还投标保证金。</w:t>
      </w:r>
    </w:p>
    <w:p>
      <w:pPr>
        <w:keepLines/>
        <w:snapToGrid w:val="0"/>
        <w:spacing w:line="540" w:lineRule="exact"/>
        <w:textAlignment w:val="baseline"/>
        <w:rPr>
          <w:rFonts w:ascii="宋体"/>
          <w:b/>
          <w:bCs/>
          <w:sz w:val="24"/>
          <w:szCs w:val="24"/>
        </w:rPr>
      </w:pPr>
      <w:bookmarkStart w:id="98" w:name="_Toc27298"/>
      <w:bookmarkStart w:id="99" w:name="_Toc74732266"/>
      <w:bookmarkStart w:id="100" w:name="_Toc74732323"/>
      <w:r>
        <w:rPr>
          <w:rFonts w:ascii="宋体" w:hAnsi="宋体" w:cs="宋体"/>
          <w:b/>
          <w:bCs/>
          <w:sz w:val="24"/>
          <w:szCs w:val="24"/>
        </w:rPr>
        <w:t xml:space="preserve">8. </w:t>
      </w:r>
      <w:r>
        <w:rPr>
          <w:rFonts w:hint="eastAsia" w:ascii="宋体" w:hAnsi="宋体" w:cs="宋体"/>
          <w:b/>
          <w:bCs/>
          <w:sz w:val="24"/>
          <w:szCs w:val="24"/>
        </w:rPr>
        <w:t>重新招标和不再招标</w:t>
      </w:r>
      <w:bookmarkEnd w:id="93"/>
      <w:bookmarkEnd w:id="94"/>
      <w:bookmarkEnd w:id="95"/>
      <w:bookmarkEnd w:id="96"/>
      <w:bookmarkEnd w:id="98"/>
      <w:bookmarkEnd w:id="99"/>
      <w:bookmarkEnd w:id="100"/>
    </w:p>
    <w:p>
      <w:pPr>
        <w:keepLines/>
        <w:snapToGrid w:val="0"/>
        <w:spacing w:line="540" w:lineRule="exact"/>
        <w:textAlignment w:val="baseline"/>
        <w:rPr>
          <w:rFonts w:ascii="宋体"/>
          <w:b/>
          <w:bCs/>
          <w:sz w:val="24"/>
          <w:szCs w:val="24"/>
        </w:rPr>
      </w:pPr>
      <w:bookmarkStart w:id="101" w:name="_Toc323212715"/>
      <w:bookmarkStart w:id="102" w:name="_Toc24071"/>
      <w:bookmarkStart w:id="103" w:name="_Toc281837634"/>
      <w:r>
        <w:rPr>
          <w:rFonts w:ascii="宋体" w:hAnsi="宋体" w:cs="宋体"/>
          <w:b/>
          <w:bCs/>
          <w:sz w:val="24"/>
          <w:szCs w:val="24"/>
        </w:rPr>
        <w:t xml:space="preserve">8.1  </w:t>
      </w:r>
      <w:r>
        <w:rPr>
          <w:rFonts w:hint="eastAsia" w:ascii="宋体" w:hAnsi="宋体" w:cs="宋体"/>
          <w:b/>
          <w:bCs/>
          <w:sz w:val="24"/>
          <w:szCs w:val="24"/>
        </w:rPr>
        <w:t>重新招标</w:t>
      </w:r>
      <w:bookmarkEnd w:id="101"/>
      <w:bookmarkEnd w:id="102"/>
      <w:bookmarkEnd w:id="103"/>
    </w:p>
    <w:p>
      <w:pPr>
        <w:snapToGrid w:val="0"/>
        <w:spacing w:line="500" w:lineRule="exact"/>
        <w:ind w:firstLine="480" w:firstLineChars="200"/>
        <w:textAlignment w:val="baseline"/>
        <w:rPr>
          <w:rFonts w:ascii="宋体"/>
          <w:sz w:val="24"/>
          <w:szCs w:val="24"/>
        </w:rPr>
      </w:pPr>
      <w:bookmarkStart w:id="104" w:name="_Toc323212716"/>
      <w:bookmarkStart w:id="105" w:name="_Toc281837635"/>
      <w:r>
        <w:rPr>
          <w:rFonts w:hint="eastAsia" w:ascii="宋体" w:hAnsi="宋体" w:cs="宋体"/>
          <w:sz w:val="24"/>
          <w:szCs w:val="24"/>
        </w:rPr>
        <w:t>有下列情形之一的，招标人将重新招标：</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8.1.1 </w:t>
      </w:r>
      <w:r>
        <w:rPr>
          <w:rFonts w:hint="eastAsia" w:ascii="宋体" w:hAnsi="宋体" w:cs="宋体"/>
          <w:sz w:val="24"/>
          <w:szCs w:val="24"/>
        </w:rPr>
        <w:t>投标截止时间止，投标人少于</w:t>
      </w:r>
      <w:r>
        <w:rPr>
          <w:rFonts w:ascii="宋体" w:hAnsi="宋体" w:cs="宋体"/>
          <w:sz w:val="24"/>
          <w:szCs w:val="24"/>
        </w:rPr>
        <w:t>3</w:t>
      </w:r>
      <w:r>
        <w:rPr>
          <w:rFonts w:hint="eastAsia" w:ascii="宋体" w:hAnsi="宋体" w:cs="宋体"/>
          <w:sz w:val="24"/>
          <w:szCs w:val="24"/>
        </w:rPr>
        <w:t>个的；</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8.1.2 </w:t>
      </w:r>
      <w:r>
        <w:rPr>
          <w:rFonts w:hint="eastAsia" w:ascii="宋体" w:hAnsi="宋体" w:cs="宋体"/>
          <w:sz w:val="24"/>
          <w:szCs w:val="24"/>
        </w:rPr>
        <w:t>经评标委员会评审后否决所有投标的。</w:t>
      </w:r>
    </w:p>
    <w:p>
      <w:pPr>
        <w:keepLines/>
        <w:snapToGrid w:val="0"/>
        <w:spacing w:line="540" w:lineRule="exact"/>
        <w:textAlignment w:val="baseline"/>
        <w:rPr>
          <w:rFonts w:ascii="宋体"/>
          <w:b/>
          <w:bCs/>
          <w:sz w:val="24"/>
          <w:szCs w:val="24"/>
        </w:rPr>
      </w:pPr>
      <w:bookmarkStart w:id="106" w:name="_Toc15256"/>
      <w:r>
        <w:rPr>
          <w:rFonts w:ascii="宋体" w:hAnsi="宋体" w:cs="宋体"/>
          <w:b/>
          <w:bCs/>
          <w:sz w:val="24"/>
          <w:szCs w:val="24"/>
        </w:rPr>
        <w:t xml:space="preserve">8.2 </w:t>
      </w:r>
      <w:r>
        <w:rPr>
          <w:rFonts w:hint="eastAsia" w:ascii="宋体" w:hAnsi="宋体" w:cs="宋体"/>
          <w:b/>
          <w:bCs/>
          <w:sz w:val="24"/>
          <w:szCs w:val="24"/>
        </w:rPr>
        <w:t>不再招标</w:t>
      </w:r>
      <w:bookmarkEnd w:id="104"/>
      <w:bookmarkEnd w:id="105"/>
      <w:bookmarkEnd w:id="106"/>
    </w:p>
    <w:p>
      <w:pPr>
        <w:snapToGrid w:val="0"/>
        <w:spacing w:line="400" w:lineRule="exact"/>
        <w:ind w:firstLine="480" w:firstLineChars="200"/>
        <w:textAlignment w:val="baseline"/>
        <w:rPr>
          <w:rFonts w:ascii="宋体"/>
          <w:sz w:val="24"/>
          <w:szCs w:val="24"/>
        </w:rPr>
      </w:pPr>
      <w:bookmarkStart w:id="107" w:name="_Toc214173889"/>
      <w:bookmarkStart w:id="108" w:name="_Toc281837636"/>
      <w:bookmarkStart w:id="109" w:name="_Toc345178455"/>
      <w:bookmarkStart w:id="110" w:name="_Toc323212717"/>
      <w:r>
        <w:rPr>
          <w:rFonts w:hint="eastAsia" w:ascii="宋体" w:hAnsi="宋体" w:cs="宋体"/>
          <w:sz w:val="24"/>
          <w:szCs w:val="24"/>
        </w:rPr>
        <w:t>重新招标后投标人仍少于</w:t>
      </w:r>
      <w:r>
        <w:rPr>
          <w:rFonts w:ascii="宋体" w:hAnsi="宋体" w:cs="宋体"/>
          <w:sz w:val="24"/>
          <w:szCs w:val="24"/>
        </w:rPr>
        <w:t>3</w:t>
      </w:r>
      <w:r>
        <w:rPr>
          <w:rFonts w:hint="eastAsia" w:ascii="宋体" w:hAnsi="宋体" w:cs="宋体"/>
          <w:sz w:val="24"/>
          <w:szCs w:val="24"/>
        </w:rPr>
        <w:t>个或者所有投标被否决的。</w:t>
      </w:r>
    </w:p>
    <w:p>
      <w:pPr>
        <w:keepLines/>
        <w:snapToGrid w:val="0"/>
        <w:spacing w:line="540" w:lineRule="exact"/>
        <w:textAlignment w:val="baseline"/>
        <w:rPr>
          <w:rFonts w:ascii="宋体"/>
          <w:b/>
          <w:bCs/>
          <w:sz w:val="24"/>
          <w:szCs w:val="24"/>
        </w:rPr>
      </w:pPr>
      <w:bookmarkStart w:id="111" w:name="_Toc74732267"/>
      <w:bookmarkStart w:id="112" w:name="_Toc74732324"/>
      <w:bookmarkStart w:id="113" w:name="_Toc25623"/>
      <w:r>
        <w:rPr>
          <w:rFonts w:ascii="宋体" w:hAnsi="宋体" w:cs="宋体"/>
          <w:b/>
          <w:bCs/>
          <w:sz w:val="24"/>
          <w:szCs w:val="24"/>
        </w:rPr>
        <w:t xml:space="preserve">9. </w:t>
      </w:r>
      <w:r>
        <w:rPr>
          <w:rFonts w:hint="eastAsia" w:ascii="宋体" w:hAnsi="宋体" w:cs="宋体"/>
          <w:b/>
          <w:bCs/>
          <w:sz w:val="24"/>
          <w:szCs w:val="24"/>
        </w:rPr>
        <w:t>纪律和监督</w:t>
      </w:r>
      <w:bookmarkEnd w:id="107"/>
      <w:bookmarkEnd w:id="108"/>
      <w:bookmarkEnd w:id="109"/>
      <w:bookmarkEnd w:id="110"/>
      <w:bookmarkEnd w:id="111"/>
      <w:bookmarkEnd w:id="112"/>
      <w:bookmarkEnd w:id="113"/>
    </w:p>
    <w:p>
      <w:pPr>
        <w:keepLines/>
        <w:snapToGrid w:val="0"/>
        <w:spacing w:line="540" w:lineRule="exact"/>
        <w:textAlignment w:val="baseline"/>
        <w:rPr>
          <w:rFonts w:ascii="宋体"/>
          <w:b/>
          <w:bCs/>
          <w:sz w:val="24"/>
          <w:szCs w:val="24"/>
        </w:rPr>
      </w:pPr>
      <w:bookmarkStart w:id="114" w:name="_Toc281837637"/>
      <w:bookmarkStart w:id="115" w:name="_Toc323212718"/>
      <w:bookmarkStart w:id="116" w:name="_Toc11700"/>
      <w:r>
        <w:rPr>
          <w:rFonts w:ascii="宋体" w:hAnsi="宋体" w:cs="宋体"/>
          <w:b/>
          <w:bCs/>
          <w:sz w:val="24"/>
          <w:szCs w:val="24"/>
        </w:rPr>
        <w:t xml:space="preserve">9.1 </w:t>
      </w:r>
      <w:r>
        <w:rPr>
          <w:rFonts w:hint="eastAsia" w:ascii="宋体" w:hAnsi="宋体" w:cs="宋体"/>
          <w:b/>
          <w:bCs/>
          <w:sz w:val="24"/>
          <w:szCs w:val="24"/>
        </w:rPr>
        <w:t>对招标人的纪律要求</w:t>
      </w:r>
      <w:bookmarkEnd w:id="114"/>
      <w:bookmarkEnd w:id="115"/>
      <w:bookmarkEnd w:id="116"/>
    </w:p>
    <w:p>
      <w:pPr>
        <w:snapToGrid w:val="0"/>
        <w:spacing w:line="500" w:lineRule="exact"/>
        <w:ind w:firstLine="480" w:firstLineChars="200"/>
        <w:textAlignment w:val="baseline"/>
        <w:rPr>
          <w:rFonts w:ascii="宋体"/>
          <w:sz w:val="24"/>
          <w:szCs w:val="24"/>
        </w:rPr>
      </w:pPr>
      <w:bookmarkStart w:id="117" w:name="_Toc256694841"/>
      <w:bookmarkStart w:id="118" w:name="_Toc256690965"/>
      <w:bookmarkStart w:id="119" w:name="_Toc281837638"/>
      <w:bookmarkStart w:id="120" w:name="_Toc323212719"/>
      <w:r>
        <w:rPr>
          <w:rFonts w:hint="eastAsia" w:ascii="宋体" w:hAnsi="宋体" w:cs="宋体"/>
          <w:sz w:val="24"/>
          <w:szCs w:val="24"/>
        </w:rPr>
        <w:t>招标人不得泄漏招标投标活动中应当保密的情况和资料，不得与投标人串通损害国家利益、社会公共利益或者他人合法权益。</w:t>
      </w:r>
      <w:bookmarkEnd w:id="117"/>
      <w:bookmarkEnd w:id="118"/>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有下列情形之一的，属于招标人与投标人串通投标：</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（一）招标人在开标前开启投标文件并将有关信息泄露给其他投标人；</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（二）招标人直接或者间接向投标人泄露标底、评标委员会成员等信息；</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（三）招标人明示或者暗示投标人压低或者抬高投标报价；</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（四）招标人授意投标人撤换、修改投标文件；</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（五）招标人明示或者暗示投标人为特定投标人中标提供方便；</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（六）招标人与投标人为谋求特定投标人中标而采取的其他串通行为。</w:t>
      </w:r>
    </w:p>
    <w:p>
      <w:pPr>
        <w:keepLines/>
        <w:snapToGrid w:val="0"/>
        <w:spacing w:line="540" w:lineRule="exact"/>
        <w:textAlignment w:val="baseline"/>
        <w:rPr>
          <w:rFonts w:ascii="宋体"/>
          <w:b/>
          <w:bCs/>
          <w:sz w:val="24"/>
          <w:szCs w:val="24"/>
        </w:rPr>
      </w:pPr>
      <w:bookmarkStart w:id="121" w:name="_Toc13183"/>
      <w:r>
        <w:rPr>
          <w:rFonts w:ascii="宋体" w:hAnsi="宋体" w:cs="宋体"/>
          <w:b/>
          <w:bCs/>
          <w:sz w:val="24"/>
          <w:szCs w:val="24"/>
        </w:rPr>
        <w:t xml:space="preserve">9.2 </w:t>
      </w:r>
      <w:r>
        <w:rPr>
          <w:rFonts w:hint="eastAsia" w:ascii="宋体" w:hAnsi="宋体" w:cs="宋体"/>
          <w:b/>
          <w:bCs/>
          <w:sz w:val="24"/>
          <w:szCs w:val="24"/>
        </w:rPr>
        <w:t>对投标人的纪律要求</w:t>
      </w:r>
      <w:bookmarkEnd w:id="119"/>
      <w:bookmarkEnd w:id="120"/>
      <w:bookmarkEnd w:id="121"/>
    </w:p>
    <w:p>
      <w:pPr>
        <w:snapToGrid w:val="0"/>
        <w:spacing w:line="500" w:lineRule="exact"/>
        <w:ind w:firstLine="480" w:firstLineChars="200"/>
        <w:textAlignment w:val="baseline"/>
        <w:rPr>
          <w:rFonts w:ascii="宋体"/>
          <w:sz w:val="24"/>
          <w:szCs w:val="24"/>
        </w:rPr>
      </w:pPr>
      <w:bookmarkStart w:id="122" w:name="_Toc256690973"/>
      <w:bookmarkStart w:id="123" w:name="_Toc256694849"/>
      <w:bookmarkStart w:id="124" w:name="_Toc323212720"/>
      <w:bookmarkStart w:id="125" w:name="_Toc281837639"/>
      <w:r>
        <w:rPr>
          <w:rFonts w:hint="eastAsia" w:ascii="宋体" w:hAnsi="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bookmarkEnd w:id="122"/>
      <w:bookmarkEnd w:id="123"/>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9.2.1 </w:t>
      </w:r>
      <w:r>
        <w:rPr>
          <w:rFonts w:hint="eastAsia" w:ascii="宋体" w:hAnsi="宋体" w:cs="宋体"/>
          <w:sz w:val="24"/>
          <w:szCs w:val="24"/>
        </w:rPr>
        <w:t>有下列情形之一的，属于投标人相互串通投标：</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）投标人之间协商投标报价等投标文件的实质性内容；</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）投标人之间约定中标人；</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）投标人之间约定部分投标人放弃投标或者中标；</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）属于同一集团、协会、商会等组织成员的投标人按照该组织要求协同投标；</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）投标人之间为谋取中标或者排斥特定投标人而采取的其他联合行动。</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9.2.2 </w:t>
      </w:r>
      <w:r>
        <w:rPr>
          <w:rFonts w:hint="eastAsia" w:ascii="宋体" w:hAnsi="宋体" w:cs="宋体"/>
          <w:sz w:val="24"/>
          <w:szCs w:val="24"/>
        </w:rPr>
        <w:t>有下列情形之一的，视为投标人相互串通投标：</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）不同投标人的投标文件由同一单位或者个人编制；</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）不同投标人委托同一单位或者个人办理投标事宜；</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）不同投标人的投标文件载明的项目管理成员为同一人；</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）不同投标人的投标文件异常一致或者投标报价呈规律性差异；</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）不同投标人的投标文件相互混装；</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）不同投标人的投标保证金从同一单位或者个人的账户转出。</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9.2.3 </w:t>
      </w:r>
      <w:r>
        <w:rPr>
          <w:rFonts w:hint="eastAsia" w:ascii="宋体" w:hAnsi="宋体" w:cs="宋体"/>
          <w:sz w:val="24"/>
          <w:szCs w:val="24"/>
        </w:rPr>
        <w:t>有下列情形之一的，属于以他人名义投标：</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）使用通过受让或者租借等方式获取的资格、资质证书投标的。</w:t>
      </w:r>
    </w:p>
    <w:p>
      <w:pPr>
        <w:snapToGrid w:val="0"/>
        <w:spacing w:line="500" w:lineRule="exact"/>
        <w:ind w:firstLine="480" w:firstLineChars="200"/>
        <w:textAlignment w:val="baseline"/>
        <w:rPr>
          <w:rFonts w:ascii="宋体"/>
          <w:sz w:val="24"/>
          <w:szCs w:val="24"/>
        </w:rPr>
      </w:pPr>
      <w:r>
        <w:rPr>
          <w:rFonts w:ascii="宋体" w:hAnsi="宋体" w:cs="宋体"/>
          <w:sz w:val="24"/>
          <w:szCs w:val="24"/>
        </w:rPr>
        <w:t xml:space="preserve">9.2.4 </w:t>
      </w:r>
      <w:r>
        <w:rPr>
          <w:rFonts w:hint="eastAsia" w:ascii="宋体" w:hAnsi="宋体" w:cs="宋体"/>
          <w:sz w:val="24"/>
          <w:szCs w:val="24"/>
        </w:rPr>
        <w:t>有下列情形之一的，属于以其他方式弄虚作假的行为：</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）使用伪造、变造的许可证件；</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）提供虚假的财务状况或者业绩；</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）提供虚假的信用状况；</w:t>
      </w:r>
    </w:p>
    <w:p>
      <w:pPr>
        <w:snapToGrid w:val="0"/>
        <w:spacing w:line="500" w:lineRule="exact"/>
        <w:ind w:firstLine="480" w:firstLineChars="200"/>
        <w:textAlignment w:val="baseline"/>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）其他弄虚作假的行为。</w:t>
      </w:r>
    </w:p>
    <w:p>
      <w:pPr>
        <w:keepLines/>
        <w:snapToGrid w:val="0"/>
        <w:spacing w:line="540" w:lineRule="exact"/>
        <w:textAlignment w:val="baseline"/>
        <w:rPr>
          <w:rFonts w:ascii="宋体"/>
          <w:b/>
          <w:bCs/>
          <w:sz w:val="24"/>
          <w:szCs w:val="24"/>
        </w:rPr>
      </w:pPr>
      <w:bookmarkStart w:id="126" w:name="_Toc13930"/>
      <w:r>
        <w:rPr>
          <w:rFonts w:ascii="宋体" w:hAnsi="宋体" w:cs="宋体"/>
          <w:b/>
          <w:bCs/>
          <w:sz w:val="24"/>
          <w:szCs w:val="24"/>
        </w:rPr>
        <w:t xml:space="preserve">9.3 </w:t>
      </w:r>
      <w:r>
        <w:rPr>
          <w:rFonts w:hint="eastAsia" w:ascii="宋体" w:hAnsi="宋体" w:cs="宋体"/>
          <w:b/>
          <w:bCs/>
          <w:sz w:val="24"/>
          <w:szCs w:val="24"/>
        </w:rPr>
        <w:t>对评标委员会成员的纪律要求</w:t>
      </w:r>
      <w:bookmarkEnd w:id="124"/>
      <w:bookmarkEnd w:id="125"/>
      <w:bookmarkEnd w:id="126"/>
    </w:p>
    <w:p>
      <w:pPr>
        <w:snapToGrid w:val="0"/>
        <w:spacing w:line="500" w:lineRule="exact"/>
        <w:ind w:firstLine="480" w:firstLineChars="200"/>
        <w:textAlignment w:val="baseline"/>
        <w:rPr>
          <w:rFonts w:ascii="宋体"/>
          <w:sz w:val="24"/>
          <w:szCs w:val="24"/>
        </w:rPr>
      </w:pPr>
      <w:bookmarkStart w:id="127" w:name="_Toc323212721"/>
      <w:bookmarkStart w:id="128" w:name="_Toc281837640"/>
      <w:r>
        <w:rPr>
          <w:rFonts w:hint="eastAsia" w:ascii="宋体" w:hAnsi="宋体" w:cs="宋体"/>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Lines/>
        <w:snapToGrid w:val="0"/>
        <w:spacing w:line="540" w:lineRule="exact"/>
        <w:textAlignment w:val="baseline"/>
        <w:rPr>
          <w:rFonts w:ascii="宋体"/>
          <w:b/>
          <w:bCs/>
          <w:sz w:val="24"/>
          <w:szCs w:val="24"/>
        </w:rPr>
      </w:pPr>
      <w:bookmarkStart w:id="129" w:name="_Toc31797"/>
      <w:r>
        <w:rPr>
          <w:rFonts w:ascii="宋体" w:hAnsi="宋体" w:cs="宋体"/>
          <w:b/>
          <w:bCs/>
          <w:sz w:val="24"/>
          <w:szCs w:val="24"/>
        </w:rPr>
        <w:t xml:space="preserve">9.4 </w:t>
      </w:r>
      <w:r>
        <w:rPr>
          <w:rFonts w:hint="eastAsia" w:ascii="宋体" w:hAnsi="宋体" w:cs="宋体"/>
          <w:b/>
          <w:bCs/>
          <w:sz w:val="24"/>
          <w:szCs w:val="24"/>
        </w:rPr>
        <w:t>对与评标活动有关的工作人员的纪律要求</w:t>
      </w:r>
      <w:bookmarkEnd w:id="127"/>
      <w:bookmarkEnd w:id="128"/>
      <w:bookmarkEnd w:id="129"/>
    </w:p>
    <w:p>
      <w:pPr>
        <w:snapToGrid w:val="0"/>
        <w:spacing w:line="500" w:lineRule="exact"/>
        <w:ind w:firstLine="480" w:firstLineChars="200"/>
        <w:textAlignment w:val="baseline"/>
        <w:rPr>
          <w:rFonts w:ascii="宋体"/>
          <w:sz w:val="24"/>
          <w:szCs w:val="24"/>
        </w:rPr>
      </w:pPr>
      <w:bookmarkStart w:id="130" w:name="_Toc281837641"/>
      <w:bookmarkStart w:id="131" w:name="_Toc323212722"/>
      <w:r>
        <w:rPr>
          <w:rFonts w:hint="eastAsia" w:ascii="宋体" w:hAnsi="宋体" w:cs="宋体"/>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Lines/>
        <w:snapToGrid w:val="0"/>
        <w:spacing w:line="540" w:lineRule="exact"/>
        <w:textAlignment w:val="baseline"/>
        <w:rPr>
          <w:rFonts w:ascii="宋体"/>
          <w:b/>
          <w:bCs/>
          <w:sz w:val="24"/>
          <w:szCs w:val="24"/>
        </w:rPr>
      </w:pPr>
      <w:bookmarkStart w:id="132" w:name="_Toc23777"/>
      <w:r>
        <w:rPr>
          <w:rFonts w:ascii="宋体" w:hAnsi="宋体" w:cs="宋体"/>
          <w:b/>
          <w:bCs/>
          <w:sz w:val="24"/>
          <w:szCs w:val="24"/>
        </w:rPr>
        <w:t xml:space="preserve">9.5 </w:t>
      </w:r>
      <w:r>
        <w:rPr>
          <w:rFonts w:hint="eastAsia" w:ascii="宋体" w:hAnsi="宋体" w:cs="宋体"/>
          <w:b/>
          <w:bCs/>
          <w:sz w:val="24"/>
          <w:szCs w:val="24"/>
        </w:rPr>
        <w:t>投诉</w:t>
      </w:r>
      <w:bookmarkEnd w:id="130"/>
      <w:bookmarkEnd w:id="131"/>
      <w:bookmarkEnd w:id="132"/>
    </w:p>
    <w:p>
      <w:pPr>
        <w:snapToGrid w:val="0"/>
        <w:spacing w:line="500" w:lineRule="exact"/>
        <w:ind w:firstLine="480" w:firstLineChars="200"/>
        <w:textAlignment w:val="baseline"/>
        <w:rPr>
          <w:rFonts w:ascii="宋体"/>
          <w:sz w:val="24"/>
          <w:szCs w:val="24"/>
        </w:rPr>
      </w:pPr>
      <w:bookmarkStart w:id="133" w:name="_Toc345178456"/>
      <w:r>
        <w:rPr>
          <w:rFonts w:hint="eastAsia" w:ascii="宋体" w:hAnsi="宋体" w:cs="宋体"/>
          <w:sz w:val="24"/>
          <w:szCs w:val="24"/>
        </w:rPr>
        <w:t>投标人和其他利害关系人认为本次招标活动违反法律、法规和规章规定的，有权向有关行政监督部门投诉。</w:t>
      </w:r>
    </w:p>
    <w:p>
      <w:pPr>
        <w:keepLines/>
        <w:snapToGrid w:val="0"/>
        <w:spacing w:line="540" w:lineRule="exact"/>
        <w:textAlignment w:val="baseline"/>
        <w:rPr>
          <w:rFonts w:ascii="宋体"/>
          <w:b/>
          <w:bCs/>
          <w:sz w:val="24"/>
          <w:szCs w:val="24"/>
        </w:rPr>
      </w:pPr>
      <w:bookmarkStart w:id="134" w:name="_Toc74732268"/>
      <w:bookmarkStart w:id="135" w:name="_Toc2980"/>
      <w:bookmarkStart w:id="136" w:name="_Toc74732325"/>
      <w:r>
        <w:rPr>
          <w:rFonts w:ascii="宋体" w:hAnsi="宋体" w:cs="宋体"/>
          <w:b/>
          <w:bCs/>
          <w:sz w:val="24"/>
          <w:szCs w:val="24"/>
        </w:rPr>
        <w:t>10.</w:t>
      </w:r>
      <w:r>
        <w:rPr>
          <w:rFonts w:hint="eastAsia" w:ascii="宋体" w:hAnsi="宋体" w:cs="宋体"/>
          <w:b/>
          <w:bCs/>
          <w:sz w:val="24"/>
          <w:szCs w:val="24"/>
        </w:rPr>
        <w:t>需要补充的其他内容</w:t>
      </w:r>
      <w:bookmarkEnd w:id="97"/>
      <w:bookmarkEnd w:id="133"/>
      <w:bookmarkEnd w:id="134"/>
      <w:bookmarkEnd w:id="135"/>
      <w:bookmarkEnd w:id="136"/>
    </w:p>
    <w:p>
      <w:pPr>
        <w:snapToGrid w:val="0"/>
        <w:spacing w:line="540" w:lineRule="exact"/>
        <w:ind w:firstLine="480" w:firstLineChars="200"/>
        <w:textAlignment w:val="baseline"/>
        <w:rPr>
          <w:rFonts w:ascii="宋体"/>
          <w:sz w:val="28"/>
          <w:szCs w:val="28"/>
        </w:rPr>
      </w:pPr>
      <w:r>
        <w:rPr>
          <w:rFonts w:hint="eastAsia" w:ascii="宋体" w:hAnsi="宋体" w:cs="宋体"/>
          <w:sz w:val="24"/>
          <w:szCs w:val="24"/>
        </w:rPr>
        <w:t>需要补充的其他内容：见投标人须知前附表。</w:t>
      </w:r>
    </w:p>
    <w:p>
      <w:pPr>
        <w:snapToGrid w:val="0"/>
        <w:textAlignment w:val="baseline"/>
        <w:rPr>
          <w:rFonts w:ascii="宋体"/>
          <w:sz w:val="20"/>
        </w:rPr>
      </w:pPr>
    </w:p>
    <w:p>
      <w:pPr>
        <w:snapToGrid w:val="0"/>
        <w:textAlignment w:val="baseline"/>
        <w:rPr>
          <w:rFonts w:ascii="宋体"/>
          <w:sz w:val="20"/>
        </w:rPr>
      </w:pPr>
    </w:p>
    <w:p>
      <w:pPr>
        <w:snapToGrid w:val="0"/>
        <w:textAlignment w:val="baseline"/>
        <w:rPr>
          <w:rFonts w:ascii="宋体"/>
          <w:sz w:val="20"/>
        </w:rPr>
      </w:pPr>
    </w:p>
    <w:p>
      <w:pPr>
        <w:snapToGrid w:val="0"/>
        <w:textAlignment w:val="baseline"/>
        <w:rPr>
          <w:rFonts w:ascii="宋体"/>
          <w:sz w:val="20"/>
        </w:rPr>
      </w:pPr>
    </w:p>
    <w:p>
      <w:pPr>
        <w:snapToGrid w:val="0"/>
        <w:textAlignment w:val="baseline"/>
        <w:rPr>
          <w:rFonts w:ascii="宋体"/>
          <w:sz w:val="20"/>
        </w:rPr>
      </w:pPr>
    </w:p>
    <w:p>
      <w:pPr>
        <w:snapToGrid w:val="0"/>
        <w:textAlignment w:val="baseline"/>
        <w:rPr>
          <w:rFonts w:ascii="宋体"/>
          <w:sz w:val="20"/>
        </w:rPr>
      </w:pPr>
    </w:p>
    <w:p>
      <w:pPr>
        <w:snapToGrid w:val="0"/>
        <w:textAlignment w:val="baseline"/>
        <w:rPr>
          <w:rFonts w:ascii="宋体"/>
          <w:sz w:val="20"/>
        </w:rPr>
      </w:pPr>
      <w:r>
        <w:rPr>
          <w:rFonts w:ascii="宋体"/>
        </w:rPr>
        <w:br w:type="page"/>
      </w:r>
    </w:p>
    <w:p>
      <w:pPr>
        <w:pStyle w:val="5"/>
        <w:snapToGrid w:val="0"/>
        <w:jc w:val="center"/>
        <w:rPr>
          <w:rFonts w:ascii="宋体" w:hAnsi="宋体" w:eastAsia="宋体" w:cs="宋体"/>
          <w:b/>
          <w:bCs/>
          <w:sz w:val="36"/>
          <w:szCs w:val="36"/>
        </w:rPr>
      </w:pPr>
      <w:bookmarkStart w:id="137" w:name="_Toc345178457"/>
      <w:bookmarkStart w:id="138" w:name="_Toc184635092"/>
      <w:bookmarkStart w:id="139" w:name="_Toc6192"/>
      <w:bookmarkStart w:id="140" w:name="_Toc25073"/>
      <w:r>
        <w:rPr>
          <w:rFonts w:hint="eastAsia" w:ascii="宋体" w:hAnsi="宋体" w:eastAsia="宋体" w:cs="宋体"/>
          <w:b/>
          <w:bCs/>
          <w:sz w:val="36"/>
          <w:szCs w:val="36"/>
        </w:rPr>
        <w:t>第三章评标办法（综合评估法）</w:t>
      </w:r>
      <w:bookmarkEnd w:id="137"/>
      <w:bookmarkEnd w:id="138"/>
      <w:bookmarkEnd w:id="139"/>
      <w:bookmarkEnd w:id="140"/>
    </w:p>
    <w:p>
      <w:pPr>
        <w:keepLines/>
        <w:snapToGrid w:val="0"/>
        <w:spacing w:line="360" w:lineRule="auto"/>
        <w:jc w:val="center"/>
        <w:textAlignment w:val="baseline"/>
        <w:rPr>
          <w:rFonts w:ascii="宋体" w:hAnsi="宋体" w:cs="宋体"/>
          <w:b/>
          <w:bCs/>
          <w:sz w:val="24"/>
          <w:szCs w:val="24"/>
        </w:rPr>
      </w:pPr>
      <w:bookmarkStart w:id="141" w:name="_Toc74732270"/>
      <w:bookmarkStart w:id="142" w:name="_Toc74732327"/>
      <w:bookmarkStart w:id="143" w:name="_Toc345178458"/>
      <w:bookmarkStart w:id="144" w:name="_Toc18047"/>
      <w:r>
        <w:rPr>
          <w:rFonts w:hint="eastAsia" w:ascii="宋体" w:hAnsi="宋体" w:cs="宋体"/>
          <w:b/>
          <w:bCs/>
          <w:sz w:val="24"/>
          <w:szCs w:val="24"/>
        </w:rPr>
        <w:t>评标办法前附表</w:t>
      </w:r>
      <w:bookmarkEnd w:id="141"/>
      <w:bookmarkEnd w:id="142"/>
      <w:bookmarkEnd w:id="143"/>
      <w:bookmarkEnd w:id="144"/>
    </w:p>
    <w:tbl>
      <w:tblPr>
        <w:tblStyle w:val="39"/>
        <w:tblW w:w="10740" w:type="dxa"/>
        <w:jc w:val="center"/>
        <w:tblLayout w:type="autofit"/>
        <w:tblCellMar>
          <w:top w:w="0" w:type="dxa"/>
          <w:left w:w="108" w:type="dxa"/>
          <w:bottom w:w="0" w:type="dxa"/>
          <w:right w:w="108" w:type="dxa"/>
        </w:tblCellMar>
      </w:tblPr>
      <w:tblGrid>
        <w:gridCol w:w="880"/>
        <w:gridCol w:w="1224"/>
        <w:gridCol w:w="2416"/>
        <w:gridCol w:w="6220"/>
      </w:tblGrid>
      <w:tr>
        <w:tblPrEx>
          <w:tblCellMar>
            <w:top w:w="0" w:type="dxa"/>
            <w:left w:w="108" w:type="dxa"/>
            <w:bottom w:w="0" w:type="dxa"/>
            <w:right w:w="108" w:type="dxa"/>
          </w:tblCellMar>
        </w:tblPrEx>
        <w:trPr>
          <w:trHeight w:val="405" w:hRule="atLeast"/>
          <w:jc w:val="center"/>
        </w:trPr>
        <w:tc>
          <w:tcPr>
            <w:tcW w:w="21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条款号</w:t>
            </w: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评审因素</w:t>
            </w:r>
          </w:p>
        </w:tc>
        <w:tc>
          <w:tcPr>
            <w:tcW w:w="6220"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评审标准</w:t>
            </w:r>
          </w:p>
        </w:tc>
      </w:tr>
      <w:tr>
        <w:tblPrEx>
          <w:tblCellMar>
            <w:top w:w="0" w:type="dxa"/>
            <w:left w:w="108" w:type="dxa"/>
            <w:bottom w:w="0" w:type="dxa"/>
            <w:right w:w="108" w:type="dxa"/>
          </w:tblCellMar>
        </w:tblPrEx>
        <w:trPr>
          <w:trHeight w:val="405"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2.1.1</w:t>
            </w:r>
          </w:p>
        </w:tc>
        <w:tc>
          <w:tcPr>
            <w:tcW w:w="1224"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形式评审标准</w:t>
            </w: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投标人名称</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与营业执照一致</w:t>
            </w:r>
          </w:p>
        </w:tc>
      </w:tr>
      <w:tr>
        <w:tblPrEx>
          <w:tblCellMar>
            <w:top w:w="0" w:type="dxa"/>
            <w:left w:w="108" w:type="dxa"/>
            <w:bottom w:w="0" w:type="dxa"/>
            <w:right w:w="108" w:type="dxa"/>
          </w:tblCellMar>
        </w:tblPrEx>
        <w:trPr>
          <w:trHeight w:val="40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1224"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投标文件签字盖章</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有法定代表人或其委托代理人签字或加盖单位电子签章</w:t>
            </w:r>
          </w:p>
        </w:tc>
      </w:tr>
      <w:tr>
        <w:tblPrEx>
          <w:tblCellMar>
            <w:top w:w="0" w:type="dxa"/>
            <w:left w:w="108" w:type="dxa"/>
            <w:bottom w:w="0" w:type="dxa"/>
            <w:right w:w="108" w:type="dxa"/>
          </w:tblCellMar>
        </w:tblPrEx>
        <w:trPr>
          <w:trHeight w:val="40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1224"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投标文件格式</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符合第六章“投标文件格式”的要求</w:t>
            </w:r>
          </w:p>
        </w:tc>
      </w:tr>
      <w:tr>
        <w:tblPrEx>
          <w:tblCellMar>
            <w:top w:w="0" w:type="dxa"/>
            <w:left w:w="108" w:type="dxa"/>
            <w:bottom w:w="0" w:type="dxa"/>
            <w:right w:w="108" w:type="dxa"/>
          </w:tblCellMar>
        </w:tblPrEx>
        <w:trPr>
          <w:trHeight w:val="40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1224"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报价唯一</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只能有一个有效报价</w:t>
            </w:r>
          </w:p>
        </w:tc>
      </w:tr>
      <w:tr>
        <w:tblPrEx>
          <w:tblCellMar>
            <w:top w:w="0" w:type="dxa"/>
            <w:left w:w="108" w:type="dxa"/>
            <w:bottom w:w="0" w:type="dxa"/>
            <w:right w:w="108" w:type="dxa"/>
          </w:tblCellMar>
        </w:tblPrEx>
        <w:trPr>
          <w:trHeight w:val="405" w:hRule="atLeast"/>
          <w:jc w:val="center"/>
        </w:trPr>
        <w:tc>
          <w:tcPr>
            <w:tcW w:w="880" w:type="dxa"/>
            <w:vMerge w:val="restart"/>
            <w:tcBorders>
              <w:top w:val="nil"/>
              <w:left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2.1.2</w:t>
            </w:r>
          </w:p>
        </w:tc>
        <w:tc>
          <w:tcPr>
            <w:tcW w:w="1224" w:type="dxa"/>
            <w:vMerge w:val="restart"/>
            <w:tcBorders>
              <w:top w:val="nil"/>
              <w:left w:val="nil"/>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资格评审标准</w:t>
            </w: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宋体" w:hAnsi="宋体" w:cs="宋体"/>
                <w:kern w:val="0"/>
                <w:sz w:val="24"/>
              </w:rPr>
              <w:t>投标人名称</w:t>
            </w:r>
          </w:p>
        </w:tc>
        <w:tc>
          <w:tcPr>
            <w:tcW w:w="6220" w:type="dxa"/>
            <w:tcBorders>
              <w:top w:val="nil"/>
              <w:left w:val="nil"/>
              <w:bottom w:val="single" w:color="auto" w:sz="4" w:space="0"/>
              <w:right w:val="single" w:color="auto" w:sz="4" w:space="0"/>
            </w:tcBorders>
            <w:shd w:val="clear" w:color="auto" w:fill="auto"/>
            <w:vAlign w:val="center"/>
          </w:tcPr>
          <w:p>
            <w:pPr>
              <w:pStyle w:val="37"/>
              <w:spacing w:line="360" w:lineRule="auto"/>
              <w:ind w:firstLine="0" w:firstLineChars="0"/>
              <w:jc w:val="left"/>
              <w:rPr>
                <w:rFonts w:asciiTheme="minorEastAsia" w:hAnsiTheme="minorEastAsia" w:eastAsiaTheme="minorEastAsia" w:cstheme="minorEastAsia"/>
                <w:color w:val="000000"/>
              </w:rPr>
            </w:pPr>
            <w:r>
              <w:rPr>
                <w:rFonts w:hint="eastAsia" w:ascii="宋体" w:hAnsi="宋体" w:cs="宋体"/>
              </w:rPr>
              <w:t>与营业执照（如有）一致</w:t>
            </w:r>
          </w:p>
        </w:tc>
      </w:tr>
      <w:tr>
        <w:tblPrEx>
          <w:tblCellMar>
            <w:top w:w="0" w:type="dxa"/>
            <w:left w:w="108" w:type="dxa"/>
            <w:bottom w:w="0" w:type="dxa"/>
            <w:right w:w="108" w:type="dxa"/>
          </w:tblCellMar>
        </w:tblPrEx>
        <w:trPr>
          <w:trHeight w:val="405" w:hRule="atLeast"/>
          <w:jc w:val="center"/>
        </w:trPr>
        <w:tc>
          <w:tcPr>
            <w:tcW w:w="880" w:type="dxa"/>
            <w:vMerge w:val="continue"/>
            <w:tcBorders>
              <w:left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1224" w:type="dxa"/>
            <w:vMerge w:val="continue"/>
            <w:tcBorders>
              <w:left w:val="nil"/>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宋体" w:hAnsi="宋体" w:cs="宋体"/>
                <w:kern w:val="0"/>
                <w:sz w:val="24"/>
              </w:rPr>
              <w:t>营业执照或证明材料</w:t>
            </w:r>
          </w:p>
        </w:tc>
        <w:tc>
          <w:tcPr>
            <w:tcW w:w="62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宋体" w:hAnsi="宋体" w:cs="宋体"/>
                <w:kern w:val="0"/>
                <w:sz w:val="24"/>
              </w:rPr>
              <w:t>具备有效的营业执照或证明材料</w:t>
            </w:r>
          </w:p>
        </w:tc>
      </w:tr>
      <w:tr>
        <w:tblPrEx>
          <w:tblCellMar>
            <w:top w:w="0" w:type="dxa"/>
            <w:left w:w="108" w:type="dxa"/>
            <w:bottom w:w="0" w:type="dxa"/>
            <w:right w:w="108" w:type="dxa"/>
          </w:tblCellMar>
        </w:tblPrEx>
        <w:trPr>
          <w:trHeight w:val="405" w:hRule="atLeast"/>
          <w:jc w:val="center"/>
        </w:trPr>
        <w:tc>
          <w:tcPr>
            <w:tcW w:w="880" w:type="dxa"/>
            <w:vMerge w:val="continue"/>
            <w:tcBorders>
              <w:left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1224" w:type="dxa"/>
            <w:vMerge w:val="continue"/>
            <w:tcBorders>
              <w:left w:val="nil"/>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宋体" w:hAnsi="宋体" w:cs="宋体"/>
                <w:kern w:val="0"/>
                <w:sz w:val="24"/>
              </w:rPr>
              <w:t>信用记录</w:t>
            </w:r>
          </w:p>
        </w:tc>
        <w:tc>
          <w:tcPr>
            <w:tcW w:w="62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宋体" w:hAnsi="宋体" w:cs="宋体"/>
                <w:kern w:val="0"/>
                <w:sz w:val="24"/>
              </w:rPr>
              <w:t>符合第二章“投标人须知前附表”第1.4.1项规定</w:t>
            </w:r>
          </w:p>
        </w:tc>
      </w:tr>
      <w:tr>
        <w:tblPrEx>
          <w:tblCellMar>
            <w:top w:w="0" w:type="dxa"/>
            <w:left w:w="108" w:type="dxa"/>
            <w:bottom w:w="0" w:type="dxa"/>
            <w:right w:w="108" w:type="dxa"/>
          </w:tblCellMar>
        </w:tblPrEx>
        <w:trPr>
          <w:trHeight w:val="405" w:hRule="atLeast"/>
          <w:jc w:val="center"/>
        </w:trPr>
        <w:tc>
          <w:tcPr>
            <w:tcW w:w="880" w:type="dxa"/>
            <w:vMerge w:val="continue"/>
            <w:tcBorders>
              <w:left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1224" w:type="dxa"/>
            <w:vMerge w:val="continue"/>
            <w:tcBorders>
              <w:left w:val="nil"/>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宋体" w:hAnsi="宋体" w:cs="宋体"/>
                <w:kern w:val="0"/>
                <w:sz w:val="24"/>
              </w:rPr>
              <w:t>财务要求</w:t>
            </w:r>
          </w:p>
        </w:tc>
        <w:tc>
          <w:tcPr>
            <w:tcW w:w="62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宋体" w:hAnsi="宋体" w:cs="宋体"/>
                <w:kern w:val="0"/>
                <w:sz w:val="24"/>
              </w:rPr>
              <w:t>符合第二章“投标人须知前附表”第1.4.1项规定</w:t>
            </w:r>
          </w:p>
        </w:tc>
      </w:tr>
      <w:tr>
        <w:tblPrEx>
          <w:tblCellMar>
            <w:top w:w="0" w:type="dxa"/>
            <w:left w:w="108" w:type="dxa"/>
            <w:bottom w:w="0" w:type="dxa"/>
            <w:right w:w="108" w:type="dxa"/>
          </w:tblCellMar>
        </w:tblPrEx>
        <w:trPr>
          <w:trHeight w:val="405" w:hRule="atLeast"/>
          <w:jc w:val="center"/>
        </w:trPr>
        <w:tc>
          <w:tcPr>
            <w:tcW w:w="880" w:type="dxa"/>
            <w:vMerge w:val="continue"/>
            <w:tcBorders>
              <w:left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1224" w:type="dxa"/>
            <w:vMerge w:val="continue"/>
            <w:tcBorders>
              <w:left w:val="nil"/>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宋体" w:hAnsi="宋体" w:cs="宋体"/>
                <w:kern w:val="0"/>
                <w:sz w:val="24"/>
              </w:rPr>
              <w:t>纳税要求</w:t>
            </w:r>
          </w:p>
        </w:tc>
        <w:tc>
          <w:tcPr>
            <w:tcW w:w="62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宋体" w:hAnsi="宋体" w:cs="宋体"/>
                <w:kern w:val="0"/>
                <w:sz w:val="24"/>
              </w:rPr>
              <w:t>符合第二章“投标人须知前附表”第1.4.1项规定</w:t>
            </w:r>
          </w:p>
        </w:tc>
      </w:tr>
      <w:tr>
        <w:tblPrEx>
          <w:tblCellMar>
            <w:top w:w="0" w:type="dxa"/>
            <w:left w:w="108" w:type="dxa"/>
            <w:bottom w:w="0" w:type="dxa"/>
            <w:right w:w="108" w:type="dxa"/>
          </w:tblCellMar>
        </w:tblPrEx>
        <w:trPr>
          <w:trHeight w:val="405" w:hRule="atLeast"/>
          <w:jc w:val="center"/>
        </w:trPr>
        <w:tc>
          <w:tcPr>
            <w:tcW w:w="880" w:type="dxa"/>
            <w:vMerge w:val="continue"/>
            <w:tcBorders>
              <w:left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1224" w:type="dxa"/>
            <w:vMerge w:val="continue"/>
            <w:tcBorders>
              <w:left w:val="nil"/>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宋体" w:hAnsi="宋体" w:cs="宋体"/>
                <w:kern w:val="0"/>
                <w:sz w:val="24"/>
              </w:rPr>
              <w:t>社会保险要求</w:t>
            </w:r>
          </w:p>
        </w:tc>
        <w:tc>
          <w:tcPr>
            <w:tcW w:w="62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宋体" w:hAnsi="宋体" w:cs="宋体"/>
                <w:kern w:val="0"/>
                <w:sz w:val="24"/>
              </w:rPr>
              <w:t>符合第二章“投标人须知前附表”第1.4.1项规定</w:t>
            </w:r>
          </w:p>
        </w:tc>
      </w:tr>
      <w:tr>
        <w:tblPrEx>
          <w:tblCellMar>
            <w:top w:w="0" w:type="dxa"/>
            <w:left w:w="108" w:type="dxa"/>
            <w:bottom w:w="0" w:type="dxa"/>
            <w:right w:w="108" w:type="dxa"/>
          </w:tblCellMar>
        </w:tblPrEx>
        <w:trPr>
          <w:trHeight w:val="405" w:hRule="atLeast"/>
          <w:jc w:val="center"/>
        </w:trPr>
        <w:tc>
          <w:tcPr>
            <w:tcW w:w="880" w:type="dxa"/>
            <w:vMerge w:val="continue"/>
            <w:tcBorders>
              <w:left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1224" w:type="dxa"/>
            <w:vMerge w:val="continue"/>
            <w:tcBorders>
              <w:left w:val="nil"/>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宋体" w:hAnsi="宋体" w:cs="宋体"/>
                <w:kern w:val="0"/>
                <w:sz w:val="24"/>
              </w:rPr>
              <w:t>资质要求</w:t>
            </w:r>
          </w:p>
        </w:tc>
        <w:tc>
          <w:tcPr>
            <w:tcW w:w="62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宋体" w:hAnsi="宋体" w:cs="宋体"/>
                <w:kern w:val="0"/>
                <w:sz w:val="24"/>
              </w:rPr>
              <w:t>符合第二章“投标人须知前附表”第1.4.1项规定</w:t>
            </w:r>
          </w:p>
        </w:tc>
      </w:tr>
      <w:tr>
        <w:tblPrEx>
          <w:tblCellMar>
            <w:top w:w="0" w:type="dxa"/>
            <w:left w:w="108" w:type="dxa"/>
            <w:bottom w:w="0" w:type="dxa"/>
            <w:right w:w="108" w:type="dxa"/>
          </w:tblCellMar>
        </w:tblPrEx>
        <w:trPr>
          <w:trHeight w:val="405" w:hRule="atLeast"/>
          <w:jc w:val="center"/>
        </w:trPr>
        <w:tc>
          <w:tcPr>
            <w:tcW w:w="880" w:type="dxa"/>
            <w:vMerge w:val="continue"/>
            <w:tcBorders>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1224" w:type="dxa"/>
            <w:vMerge w:val="continue"/>
            <w:tcBorders>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宋体" w:hAnsi="宋体" w:cs="宋体"/>
                <w:kern w:val="0"/>
                <w:sz w:val="24"/>
              </w:rPr>
              <w:t>其他要求</w:t>
            </w:r>
          </w:p>
        </w:tc>
        <w:tc>
          <w:tcPr>
            <w:tcW w:w="622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宋体" w:hAnsi="宋体" w:cs="宋体"/>
                <w:kern w:val="0"/>
                <w:sz w:val="24"/>
              </w:rPr>
              <w:t>符合第二章“投标人须知前附表”第1.4.1项规定</w:t>
            </w:r>
          </w:p>
        </w:tc>
      </w:tr>
      <w:tr>
        <w:tblPrEx>
          <w:tblCellMar>
            <w:top w:w="0" w:type="dxa"/>
            <w:left w:w="108" w:type="dxa"/>
            <w:bottom w:w="0" w:type="dxa"/>
            <w:right w:w="108" w:type="dxa"/>
          </w:tblCellMar>
        </w:tblPrEx>
        <w:trPr>
          <w:trHeight w:val="405"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2.1.3</w:t>
            </w:r>
          </w:p>
        </w:tc>
        <w:tc>
          <w:tcPr>
            <w:tcW w:w="1224"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响应评审标准</w:t>
            </w: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投标内容</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符合第二章“投标人须知前附表”第1.3.1项规定</w:t>
            </w:r>
          </w:p>
        </w:tc>
      </w:tr>
      <w:tr>
        <w:tblPrEx>
          <w:tblCellMar>
            <w:top w:w="0" w:type="dxa"/>
            <w:left w:w="108" w:type="dxa"/>
            <w:bottom w:w="0" w:type="dxa"/>
            <w:right w:w="108" w:type="dxa"/>
          </w:tblCellMar>
        </w:tblPrEx>
        <w:trPr>
          <w:trHeight w:val="40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1224"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质保期</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符合第二章“投标人须知前附表”第1.3.2项规定</w:t>
            </w:r>
          </w:p>
        </w:tc>
      </w:tr>
      <w:tr>
        <w:tblPrEx>
          <w:tblCellMar>
            <w:top w:w="0" w:type="dxa"/>
            <w:left w:w="108" w:type="dxa"/>
            <w:bottom w:w="0" w:type="dxa"/>
            <w:right w:w="108" w:type="dxa"/>
          </w:tblCellMar>
        </w:tblPrEx>
        <w:trPr>
          <w:trHeight w:val="40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1224"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质量要求</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符合第二章“投标人须知前附表”第1.3.4项规定</w:t>
            </w:r>
          </w:p>
        </w:tc>
      </w:tr>
      <w:tr>
        <w:tblPrEx>
          <w:tblCellMar>
            <w:top w:w="0" w:type="dxa"/>
            <w:left w:w="108" w:type="dxa"/>
            <w:bottom w:w="0" w:type="dxa"/>
            <w:right w:w="108" w:type="dxa"/>
          </w:tblCellMar>
        </w:tblPrEx>
        <w:trPr>
          <w:trHeight w:val="40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1224"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投标报价</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符合第二章“投标人须知前附表”第3.2.2款规定</w:t>
            </w:r>
          </w:p>
        </w:tc>
      </w:tr>
      <w:tr>
        <w:tblPrEx>
          <w:tblCellMar>
            <w:top w:w="0" w:type="dxa"/>
            <w:left w:w="108" w:type="dxa"/>
            <w:bottom w:w="0" w:type="dxa"/>
            <w:right w:w="108" w:type="dxa"/>
          </w:tblCellMar>
        </w:tblPrEx>
        <w:trPr>
          <w:trHeight w:val="40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1224"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投标有效期</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符合第二章“投标人须知前附表”第3.3.1项规定</w:t>
            </w:r>
          </w:p>
        </w:tc>
      </w:tr>
      <w:tr>
        <w:tblPrEx>
          <w:tblCellMar>
            <w:top w:w="0" w:type="dxa"/>
            <w:left w:w="108" w:type="dxa"/>
            <w:bottom w:w="0" w:type="dxa"/>
            <w:right w:w="108" w:type="dxa"/>
          </w:tblCellMar>
        </w:tblPrEx>
        <w:trPr>
          <w:trHeight w:val="40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1224"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投标保证金</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符合第二章“投标人须知前附表”第3.4.1项规定</w:t>
            </w:r>
          </w:p>
        </w:tc>
      </w:tr>
      <w:tr>
        <w:tblPrEx>
          <w:tblCellMar>
            <w:top w:w="0" w:type="dxa"/>
            <w:left w:w="108" w:type="dxa"/>
            <w:bottom w:w="0" w:type="dxa"/>
            <w:right w:w="108" w:type="dxa"/>
          </w:tblCellMar>
        </w:tblPrEx>
        <w:trPr>
          <w:trHeight w:val="405"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1224"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合同款支付方式</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符合第二章“投标人须知前附表”第10.2项规定</w:t>
            </w:r>
          </w:p>
        </w:tc>
      </w:tr>
      <w:tr>
        <w:tblPrEx>
          <w:tblCellMar>
            <w:top w:w="0" w:type="dxa"/>
            <w:left w:w="108" w:type="dxa"/>
            <w:bottom w:w="0" w:type="dxa"/>
            <w:right w:w="108" w:type="dxa"/>
          </w:tblCellMar>
        </w:tblPrEx>
        <w:trPr>
          <w:trHeight w:val="420" w:hRule="atLeast"/>
          <w:jc w:val="center"/>
        </w:trPr>
        <w:tc>
          <w:tcPr>
            <w:tcW w:w="21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条款号</w:t>
            </w: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条款内容</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编列内容</w:t>
            </w:r>
          </w:p>
        </w:tc>
      </w:tr>
      <w:tr>
        <w:tblPrEx>
          <w:tblCellMar>
            <w:top w:w="0" w:type="dxa"/>
            <w:left w:w="108" w:type="dxa"/>
            <w:bottom w:w="0" w:type="dxa"/>
            <w:right w:w="108" w:type="dxa"/>
          </w:tblCellMar>
        </w:tblPrEx>
        <w:trPr>
          <w:trHeight w:val="420" w:hRule="atLeast"/>
          <w:jc w:val="center"/>
        </w:trPr>
        <w:tc>
          <w:tcPr>
            <w:tcW w:w="210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2.2.1</w:t>
            </w:r>
          </w:p>
        </w:tc>
        <w:tc>
          <w:tcPr>
            <w:tcW w:w="2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分值构成总分:100分</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投标报价：</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r>
      <w:tr>
        <w:tblPrEx>
          <w:tblCellMar>
            <w:top w:w="0" w:type="dxa"/>
            <w:left w:w="108" w:type="dxa"/>
            <w:bottom w:w="0" w:type="dxa"/>
            <w:right w:w="108" w:type="dxa"/>
          </w:tblCellMar>
        </w:tblPrEx>
        <w:trPr>
          <w:trHeight w:val="420" w:hRule="atLeast"/>
          <w:jc w:val="center"/>
        </w:trPr>
        <w:tc>
          <w:tcPr>
            <w:tcW w:w="21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24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商务部分：</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0分</w:t>
            </w:r>
          </w:p>
        </w:tc>
      </w:tr>
      <w:tr>
        <w:tblPrEx>
          <w:tblCellMar>
            <w:top w:w="0" w:type="dxa"/>
            <w:left w:w="108" w:type="dxa"/>
            <w:bottom w:w="0" w:type="dxa"/>
            <w:right w:w="108" w:type="dxa"/>
          </w:tblCellMar>
        </w:tblPrEx>
        <w:trPr>
          <w:trHeight w:val="420" w:hRule="atLeast"/>
          <w:jc w:val="center"/>
        </w:trPr>
        <w:tc>
          <w:tcPr>
            <w:tcW w:w="21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2416"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技术部分：</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r>
      <w:tr>
        <w:tblPrEx>
          <w:tblCellMar>
            <w:top w:w="0" w:type="dxa"/>
            <w:left w:w="108" w:type="dxa"/>
            <w:bottom w:w="0" w:type="dxa"/>
            <w:right w:w="108" w:type="dxa"/>
          </w:tblCellMar>
        </w:tblPrEx>
        <w:trPr>
          <w:trHeight w:val="540" w:hRule="atLeast"/>
          <w:jc w:val="center"/>
        </w:trPr>
        <w:tc>
          <w:tcPr>
            <w:tcW w:w="21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2.2.2</w:t>
            </w:r>
          </w:p>
        </w:tc>
        <w:tc>
          <w:tcPr>
            <w:tcW w:w="2416"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评标基准值计算方法</w:t>
            </w: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rPr>
                <w:rFonts w:asciiTheme="minorEastAsia" w:hAnsiTheme="minorEastAsia" w:eastAsiaTheme="minorEastAsia" w:cstheme="minorEastAsia"/>
                <w:color w:val="000000"/>
                <w:kern w:val="0"/>
                <w:sz w:val="24"/>
                <w:szCs w:val="24"/>
              </w:rPr>
            </w:pPr>
            <w:r>
              <w:rPr>
                <w:rFonts w:hint="eastAsia" w:ascii="宋体" w:hAnsi="宋体" w:eastAsia="宋体" w:cs="宋体"/>
                <w:sz w:val="24"/>
              </w:rPr>
              <w:t>评标基准价=有效投标人的最低报价</w:t>
            </w:r>
          </w:p>
        </w:tc>
      </w:tr>
      <w:tr>
        <w:tblPrEx>
          <w:tblCellMar>
            <w:top w:w="0" w:type="dxa"/>
            <w:left w:w="108" w:type="dxa"/>
            <w:bottom w:w="0" w:type="dxa"/>
            <w:right w:w="108" w:type="dxa"/>
          </w:tblCellMar>
        </w:tblPrEx>
        <w:trPr>
          <w:trHeight w:val="1080"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2.2.3</w:t>
            </w:r>
          </w:p>
        </w:tc>
        <w:tc>
          <w:tcPr>
            <w:tcW w:w="1224"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2.2.3（1）</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投标报价（</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0分）</w:t>
            </w:r>
          </w:p>
        </w:tc>
        <w:tc>
          <w:tcPr>
            <w:tcW w:w="6220" w:type="dxa"/>
            <w:tcBorders>
              <w:top w:val="nil"/>
              <w:left w:val="nil"/>
              <w:bottom w:val="single" w:color="auto" w:sz="4" w:space="0"/>
              <w:right w:val="single" w:color="auto" w:sz="4" w:space="0"/>
            </w:tcBorders>
            <w:shd w:val="clear" w:color="auto" w:fill="auto"/>
            <w:vAlign w:val="center"/>
          </w:tcPr>
          <w:p>
            <w:pPr>
              <w:spacing w:line="420" w:lineRule="exact"/>
              <w:rPr>
                <w:rFonts w:hint="eastAsia" w:ascii="宋体" w:hAnsi="宋体" w:eastAsia="宋体" w:cs="宋体"/>
                <w:sz w:val="24"/>
              </w:rPr>
            </w:pPr>
            <w:r>
              <w:rPr>
                <w:rFonts w:hint="eastAsia" w:ascii="宋体" w:hAnsi="宋体" w:eastAsia="宋体" w:cs="宋体"/>
                <w:sz w:val="24"/>
              </w:rPr>
              <w:t>投标报价得分=(评标基准价／投标价格)×30×100%</w:t>
            </w:r>
          </w:p>
          <w:p>
            <w:pPr>
              <w:spacing w:line="420" w:lineRule="exact"/>
              <w:rPr>
                <w:rFonts w:hint="eastAsia" w:ascii="宋体" w:hAnsi="宋体" w:eastAsia="宋体" w:cs="宋体"/>
                <w:sz w:val="24"/>
              </w:rPr>
            </w:pPr>
            <w:r>
              <w:rPr>
                <w:rFonts w:hint="eastAsia" w:ascii="宋体" w:hAnsi="宋体" w:eastAsia="宋体" w:cs="宋体"/>
                <w:sz w:val="24"/>
              </w:rPr>
              <w:t>有效投标人是指实质上响应招标文件要求并通过实质性审核未被废标的所有投标人。</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注：1.对于小型和微型企业产品、采用非强制性节能产品、环境标志产品以扣除优惠比率后的报价参与价格打分，但不作为中标价和合同签约价。中标价和合同签约价仍以其投标文件中的一次报价为准。</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2.小型</w:t>
            </w:r>
            <w:r>
              <w:rPr>
                <w:rFonts w:hint="eastAsia" w:ascii="宋体" w:hAnsi="宋体" w:eastAsia="宋体" w:cs="宋体"/>
                <w:kern w:val="0"/>
                <w:sz w:val="24"/>
                <w:lang w:val="en-US" w:eastAsia="zh-CN"/>
              </w:rPr>
              <w:t>和微型</w:t>
            </w:r>
            <w:r>
              <w:rPr>
                <w:rFonts w:hint="eastAsia" w:ascii="宋体" w:hAnsi="宋体" w:eastAsia="宋体" w:cs="宋体"/>
                <w:kern w:val="0"/>
                <w:sz w:val="24"/>
              </w:rPr>
              <w:t>企业产品价格给予扣除标准：</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根据《政府采购促进</w:t>
            </w:r>
            <w:r>
              <w:rPr>
                <w:rFonts w:hint="eastAsia" w:ascii="宋体" w:hAnsi="宋体" w:eastAsia="宋体" w:cs="宋体"/>
                <w:kern w:val="0"/>
                <w:sz w:val="24"/>
                <w:lang w:eastAsia="zh-CN"/>
              </w:rPr>
              <w:t>小微</w:t>
            </w:r>
            <w:r>
              <w:rPr>
                <w:rFonts w:hint="eastAsia" w:ascii="宋体" w:hAnsi="宋体" w:eastAsia="宋体" w:cs="宋体"/>
                <w:kern w:val="0"/>
                <w:sz w:val="24"/>
              </w:rPr>
              <w:t>发展管理办法》（财库〔2020〕46号）、《财政部关于进一步加大政府采购支持</w:t>
            </w:r>
            <w:r>
              <w:rPr>
                <w:rFonts w:hint="eastAsia" w:ascii="宋体" w:hAnsi="宋体" w:eastAsia="宋体" w:cs="宋体"/>
                <w:kern w:val="0"/>
                <w:sz w:val="24"/>
                <w:lang w:eastAsia="zh-CN"/>
              </w:rPr>
              <w:t>小微</w:t>
            </w:r>
            <w:r>
              <w:rPr>
                <w:rFonts w:hint="eastAsia" w:ascii="宋体" w:hAnsi="宋体" w:eastAsia="宋体" w:cs="宋体"/>
                <w:kern w:val="0"/>
                <w:sz w:val="24"/>
              </w:rPr>
              <w:t>力度的通知》（财库〔2022〕19号）、《河南省财政厅关于进一步做好政府采购支持</w:t>
            </w:r>
            <w:r>
              <w:rPr>
                <w:rFonts w:hint="eastAsia" w:ascii="宋体" w:hAnsi="宋体" w:eastAsia="宋体" w:cs="宋体"/>
                <w:kern w:val="0"/>
                <w:sz w:val="24"/>
                <w:lang w:eastAsia="zh-CN"/>
              </w:rPr>
              <w:t>小微</w:t>
            </w:r>
            <w:r>
              <w:rPr>
                <w:rFonts w:hint="eastAsia" w:ascii="宋体" w:hAnsi="宋体" w:eastAsia="宋体" w:cs="宋体"/>
                <w:kern w:val="0"/>
                <w:sz w:val="24"/>
              </w:rPr>
              <w:t>发展有关事项的通知》（豫财购〔2022〕5号）的规定，对于非专门面向</w:t>
            </w:r>
            <w:r>
              <w:rPr>
                <w:rFonts w:hint="eastAsia" w:ascii="宋体" w:hAnsi="宋体" w:eastAsia="宋体" w:cs="宋体"/>
                <w:kern w:val="0"/>
                <w:sz w:val="24"/>
                <w:lang w:eastAsia="zh-CN"/>
              </w:rPr>
              <w:t>小微</w:t>
            </w:r>
            <w:r>
              <w:rPr>
                <w:rFonts w:hint="eastAsia" w:ascii="宋体" w:hAnsi="宋体" w:eastAsia="宋体" w:cs="宋体"/>
                <w:kern w:val="0"/>
                <w:sz w:val="24"/>
              </w:rPr>
              <w:t>的项目，对小型和微型企业产品的价格给予单价10%的扣除，用扣除后的价格参与评审。</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3.根据《财政部 司法部关于政府采购支持监狱企业发展有关问题的通知》（财库〔2014〕68号），监狱企业视同小微企业。</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4. 根据《财政部 民政部 中国残疾人联合会关于促进残疾人就业政府采购政策的通知》（财库〔2017〕141号）残疾人福利性单位视同小微企业。同一投标人，小型和微型企业产品价格扣除优惠只享受一次，不得重复享受。</w:t>
            </w:r>
          </w:p>
          <w:p>
            <w:pPr>
              <w:widowControl/>
              <w:spacing w:line="360" w:lineRule="auto"/>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评标委员会认为投标人的报价明显低于其他通过形式、资格、响应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宋体" w:hAnsi="宋体" w:eastAsia="宋体" w:cs="宋体"/>
                <w:kern w:val="0"/>
                <w:sz w:val="24"/>
                <w:lang w:val="en-US" w:eastAsia="zh-CN"/>
              </w:rPr>
              <w:t>6.价格分计算保留小数点后二位。</w:t>
            </w:r>
          </w:p>
        </w:tc>
      </w:tr>
      <w:tr>
        <w:tblPrEx>
          <w:tblCellMar>
            <w:top w:w="0" w:type="dxa"/>
            <w:left w:w="108" w:type="dxa"/>
            <w:bottom w:w="0" w:type="dxa"/>
            <w:right w:w="108" w:type="dxa"/>
          </w:tblCellMar>
        </w:tblPrEx>
        <w:trPr>
          <w:trHeight w:val="1328"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1224" w:type="dxa"/>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2.2.3（</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w:t>
            </w:r>
          </w:p>
        </w:tc>
        <w:tc>
          <w:tcPr>
            <w:tcW w:w="241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textAlignment w:val="baseline"/>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商务部分</w:t>
            </w:r>
          </w:p>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0分）</w:t>
            </w:r>
          </w:p>
        </w:tc>
        <w:tc>
          <w:tcPr>
            <w:tcW w:w="6220" w:type="dxa"/>
            <w:tcBorders>
              <w:top w:val="nil"/>
              <w:left w:val="nil"/>
              <w:bottom w:val="single" w:color="auto" w:sz="4" w:space="0"/>
              <w:right w:val="single" w:color="auto" w:sz="4" w:space="0"/>
            </w:tcBorders>
            <w:shd w:val="clear" w:color="auto" w:fill="auto"/>
            <w:vAlign w:val="center"/>
          </w:tcPr>
          <w:p>
            <w:pPr>
              <w:spacing w:line="360" w:lineRule="auto"/>
              <w:jc w:val="left"/>
              <w:rPr>
                <w:sz w:val="24"/>
                <w:szCs w:val="24"/>
              </w:rPr>
            </w:pPr>
            <w:r>
              <w:rPr>
                <w:rFonts w:hint="eastAsia"/>
                <w:sz w:val="24"/>
                <w:szCs w:val="24"/>
              </w:rPr>
              <w:t>1.根据供应商售后服务方案、优惠承诺描述、在质保期内和质保期外的服务计划及承诺情况进行打分等进行综合评审；（0-</w:t>
            </w:r>
            <w:r>
              <w:rPr>
                <w:rFonts w:hint="eastAsia"/>
                <w:sz w:val="24"/>
                <w:szCs w:val="24"/>
                <w:lang w:val="en-US" w:eastAsia="zh-CN"/>
              </w:rPr>
              <w:t>10</w:t>
            </w:r>
            <w:r>
              <w:rPr>
                <w:rFonts w:hint="eastAsia"/>
                <w:sz w:val="24"/>
                <w:szCs w:val="24"/>
              </w:rPr>
              <w:t>分）</w:t>
            </w:r>
          </w:p>
          <w:p>
            <w:pPr>
              <w:spacing w:line="360" w:lineRule="auto"/>
              <w:jc w:val="left"/>
              <w:rPr>
                <w:sz w:val="24"/>
                <w:szCs w:val="24"/>
              </w:rPr>
            </w:pPr>
            <w:r>
              <w:rPr>
                <w:rFonts w:hint="eastAsia"/>
                <w:sz w:val="24"/>
                <w:szCs w:val="24"/>
              </w:rPr>
              <w:t>优秀：供应商提供的承诺及方案合理性、完善程度，非常优秀的得</w:t>
            </w:r>
            <w:r>
              <w:rPr>
                <w:rFonts w:hint="eastAsia"/>
                <w:sz w:val="24"/>
                <w:szCs w:val="24"/>
                <w:lang w:val="en-US" w:eastAsia="zh-CN"/>
              </w:rPr>
              <w:t>7</w:t>
            </w:r>
            <w:r>
              <w:rPr>
                <w:rFonts w:hint="eastAsia"/>
                <w:sz w:val="24"/>
                <w:szCs w:val="24"/>
              </w:rPr>
              <w:t>-</w:t>
            </w:r>
            <w:r>
              <w:rPr>
                <w:rFonts w:hint="eastAsia"/>
                <w:sz w:val="24"/>
                <w:szCs w:val="24"/>
                <w:lang w:val="en-US" w:eastAsia="zh-CN"/>
              </w:rPr>
              <w:t>10</w:t>
            </w:r>
            <w:r>
              <w:rPr>
                <w:rFonts w:hint="eastAsia"/>
                <w:sz w:val="24"/>
                <w:szCs w:val="24"/>
              </w:rPr>
              <w:t xml:space="preserve">分； </w:t>
            </w:r>
          </w:p>
          <w:p>
            <w:pPr>
              <w:spacing w:line="360" w:lineRule="auto"/>
              <w:jc w:val="left"/>
              <w:rPr>
                <w:sz w:val="24"/>
                <w:szCs w:val="24"/>
              </w:rPr>
            </w:pPr>
            <w:r>
              <w:rPr>
                <w:rFonts w:hint="eastAsia"/>
                <w:sz w:val="24"/>
                <w:szCs w:val="24"/>
              </w:rPr>
              <w:t>良好：供应商提供的承诺及方案合理性、完善程度，比较优秀的得</w:t>
            </w:r>
            <w:r>
              <w:rPr>
                <w:rFonts w:hint="eastAsia"/>
                <w:sz w:val="24"/>
                <w:szCs w:val="24"/>
                <w:lang w:val="en-US" w:eastAsia="zh-CN"/>
              </w:rPr>
              <w:t>4</w:t>
            </w:r>
            <w:r>
              <w:rPr>
                <w:rFonts w:hint="eastAsia"/>
                <w:sz w:val="24"/>
                <w:szCs w:val="24"/>
              </w:rPr>
              <w:t>-</w:t>
            </w:r>
            <w:r>
              <w:rPr>
                <w:rFonts w:hint="eastAsia"/>
                <w:sz w:val="24"/>
                <w:szCs w:val="24"/>
                <w:lang w:val="en-US" w:eastAsia="zh-CN"/>
              </w:rPr>
              <w:t>7</w:t>
            </w:r>
            <w:r>
              <w:rPr>
                <w:rFonts w:hint="eastAsia"/>
                <w:sz w:val="24"/>
                <w:szCs w:val="24"/>
              </w:rPr>
              <w:t xml:space="preserve">分； </w:t>
            </w:r>
          </w:p>
          <w:p>
            <w:pPr>
              <w:spacing w:line="360" w:lineRule="auto"/>
              <w:jc w:val="left"/>
              <w:rPr>
                <w:sz w:val="24"/>
                <w:szCs w:val="24"/>
              </w:rPr>
            </w:pPr>
            <w:r>
              <w:rPr>
                <w:rFonts w:hint="eastAsia"/>
                <w:sz w:val="24"/>
                <w:szCs w:val="24"/>
              </w:rPr>
              <w:t>一般：供应商提供的承诺及方案合理性、完善程度，比较一般的得0-</w:t>
            </w:r>
            <w:r>
              <w:rPr>
                <w:rFonts w:hint="eastAsia"/>
                <w:sz w:val="24"/>
                <w:szCs w:val="24"/>
                <w:lang w:val="en-US" w:eastAsia="zh-CN"/>
              </w:rPr>
              <w:t>4</w:t>
            </w:r>
            <w:r>
              <w:rPr>
                <w:rFonts w:hint="eastAsia"/>
                <w:sz w:val="24"/>
                <w:szCs w:val="24"/>
              </w:rPr>
              <w:t xml:space="preserve">分； </w:t>
            </w:r>
          </w:p>
          <w:p>
            <w:pPr>
              <w:spacing w:line="360" w:lineRule="auto"/>
              <w:jc w:val="left"/>
              <w:rPr>
                <w:sz w:val="24"/>
                <w:szCs w:val="24"/>
              </w:rPr>
            </w:pPr>
            <w:r>
              <w:rPr>
                <w:rFonts w:hint="eastAsia"/>
                <w:sz w:val="24"/>
                <w:szCs w:val="24"/>
              </w:rPr>
              <w:t>差：供应商提供的承诺及方案合理性、完善程度，不详细或没有提供的得0分。</w:t>
            </w:r>
          </w:p>
          <w:p>
            <w:pPr>
              <w:spacing w:line="360" w:lineRule="auto"/>
              <w:jc w:val="left"/>
              <w:rPr>
                <w:sz w:val="24"/>
                <w:szCs w:val="24"/>
              </w:rPr>
            </w:pPr>
            <w:r>
              <w:rPr>
                <w:rFonts w:hint="eastAsia"/>
                <w:sz w:val="24"/>
                <w:szCs w:val="24"/>
              </w:rPr>
              <w:t>2.根据供应商服务承诺中问题解决、质量响应时间科学合理性且人员培训、技术指导方案情况；（0-</w:t>
            </w:r>
            <w:r>
              <w:rPr>
                <w:rFonts w:hint="eastAsia"/>
                <w:sz w:val="24"/>
                <w:szCs w:val="24"/>
                <w:lang w:val="en-US" w:eastAsia="zh-CN"/>
              </w:rPr>
              <w:t>10</w:t>
            </w:r>
            <w:r>
              <w:rPr>
                <w:rFonts w:hint="eastAsia"/>
                <w:sz w:val="24"/>
                <w:szCs w:val="24"/>
              </w:rPr>
              <w:t>分）</w:t>
            </w:r>
          </w:p>
          <w:p>
            <w:pPr>
              <w:spacing w:line="360" w:lineRule="auto"/>
              <w:jc w:val="left"/>
              <w:rPr>
                <w:sz w:val="24"/>
                <w:szCs w:val="24"/>
              </w:rPr>
            </w:pPr>
            <w:r>
              <w:rPr>
                <w:rFonts w:hint="eastAsia"/>
                <w:sz w:val="24"/>
                <w:szCs w:val="24"/>
              </w:rPr>
              <w:t>优秀：供应商提供的承诺及方案合理性、完善程度，非常优秀的得</w:t>
            </w:r>
            <w:r>
              <w:rPr>
                <w:rFonts w:hint="eastAsia"/>
                <w:sz w:val="24"/>
                <w:szCs w:val="24"/>
                <w:lang w:val="en-US" w:eastAsia="zh-CN"/>
              </w:rPr>
              <w:t>7-10</w:t>
            </w:r>
            <w:r>
              <w:rPr>
                <w:rFonts w:hint="eastAsia"/>
                <w:sz w:val="24"/>
                <w:szCs w:val="24"/>
              </w:rPr>
              <w:t xml:space="preserve">分； </w:t>
            </w:r>
          </w:p>
          <w:p>
            <w:pPr>
              <w:spacing w:line="360" w:lineRule="auto"/>
              <w:jc w:val="left"/>
              <w:rPr>
                <w:sz w:val="24"/>
                <w:szCs w:val="24"/>
              </w:rPr>
            </w:pPr>
            <w:r>
              <w:rPr>
                <w:rFonts w:hint="eastAsia"/>
                <w:sz w:val="24"/>
                <w:szCs w:val="24"/>
              </w:rPr>
              <w:t>良好：供应商提供的承诺及方案合理性、完善程度，比较优秀的得</w:t>
            </w:r>
            <w:r>
              <w:rPr>
                <w:rFonts w:hint="eastAsia"/>
                <w:sz w:val="24"/>
                <w:szCs w:val="24"/>
                <w:lang w:val="en-US" w:eastAsia="zh-CN"/>
              </w:rPr>
              <w:t>4-7</w:t>
            </w:r>
            <w:r>
              <w:rPr>
                <w:rFonts w:hint="eastAsia"/>
                <w:sz w:val="24"/>
                <w:szCs w:val="24"/>
              </w:rPr>
              <w:t xml:space="preserve">分； </w:t>
            </w:r>
          </w:p>
          <w:p>
            <w:pPr>
              <w:spacing w:line="360" w:lineRule="auto"/>
              <w:jc w:val="left"/>
              <w:rPr>
                <w:sz w:val="24"/>
                <w:szCs w:val="24"/>
              </w:rPr>
            </w:pPr>
            <w:r>
              <w:rPr>
                <w:rFonts w:hint="eastAsia"/>
                <w:sz w:val="24"/>
                <w:szCs w:val="24"/>
              </w:rPr>
              <w:t>一般：供应商提供的承诺及方案合理性、完善程度，比较一般的得</w:t>
            </w:r>
            <w:r>
              <w:rPr>
                <w:rFonts w:hint="eastAsia"/>
                <w:sz w:val="24"/>
                <w:szCs w:val="24"/>
                <w:lang w:val="en-US" w:eastAsia="zh-CN"/>
              </w:rPr>
              <w:t>0-4</w:t>
            </w:r>
            <w:r>
              <w:rPr>
                <w:rFonts w:hint="eastAsia"/>
                <w:sz w:val="24"/>
                <w:szCs w:val="24"/>
              </w:rPr>
              <w:t xml:space="preserve">分； </w:t>
            </w:r>
          </w:p>
          <w:p>
            <w:pPr>
              <w:spacing w:line="360" w:lineRule="auto"/>
              <w:jc w:val="left"/>
              <w:rPr>
                <w:sz w:val="24"/>
                <w:szCs w:val="24"/>
              </w:rPr>
            </w:pPr>
            <w:r>
              <w:rPr>
                <w:rFonts w:hint="eastAsia"/>
                <w:sz w:val="24"/>
                <w:szCs w:val="24"/>
              </w:rPr>
              <w:t>差：供应商提供的承诺及方案合理性、完善程度，不详细或没有提供的得0分。</w:t>
            </w:r>
          </w:p>
          <w:p>
            <w:pPr>
              <w:spacing w:line="360" w:lineRule="auto"/>
              <w:jc w:val="left"/>
              <w:rPr>
                <w:sz w:val="24"/>
                <w:szCs w:val="24"/>
              </w:rPr>
            </w:pPr>
            <w:r>
              <w:rPr>
                <w:rFonts w:hint="eastAsia"/>
                <w:sz w:val="24"/>
                <w:szCs w:val="24"/>
              </w:rPr>
              <w:t>3.有详细的现场培训计划。培训内容应包括技术原理、操作、日常基本维护与保养，使参加培训的人员能独立使用，同时能独立处理常见性故障。（0-</w:t>
            </w:r>
            <w:r>
              <w:rPr>
                <w:rFonts w:hint="eastAsia"/>
                <w:sz w:val="24"/>
                <w:szCs w:val="24"/>
                <w:lang w:val="en-US" w:eastAsia="zh-CN"/>
              </w:rPr>
              <w:t>10</w:t>
            </w:r>
            <w:r>
              <w:rPr>
                <w:rFonts w:hint="eastAsia"/>
                <w:sz w:val="24"/>
                <w:szCs w:val="24"/>
              </w:rPr>
              <w:t>分）</w:t>
            </w:r>
          </w:p>
          <w:p>
            <w:pPr>
              <w:spacing w:line="360" w:lineRule="auto"/>
              <w:jc w:val="left"/>
              <w:rPr>
                <w:sz w:val="24"/>
                <w:szCs w:val="24"/>
              </w:rPr>
            </w:pPr>
            <w:r>
              <w:rPr>
                <w:rFonts w:hint="eastAsia"/>
                <w:sz w:val="24"/>
                <w:szCs w:val="24"/>
              </w:rPr>
              <w:t>优秀：供应商提供的承诺合理性、可行性、完善程度，非常优秀的得</w:t>
            </w:r>
            <w:r>
              <w:rPr>
                <w:rFonts w:hint="eastAsia"/>
                <w:sz w:val="24"/>
                <w:szCs w:val="24"/>
                <w:lang w:val="en-US" w:eastAsia="zh-CN"/>
              </w:rPr>
              <w:t>7-10</w:t>
            </w:r>
            <w:r>
              <w:rPr>
                <w:rFonts w:hint="eastAsia"/>
                <w:sz w:val="24"/>
                <w:szCs w:val="24"/>
              </w:rPr>
              <w:t xml:space="preserve">分； </w:t>
            </w:r>
          </w:p>
          <w:p>
            <w:pPr>
              <w:spacing w:line="360" w:lineRule="auto"/>
              <w:jc w:val="left"/>
              <w:rPr>
                <w:sz w:val="24"/>
                <w:szCs w:val="24"/>
              </w:rPr>
            </w:pPr>
            <w:r>
              <w:rPr>
                <w:rFonts w:hint="eastAsia"/>
                <w:sz w:val="24"/>
                <w:szCs w:val="24"/>
              </w:rPr>
              <w:t>良好：供应商提供的承诺合理性、可行性、完善程度，比较优秀的得</w:t>
            </w:r>
            <w:r>
              <w:rPr>
                <w:rFonts w:hint="eastAsia"/>
                <w:sz w:val="24"/>
                <w:szCs w:val="24"/>
                <w:lang w:val="en-US" w:eastAsia="zh-CN"/>
              </w:rPr>
              <w:t>4-7</w:t>
            </w:r>
            <w:r>
              <w:rPr>
                <w:rFonts w:hint="eastAsia"/>
                <w:sz w:val="24"/>
                <w:szCs w:val="24"/>
              </w:rPr>
              <w:t xml:space="preserve">分； </w:t>
            </w:r>
          </w:p>
          <w:p>
            <w:pPr>
              <w:spacing w:line="360" w:lineRule="auto"/>
              <w:jc w:val="left"/>
              <w:rPr>
                <w:sz w:val="24"/>
                <w:szCs w:val="24"/>
              </w:rPr>
            </w:pPr>
            <w:r>
              <w:rPr>
                <w:rFonts w:hint="eastAsia"/>
                <w:sz w:val="24"/>
                <w:szCs w:val="24"/>
              </w:rPr>
              <w:t>一般：供应商提供的承诺合理性、可行性、完善程度，比较一般的得0-</w:t>
            </w:r>
            <w:r>
              <w:rPr>
                <w:rFonts w:hint="eastAsia"/>
                <w:sz w:val="24"/>
                <w:szCs w:val="24"/>
                <w:lang w:val="en-US" w:eastAsia="zh-CN"/>
              </w:rPr>
              <w:t>4</w:t>
            </w:r>
            <w:r>
              <w:rPr>
                <w:rFonts w:hint="eastAsia"/>
                <w:sz w:val="24"/>
                <w:szCs w:val="24"/>
              </w:rPr>
              <w:t xml:space="preserve">分； </w:t>
            </w:r>
          </w:p>
          <w:p>
            <w:pPr>
              <w:spacing w:line="360" w:lineRule="auto"/>
              <w:jc w:val="left"/>
              <w:rPr>
                <w:sz w:val="24"/>
                <w:szCs w:val="24"/>
              </w:rPr>
            </w:pPr>
            <w:r>
              <w:rPr>
                <w:rFonts w:hint="eastAsia"/>
                <w:sz w:val="24"/>
                <w:szCs w:val="24"/>
              </w:rPr>
              <w:t>差：供应商提供的承诺及方案合理性、可行性、完善程度，不详细或没有提供的得0分。</w:t>
            </w:r>
          </w:p>
          <w:p>
            <w:pPr>
              <w:spacing w:line="360" w:lineRule="auto"/>
              <w:jc w:val="left"/>
              <w:rPr>
                <w:sz w:val="24"/>
                <w:szCs w:val="24"/>
              </w:rPr>
            </w:pPr>
            <w:r>
              <w:rPr>
                <w:rFonts w:hint="eastAsia" w:ascii="宋体" w:hAnsi="宋体" w:cs="宋体"/>
                <w:sz w:val="24"/>
                <w:szCs w:val="24"/>
              </w:rPr>
              <w:t>4.确保质量、安全、进度的主要技术、组织措施</w:t>
            </w:r>
            <w:r>
              <w:rPr>
                <w:rFonts w:hint="eastAsia"/>
                <w:sz w:val="24"/>
                <w:szCs w:val="24"/>
              </w:rPr>
              <w:t>（0-</w:t>
            </w:r>
            <w:r>
              <w:rPr>
                <w:rFonts w:hint="eastAsia"/>
                <w:sz w:val="24"/>
                <w:szCs w:val="24"/>
                <w:lang w:val="en-US" w:eastAsia="zh-CN"/>
              </w:rPr>
              <w:t>10</w:t>
            </w:r>
            <w:r>
              <w:rPr>
                <w:rFonts w:hint="eastAsia"/>
                <w:sz w:val="24"/>
                <w:szCs w:val="24"/>
              </w:rPr>
              <w:t>分）</w:t>
            </w:r>
          </w:p>
          <w:p>
            <w:pPr>
              <w:spacing w:line="360" w:lineRule="auto"/>
              <w:jc w:val="left"/>
              <w:rPr>
                <w:sz w:val="24"/>
                <w:szCs w:val="24"/>
              </w:rPr>
            </w:pPr>
            <w:r>
              <w:rPr>
                <w:rFonts w:hint="eastAsia"/>
                <w:sz w:val="24"/>
                <w:szCs w:val="24"/>
              </w:rPr>
              <w:t>优秀：供应商提供的承诺及方案合理性、完善程度，非常优秀的得</w:t>
            </w:r>
            <w:r>
              <w:rPr>
                <w:rFonts w:hint="eastAsia"/>
                <w:sz w:val="24"/>
                <w:szCs w:val="24"/>
                <w:lang w:val="en-US" w:eastAsia="zh-CN"/>
              </w:rPr>
              <w:t>7-10</w:t>
            </w:r>
            <w:r>
              <w:rPr>
                <w:rFonts w:hint="eastAsia"/>
                <w:sz w:val="24"/>
                <w:szCs w:val="24"/>
              </w:rPr>
              <w:t xml:space="preserve">分； </w:t>
            </w:r>
          </w:p>
          <w:p>
            <w:pPr>
              <w:spacing w:line="360" w:lineRule="auto"/>
              <w:jc w:val="left"/>
              <w:rPr>
                <w:sz w:val="24"/>
                <w:szCs w:val="24"/>
              </w:rPr>
            </w:pPr>
            <w:r>
              <w:rPr>
                <w:rFonts w:hint="eastAsia"/>
                <w:sz w:val="24"/>
                <w:szCs w:val="24"/>
              </w:rPr>
              <w:t>良好：供应商提供的承诺及方案合理性、完善程度，比较优秀的得</w:t>
            </w:r>
            <w:r>
              <w:rPr>
                <w:rFonts w:hint="eastAsia"/>
                <w:sz w:val="24"/>
                <w:szCs w:val="24"/>
                <w:lang w:val="en-US" w:eastAsia="zh-CN"/>
              </w:rPr>
              <w:t>4-7</w:t>
            </w:r>
            <w:r>
              <w:rPr>
                <w:rFonts w:hint="eastAsia"/>
                <w:sz w:val="24"/>
                <w:szCs w:val="24"/>
              </w:rPr>
              <w:t xml:space="preserve">分； </w:t>
            </w:r>
          </w:p>
          <w:p>
            <w:pPr>
              <w:spacing w:line="360" w:lineRule="auto"/>
              <w:jc w:val="left"/>
              <w:rPr>
                <w:sz w:val="24"/>
                <w:szCs w:val="24"/>
              </w:rPr>
            </w:pPr>
            <w:r>
              <w:rPr>
                <w:rFonts w:hint="eastAsia"/>
                <w:sz w:val="24"/>
                <w:szCs w:val="24"/>
              </w:rPr>
              <w:t>一般：供应商提供的承诺及方案合理性、完善程度，比较一般的得0-</w:t>
            </w:r>
            <w:r>
              <w:rPr>
                <w:rFonts w:hint="eastAsia"/>
                <w:sz w:val="24"/>
                <w:szCs w:val="24"/>
                <w:lang w:val="en-US" w:eastAsia="zh-CN"/>
              </w:rPr>
              <w:t>4</w:t>
            </w:r>
            <w:r>
              <w:rPr>
                <w:rFonts w:hint="eastAsia"/>
                <w:sz w:val="24"/>
                <w:szCs w:val="24"/>
              </w:rPr>
              <w:t xml:space="preserve">分； </w:t>
            </w:r>
          </w:p>
          <w:p>
            <w:pPr>
              <w:spacing w:line="360" w:lineRule="auto"/>
              <w:jc w:val="left"/>
              <w:rPr>
                <w:rFonts w:asciiTheme="minorEastAsia" w:hAnsiTheme="minorEastAsia" w:eastAsiaTheme="minorEastAsia" w:cstheme="minorEastAsia"/>
                <w:color w:val="000000"/>
                <w:kern w:val="0"/>
                <w:sz w:val="24"/>
                <w:szCs w:val="24"/>
              </w:rPr>
            </w:pPr>
            <w:r>
              <w:rPr>
                <w:rFonts w:hint="eastAsia"/>
                <w:sz w:val="24"/>
                <w:szCs w:val="24"/>
              </w:rPr>
              <w:t>差：供应商提供的承诺及方案合理性、完善程度，不详细或没有提供的得0分。</w:t>
            </w:r>
          </w:p>
        </w:tc>
      </w:tr>
      <w:tr>
        <w:tblPrEx>
          <w:tblCellMar>
            <w:top w:w="0" w:type="dxa"/>
            <w:left w:w="108" w:type="dxa"/>
            <w:bottom w:w="0" w:type="dxa"/>
            <w:right w:w="108" w:type="dxa"/>
          </w:tblCellMar>
        </w:tblPrEx>
        <w:trPr>
          <w:trHeight w:val="358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p>
        </w:tc>
        <w:tc>
          <w:tcPr>
            <w:tcW w:w="1224"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2.2.3（3）</w:t>
            </w:r>
          </w:p>
        </w:tc>
        <w:tc>
          <w:tcPr>
            <w:tcW w:w="2416" w:type="dxa"/>
            <w:tcBorders>
              <w:top w:val="single" w:color="auto" w:sz="4" w:space="0"/>
              <w:left w:val="single" w:color="auto" w:sz="4" w:space="0"/>
              <w:right w:val="single" w:color="auto" w:sz="4" w:space="0"/>
            </w:tcBorders>
            <w:shd w:val="clear" w:color="auto" w:fill="auto"/>
            <w:vAlign w:val="center"/>
          </w:tcPr>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技术部分（</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 xml:space="preserve">0分）  </w:t>
            </w:r>
          </w:p>
          <w:p>
            <w:pPr>
              <w:widowControl/>
              <w:snapToGrid w:val="0"/>
              <w:spacing w:line="360" w:lineRule="auto"/>
              <w:jc w:val="center"/>
              <w:textAlignment w:val="baseline"/>
              <w:rPr>
                <w:rFonts w:asciiTheme="minorEastAsia" w:hAnsiTheme="minorEastAsia" w:eastAsiaTheme="minorEastAsia" w:cstheme="minorEastAsia"/>
                <w:color w:val="000000"/>
                <w:kern w:val="0"/>
                <w:sz w:val="24"/>
                <w:szCs w:val="24"/>
              </w:rPr>
            </w:pPr>
          </w:p>
        </w:tc>
        <w:tc>
          <w:tcPr>
            <w:tcW w:w="6220" w:type="dxa"/>
            <w:tcBorders>
              <w:top w:val="nil"/>
              <w:left w:val="nil"/>
              <w:bottom w:val="single" w:color="auto" w:sz="4" w:space="0"/>
              <w:right w:val="single" w:color="auto" w:sz="4" w:space="0"/>
            </w:tcBorders>
            <w:shd w:val="clear" w:color="auto" w:fill="auto"/>
            <w:vAlign w:val="center"/>
          </w:tcPr>
          <w:p>
            <w:pPr>
              <w:widowControl/>
              <w:snapToGrid w:val="0"/>
              <w:spacing w:line="360" w:lineRule="auto"/>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A.评审专家根据的技术条款及投标文件响应的条款进行打</w:t>
            </w:r>
          </w:p>
          <w:p>
            <w:pPr>
              <w:widowControl/>
              <w:snapToGrid w:val="0"/>
              <w:spacing w:line="360" w:lineRule="auto"/>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分评审，所有条款均符合招标文件技术参数与要求，得满</w:t>
            </w:r>
          </w:p>
          <w:p>
            <w:pPr>
              <w:widowControl/>
              <w:snapToGrid w:val="0"/>
              <w:spacing w:line="360" w:lineRule="auto"/>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分 </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0 分。</w:t>
            </w:r>
          </w:p>
          <w:p>
            <w:pPr>
              <w:widowControl/>
              <w:snapToGrid w:val="0"/>
              <w:spacing w:line="360" w:lineRule="auto"/>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B.招标参数中带符合“*”的技术参数项为重要技术参数响</w:t>
            </w:r>
          </w:p>
          <w:p>
            <w:pPr>
              <w:widowControl/>
              <w:snapToGrid w:val="0"/>
              <w:spacing w:line="360" w:lineRule="auto"/>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应项，每存在一项负偏差在基本分 </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 xml:space="preserve">0 分的基础上扣 5 分，扣完为止；不带“*”的技术参数为一般性技术参数，评审专家根据每一项相应内容的偏差情况在基本分 </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0 分的基础上扣 2 分，扣完为止；</w:t>
            </w:r>
          </w:p>
          <w:p>
            <w:pPr>
              <w:widowControl/>
              <w:snapToGrid w:val="0"/>
              <w:spacing w:line="360" w:lineRule="auto"/>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投标人须提供响应招标文件要求的技术参数条款的产品注册检验报告，且对提供产品注册检验报告的真实性负责,并承担相应的法律责任;投标人也可提供其他技术支持文件，如所投产品说明书或操作手册或产品型号彩页证明文件(或技术白皮书)，并根据招标参数在相应的技术支持文件上做出醒目标注。</w:t>
            </w:r>
          </w:p>
          <w:p>
            <w:pPr>
              <w:widowControl/>
              <w:snapToGrid w:val="0"/>
              <w:spacing w:line="360" w:lineRule="auto"/>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若未提供《技术规格偏差表》标注“符合或正偏差”条款的相关证明文件(或原文白皮书) ,经专家评定后,此条款可按负偏离进行打分评审。</w:t>
            </w:r>
          </w:p>
          <w:p>
            <w:pPr>
              <w:widowControl/>
              <w:snapToGrid w:val="0"/>
              <w:spacing w:line="360" w:lineRule="auto"/>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a.投标人在投标文件中《技术规格偏差表》的偏差说明处填写“正偏差”，但在提供的证明文件中并未找到该条款“正偏差”的依据，此条款可按负偏离进行打分。</w:t>
            </w:r>
          </w:p>
          <w:p>
            <w:pPr>
              <w:widowControl/>
              <w:snapToGrid w:val="0"/>
              <w:spacing w:line="360" w:lineRule="auto"/>
              <w:jc w:val="left"/>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b.投标人在投标文件中《技术规格偏差表》的偏差说明处填写“符合”，但在提供的证明文件中并未找到该条款“符合”的依据，此条款可按负偏离进行打分。</w:t>
            </w:r>
          </w:p>
          <w:p>
            <w:pPr>
              <w:widowControl/>
              <w:snapToGrid w:val="0"/>
              <w:spacing w:line="360" w:lineRule="auto"/>
              <w:jc w:val="left"/>
              <w:textAlignment w:val="baseline"/>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c.若以上文件同一技术参数出现不一致时，按以上证明文件的顺序依次作为评审标准。(注册检验报告为主、操作手册或技术白皮书为次、最后为产品彩页。)。</w:t>
            </w:r>
          </w:p>
        </w:tc>
      </w:tr>
    </w:tbl>
    <w:p>
      <w:pPr>
        <w:widowControl/>
        <w:jc w:val="left"/>
        <w:rPr>
          <w:rFonts w:ascii="宋体"/>
          <w:b/>
          <w:bCs/>
          <w:sz w:val="24"/>
          <w:szCs w:val="24"/>
        </w:rPr>
      </w:pPr>
    </w:p>
    <w:p>
      <w:pPr>
        <w:widowControl/>
        <w:jc w:val="left"/>
        <w:rPr>
          <w:rFonts w:ascii="宋体"/>
          <w:b/>
          <w:bCs/>
          <w:sz w:val="24"/>
          <w:szCs w:val="24"/>
        </w:rPr>
      </w:pPr>
    </w:p>
    <w:p>
      <w:pPr>
        <w:widowControl/>
        <w:jc w:val="left"/>
        <w:rPr>
          <w:rFonts w:ascii="宋体"/>
          <w:b/>
          <w:bCs/>
          <w:sz w:val="24"/>
          <w:szCs w:val="24"/>
        </w:rPr>
      </w:pPr>
    </w:p>
    <w:p>
      <w:pPr>
        <w:widowControl/>
        <w:jc w:val="left"/>
        <w:rPr>
          <w:rFonts w:ascii="宋体"/>
          <w:b/>
          <w:bCs/>
          <w:sz w:val="24"/>
          <w:szCs w:val="24"/>
        </w:rPr>
      </w:pPr>
      <w:r>
        <w:rPr>
          <w:rFonts w:ascii="宋体"/>
          <w:b/>
          <w:bCs/>
          <w:sz w:val="24"/>
          <w:szCs w:val="24"/>
        </w:rPr>
        <w:br w:type="page"/>
      </w:r>
    </w:p>
    <w:p>
      <w:pPr>
        <w:keepLines/>
        <w:snapToGrid w:val="0"/>
        <w:spacing w:line="540" w:lineRule="exact"/>
        <w:textAlignment w:val="baseline"/>
        <w:rPr>
          <w:rFonts w:ascii="宋体"/>
          <w:b/>
          <w:bCs/>
          <w:sz w:val="24"/>
          <w:szCs w:val="24"/>
        </w:rPr>
      </w:pPr>
      <w:r>
        <w:rPr>
          <w:rFonts w:hint="eastAsia" w:ascii="宋体"/>
          <w:b/>
          <w:bCs/>
          <w:sz w:val="24"/>
          <w:szCs w:val="24"/>
        </w:rPr>
        <w:tab/>
      </w:r>
      <w:bookmarkStart w:id="145" w:name="_Toc74732328"/>
      <w:bookmarkStart w:id="146" w:name="_Toc74732271"/>
      <w:bookmarkStart w:id="147" w:name="_Toc25084"/>
      <w:r>
        <w:rPr>
          <w:rFonts w:ascii="宋体" w:hAnsi="宋体" w:cs="宋体"/>
          <w:b/>
          <w:bCs/>
          <w:sz w:val="24"/>
          <w:szCs w:val="24"/>
        </w:rPr>
        <w:t>1.</w:t>
      </w:r>
      <w:r>
        <w:rPr>
          <w:rFonts w:hint="eastAsia" w:ascii="宋体" w:hAnsi="宋体" w:cs="宋体"/>
          <w:b/>
          <w:bCs/>
          <w:sz w:val="24"/>
          <w:szCs w:val="24"/>
        </w:rPr>
        <w:t>评标方法</w:t>
      </w:r>
      <w:bookmarkEnd w:id="145"/>
      <w:bookmarkEnd w:id="146"/>
      <w:bookmarkEnd w:id="147"/>
    </w:p>
    <w:p>
      <w:pPr>
        <w:snapToGrid w:val="0"/>
        <w:spacing w:line="520" w:lineRule="exact"/>
        <w:ind w:firstLine="420"/>
        <w:textAlignment w:val="baseline"/>
        <w:rPr>
          <w:rFonts w:ascii="宋体"/>
          <w:kern w:val="0"/>
          <w:sz w:val="24"/>
          <w:szCs w:val="24"/>
        </w:rPr>
      </w:pPr>
      <w:bookmarkStart w:id="148" w:name="_Toc184635094"/>
      <w:bookmarkStart w:id="149" w:name="_Toc345178460"/>
      <w:r>
        <w:rPr>
          <w:rFonts w:hint="eastAsia" w:ascii="宋体" w:hAnsi="宋体" w:cs="宋体"/>
          <w:kern w:val="0"/>
          <w:sz w:val="24"/>
          <w:szCs w:val="24"/>
        </w:rPr>
        <w:t>本次评标采用综合评估法。评标委员会对满足招标文件实质性要求的投标文件，按照本章第</w:t>
      </w:r>
      <w:r>
        <w:rPr>
          <w:rFonts w:ascii="宋体" w:hAnsi="宋体" w:cs="宋体"/>
          <w:kern w:val="0"/>
          <w:sz w:val="24"/>
          <w:szCs w:val="24"/>
        </w:rPr>
        <w:t>2.2</w:t>
      </w:r>
      <w:r>
        <w:rPr>
          <w:rFonts w:hint="eastAsia" w:ascii="宋体" w:hAnsi="宋体" w:cs="宋体"/>
          <w:kern w:val="0"/>
          <w:sz w:val="24"/>
          <w:szCs w:val="24"/>
        </w:rPr>
        <w:t>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keepLines/>
        <w:snapToGrid w:val="0"/>
        <w:spacing w:line="540" w:lineRule="exact"/>
        <w:textAlignment w:val="baseline"/>
        <w:rPr>
          <w:rFonts w:ascii="宋体"/>
          <w:b/>
          <w:bCs/>
          <w:sz w:val="24"/>
          <w:szCs w:val="24"/>
        </w:rPr>
      </w:pPr>
      <w:bookmarkStart w:id="150" w:name="_Toc74732329"/>
      <w:bookmarkStart w:id="151" w:name="_Toc11629"/>
      <w:bookmarkStart w:id="152" w:name="_Toc74732272"/>
      <w:r>
        <w:rPr>
          <w:rFonts w:ascii="宋体" w:hAnsi="宋体" w:cs="宋体"/>
          <w:b/>
          <w:bCs/>
          <w:sz w:val="24"/>
          <w:szCs w:val="24"/>
        </w:rPr>
        <w:t>2.</w:t>
      </w:r>
      <w:r>
        <w:rPr>
          <w:rFonts w:hint="eastAsia" w:ascii="宋体" w:hAnsi="宋体" w:cs="宋体"/>
          <w:b/>
          <w:bCs/>
          <w:sz w:val="24"/>
          <w:szCs w:val="24"/>
        </w:rPr>
        <w:t>评审标准</w:t>
      </w:r>
      <w:bookmarkEnd w:id="148"/>
      <w:bookmarkEnd w:id="149"/>
      <w:bookmarkEnd w:id="150"/>
      <w:bookmarkEnd w:id="151"/>
      <w:bookmarkEnd w:id="152"/>
    </w:p>
    <w:p>
      <w:pPr>
        <w:keepLines/>
        <w:snapToGrid w:val="0"/>
        <w:spacing w:line="540" w:lineRule="exact"/>
        <w:textAlignment w:val="baseline"/>
        <w:rPr>
          <w:rFonts w:ascii="宋体"/>
          <w:b/>
          <w:bCs/>
          <w:sz w:val="24"/>
          <w:szCs w:val="24"/>
        </w:rPr>
      </w:pPr>
      <w:bookmarkStart w:id="153" w:name="_Toc24638"/>
      <w:r>
        <w:rPr>
          <w:rFonts w:ascii="宋体" w:hAnsi="宋体" w:cs="宋体"/>
          <w:b/>
          <w:bCs/>
          <w:sz w:val="24"/>
          <w:szCs w:val="24"/>
        </w:rPr>
        <w:t xml:space="preserve">2.1 </w:t>
      </w:r>
      <w:r>
        <w:rPr>
          <w:rFonts w:hint="eastAsia" w:ascii="宋体" w:hAnsi="宋体" w:cs="宋体"/>
          <w:b/>
          <w:bCs/>
          <w:sz w:val="24"/>
          <w:szCs w:val="24"/>
        </w:rPr>
        <w:t>初步评审标准</w:t>
      </w:r>
      <w:bookmarkEnd w:id="153"/>
    </w:p>
    <w:p>
      <w:pPr>
        <w:snapToGrid w:val="0"/>
        <w:spacing w:before="64" w:line="440" w:lineRule="exact"/>
        <w:ind w:right="-125" w:firstLine="480" w:firstLineChars="200"/>
        <w:textAlignment w:val="baseline"/>
        <w:rPr>
          <w:rFonts w:ascii="宋体"/>
          <w:sz w:val="24"/>
          <w:szCs w:val="24"/>
        </w:rPr>
      </w:pPr>
      <w:r>
        <w:rPr>
          <w:rFonts w:ascii="宋体" w:hAnsi="宋体" w:cs="宋体"/>
          <w:sz w:val="24"/>
          <w:szCs w:val="24"/>
        </w:rPr>
        <w:t xml:space="preserve">2.1.1 </w:t>
      </w:r>
      <w:r>
        <w:rPr>
          <w:rFonts w:hint="eastAsia" w:ascii="宋体" w:hAnsi="宋体" w:cs="宋体"/>
          <w:sz w:val="24"/>
          <w:szCs w:val="24"/>
        </w:rPr>
        <w:t>形式评审标准：见评标办法前附表。</w:t>
      </w:r>
    </w:p>
    <w:p>
      <w:pPr>
        <w:snapToGrid w:val="0"/>
        <w:spacing w:before="64" w:line="440" w:lineRule="exact"/>
        <w:ind w:right="-125" w:firstLine="480" w:firstLineChars="200"/>
        <w:textAlignment w:val="baseline"/>
        <w:rPr>
          <w:rFonts w:ascii="宋体"/>
          <w:sz w:val="24"/>
          <w:szCs w:val="24"/>
        </w:rPr>
      </w:pPr>
      <w:r>
        <w:rPr>
          <w:rFonts w:ascii="宋体" w:hAnsi="宋体" w:cs="宋体"/>
          <w:sz w:val="24"/>
          <w:szCs w:val="24"/>
        </w:rPr>
        <w:t xml:space="preserve">2.1.2 </w:t>
      </w:r>
      <w:r>
        <w:rPr>
          <w:rFonts w:hint="eastAsia" w:ascii="宋体" w:hAnsi="宋体" w:cs="宋体"/>
          <w:sz w:val="24"/>
          <w:szCs w:val="24"/>
        </w:rPr>
        <w:t>资格评审标准：见评标办法前附表。</w:t>
      </w:r>
    </w:p>
    <w:p>
      <w:pPr>
        <w:snapToGrid w:val="0"/>
        <w:spacing w:before="64" w:line="440" w:lineRule="exact"/>
        <w:ind w:right="-125" w:firstLine="480" w:firstLineChars="200"/>
        <w:textAlignment w:val="baseline"/>
        <w:rPr>
          <w:rFonts w:ascii="宋体"/>
          <w:sz w:val="24"/>
          <w:szCs w:val="24"/>
        </w:rPr>
      </w:pPr>
      <w:r>
        <w:rPr>
          <w:rFonts w:ascii="宋体" w:hAnsi="宋体" w:cs="宋体"/>
          <w:sz w:val="24"/>
          <w:szCs w:val="24"/>
        </w:rPr>
        <w:t xml:space="preserve">2.1.3 </w:t>
      </w:r>
      <w:r>
        <w:rPr>
          <w:rFonts w:hint="eastAsia" w:ascii="宋体" w:hAnsi="宋体" w:cs="宋体"/>
          <w:sz w:val="24"/>
          <w:szCs w:val="24"/>
        </w:rPr>
        <w:t>响应性评审标准：见评标办法前附表。</w:t>
      </w:r>
    </w:p>
    <w:p>
      <w:pPr>
        <w:keepLines/>
        <w:snapToGrid w:val="0"/>
        <w:spacing w:line="540" w:lineRule="exact"/>
        <w:textAlignment w:val="baseline"/>
        <w:rPr>
          <w:rFonts w:ascii="宋体"/>
          <w:b/>
          <w:bCs/>
          <w:sz w:val="24"/>
          <w:szCs w:val="24"/>
        </w:rPr>
      </w:pPr>
      <w:bookmarkStart w:id="154" w:name="_Toc25617"/>
      <w:r>
        <w:rPr>
          <w:rFonts w:ascii="宋体" w:hAnsi="宋体" w:cs="宋体"/>
          <w:b/>
          <w:bCs/>
          <w:sz w:val="24"/>
          <w:szCs w:val="24"/>
        </w:rPr>
        <w:t xml:space="preserve">2.2 </w:t>
      </w:r>
      <w:r>
        <w:rPr>
          <w:rFonts w:hint="eastAsia" w:ascii="宋体" w:hAnsi="宋体" w:cs="宋体"/>
          <w:b/>
          <w:bCs/>
          <w:sz w:val="24"/>
          <w:szCs w:val="24"/>
        </w:rPr>
        <w:t>分值构成与评分标准</w:t>
      </w:r>
      <w:bookmarkEnd w:id="154"/>
    </w:p>
    <w:p>
      <w:pPr>
        <w:snapToGrid w:val="0"/>
        <w:spacing w:line="480" w:lineRule="exact"/>
        <w:ind w:firstLine="480" w:firstLineChars="200"/>
        <w:textAlignment w:val="baseline"/>
        <w:rPr>
          <w:rFonts w:ascii="宋体"/>
          <w:kern w:val="0"/>
          <w:sz w:val="24"/>
          <w:szCs w:val="24"/>
        </w:rPr>
      </w:pPr>
      <w:bookmarkStart w:id="155" w:name="_Toc345178461"/>
      <w:bookmarkStart w:id="156" w:name="_Toc184635095"/>
      <w:r>
        <w:rPr>
          <w:rFonts w:ascii="宋体" w:hAnsi="宋体" w:cs="宋体"/>
          <w:kern w:val="0"/>
          <w:sz w:val="24"/>
          <w:szCs w:val="24"/>
        </w:rPr>
        <w:t xml:space="preserve">2.2.1 </w:t>
      </w:r>
      <w:r>
        <w:rPr>
          <w:rFonts w:hint="eastAsia" w:ascii="宋体" w:hAnsi="宋体" w:cs="宋体"/>
          <w:kern w:val="0"/>
          <w:sz w:val="24"/>
          <w:szCs w:val="24"/>
        </w:rPr>
        <w:t>分值构成</w:t>
      </w:r>
    </w:p>
    <w:p>
      <w:pPr>
        <w:snapToGrid w:val="0"/>
        <w:spacing w:line="480" w:lineRule="exact"/>
        <w:ind w:firstLine="480" w:firstLineChars="200"/>
        <w:textAlignment w:val="baseline"/>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）投标报价：见评标办法前附表；</w:t>
      </w:r>
    </w:p>
    <w:p>
      <w:pPr>
        <w:snapToGrid w:val="0"/>
        <w:spacing w:line="480" w:lineRule="exact"/>
        <w:ind w:firstLine="480" w:firstLineChars="200"/>
        <w:textAlignment w:val="baseline"/>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）商务部分：见评标办法前附表；</w:t>
      </w:r>
    </w:p>
    <w:p>
      <w:pPr>
        <w:snapToGrid w:val="0"/>
        <w:spacing w:line="48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）技术部分：见评标办法前附表；</w:t>
      </w:r>
    </w:p>
    <w:p>
      <w:pPr>
        <w:snapToGrid w:val="0"/>
        <w:spacing w:line="480" w:lineRule="exact"/>
        <w:ind w:firstLine="480" w:firstLineChars="200"/>
        <w:textAlignment w:val="baseline"/>
        <w:rPr>
          <w:rFonts w:ascii="宋体"/>
          <w:kern w:val="0"/>
          <w:sz w:val="24"/>
          <w:szCs w:val="24"/>
        </w:rPr>
      </w:pPr>
      <w:r>
        <w:rPr>
          <w:rFonts w:ascii="宋体" w:hAnsi="宋体" w:cs="宋体"/>
          <w:kern w:val="0"/>
          <w:sz w:val="24"/>
          <w:szCs w:val="24"/>
        </w:rPr>
        <w:t xml:space="preserve">2.2.2 </w:t>
      </w:r>
      <w:r>
        <w:rPr>
          <w:rFonts w:hint="eastAsia" w:ascii="宋体" w:hAnsi="宋体" w:cs="宋体"/>
          <w:kern w:val="0"/>
          <w:sz w:val="24"/>
          <w:szCs w:val="24"/>
        </w:rPr>
        <w:t>评标基准值计算</w:t>
      </w:r>
    </w:p>
    <w:p>
      <w:pPr>
        <w:snapToGrid w:val="0"/>
        <w:spacing w:line="480" w:lineRule="exact"/>
        <w:ind w:firstLine="480" w:firstLineChars="200"/>
        <w:textAlignment w:val="baseline"/>
        <w:rPr>
          <w:rFonts w:ascii="宋体"/>
          <w:kern w:val="0"/>
          <w:sz w:val="24"/>
          <w:szCs w:val="24"/>
        </w:rPr>
      </w:pPr>
      <w:r>
        <w:rPr>
          <w:rFonts w:hint="eastAsia" w:ascii="宋体" w:hAnsi="宋体" w:cs="宋体"/>
          <w:kern w:val="0"/>
          <w:sz w:val="24"/>
          <w:szCs w:val="24"/>
        </w:rPr>
        <w:t>评标基准值计算方法：见评标办法前附表。</w:t>
      </w:r>
    </w:p>
    <w:p>
      <w:pPr>
        <w:snapToGrid w:val="0"/>
        <w:spacing w:line="480" w:lineRule="exact"/>
        <w:ind w:firstLine="480" w:firstLineChars="200"/>
        <w:textAlignment w:val="baseline"/>
        <w:rPr>
          <w:rFonts w:ascii="宋体"/>
          <w:kern w:val="0"/>
          <w:sz w:val="24"/>
          <w:szCs w:val="24"/>
        </w:rPr>
      </w:pPr>
      <w:r>
        <w:rPr>
          <w:rFonts w:ascii="宋体" w:hAnsi="宋体" w:cs="宋体"/>
          <w:kern w:val="0"/>
          <w:sz w:val="24"/>
          <w:szCs w:val="24"/>
        </w:rPr>
        <w:t>2.2.</w:t>
      </w:r>
      <w:r>
        <w:rPr>
          <w:rFonts w:hint="eastAsia" w:ascii="宋体" w:hAnsi="宋体" w:cs="宋体"/>
          <w:kern w:val="0"/>
          <w:sz w:val="24"/>
          <w:szCs w:val="24"/>
        </w:rPr>
        <w:t>3评分标准</w:t>
      </w:r>
    </w:p>
    <w:p>
      <w:pPr>
        <w:snapToGrid w:val="0"/>
        <w:spacing w:line="480" w:lineRule="exact"/>
        <w:ind w:firstLine="480" w:firstLineChars="200"/>
        <w:textAlignment w:val="baseline"/>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）投标报价评分标准：见评标办法前附表；</w:t>
      </w:r>
    </w:p>
    <w:p>
      <w:pPr>
        <w:snapToGrid w:val="0"/>
        <w:spacing w:line="480" w:lineRule="exact"/>
        <w:ind w:firstLine="480" w:firstLineChars="200"/>
        <w:textAlignment w:val="baseline"/>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）商务部分评分标准：见评标办法前附表；</w:t>
      </w:r>
    </w:p>
    <w:p>
      <w:pPr>
        <w:snapToGrid w:val="0"/>
        <w:spacing w:line="48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）技术部分评分标准：见评标办法前附表；</w:t>
      </w:r>
    </w:p>
    <w:p>
      <w:pPr>
        <w:snapToGrid w:val="0"/>
        <w:spacing w:line="480" w:lineRule="exact"/>
        <w:ind w:firstLine="482" w:firstLineChars="200"/>
        <w:textAlignment w:val="baseline"/>
        <w:rPr>
          <w:rFonts w:ascii="宋体"/>
          <w:b/>
          <w:bCs/>
          <w:sz w:val="24"/>
          <w:szCs w:val="24"/>
        </w:rPr>
      </w:pPr>
      <w:bookmarkStart w:id="157" w:name="_Toc74732273"/>
      <w:bookmarkStart w:id="158" w:name="_Toc74732330"/>
      <w:bookmarkStart w:id="159" w:name="_Toc12468"/>
      <w:r>
        <w:rPr>
          <w:rFonts w:ascii="宋体" w:hAnsi="宋体" w:cs="宋体"/>
          <w:b/>
          <w:bCs/>
          <w:sz w:val="24"/>
          <w:szCs w:val="24"/>
        </w:rPr>
        <w:t>3.</w:t>
      </w:r>
      <w:r>
        <w:rPr>
          <w:rFonts w:hint="eastAsia" w:ascii="宋体" w:hAnsi="宋体" w:cs="宋体"/>
          <w:b/>
          <w:bCs/>
          <w:sz w:val="24"/>
          <w:szCs w:val="24"/>
        </w:rPr>
        <w:t>评标程序</w:t>
      </w:r>
      <w:bookmarkEnd w:id="155"/>
      <w:bookmarkEnd w:id="156"/>
      <w:bookmarkEnd w:id="157"/>
      <w:bookmarkEnd w:id="158"/>
      <w:bookmarkEnd w:id="159"/>
    </w:p>
    <w:p>
      <w:pPr>
        <w:keepLines/>
        <w:snapToGrid w:val="0"/>
        <w:spacing w:line="540" w:lineRule="exact"/>
        <w:textAlignment w:val="baseline"/>
        <w:rPr>
          <w:rFonts w:ascii="宋体"/>
          <w:b/>
          <w:bCs/>
          <w:sz w:val="24"/>
          <w:szCs w:val="24"/>
        </w:rPr>
      </w:pPr>
      <w:bookmarkStart w:id="160" w:name="_Toc31655"/>
      <w:r>
        <w:rPr>
          <w:rFonts w:ascii="宋体" w:hAnsi="宋体" w:cs="宋体"/>
          <w:b/>
          <w:bCs/>
          <w:sz w:val="24"/>
          <w:szCs w:val="24"/>
        </w:rPr>
        <w:t xml:space="preserve">3.1 </w:t>
      </w:r>
      <w:r>
        <w:rPr>
          <w:rFonts w:hint="eastAsia" w:ascii="宋体" w:hAnsi="宋体" w:cs="宋体"/>
          <w:b/>
          <w:bCs/>
          <w:sz w:val="24"/>
          <w:szCs w:val="24"/>
        </w:rPr>
        <w:t>初步评审</w:t>
      </w:r>
      <w:bookmarkEnd w:id="160"/>
    </w:p>
    <w:p>
      <w:pPr>
        <w:snapToGrid w:val="0"/>
        <w:spacing w:line="520" w:lineRule="exact"/>
        <w:ind w:firstLine="480" w:firstLineChars="200"/>
        <w:jc w:val="left"/>
        <w:textAlignment w:val="baseline"/>
        <w:rPr>
          <w:rFonts w:ascii="宋体"/>
          <w:kern w:val="0"/>
          <w:sz w:val="24"/>
          <w:szCs w:val="24"/>
        </w:rPr>
      </w:pPr>
      <w:r>
        <w:rPr>
          <w:rFonts w:ascii="宋体" w:hAnsi="宋体" w:cs="宋体"/>
          <w:kern w:val="0"/>
          <w:sz w:val="24"/>
          <w:szCs w:val="24"/>
        </w:rPr>
        <w:t xml:space="preserve">3.1.1 </w:t>
      </w:r>
      <w:r>
        <w:rPr>
          <w:rFonts w:hint="eastAsia" w:ascii="宋体" w:hAnsi="宋体" w:cs="宋体"/>
          <w:kern w:val="0"/>
          <w:sz w:val="24"/>
          <w:szCs w:val="24"/>
        </w:rPr>
        <w:t>评标委员会依据本章第</w:t>
      </w:r>
      <w:r>
        <w:rPr>
          <w:rFonts w:ascii="宋体" w:hAnsi="宋体" w:cs="宋体"/>
          <w:kern w:val="0"/>
          <w:sz w:val="24"/>
          <w:szCs w:val="24"/>
        </w:rPr>
        <w:t>2.1</w:t>
      </w:r>
      <w:r>
        <w:rPr>
          <w:rFonts w:hint="eastAsia" w:ascii="宋体" w:hAnsi="宋体" w:cs="宋体"/>
          <w:kern w:val="0"/>
          <w:sz w:val="24"/>
          <w:szCs w:val="24"/>
        </w:rPr>
        <w:t>款规定的标准对投标文件进行初步评审。有一项不符合评审标准的，作废标处理。</w:t>
      </w:r>
    </w:p>
    <w:p>
      <w:pPr>
        <w:snapToGrid w:val="0"/>
        <w:spacing w:line="520" w:lineRule="exact"/>
        <w:ind w:firstLine="480" w:firstLineChars="200"/>
        <w:jc w:val="left"/>
        <w:textAlignment w:val="baseline"/>
        <w:rPr>
          <w:rFonts w:ascii="宋体"/>
          <w:kern w:val="0"/>
          <w:sz w:val="24"/>
          <w:szCs w:val="24"/>
        </w:rPr>
      </w:pPr>
      <w:r>
        <w:rPr>
          <w:rFonts w:ascii="宋体" w:hAnsi="宋体" w:cs="宋体"/>
          <w:kern w:val="0"/>
          <w:sz w:val="24"/>
          <w:szCs w:val="24"/>
        </w:rPr>
        <w:t xml:space="preserve">3.1.2 </w:t>
      </w:r>
      <w:r>
        <w:rPr>
          <w:rFonts w:hint="eastAsia" w:ascii="宋体" w:hAnsi="宋体" w:cs="宋体"/>
          <w:kern w:val="0"/>
          <w:sz w:val="24"/>
          <w:szCs w:val="24"/>
        </w:rPr>
        <w:t>投标人有以下情形之一的，其投标作废标处理：</w:t>
      </w:r>
    </w:p>
    <w:p>
      <w:pPr>
        <w:snapToGrid w:val="0"/>
        <w:spacing w:line="520" w:lineRule="exact"/>
        <w:ind w:firstLine="480" w:firstLineChars="200"/>
        <w:jc w:val="left"/>
        <w:textAlignment w:val="baseline"/>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）不符合第二章“投标人须知”第</w:t>
      </w:r>
      <w:r>
        <w:rPr>
          <w:rFonts w:ascii="宋体" w:hAnsi="宋体" w:cs="宋体"/>
          <w:kern w:val="0"/>
          <w:sz w:val="24"/>
          <w:szCs w:val="24"/>
        </w:rPr>
        <w:t>1.4.1</w:t>
      </w:r>
      <w:r>
        <w:rPr>
          <w:rFonts w:hint="eastAsia" w:ascii="宋体" w:hAnsi="宋体" w:cs="宋体"/>
          <w:kern w:val="0"/>
          <w:sz w:val="24"/>
          <w:szCs w:val="24"/>
        </w:rPr>
        <w:t>项规定的任何一种情形的；</w:t>
      </w:r>
    </w:p>
    <w:p>
      <w:pPr>
        <w:snapToGrid w:val="0"/>
        <w:spacing w:line="520" w:lineRule="exact"/>
        <w:ind w:firstLine="480" w:firstLineChars="200"/>
        <w:jc w:val="left"/>
        <w:textAlignment w:val="baseline"/>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）串通投标或弄虚作假或有其他违法行为的；</w:t>
      </w:r>
    </w:p>
    <w:p>
      <w:pPr>
        <w:snapToGrid w:val="0"/>
        <w:spacing w:line="520" w:lineRule="exact"/>
        <w:ind w:firstLine="480" w:firstLineChars="200"/>
        <w:jc w:val="left"/>
        <w:textAlignment w:val="baseline"/>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）不按评标委员会要求澄清、说明或补正的；</w:t>
      </w:r>
    </w:p>
    <w:p>
      <w:pPr>
        <w:snapToGrid w:val="0"/>
        <w:spacing w:line="520" w:lineRule="exact"/>
        <w:ind w:firstLine="480" w:firstLineChars="200"/>
        <w:jc w:val="left"/>
        <w:textAlignment w:val="baseline"/>
        <w:rPr>
          <w:rFonts w:ascii="宋体"/>
          <w:kern w:val="0"/>
          <w:sz w:val="24"/>
          <w:szCs w:val="24"/>
        </w:rPr>
      </w:pPr>
      <w:r>
        <w:rPr>
          <w:rFonts w:hint="eastAsia" w:ascii="宋体" w:hAnsi="宋体" w:cs="MingLiUfalt"/>
          <w:kern w:val="0"/>
          <w:sz w:val="24"/>
          <w:szCs w:val="20"/>
        </w:rPr>
        <w:t>（</w:t>
      </w:r>
      <w:r>
        <w:rPr>
          <w:rFonts w:ascii="宋体" w:hAnsi="宋体" w:cs="MingLiUfalt"/>
          <w:kern w:val="0"/>
          <w:sz w:val="24"/>
          <w:szCs w:val="20"/>
        </w:rPr>
        <w:t>4</w:t>
      </w:r>
      <w:r>
        <w:rPr>
          <w:rFonts w:hint="eastAsia" w:ascii="宋体" w:hAnsi="宋体" w:cs="MingLiUfalt"/>
          <w:kern w:val="0"/>
          <w:sz w:val="24"/>
          <w:szCs w:val="20"/>
        </w:rPr>
        <w:t>）同一标段中投标人投标文件制作机器码一致的。</w:t>
      </w:r>
    </w:p>
    <w:p>
      <w:pPr>
        <w:snapToGrid w:val="0"/>
        <w:spacing w:line="520" w:lineRule="exact"/>
        <w:ind w:firstLine="480" w:firstLineChars="200"/>
        <w:jc w:val="left"/>
        <w:textAlignment w:val="baseline"/>
        <w:rPr>
          <w:rFonts w:ascii="宋体"/>
          <w:kern w:val="0"/>
          <w:sz w:val="24"/>
          <w:szCs w:val="24"/>
        </w:rPr>
      </w:pPr>
      <w:r>
        <w:rPr>
          <w:rFonts w:ascii="宋体" w:hAnsi="宋体" w:cs="宋体"/>
          <w:kern w:val="0"/>
          <w:sz w:val="24"/>
          <w:szCs w:val="24"/>
        </w:rPr>
        <w:t>3.1.3</w:t>
      </w:r>
      <w:r>
        <w:rPr>
          <w:rFonts w:hint="eastAsia" w:ascii="宋体" w:hAnsi="宋体" w:cs="宋体"/>
          <w:kern w:val="0"/>
          <w:sz w:val="24"/>
          <w:szCs w:val="24"/>
        </w:rPr>
        <w:t>投标报价有算术错误的，评标委员会按以下原则对投标报价进行修正，修正的价格经投标人确认后具有约束力。投标人不接受修正价格的，其投标作废标处理。</w:t>
      </w:r>
    </w:p>
    <w:p>
      <w:pPr>
        <w:snapToGrid w:val="0"/>
        <w:spacing w:line="520" w:lineRule="exact"/>
        <w:ind w:firstLine="480" w:firstLineChars="200"/>
        <w:jc w:val="left"/>
        <w:textAlignment w:val="baseline"/>
        <w:rPr>
          <w:rFonts w:ascii="宋体"/>
          <w:kern w:val="0"/>
          <w:sz w:val="24"/>
          <w:szCs w:val="24"/>
        </w:rPr>
      </w:pPr>
      <w:bookmarkStart w:id="161" w:name="_Toc152042383"/>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）投标文件中的大写金额与小写金额不一致的，以大写金额为准；</w:t>
      </w:r>
      <w:bookmarkEnd w:id="161"/>
    </w:p>
    <w:p>
      <w:pPr>
        <w:snapToGrid w:val="0"/>
        <w:spacing w:line="520" w:lineRule="exact"/>
        <w:ind w:firstLine="480" w:firstLineChars="200"/>
        <w:jc w:val="left"/>
        <w:textAlignment w:val="baseline"/>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）总价金额与依据单价计算出的结果不一致的，以单价金额为准修正总价，但单价金额小数点有明显错误的除外。</w:t>
      </w:r>
    </w:p>
    <w:p>
      <w:pPr>
        <w:keepLines/>
        <w:snapToGrid w:val="0"/>
        <w:spacing w:line="540" w:lineRule="exact"/>
        <w:textAlignment w:val="baseline"/>
        <w:rPr>
          <w:rFonts w:ascii="宋体"/>
          <w:b/>
          <w:bCs/>
          <w:sz w:val="24"/>
          <w:szCs w:val="24"/>
        </w:rPr>
      </w:pPr>
      <w:bookmarkStart w:id="162" w:name="_Toc7342"/>
      <w:r>
        <w:rPr>
          <w:rFonts w:ascii="宋体" w:hAnsi="宋体" w:cs="宋体"/>
          <w:b/>
          <w:bCs/>
          <w:sz w:val="24"/>
          <w:szCs w:val="24"/>
        </w:rPr>
        <w:t xml:space="preserve">3.2 </w:t>
      </w:r>
      <w:r>
        <w:rPr>
          <w:rFonts w:hint="eastAsia" w:ascii="宋体" w:hAnsi="宋体" w:cs="宋体"/>
          <w:b/>
          <w:bCs/>
          <w:sz w:val="24"/>
          <w:szCs w:val="24"/>
        </w:rPr>
        <w:t>详细评审</w:t>
      </w:r>
      <w:bookmarkEnd w:id="162"/>
    </w:p>
    <w:p>
      <w:pPr>
        <w:snapToGrid w:val="0"/>
        <w:spacing w:line="480" w:lineRule="exact"/>
        <w:ind w:firstLine="480" w:firstLineChars="200"/>
        <w:textAlignment w:val="baseline"/>
        <w:rPr>
          <w:rFonts w:ascii="宋体"/>
          <w:kern w:val="0"/>
          <w:sz w:val="24"/>
          <w:szCs w:val="24"/>
        </w:rPr>
      </w:pPr>
      <w:r>
        <w:rPr>
          <w:rFonts w:ascii="宋体" w:hAnsi="宋体" w:cs="宋体"/>
          <w:kern w:val="0"/>
          <w:sz w:val="24"/>
          <w:szCs w:val="24"/>
        </w:rPr>
        <w:t xml:space="preserve">3.2.1 </w:t>
      </w:r>
      <w:r>
        <w:rPr>
          <w:rFonts w:hint="eastAsia" w:ascii="宋体" w:hAnsi="宋体" w:cs="宋体"/>
          <w:kern w:val="0"/>
          <w:sz w:val="24"/>
          <w:szCs w:val="24"/>
        </w:rPr>
        <w:t>评标委员会按本章第</w:t>
      </w:r>
      <w:r>
        <w:rPr>
          <w:rFonts w:ascii="宋体" w:hAnsi="宋体" w:cs="宋体"/>
          <w:kern w:val="0"/>
          <w:sz w:val="24"/>
          <w:szCs w:val="24"/>
        </w:rPr>
        <w:t>2.2</w:t>
      </w:r>
      <w:r>
        <w:rPr>
          <w:rFonts w:hint="eastAsia" w:ascii="宋体" w:hAnsi="宋体" w:cs="宋体"/>
          <w:kern w:val="0"/>
          <w:sz w:val="24"/>
          <w:szCs w:val="24"/>
        </w:rPr>
        <w:t>款规定的量化因素和分值进行打分，并计算出综合评估得分。</w:t>
      </w:r>
    </w:p>
    <w:p>
      <w:pPr>
        <w:snapToGrid w:val="0"/>
        <w:spacing w:line="480" w:lineRule="exact"/>
        <w:ind w:firstLine="480" w:firstLineChars="200"/>
        <w:textAlignment w:val="baseline"/>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）按本章第</w:t>
      </w:r>
      <w:r>
        <w:rPr>
          <w:rFonts w:ascii="宋体" w:hAnsi="宋体" w:cs="宋体"/>
          <w:kern w:val="0"/>
          <w:sz w:val="24"/>
          <w:szCs w:val="24"/>
        </w:rPr>
        <w:t xml:space="preserve"> 2.2.</w:t>
      </w:r>
      <w:r>
        <w:rPr>
          <w:rFonts w:hint="eastAsia" w:ascii="宋体" w:hAnsi="宋体" w:cs="宋体"/>
          <w:kern w:val="0"/>
          <w:sz w:val="24"/>
          <w:szCs w:val="24"/>
        </w:rPr>
        <w:t>3（</w:t>
      </w:r>
      <w:r>
        <w:rPr>
          <w:rFonts w:ascii="宋体" w:hAnsi="宋体" w:cs="宋体"/>
          <w:kern w:val="0"/>
          <w:sz w:val="24"/>
          <w:szCs w:val="24"/>
        </w:rPr>
        <w:t>1</w:t>
      </w:r>
      <w:r>
        <w:rPr>
          <w:rFonts w:hint="eastAsia" w:ascii="宋体" w:hAnsi="宋体" w:cs="宋体"/>
          <w:kern w:val="0"/>
          <w:sz w:val="24"/>
          <w:szCs w:val="24"/>
        </w:rPr>
        <w:t>）目规定的评审因素和分值对投标报价计算出得分</w:t>
      </w:r>
      <w:r>
        <w:rPr>
          <w:rFonts w:ascii="宋体" w:hAnsi="宋体" w:cs="宋体"/>
          <w:kern w:val="0"/>
          <w:sz w:val="24"/>
          <w:szCs w:val="24"/>
        </w:rPr>
        <w:t>A</w:t>
      </w:r>
      <w:r>
        <w:rPr>
          <w:rFonts w:hint="eastAsia" w:ascii="宋体" w:hAnsi="宋体" w:cs="宋体"/>
          <w:kern w:val="0"/>
          <w:sz w:val="24"/>
          <w:szCs w:val="24"/>
        </w:rPr>
        <w:t>；</w:t>
      </w:r>
    </w:p>
    <w:p>
      <w:pPr>
        <w:snapToGrid w:val="0"/>
        <w:spacing w:line="480" w:lineRule="exact"/>
        <w:ind w:firstLine="480" w:firstLineChars="200"/>
        <w:textAlignment w:val="baseline"/>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）按本章第</w:t>
      </w:r>
      <w:r>
        <w:rPr>
          <w:rFonts w:ascii="宋体" w:hAnsi="宋体" w:cs="宋体"/>
          <w:kern w:val="0"/>
          <w:sz w:val="24"/>
          <w:szCs w:val="24"/>
        </w:rPr>
        <w:t xml:space="preserve"> 2.2.</w:t>
      </w:r>
      <w:r>
        <w:rPr>
          <w:rFonts w:hint="eastAsia" w:ascii="宋体" w:hAnsi="宋体" w:cs="宋体"/>
          <w:kern w:val="0"/>
          <w:sz w:val="24"/>
          <w:szCs w:val="24"/>
        </w:rPr>
        <w:t>3（</w:t>
      </w:r>
      <w:r>
        <w:rPr>
          <w:rFonts w:ascii="宋体" w:hAnsi="宋体" w:cs="宋体"/>
          <w:kern w:val="0"/>
          <w:sz w:val="24"/>
          <w:szCs w:val="24"/>
        </w:rPr>
        <w:t>2</w:t>
      </w:r>
      <w:r>
        <w:rPr>
          <w:rFonts w:hint="eastAsia" w:ascii="宋体" w:hAnsi="宋体" w:cs="宋体"/>
          <w:kern w:val="0"/>
          <w:sz w:val="24"/>
          <w:szCs w:val="24"/>
        </w:rPr>
        <w:t>）目规定的评审因素和分值对商务部分计算出得分</w:t>
      </w:r>
      <w:r>
        <w:rPr>
          <w:rFonts w:ascii="宋体" w:hAnsi="宋体" w:cs="宋体"/>
          <w:kern w:val="0"/>
          <w:sz w:val="24"/>
          <w:szCs w:val="24"/>
        </w:rPr>
        <w:t>B</w:t>
      </w:r>
      <w:r>
        <w:rPr>
          <w:rFonts w:hint="eastAsia" w:ascii="宋体" w:hAnsi="宋体" w:cs="宋体"/>
          <w:kern w:val="0"/>
          <w:sz w:val="24"/>
          <w:szCs w:val="24"/>
        </w:rPr>
        <w:t>；</w:t>
      </w:r>
    </w:p>
    <w:p>
      <w:pPr>
        <w:snapToGrid w:val="0"/>
        <w:spacing w:line="480" w:lineRule="exact"/>
        <w:ind w:firstLine="480" w:firstLineChars="200"/>
        <w:textAlignment w:val="baseline"/>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）按本章第</w:t>
      </w:r>
      <w:r>
        <w:rPr>
          <w:rFonts w:ascii="宋体" w:hAnsi="宋体" w:cs="宋体"/>
          <w:kern w:val="0"/>
          <w:sz w:val="24"/>
          <w:szCs w:val="24"/>
        </w:rPr>
        <w:t xml:space="preserve"> 2.2.</w:t>
      </w:r>
      <w:r>
        <w:rPr>
          <w:rFonts w:hint="eastAsia" w:ascii="宋体" w:hAnsi="宋体" w:cs="宋体"/>
          <w:kern w:val="0"/>
          <w:sz w:val="24"/>
          <w:szCs w:val="24"/>
        </w:rPr>
        <w:t>3（</w:t>
      </w:r>
      <w:r>
        <w:rPr>
          <w:rFonts w:ascii="宋体" w:hAnsi="宋体" w:cs="宋体"/>
          <w:kern w:val="0"/>
          <w:sz w:val="24"/>
          <w:szCs w:val="24"/>
        </w:rPr>
        <w:t>3</w:t>
      </w:r>
      <w:r>
        <w:rPr>
          <w:rFonts w:hint="eastAsia" w:ascii="宋体" w:hAnsi="宋体" w:cs="宋体"/>
          <w:kern w:val="0"/>
          <w:sz w:val="24"/>
          <w:szCs w:val="24"/>
        </w:rPr>
        <w:t>）目规定的评审因素和分值对技术部分计算出得分</w:t>
      </w:r>
      <w:r>
        <w:rPr>
          <w:rFonts w:ascii="宋体" w:hAnsi="宋体" w:cs="宋体"/>
          <w:kern w:val="0"/>
          <w:sz w:val="24"/>
          <w:szCs w:val="24"/>
        </w:rPr>
        <w:t>C</w:t>
      </w:r>
      <w:r>
        <w:rPr>
          <w:rFonts w:hint="eastAsia" w:ascii="宋体" w:hAnsi="宋体" w:cs="宋体"/>
          <w:kern w:val="0"/>
          <w:sz w:val="24"/>
          <w:szCs w:val="24"/>
        </w:rPr>
        <w:t>；</w:t>
      </w:r>
    </w:p>
    <w:p>
      <w:pPr>
        <w:snapToGrid w:val="0"/>
        <w:spacing w:line="480" w:lineRule="exact"/>
        <w:ind w:firstLine="480" w:firstLineChars="200"/>
        <w:textAlignment w:val="baseline"/>
        <w:rPr>
          <w:rFonts w:ascii="宋体"/>
          <w:kern w:val="0"/>
          <w:sz w:val="24"/>
          <w:szCs w:val="24"/>
        </w:rPr>
      </w:pPr>
      <w:r>
        <w:rPr>
          <w:rFonts w:ascii="宋体" w:hAnsi="宋体" w:cs="宋体"/>
          <w:kern w:val="0"/>
          <w:sz w:val="24"/>
          <w:szCs w:val="24"/>
        </w:rPr>
        <w:t xml:space="preserve">3.2.2 </w:t>
      </w:r>
      <w:r>
        <w:rPr>
          <w:rFonts w:hint="eastAsia" w:ascii="宋体" w:hAnsi="宋体" w:cs="宋体"/>
          <w:kern w:val="0"/>
          <w:sz w:val="24"/>
          <w:szCs w:val="24"/>
        </w:rPr>
        <w:t>评分分值计算保留小数点后两位，小数点后第三位“四舍五入”。</w:t>
      </w:r>
    </w:p>
    <w:p>
      <w:pPr>
        <w:snapToGrid w:val="0"/>
        <w:spacing w:line="480" w:lineRule="exact"/>
        <w:ind w:firstLine="480" w:firstLineChars="200"/>
        <w:textAlignment w:val="baseline"/>
        <w:rPr>
          <w:rFonts w:ascii="宋体"/>
          <w:kern w:val="0"/>
          <w:sz w:val="24"/>
          <w:szCs w:val="24"/>
        </w:rPr>
      </w:pPr>
      <w:r>
        <w:rPr>
          <w:rFonts w:ascii="宋体" w:hAnsi="宋体" w:cs="宋体"/>
          <w:kern w:val="0"/>
          <w:sz w:val="24"/>
          <w:szCs w:val="24"/>
        </w:rPr>
        <w:t xml:space="preserve">3.2.3 </w:t>
      </w:r>
      <w:r>
        <w:rPr>
          <w:rFonts w:hint="eastAsia" w:ascii="宋体" w:hAnsi="宋体" w:cs="宋体"/>
          <w:kern w:val="0"/>
          <w:sz w:val="24"/>
          <w:szCs w:val="24"/>
        </w:rPr>
        <w:t>投标人得分</w:t>
      </w:r>
      <w:r>
        <w:rPr>
          <w:rFonts w:ascii="宋体" w:hAnsi="宋体" w:cs="宋体"/>
          <w:kern w:val="0"/>
          <w:sz w:val="24"/>
          <w:szCs w:val="24"/>
        </w:rPr>
        <w:t>=A+B+C</w:t>
      </w:r>
      <w:r>
        <w:rPr>
          <w:rFonts w:hint="eastAsia" w:ascii="宋体" w:hAnsi="宋体" w:cs="宋体"/>
          <w:kern w:val="0"/>
          <w:sz w:val="24"/>
          <w:szCs w:val="24"/>
        </w:rPr>
        <w:t>，投标人的最终得分为所有评委对其打分的算术平均值。</w:t>
      </w:r>
    </w:p>
    <w:p>
      <w:pPr>
        <w:snapToGrid w:val="0"/>
        <w:spacing w:line="520" w:lineRule="exact"/>
        <w:ind w:firstLine="480" w:firstLineChars="200"/>
        <w:jc w:val="left"/>
        <w:textAlignment w:val="baseline"/>
        <w:rPr>
          <w:rFonts w:ascii="宋体"/>
          <w:kern w:val="0"/>
          <w:sz w:val="24"/>
          <w:szCs w:val="24"/>
        </w:rPr>
      </w:pPr>
      <w:r>
        <w:rPr>
          <w:rFonts w:ascii="宋体" w:hAnsi="宋体" w:cs="宋体"/>
          <w:kern w:val="0"/>
          <w:sz w:val="24"/>
          <w:szCs w:val="24"/>
        </w:rPr>
        <w:t xml:space="preserve">3.2.4 </w:t>
      </w:r>
      <w:r>
        <w:rPr>
          <w:rFonts w:hint="eastAsia" w:ascii="宋体" w:hAnsi="宋体" w:cs="宋体"/>
          <w:kern w:val="0"/>
          <w:sz w:val="24"/>
          <w:szCs w:val="24"/>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keepLines/>
        <w:snapToGrid w:val="0"/>
        <w:spacing w:line="540" w:lineRule="exact"/>
        <w:textAlignment w:val="baseline"/>
        <w:rPr>
          <w:rFonts w:ascii="宋体"/>
          <w:b/>
          <w:bCs/>
          <w:sz w:val="24"/>
          <w:szCs w:val="24"/>
        </w:rPr>
      </w:pPr>
      <w:bookmarkStart w:id="163" w:name="_Toc13990"/>
      <w:r>
        <w:rPr>
          <w:rFonts w:ascii="宋体" w:hAnsi="宋体" w:cs="宋体"/>
          <w:b/>
          <w:bCs/>
          <w:sz w:val="24"/>
          <w:szCs w:val="24"/>
        </w:rPr>
        <w:t xml:space="preserve">3.3 </w:t>
      </w:r>
      <w:r>
        <w:rPr>
          <w:rFonts w:hint="eastAsia" w:ascii="宋体" w:hAnsi="宋体" w:cs="宋体"/>
          <w:b/>
          <w:bCs/>
          <w:sz w:val="24"/>
          <w:szCs w:val="24"/>
        </w:rPr>
        <w:t>投标文件的澄清和补正</w:t>
      </w:r>
      <w:bookmarkEnd w:id="163"/>
    </w:p>
    <w:p>
      <w:pPr>
        <w:snapToGrid w:val="0"/>
        <w:spacing w:before="70" w:line="480" w:lineRule="exact"/>
        <w:ind w:right="-20" w:firstLine="470" w:firstLineChars="196"/>
        <w:jc w:val="left"/>
        <w:textAlignment w:val="baseline"/>
        <w:rPr>
          <w:rFonts w:ascii="宋体"/>
          <w:kern w:val="0"/>
          <w:sz w:val="24"/>
          <w:szCs w:val="24"/>
        </w:rPr>
      </w:pPr>
      <w:r>
        <w:rPr>
          <w:rFonts w:ascii="宋体" w:hAnsi="宋体" w:cs="宋体"/>
          <w:kern w:val="0"/>
          <w:sz w:val="24"/>
          <w:szCs w:val="24"/>
        </w:rPr>
        <w:t>3.</w:t>
      </w:r>
      <w:r>
        <w:rPr>
          <w:rFonts w:ascii="宋体" w:hAnsi="宋体" w:cs="宋体"/>
          <w:spacing w:val="-1"/>
          <w:kern w:val="0"/>
          <w:sz w:val="24"/>
          <w:szCs w:val="24"/>
        </w:rPr>
        <w:t>3</w:t>
      </w:r>
      <w:r>
        <w:rPr>
          <w:rFonts w:ascii="宋体" w:hAnsi="宋体" w:cs="宋体"/>
          <w:kern w:val="0"/>
          <w:sz w:val="24"/>
          <w:szCs w:val="24"/>
        </w:rPr>
        <w:t xml:space="preserve">.1 </w:t>
      </w:r>
      <w:r>
        <w:rPr>
          <w:rFonts w:hint="eastAsia" w:ascii="宋体" w:hAnsi="宋体" w:cs="宋体"/>
          <w:kern w:val="0"/>
          <w:sz w:val="24"/>
          <w:szCs w:val="24"/>
        </w:rPr>
        <w:t>在评标过程中，</w:t>
      </w:r>
      <w:r>
        <w:rPr>
          <w:rFonts w:hint="eastAsia" w:ascii="宋体" w:hAnsi="宋体" w:cs="宋体"/>
          <w:spacing w:val="1"/>
          <w:kern w:val="0"/>
          <w:sz w:val="24"/>
          <w:szCs w:val="24"/>
        </w:rPr>
        <w:t>评</w:t>
      </w:r>
      <w:r>
        <w:rPr>
          <w:rFonts w:hint="eastAsia" w:ascii="宋体" w:hAnsi="宋体" w:cs="宋体"/>
          <w:kern w:val="0"/>
          <w:sz w:val="24"/>
          <w:szCs w:val="24"/>
        </w:rPr>
        <w:t>标委员会</w:t>
      </w:r>
      <w:r>
        <w:rPr>
          <w:rFonts w:hint="eastAsia" w:ascii="宋体" w:hAnsi="宋体" w:cs="宋体"/>
          <w:spacing w:val="1"/>
          <w:kern w:val="0"/>
          <w:sz w:val="24"/>
          <w:szCs w:val="24"/>
        </w:rPr>
        <w:t>可</w:t>
      </w:r>
      <w:r>
        <w:rPr>
          <w:rFonts w:hint="eastAsia" w:ascii="宋体" w:hAnsi="宋体" w:cs="宋体"/>
          <w:kern w:val="0"/>
          <w:sz w:val="24"/>
          <w:szCs w:val="24"/>
        </w:rPr>
        <w:t>以书面形</w:t>
      </w:r>
      <w:r>
        <w:rPr>
          <w:rFonts w:hint="eastAsia" w:ascii="宋体" w:hAnsi="宋体" w:cs="宋体"/>
          <w:spacing w:val="1"/>
          <w:kern w:val="0"/>
          <w:sz w:val="24"/>
          <w:szCs w:val="24"/>
        </w:rPr>
        <w:t>式</w:t>
      </w:r>
      <w:r>
        <w:rPr>
          <w:rFonts w:hint="eastAsia" w:ascii="宋体" w:hAnsi="宋体" w:cs="宋体"/>
          <w:kern w:val="0"/>
          <w:sz w:val="24"/>
          <w:szCs w:val="24"/>
        </w:rPr>
        <w:t>要求投标</w:t>
      </w:r>
      <w:r>
        <w:rPr>
          <w:rFonts w:hint="eastAsia" w:ascii="宋体" w:hAnsi="宋体" w:cs="宋体"/>
          <w:spacing w:val="1"/>
          <w:kern w:val="0"/>
          <w:sz w:val="24"/>
          <w:szCs w:val="24"/>
        </w:rPr>
        <w:t>人</w:t>
      </w:r>
      <w:r>
        <w:rPr>
          <w:rFonts w:hint="eastAsia" w:ascii="宋体" w:hAnsi="宋体" w:cs="宋体"/>
          <w:kern w:val="0"/>
          <w:sz w:val="24"/>
          <w:szCs w:val="24"/>
        </w:rPr>
        <w:t>对所提交</w:t>
      </w:r>
      <w:r>
        <w:rPr>
          <w:rFonts w:hint="eastAsia" w:ascii="宋体" w:hAnsi="宋体" w:cs="宋体"/>
          <w:spacing w:val="1"/>
          <w:kern w:val="0"/>
          <w:sz w:val="24"/>
          <w:szCs w:val="24"/>
        </w:rPr>
        <w:t>投</w:t>
      </w:r>
      <w:r>
        <w:rPr>
          <w:rFonts w:hint="eastAsia" w:ascii="宋体" w:hAnsi="宋体" w:cs="宋体"/>
          <w:kern w:val="0"/>
          <w:sz w:val="24"/>
          <w:szCs w:val="24"/>
        </w:rPr>
        <w:t>标文件中</w:t>
      </w:r>
      <w:r>
        <w:rPr>
          <w:rFonts w:hint="eastAsia" w:ascii="宋体" w:hAnsi="宋体" w:cs="宋体"/>
          <w:spacing w:val="1"/>
          <w:kern w:val="0"/>
          <w:sz w:val="24"/>
          <w:szCs w:val="24"/>
        </w:rPr>
        <w:t>不明</w:t>
      </w:r>
      <w:r>
        <w:rPr>
          <w:rFonts w:hint="eastAsia" w:ascii="宋体" w:hAnsi="宋体" w:cs="宋体"/>
          <w:kern w:val="0"/>
          <w:sz w:val="24"/>
          <w:szCs w:val="24"/>
        </w:rPr>
        <w:t>确的内容进行书面澄清或说明</w:t>
      </w:r>
      <w:r>
        <w:rPr>
          <w:rFonts w:hint="eastAsia" w:ascii="宋体" w:hAnsi="宋体" w:cs="宋体"/>
          <w:spacing w:val="-47"/>
          <w:kern w:val="0"/>
          <w:sz w:val="24"/>
          <w:szCs w:val="24"/>
        </w:rPr>
        <w:t>，</w:t>
      </w:r>
      <w:r>
        <w:rPr>
          <w:rFonts w:hint="eastAsia" w:ascii="宋体" w:hAnsi="宋体" w:cs="宋体"/>
          <w:kern w:val="0"/>
          <w:sz w:val="24"/>
          <w:szCs w:val="24"/>
        </w:rPr>
        <w:t>或者对细微偏差进行补正</w:t>
      </w:r>
      <w:r>
        <w:rPr>
          <w:rFonts w:hint="eastAsia" w:ascii="宋体" w:hAnsi="宋体" w:cs="宋体"/>
          <w:spacing w:val="-47"/>
          <w:kern w:val="0"/>
          <w:sz w:val="24"/>
          <w:szCs w:val="24"/>
        </w:rPr>
        <w:t>。</w:t>
      </w:r>
      <w:r>
        <w:rPr>
          <w:rFonts w:hint="eastAsia" w:ascii="宋体" w:hAnsi="宋体" w:cs="宋体"/>
          <w:kern w:val="0"/>
          <w:sz w:val="24"/>
          <w:szCs w:val="24"/>
        </w:rPr>
        <w:t>评标委员会不接受投标人主动提出的澄清、说明或补正。</w:t>
      </w:r>
    </w:p>
    <w:p>
      <w:pPr>
        <w:snapToGrid w:val="0"/>
        <w:spacing w:before="70" w:line="480" w:lineRule="exact"/>
        <w:ind w:right="-20" w:firstLine="474" w:firstLineChars="196"/>
        <w:jc w:val="left"/>
        <w:textAlignment w:val="baseline"/>
        <w:rPr>
          <w:rFonts w:ascii="宋体"/>
          <w:kern w:val="0"/>
          <w:sz w:val="24"/>
          <w:szCs w:val="24"/>
        </w:rPr>
      </w:pPr>
      <w:r>
        <w:rPr>
          <w:rFonts w:ascii="宋体" w:hAnsi="宋体" w:cs="宋体"/>
          <w:spacing w:val="1"/>
          <w:kern w:val="0"/>
          <w:sz w:val="24"/>
          <w:szCs w:val="24"/>
        </w:rPr>
        <w:t>3</w:t>
      </w:r>
      <w:r>
        <w:rPr>
          <w:rFonts w:ascii="宋体" w:hAnsi="宋体" w:cs="宋体"/>
          <w:kern w:val="0"/>
          <w:sz w:val="24"/>
          <w:szCs w:val="24"/>
        </w:rPr>
        <w:t xml:space="preserve">.3.2 </w:t>
      </w:r>
      <w:r>
        <w:rPr>
          <w:rFonts w:hint="eastAsia" w:ascii="宋体" w:hAnsi="宋体" w:cs="宋体"/>
          <w:kern w:val="0"/>
          <w:sz w:val="24"/>
          <w:szCs w:val="24"/>
        </w:rPr>
        <w:t>澄清</w:t>
      </w:r>
      <w:r>
        <w:rPr>
          <w:rFonts w:hint="eastAsia" w:ascii="宋体" w:hAnsi="宋体" w:cs="宋体"/>
          <w:spacing w:val="-32"/>
          <w:kern w:val="0"/>
          <w:sz w:val="24"/>
          <w:szCs w:val="24"/>
        </w:rPr>
        <w:t>、</w:t>
      </w:r>
      <w:r>
        <w:rPr>
          <w:rFonts w:hint="eastAsia" w:ascii="宋体" w:hAnsi="宋体" w:cs="宋体"/>
          <w:kern w:val="0"/>
          <w:sz w:val="24"/>
          <w:szCs w:val="24"/>
        </w:rPr>
        <w:t>说明和补正不得改变投标文件的实质性内</w:t>
      </w:r>
      <w:r>
        <w:rPr>
          <w:rFonts w:hint="eastAsia" w:ascii="宋体" w:hAnsi="宋体" w:cs="宋体"/>
          <w:spacing w:val="-31"/>
          <w:kern w:val="0"/>
          <w:sz w:val="24"/>
          <w:szCs w:val="24"/>
        </w:rPr>
        <w:t>容</w:t>
      </w:r>
      <w:r>
        <w:rPr>
          <w:rFonts w:hint="eastAsia" w:ascii="宋体" w:hAnsi="宋体" w:cs="宋体"/>
          <w:kern w:val="0"/>
          <w:sz w:val="24"/>
          <w:szCs w:val="24"/>
        </w:rPr>
        <w:t>（算术性错误修正的除外）。投标人的书面澄清、说明和补正属于投标文件的组成部分。</w:t>
      </w:r>
    </w:p>
    <w:p>
      <w:pPr>
        <w:snapToGrid w:val="0"/>
        <w:spacing w:line="520" w:lineRule="exact"/>
        <w:ind w:firstLine="484" w:firstLineChars="200"/>
        <w:textAlignment w:val="baseline"/>
        <w:rPr>
          <w:rFonts w:ascii="宋体"/>
          <w:kern w:val="0"/>
          <w:sz w:val="24"/>
          <w:szCs w:val="24"/>
        </w:rPr>
      </w:pPr>
      <w:r>
        <w:rPr>
          <w:rFonts w:ascii="宋体" w:hAnsi="宋体" w:cs="宋体"/>
          <w:spacing w:val="1"/>
          <w:kern w:val="0"/>
          <w:sz w:val="24"/>
          <w:szCs w:val="24"/>
        </w:rPr>
        <w:t>3.</w:t>
      </w:r>
      <w:r>
        <w:rPr>
          <w:rFonts w:ascii="宋体" w:hAnsi="宋体" w:cs="宋体"/>
          <w:spacing w:val="-1"/>
          <w:kern w:val="0"/>
          <w:sz w:val="24"/>
          <w:szCs w:val="24"/>
        </w:rPr>
        <w:t>3</w:t>
      </w:r>
      <w:r>
        <w:rPr>
          <w:rFonts w:ascii="宋体" w:hAnsi="宋体" w:cs="宋体"/>
          <w:kern w:val="0"/>
          <w:sz w:val="24"/>
          <w:szCs w:val="24"/>
        </w:rPr>
        <w:t xml:space="preserve">.3 </w:t>
      </w:r>
      <w:r>
        <w:rPr>
          <w:rFonts w:hint="eastAsia" w:ascii="宋体" w:hAnsi="宋体" w:cs="宋体"/>
          <w:kern w:val="0"/>
          <w:sz w:val="24"/>
          <w:szCs w:val="24"/>
        </w:rPr>
        <w:t>评标委员会对投</w:t>
      </w:r>
      <w:r>
        <w:rPr>
          <w:rFonts w:hint="eastAsia" w:ascii="宋体" w:hAnsi="宋体" w:cs="宋体"/>
          <w:spacing w:val="1"/>
          <w:kern w:val="0"/>
          <w:sz w:val="24"/>
          <w:szCs w:val="24"/>
        </w:rPr>
        <w:t>标</w:t>
      </w:r>
      <w:r>
        <w:rPr>
          <w:rFonts w:hint="eastAsia" w:ascii="宋体" w:hAnsi="宋体" w:cs="宋体"/>
          <w:kern w:val="0"/>
          <w:sz w:val="24"/>
          <w:szCs w:val="24"/>
        </w:rPr>
        <w:t>人提交的</w:t>
      </w:r>
      <w:r>
        <w:rPr>
          <w:rFonts w:hint="eastAsia" w:ascii="宋体" w:hAnsi="宋体" w:cs="宋体"/>
          <w:spacing w:val="1"/>
          <w:kern w:val="0"/>
          <w:sz w:val="24"/>
          <w:szCs w:val="24"/>
        </w:rPr>
        <w:t>澄</w:t>
      </w:r>
      <w:r>
        <w:rPr>
          <w:rFonts w:hint="eastAsia" w:ascii="宋体" w:hAnsi="宋体" w:cs="宋体"/>
          <w:kern w:val="0"/>
          <w:sz w:val="24"/>
          <w:szCs w:val="24"/>
        </w:rPr>
        <w:t>清、说明</w:t>
      </w:r>
      <w:r>
        <w:rPr>
          <w:rFonts w:hint="eastAsia" w:ascii="宋体" w:hAnsi="宋体" w:cs="宋体"/>
          <w:spacing w:val="1"/>
          <w:kern w:val="0"/>
          <w:sz w:val="24"/>
          <w:szCs w:val="24"/>
        </w:rPr>
        <w:t>或</w:t>
      </w:r>
      <w:r>
        <w:rPr>
          <w:rFonts w:hint="eastAsia" w:ascii="宋体" w:hAnsi="宋体" w:cs="宋体"/>
          <w:kern w:val="0"/>
          <w:sz w:val="24"/>
          <w:szCs w:val="24"/>
        </w:rPr>
        <w:t>补正有疑</w:t>
      </w:r>
      <w:r>
        <w:rPr>
          <w:rFonts w:hint="eastAsia" w:ascii="宋体" w:hAnsi="宋体" w:cs="宋体"/>
          <w:spacing w:val="1"/>
          <w:kern w:val="0"/>
          <w:sz w:val="24"/>
          <w:szCs w:val="24"/>
        </w:rPr>
        <w:t>问</w:t>
      </w:r>
      <w:r>
        <w:rPr>
          <w:rFonts w:hint="eastAsia" w:ascii="宋体" w:hAnsi="宋体" w:cs="宋体"/>
          <w:kern w:val="0"/>
          <w:sz w:val="24"/>
          <w:szCs w:val="24"/>
        </w:rPr>
        <w:t>的，可以</w:t>
      </w:r>
      <w:r>
        <w:rPr>
          <w:rFonts w:hint="eastAsia" w:ascii="宋体" w:hAnsi="宋体" w:cs="宋体"/>
          <w:spacing w:val="1"/>
          <w:kern w:val="0"/>
          <w:sz w:val="24"/>
          <w:szCs w:val="24"/>
        </w:rPr>
        <w:t>要</w:t>
      </w:r>
      <w:r>
        <w:rPr>
          <w:rFonts w:hint="eastAsia" w:ascii="宋体" w:hAnsi="宋体" w:cs="宋体"/>
          <w:kern w:val="0"/>
          <w:sz w:val="24"/>
          <w:szCs w:val="24"/>
        </w:rPr>
        <w:t>求投标人</w:t>
      </w:r>
      <w:r>
        <w:rPr>
          <w:rFonts w:hint="eastAsia" w:ascii="宋体" w:hAnsi="宋体" w:cs="宋体"/>
          <w:spacing w:val="1"/>
          <w:kern w:val="0"/>
          <w:sz w:val="24"/>
          <w:szCs w:val="24"/>
        </w:rPr>
        <w:t>进一</w:t>
      </w:r>
      <w:r>
        <w:rPr>
          <w:rFonts w:hint="eastAsia" w:ascii="宋体" w:hAnsi="宋体" w:cs="宋体"/>
          <w:kern w:val="0"/>
          <w:sz w:val="24"/>
          <w:szCs w:val="24"/>
        </w:rPr>
        <w:t>步澄清、说明或补正，直至满足评标委员会的要求。</w:t>
      </w:r>
    </w:p>
    <w:p>
      <w:pPr>
        <w:keepLines/>
        <w:snapToGrid w:val="0"/>
        <w:spacing w:line="540" w:lineRule="exact"/>
        <w:textAlignment w:val="baseline"/>
        <w:rPr>
          <w:rFonts w:ascii="宋体"/>
          <w:b/>
          <w:bCs/>
          <w:sz w:val="24"/>
          <w:szCs w:val="24"/>
        </w:rPr>
      </w:pPr>
      <w:bookmarkStart w:id="164" w:name="_Toc10630"/>
      <w:r>
        <w:rPr>
          <w:rFonts w:ascii="宋体" w:hAnsi="宋体" w:cs="宋体"/>
          <w:b/>
          <w:bCs/>
          <w:sz w:val="24"/>
          <w:szCs w:val="24"/>
        </w:rPr>
        <w:t xml:space="preserve">3.4 </w:t>
      </w:r>
      <w:r>
        <w:rPr>
          <w:rFonts w:hint="eastAsia" w:ascii="宋体" w:hAnsi="宋体" w:cs="宋体"/>
          <w:b/>
          <w:bCs/>
          <w:sz w:val="24"/>
          <w:szCs w:val="24"/>
        </w:rPr>
        <w:t>评标结果</w:t>
      </w:r>
      <w:bookmarkEnd w:id="164"/>
    </w:p>
    <w:p>
      <w:pPr>
        <w:snapToGrid w:val="0"/>
        <w:spacing w:line="520" w:lineRule="exact"/>
        <w:ind w:firstLine="484" w:firstLineChars="200"/>
        <w:textAlignment w:val="baseline"/>
        <w:rPr>
          <w:rFonts w:ascii="宋体"/>
          <w:spacing w:val="1"/>
          <w:kern w:val="0"/>
          <w:sz w:val="24"/>
          <w:szCs w:val="24"/>
        </w:rPr>
      </w:pPr>
      <w:r>
        <w:rPr>
          <w:rFonts w:ascii="宋体" w:hAnsi="宋体" w:cs="宋体"/>
          <w:spacing w:val="1"/>
          <w:kern w:val="0"/>
          <w:sz w:val="24"/>
          <w:szCs w:val="24"/>
        </w:rPr>
        <w:t xml:space="preserve">3.4.1 </w:t>
      </w:r>
      <w:r>
        <w:rPr>
          <w:rFonts w:hint="eastAsia" w:ascii="宋体" w:hAnsi="宋体" w:cs="宋体"/>
          <w:spacing w:val="1"/>
          <w:kern w:val="0"/>
          <w:sz w:val="24"/>
          <w:szCs w:val="24"/>
        </w:rPr>
        <w:t>除第二章“投标人须知”前附表授权直接确定中标人外，评标委员会按照得分由高到低的顺序推荐中标候选人。</w:t>
      </w:r>
    </w:p>
    <w:p>
      <w:pPr>
        <w:snapToGrid w:val="0"/>
        <w:spacing w:line="520" w:lineRule="exact"/>
        <w:ind w:firstLine="484" w:firstLineChars="200"/>
        <w:textAlignment w:val="baseline"/>
        <w:rPr>
          <w:rFonts w:ascii="宋体"/>
          <w:sz w:val="20"/>
        </w:rPr>
      </w:pPr>
      <w:r>
        <w:rPr>
          <w:rFonts w:ascii="宋体" w:hAnsi="宋体" w:cs="宋体"/>
          <w:spacing w:val="1"/>
          <w:kern w:val="0"/>
          <w:sz w:val="24"/>
          <w:szCs w:val="24"/>
        </w:rPr>
        <w:t xml:space="preserve">3.4.2 </w:t>
      </w:r>
      <w:r>
        <w:rPr>
          <w:rFonts w:hint="eastAsia" w:ascii="宋体" w:hAnsi="宋体" w:cs="宋体"/>
          <w:spacing w:val="1"/>
          <w:kern w:val="0"/>
          <w:sz w:val="24"/>
          <w:szCs w:val="24"/>
        </w:rPr>
        <w:t>评标委员会完成评标后，应当向招标人提交书面评标报告。</w:t>
      </w:r>
    </w:p>
    <w:p>
      <w:pPr>
        <w:snapToGrid w:val="0"/>
        <w:spacing w:line="480" w:lineRule="exact"/>
        <w:jc w:val="center"/>
        <w:textAlignment w:val="baseline"/>
        <w:rPr>
          <w:rFonts w:ascii="宋体"/>
          <w:b/>
          <w:bCs/>
          <w:sz w:val="30"/>
          <w:szCs w:val="30"/>
        </w:rPr>
      </w:pPr>
    </w:p>
    <w:p>
      <w:pPr>
        <w:widowControl/>
        <w:jc w:val="left"/>
        <w:rPr>
          <w:rFonts w:ascii="宋体"/>
          <w:b/>
          <w:bCs/>
          <w:sz w:val="30"/>
          <w:szCs w:val="30"/>
        </w:rPr>
      </w:pPr>
      <w:r>
        <w:rPr>
          <w:rFonts w:ascii="宋体"/>
          <w:b/>
          <w:bCs/>
          <w:sz w:val="30"/>
          <w:szCs w:val="30"/>
        </w:rPr>
        <w:br w:type="page"/>
      </w:r>
    </w:p>
    <w:p>
      <w:pPr>
        <w:snapToGrid w:val="0"/>
        <w:spacing w:line="480" w:lineRule="exact"/>
        <w:jc w:val="center"/>
        <w:textAlignment w:val="baseline"/>
        <w:rPr>
          <w:rFonts w:ascii="宋体"/>
          <w:b/>
          <w:bCs/>
          <w:sz w:val="30"/>
          <w:szCs w:val="30"/>
        </w:rPr>
      </w:pPr>
    </w:p>
    <w:p>
      <w:pPr>
        <w:pStyle w:val="5"/>
        <w:snapToGrid w:val="0"/>
        <w:jc w:val="center"/>
        <w:rPr>
          <w:rFonts w:ascii="宋体" w:hAnsi="宋体" w:eastAsia="宋体" w:cs="宋体"/>
          <w:b/>
          <w:bCs/>
          <w:sz w:val="36"/>
          <w:szCs w:val="36"/>
        </w:rPr>
      </w:pPr>
      <w:bookmarkStart w:id="165" w:name="_Toc25280"/>
      <w:bookmarkStart w:id="166" w:name="_Toc256363561"/>
      <w:r>
        <w:rPr>
          <w:rFonts w:hint="eastAsia" w:ascii="宋体" w:hAnsi="宋体" w:eastAsia="宋体" w:cs="宋体"/>
          <w:b/>
          <w:bCs/>
          <w:sz w:val="36"/>
          <w:szCs w:val="36"/>
        </w:rPr>
        <w:t>第四章合同格式及合同条款</w:t>
      </w:r>
      <w:bookmarkEnd w:id="165"/>
      <w:bookmarkEnd w:id="166"/>
    </w:p>
    <w:p>
      <w:pPr>
        <w:snapToGrid w:val="0"/>
        <w:ind w:firstLine="6616" w:firstLineChars="3138"/>
        <w:textAlignment w:val="baseline"/>
        <w:rPr>
          <w:rFonts w:ascii="宋体" w:hAnsi="宋体"/>
          <w:b/>
          <w:bCs/>
        </w:rPr>
      </w:pPr>
      <w:bookmarkStart w:id="167" w:name="_Hlk493517166"/>
      <w:r>
        <w:rPr>
          <w:rFonts w:hint="eastAsia" w:ascii="宋体" w:hAnsi="宋体"/>
          <w:b/>
          <w:bCs/>
        </w:rPr>
        <w:t xml:space="preserve">      </w:t>
      </w:r>
    </w:p>
    <w:p>
      <w:pPr>
        <w:jc w:val="center"/>
        <w:rPr>
          <w:b/>
          <w:sz w:val="44"/>
          <w:szCs w:val="44"/>
        </w:rPr>
      </w:pPr>
    </w:p>
    <w:p>
      <w:pPr>
        <w:jc w:val="center"/>
        <w:rPr>
          <w:b/>
          <w:sz w:val="44"/>
          <w:szCs w:val="44"/>
        </w:rPr>
      </w:pPr>
    </w:p>
    <w:p>
      <w:pPr>
        <w:jc w:val="center"/>
        <w:rPr>
          <w:b/>
          <w:sz w:val="44"/>
          <w:szCs w:val="44"/>
        </w:rPr>
      </w:pPr>
      <w:r>
        <w:rPr>
          <w:rFonts w:hint="eastAsia"/>
          <w:b/>
          <w:sz w:val="44"/>
          <w:szCs w:val="44"/>
          <w:lang w:eastAsia="zh-CN"/>
        </w:rPr>
        <w:t>商丘市中医院新院区第二批影像放射类2设备采购项目</w:t>
      </w:r>
      <w:r>
        <w:rPr>
          <w:rFonts w:hint="eastAsia"/>
          <w:b/>
          <w:sz w:val="44"/>
          <w:szCs w:val="44"/>
        </w:rPr>
        <w:t>合同</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left"/>
        <w:rPr>
          <w:b/>
          <w:sz w:val="44"/>
          <w:szCs w:val="44"/>
        </w:rPr>
      </w:pPr>
    </w:p>
    <w:p>
      <w:pPr>
        <w:ind w:firstLine="1400" w:firstLineChars="500"/>
        <w:jc w:val="left"/>
        <w:rPr>
          <w:sz w:val="28"/>
          <w:szCs w:val="32"/>
          <w:u w:val="single"/>
        </w:rPr>
      </w:pPr>
      <w:r>
        <w:rPr>
          <w:rFonts w:hint="eastAsia"/>
          <w:sz w:val="28"/>
          <w:szCs w:val="32"/>
        </w:rPr>
        <w:t>甲方：</w:t>
      </w:r>
      <w:r>
        <w:rPr>
          <w:rFonts w:hint="eastAsia"/>
          <w:sz w:val="28"/>
          <w:szCs w:val="32"/>
          <w:u w:val="single"/>
        </w:rPr>
        <w:t xml:space="preserve">                          </w:t>
      </w:r>
    </w:p>
    <w:p>
      <w:pPr>
        <w:ind w:firstLine="1400" w:firstLineChars="500"/>
        <w:jc w:val="left"/>
        <w:rPr>
          <w:sz w:val="28"/>
          <w:szCs w:val="32"/>
        </w:rPr>
      </w:pPr>
      <w:r>
        <w:rPr>
          <w:rFonts w:hint="eastAsia"/>
          <w:sz w:val="28"/>
          <w:szCs w:val="32"/>
        </w:rPr>
        <w:t>乙方：</w:t>
      </w:r>
      <w:r>
        <w:rPr>
          <w:rFonts w:hint="eastAsia"/>
          <w:sz w:val="28"/>
          <w:szCs w:val="32"/>
          <w:u w:val="single"/>
        </w:rPr>
        <w:t xml:space="preserve">                          </w:t>
      </w:r>
    </w:p>
    <w:p>
      <w:pPr>
        <w:jc w:val="left"/>
        <w:rPr>
          <w:sz w:val="32"/>
          <w:szCs w:val="32"/>
        </w:rPr>
      </w:pPr>
    </w:p>
    <w:p>
      <w:pPr>
        <w:rPr>
          <w:sz w:val="32"/>
          <w:szCs w:val="32"/>
        </w:rPr>
      </w:pPr>
    </w:p>
    <w:p>
      <w:pPr>
        <w:wordWrap w:val="0"/>
        <w:ind w:right="480"/>
        <w:jc w:val="right"/>
        <w:rPr>
          <w:rFonts w:ascii="宋体" w:hAnsi="宋体"/>
          <w:b/>
        </w:rPr>
      </w:pPr>
    </w:p>
    <w:p>
      <w:pPr>
        <w:ind w:right="480"/>
        <w:jc w:val="right"/>
        <w:rPr>
          <w:rFonts w:ascii="宋体" w:hAnsi="宋体"/>
          <w:b/>
        </w:rPr>
      </w:pPr>
    </w:p>
    <w:p>
      <w:pPr>
        <w:ind w:right="480"/>
        <w:jc w:val="right"/>
        <w:rPr>
          <w:rFonts w:ascii="宋体" w:hAnsi="宋体"/>
          <w:sz w:val="28"/>
          <w:szCs w:val="28"/>
        </w:rPr>
      </w:pPr>
    </w:p>
    <w:p>
      <w:pPr>
        <w:ind w:right="480"/>
        <w:jc w:val="right"/>
        <w:rPr>
          <w:rFonts w:ascii="宋体" w:hAnsi="宋体"/>
          <w:sz w:val="28"/>
          <w:szCs w:val="28"/>
        </w:rPr>
      </w:pPr>
    </w:p>
    <w:p>
      <w:pPr>
        <w:ind w:right="480"/>
        <w:jc w:val="right"/>
        <w:rPr>
          <w:rFonts w:ascii="宋体" w:hAnsi="宋体"/>
          <w:sz w:val="28"/>
          <w:szCs w:val="28"/>
        </w:rPr>
      </w:pPr>
    </w:p>
    <w:p>
      <w:pPr>
        <w:ind w:right="480"/>
        <w:jc w:val="right"/>
        <w:rPr>
          <w:rFonts w:ascii="宋体" w:hAnsi="宋体"/>
          <w:sz w:val="28"/>
          <w:szCs w:val="28"/>
        </w:rPr>
      </w:pPr>
    </w:p>
    <w:p>
      <w:pPr>
        <w:ind w:right="480"/>
        <w:jc w:val="right"/>
        <w:rPr>
          <w:rFonts w:ascii="宋体" w:hAnsi="宋体"/>
          <w:sz w:val="28"/>
          <w:szCs w:val="28"/>
        </w:rPr>
      </w:pPr>
    </w:p>
    <w:p>
      <w:pPr>
        <w:ind w:right="480"/>
        <w:jc w:val="right"/>
        <w:rPr>
          <w:rFonts w:ascii="宋体" w:hAnsi="宋体"/>
          <w:sz w:val="28"/>
          <w:szCs w:val="28"/>
        </w:rPr>
      </w:pPr>
    </w:p>
    <w:p>
      <w:pPr>
        <w:ind w:right="480"/>
        <w:jc w:val="right"/>
        <w:rPr>
          <w:rFonts w:ascii="宋体" w:hAnsi="宋体"/>
          <w:b/>
          <w:sz w:val="28"/>
          <w:szCs w:val="28"/>
        </w:rPr>
      </w:pPr>
    </w:p>
    <w:p>
      <w:pPr>
        <w:jc w:val="center"/>
        <w:rPr>
          <w:sz w:val="32"/>
          <w:szCs w:val="32"/>
        </w:rPr>
      </w:pPr>
      <w:r>
        <w:rPr>
          <w:rFonts w:hint="eastAsia"/>
          <w:sz w:val="32"/>
          <w:szCs w:val="32"/>
        </w:rPr>
        <w:t>2022年</w:t>
      </w:r>
      <w:r>
        <w:rPr>
          <w:rFonts w:hint="eastAsia"/>
          <w:sz w:val="32"/>
          <w:szCs w:val="32"/>
          <w:u w:val="single"/>
        </w:rPr>
        <w:t xml:space="preserve">   </w:t>
      </w:r>
      <w:r>
        <w:rPr>
          <w:rFonts w:hint="eastAsia"/>
          <w:sz w:val="32"/>
          <w:szCs w:val="32"/>
        </w:rPr>
        <w:t>月</w:t>
      </w:r>
    </w:p>
    <w:p>
      <w:pPr>
        <w:autoSpaceDE w:val="0"/>
        <w:autoSpaceDN w:val="0"/>
        <w:ind w:firstLine="4604" w:firstLineChars="1911"/>
        <w:jc w:val="left"/>
        <w:rPr>
          <w:rFonts w:ascii="宋体" w:hAnsi="宋体" w:cs="宋体"/>
          <w:b/>
          <w:bCs/>
          <w:kern w:val="0"/>
          <w:sz w:val="24"/>
          <w:szCs w:val="22"/>
          <w:lang w:val="zh-CN" w:bidi="zh-CN"/>
        </w:rPr>
      </w:pPr>
    </w:p>
    <w:p>
      <w:pPr>
        <w:rPr>
          <w:rFonts w:ascii="宋体" w:hAnsi="宋体"/>
          <w:b/>
        </w:rPr>
      </w:pPr>
      <w:r>
        <w:rPr>
          <w:rFonts w:hint="eastAsia" w:ascii="宋体" w:hAnsi="宋体"/>
          <w:b/>
        </w:rPr>
        <w:br w:type="page"/>
      </w:r>
    </w:p>
    <w:p>
      <w:pPr>
        <w:pStyle w:val="30"/>
      </w:pPr>
    </w:p>
    <w:p>
      <w:pPr>
        <w:widowControl/>
        <w:jc w:val="left"/>
        <w:rPr>
          <w:rFonts w:ascii="宋体" w:hAnsi="宋体"/>
          <w:b/>
        </w:rPr>
      </w:pPr>
    </w:p>
    <w:tbl>
      <w:tblPr>
        <w:tblStyle w:val="39"/>
        <w:tblW w:w="9048" w:type="dxa"/>
        <w:tblInd w:w="0" w:type="dxa"/>
        <w:tblLayout w:type="fixed"/>
        <w:tblCellMar>
          <w:top w:w="0" w:type="dxa"/>
          <w:left w:w="108" w:type="dxa"/>
          <w:bottom w:w="0" w:type="dxa"/>
          <w:right w:w="108" w:type="dxa"/>
        </w:tblCellMar>
      </w:tblPr>
      <w:tblGrid>
        <w:gridCol w:w="4524"/>
        <w:gridCol w:w="4524"/>
      </w:tblGrid>
      <w:tr>
        <w:tblPrEx>
          <w:tblCellMar>
            <w:top w:w="0" w:type="dxa"/>
            <w:left w:w="108" w:type="dxa"/>
            <w:bottom w:w="0" w:type="dxa"/>
            <w:right w:w="108" w:type="dxa"/>
          </w:tblCellMar>
        </w:tblPrEx>
        <w:tc>
          <w:tcPr>
            <w:tcW w:w="4524" w:type="dxa"/>
          </w:tcPr>
          <w:p>
            <w:pPr>
              <w:autoSpaceDE w:val="0"/>
              <w:autoSpaceDN w:val="0"/>
              <w:adjustRightInd w:val="0"/>
              <w:snapToGrid w:val="0"/>
              <w:spacing w:line="360" w:lineRule="auto"/>
              <w:ind w:firstLine="480" w:firstLineChars="200"/>
              <w:jc w:val="left"/>
              <w:rPr>
                <w:rFonts w:asciiTheme="minorEastAsia" w:hAnsiTheme="minorEastAsia" w:eastAsiaTheme="minorEastAsia"/>
                <w:sz w:val="24"/>
                <w:szCs w:val="24"/>
              </w:rPr>
            </w:pPr>
            <w:bookmarkStart w:id="168" w:name="_Toc109313639"/>
            <w:bookmarkStart w:id="169" w:name="_Toc109313692"/>
            <w:r>
              <w:rPr>
                <w:rFonts w:hint="eastAsia" w:asciiTheme="minorEastAsia" w:hAnsiTheme="minorEastAsia" w:eastAsiaTheme="minorEastAsia"/>
                <w:sz w:val="24"/>
                <w:szCs w:val="24"/>
              </w:rPr>
              <w:t>甲方：                               （以下简称甲方）</w:t>
            </w:r>
            <w:bookmarkEnd w:id="168"/>
            <w:bookmarkEnd w:id="169"/>
          </w:p>
        </w:tc>
        <w:tc>
          <w:tcPr>
            <w:tcW w:w="4524" w:type="dxa"/>
          </w:tcPr>
          <w:p>
            <w:pPr>
              <w:autoSpaceDE w:val="0"/>
              <w:autoSpaceDN w:val="0"/>
              <w:adjustRightInd w:val="0"/>
              <w:snapToGrid w:val="0"/>
              <w:spacing w:line="360" w:lineRule="auto"/>
              <w:ind w:firstLine="480" w:firstLineChars="200"/>
              <w:jc w:val="left"/>
              <w:rPr>
                <w:rFonts w:asciiTheme="minorEastAsia" w:hAnsiTheme="minorEastAsia" w:eastAsiaTheme="minorEastAsia"/>
                <w:sz w:val="24"/>
                <w:szCs w:val="24"/>
              </w:rPr>
            </w:pPr>
            <w:bookmarkStart w:id="170" w:name="_Toc109313693"/>
            <w:bookmarkStart w:id="171" w:name="_Toc109313640"/>
            <w:r>
              <w:rPr>
                <w:rFonts w:hint="eastAsia" w:asciiTheme="minorEastAsia" w:hAnsiTheme="minorEastAsia" w:eastAsiaTheme="minorEastAsia"/>
                <w:sz w:val="24"/>
                <w:szCs w:val="24"/>
              </w:rPr>
              <w:t>乙方：（以下简称乙方）</w:t>
            </w:r>
            <w:bookmarkEnd w:id="170"/>
            <w:bookmarkEnd w:id="171"/>
          </w:p>
        </w:tc>
      </w:tr>
      <w:tr>
        <w:tblPrEx>
          <w:tblCellMar>
            <w:top w:w="0" w:type="dxa"/>
            <w:left w:w="108" w:type="dxa"/>
            <w:bottom w:w="0" w:type="dxa"/>
            <w:right w:w="108" w:type="dxa"/>
          </w:tblCellMar>
        </w:tblPrEx>
        <w:tc>
          <w:tcPr>
            <w:tcW w:w="4524" w:type="dxa"/>
          </w:tcPr>
          <w:p>
            <w:pPr>
              <w:autoSpaceDE w:val="0"/>
              <w:autoSpaceDN w:val="0"/>
              <w:adjustRightInd w:val="0"/>
              <w:snapToGrid w:val="0"/>
              <w:spacing w:line="360" w:lineRule="auto"/>
              <w:ind w:firstLine="480" w:firstLineChars="200"/>
              <w:jc w:val="left"/>
              <w:rPr>
                <w:rFonts w:asciiTheme="minorEastAsia" w:hAnsiTheme="minorEastAsia" w:eastAsiaTheme="minorEastAsia"/>
                <w:sz w:val="24"/>
                <w:szCs w:val="24"/>
              </w:rPr>
            </w:pPr>
            <w:bookmarkStart w:id="172" w:name="_Toc109313694"/>
            <w:bookmarkStart w:id="173" w:name="_Toc109313641"/>
            <w:r>
              <w:rPr>
                <w:rFonts w:hint="eastAsia" w:asciiTheme="minorEastAsia" w:hAnsiTheme="minorEastAsia" w:eastAsiaTheme="minorEastAsia"/>
                <w:sz w:val="24"/>
                <w:szCs w:val="24"/>
              </w:rPr>
              <w:t>法定代表人:</w:t>
            </w:r>
            <w:bookmarkEnd w:id="172"/>
            <w:bookmarkEnd w:id="173"/>
            <w:r>
              <w:rPr>
                <w:rFonts w:hint="eastAsia" w:asciiTheme="minorEastAsia" w:hAnsiTheme="minorEastAsia" w:eastAsiaTheme="minorEastAsia"/>
                <w:sz w:val="24"/>
                <w:szCs w:val="24"/>
              </w:rPr>
              <w:t xml:space="preserve"> </w:t>
            </w:r>
          </w:p>
        </w:tc>
        <w:tc>
          <w:tcPr>
            <w:tcW w:w="4524" w:type="dxa"/>
          </w:tcPr>
          <w:p>
            <w:pPr>
              <w:autoSpaceDE w:val="0"/>
              <w:autoSpaceDN w:val="0"/>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法定代表人: </w:t>
            </w:r>
          </w:p>
        </w:tc>
      </w:tr>
      <w:tr>
        <w:tblPrEx>
          <w:tblCellMar>
            <w:top w:w="0" w:type="dxa"/>
            <w:left w:w="108" w:type="dxa"/>
            <w:bottom w:w="0" w:type="dxa"/>
            <w:right w:w="108" w:type="dxa"/>
          </w:tblCellMar>
        </w:tblPrEx>
        <w:tc>
          <w:tcPr>
            <w:tcW w:w="4524" w:type="dxa"/>
          </w:tcPr>
          <w:p>
            <w:pPr>
              <w:autoSpaceDE w:val="0"/>
              <w:autoSpaceDN w:val="0"/>
              <w:adjustRightInd w:val="0"/>
              <w:snapToGrid w:val="0"/>
              <w:spacing w:line="360" w:lineRule="auto"/>
              <w:ind w:firstLine="480" w:firstLineChars="200"/>
              <w:jc w:val="left"/>
              <w:rPr>
                <w:rFonts w:asciiTheme="minorEastAsia" w:hAnsiTheme="minorEastAsia" w:eastAsiaTheme="minorEastAsia"/>
                <w:sz w:val="24"/>
                <w:szCs w:val="24"/>
              </w:rPr>
            </w:pPr>
            <w:bookmarkStart w:id="174" w:name="_Toc109313695"/>
            <w:bookmarkStart w:id="175" w:name="_Toc109313642"/>
            <w:r>
              <w:rPr>
                <w:rFonts w:hint="eastAsia" w:asciiTheme="minorEastAsia" w:hAnsiTheme="minorEastAsia" w:eastAsiaTheme="minorEastAsia"/>
                <w:sz w:val="24"/>
                <w:szCs w:val="24"/>
              </w:rPr>
              <w:t>通讯地址：</w:t>
            </w:r>
            <w:bookmarkEnd w:id="174"/>
            <w:bookmarkEnd w:id="175"/>
          </w:p>
        </w:tc>
        <w:tc>
          <w:tcPr>
            <w:tcW w:w="4524" w:type="dxa"/>
          </w:tcPr>
          <w:p>
            <w:pPr>
              <w:autoSpaceDE w:val="0"/>
              <w:autoSpaceDN w:val="0"/>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r>
              <w:rPr>
                <w:rFonts w:asciiTheme="minorEastAsia" w:hAnsiTheme="minorEastAsia" w:eastAsiaTheme="minorEastAsia"/>
                <w:sz w:val="24"/>
                <w:szCs w:val="24"/>
              </w:rPr>
              <w:t xml:space="preserve"> </w:t>
            </w:r>
          </w:p>
        </w:tc>
      </w:tr>
      <w:tr>
        <w:tblPrEx>
          <w:tblCellMar>
            <w:top w:w="0" w:type="dxa"/>
            <w:left w:w="108" w:type="dxa"/>
            <w:bottom w:w="0" w:type="dxa"/>
            <w:right w:w="108" w:type="dxa"/>
          </w:tblCellMar>
        </w:tblPrEx>
        <w:tc>
          <w:tcPr>
            <w:tcW w:w="4524" w:type="dxa"/>
          </w:tcPr>
          <w:p>
            <w:pPr>
              <w:autoSpaceDE w:val="0"/>
              <w:autoSpaceDN w:val="0"/>
              <w:adjustRightInd w:val="0"/>
              <w:snapToGrid w:val="0"/>
              <w:spacing w:line="360" w:lineRule="auto"/>
              <w:ind w:firstLine="480" w:firstLineChars="200"/>
              <w:jc w:val="left"/>
              <w:rPr>
                <w:rFonts w:asciiTheme="minorEastAsia" w:hAnsiTheme="minorEastAsia" w:eastAsiaTheme="minorEastAsia"/>
                <w:sz w:val="24"/>
                <w:szCs w:val="24"/>
              </w:rPr>
            </w:pPr>
            <w:bookmarkStart w:id="176" w:name="_Toc109313643"/>
            <w:bookmarkStart w:id="177" w:name="_Toc109313696"/>
            <w:r>
              <w:rPr>
                <w:rFonts w:hint="eastAsia" w:asciiTheme="minorEastAsia" w:hAnsiTheme="minorEastAsia" w:eastAsiaTheme="minorEastAsia"/>
                <w:sz w:val="24"/>
                <w:szCs w:val="24"/>
              </w:rPr>
              <w:t>邮编：</w:t>
            </w:r>
            <w:bookmarkEnd w:id="176"/>
            <w:bookmarkEnd w:id="177"/>
            <w:r>
              <w:rPr>
                <w:rFonts w:asciiTheme="minorEastAsia" w:hAnsiTheme="minorEastAsia" w:eastAsiaTheme="minorEastAsia"/>
                <w:sz w:val="24"/>
                <w:szCs w:val="24"/>
              </w:rPr>
              <w:t xml:space="preserve"> </w:t>
            </w:r>
          </w:p>
        </w:tc>
        <w:tc>
          <w:tcPr>
            <w:tcW w:w="4524" w:type="dxa"/>
          </w:tcPr>
          <w:p>
            <w:pPr>
              <w:autoSpaceDE w:val="0"/>
              <w:autoSpaceDN w:val="0"/>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邮编： </w:t>
            </w:r>
          </w:p>
        </w:tc>
      </w:tr>
    </w:tbl>
    <w:p>
      <w:pPr>
        <w:autoSpaceDE w:val="0"/>
        <w:autoSpaceDN w:val="0"/>
        <w:adjustRightInd w:val="0"/>
        <w:snapToGrid w:val="0"/>
        <w:spacing w:line="360" w:lineRule="auto"/>
        <w:ind w:firstLine="480" w:firstLineChars="200"/>
        <w:jc w:val="left"/>
        <w:rPr>
          <w:rFonts w:asciiTheme="minorEastAsia" w:hAnsiTheme="minorEastAsia" w:eastAsiaTheme="minorEastAsia"/>
          <w:sz w:val="24"/>
          <w:szCs w:val="24"/>
        </w:rPr>
      </w:pP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asciiTheme="minorEastAsia" w:hAnsiTheme="minorEastAsia" w:eastAsiaTheme="minorEastAsia"/>
          <w:sz w:val="24"/>
          <w:szCs w:val="24"/>
        </w:rPr>
        <w:t>甲乙双方在真实、充分地表达各自意愿的基础上，根据《中华人民共和国</w:t>
      </w:r>
      <w:r>
        <w:rPr>
          <w:rFonts w:hint="eastAsia" w:asciiTheme="minorEastAsia" w:hAnsiTheme="minorEastAsia" w:eastAsiaTheme="minorEastAsia"/>
          <w:sz w:val="24"/>
          <w:szCs w:val="24"/>
        </w:rPr>
        <w:t>民法典</w:t>
      </w:r>
      <w:r>
        <w:rPr>
          <w:rFonts w:asciiTheme="minorEastAsia" w:hAnsiTheme="minorEastAsia" w:eastAsiaTheme="minorEastAsia"/>
          <w:sz w:val="24"/>
          <w:szCs w:val="24"/>
        </w:rPr>
        <w:t xml:space="preserve">》等相关法律法规有关规定，经过友好协商达成如下协议，并由双方共同遵守。 </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一、供货范围及分项价格表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276"/>
        <w:gridCol w:w="850"/>
        <w:gridCol w:w="851"/>
        <w:gridCol w:w="1275"/>
        <w:gridCol w:w="1282"/>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序号</w:t>
            </w: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货物名称</w:t>
            </w: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规格型号</w:t>
            </w:r>
          </w:p>
        </w:tc>
        <w:tc>
          <w:tcPr>
            <w:tcW w:w="850"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数量</w:t>
            </w:r>
          </w:p>
        </w:tc>
        <w:tc>
          <w:tcPr>
            <w:tcW w:w="851"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单价</w:t>
            </w:r>
          </w:p>
        </w:tc>
        <w:tc>
          <w:tcPr>
            <w:tcW w:w="1275"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金额</w:t>
            </w:r>
          </w:p>
        </w:tc>
        <w:tc>
          <w:tcPr>
            <w:tcW w:w="1282"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生产厂商</w:t>
            </w:r>
          </w:p>
        </w:tc>
        <w:tc>
          <w:tcPr>
            <w:tcW w:w="112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0"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1"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5"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82"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12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0"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1"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5"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82"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12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0"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1"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5"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82"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12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0"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1"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5"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82"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12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0"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1"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5"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82"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12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0"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1"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5"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82"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12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0"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1"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5"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82"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12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0"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1"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5"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82"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12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6"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0"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851"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75"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282"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c>
          <w:tcPr>
            <w:tcW w:w="1127" w:type="dxa"/>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3"/>
            <w:vAlign w:val="center"/>
          </w:tcPr>
          <w:p>
            <w:pPr>
              <w:autoSpaceDE w:val="0"/>
              <w:autoSpaceDN w:val="0"/>
              <w:adjustRightInd w:val="0"/>
              <w:snapToGrid w:val="0"/>
              <w:spacing w:line="360" w:lineRule="auto"/>
              <w:jc w:val="center"/>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合计（人民币）</w:t>
            </w:r>
          </w:p>
        </w:tc>
        <w:tc>
          <w:tcPr>
            <w:tcW w:w="5385" w:type="dxa"/>
            <w:gridSpan w:val="5"/>
            <w:vAlign w:val="center"/>
          </w:tcPr>
          <w:p>
            <w:pPr>
              <w:autoSpaceDE w:val="0"/>
              <w:autoSpaceDN w:val="0"/>
              <w:adjustRightInd w:val="0"/>
              <w:snapToGrid w:val="0"/>
              <w:spacing w:line="360" w:lineRule="auto"/>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（大写）：</w:t>
            </w:r>
          </w:p>
          <w:p>
            <w:pPr>
              <w:autoSpaceDE w:val="0"/>
              <w:autoSpaceDN w:val="0"/>
              <w:adjustRightInd w:val="0"/>
              <w:snapToGrid w:val="0"/>
              <w:spacing w:line="360" w:lineRule="auto"/>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（小写）：</w:t>
            </w:r>
          </w:p>
        </w:tc>
      </w:tr>
    </w:tbl>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p>
    <w:p>
      <w:pPr>
        <w:autoSpaceDE w:val="0"/>
        <w:autoSpaceDN w:val="0"/>
        <w:adjustRightInd w:val="0"/>
        <w:snapToGrid w:val="0"/>
        <w:spacing w:line="360" w:lineRule="auto"/>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 xml:space="preserve">    </w:t>
      </w:r>
      <w:r>
        <w:rPr>
          <w:rFonts w:hint="eastAsia" w:cs="宋体" w:asciiTheme="minorEastAsia" w:hAnsiTheme="minorEastAsia" w:eastAsiaTheme="minorEastAsia"/>
          <w:kern w:val="0"/>
          <w:sz w:val="24"/>
          <w:szCs w:val="24"/>
          <w:lang w:val="zh-CN" w:bidi="zh-CN"/>
        </w:rPr>
        <w:t>报价中包括设备金额、包装、运输、保险费、装卸费、安装及相关材料费、调试费、软件费、检验费及培训所需费用及税金，甲方不再另行支付任何费用。</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二、质量及技术规格要求</w:t>
      </w:r>
    </w:p>
    <w:p>
      <w:pPr>
        <w:autoSpaceDE w:val="0"/>
        <w:autoSpaceDN w:val="0"/>
        <w:adjustRightInd w:val="0"/>
        <w:snapToGrid w:val="0"/>
        <w:spacing w:line="360" w:lineRule="auto"/>
        <w:ind w:firstLine="57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乙方须按合同要求提供全新设备（包括零部件、附件、备品备件），设备的质量标准、规格型号、具体配置、数量须符合招标文件要求和投标文件响应内容，其产品为原厂生产，且应达到乙方响应文件及澄清文件中明确的技术标准。</w:t>
      </w:r>
    </w:p>
    <w:p>
      <w:pPr>
        <w:numPr>
          <w:ilvl w:val="0"/>
          <w:numId w:val="4"/>
        </w:numPr>
        <w:autoSpaceDE w:val="0"/>
        <w:autoSpaceDN w:val="0"/>
        <w:adjustRightInd w:val="0"/>
        <w:snapToGrid w:val="0"/>
        <w:spacing w:line="360" w:lineRule="auto"/>
        <w:ind w:firstLine="482" w:firstLineChars="20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b/>
          <w:bCs/>
          <w:kern w:val="0"/>
          <w:sz w:val="24"/>
          <w:szCs w:val="24"/>
          <w:lang w:val="zh-CN" w:bidi="zh-CN"/>
        </w:rPr>
        <w:t>包装与运输</w:t>
      </w:r>
    </w:p>
    <w:p>
      <w:pPr>
        <w:autoSpaceDE w:val="0"/>
        <w:autoSpaceDN w:val="0"/>
        <w:adjustRightInd w:val="0"/>
        <w:snapToGrid w:val="0"/>
        <w:spacing w:line="360" w:lineRule="auto"/>
        <w:ind w:firstLine="57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设备交付使用前发生的所有与设备相关的运输、安装及安全保障事项等均由乙方负责；设备包装应符合抗震、防潮、防冻、防锈以及长途运输等要求，由于包装不当或防护措施不力而导致的商品损坏、损失、腐蚀等损失均由乙方承担；设备交付使用前所发生的所有与设备相关的经济纠纷及法律责任均与甲方无关。</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四、质保期与售后服务</w:t>
      </w:r>
    </w:p>
    <w:p>
      <w:pPr>
        <w:autoSpaceDE w:val="0"/>
        <w:autoSpaceDN w:val="0"/>
        <w:adjustRightInd w:val="0"/>
        <w:snapToGrid w:val="0"/>
        <w:spacing w:line="360" w:lineRule="auto"/>
        <w:ind w:firstLine="48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1</w:t>
      </w:r>
      <w:r>
        <w:rPr>
          <w:rFonts w:hint="eastAsia" w:cs="宋体" w:asciiTheme="minorEastAsia" w:hAnsiTheme="minorEastAsia" w:eastAsiaTheme="minorEastAsia"/>
          <w:kern w:val="0"/>
          <w:sz w:val="24"/>
          <w:szCs w:val="24"/>
          <w:lang w:val="zh-CN" w:bidi="zh-CN"/>
        </w:rPr>
        <w:t>、所有设备免费质保期为</w:t>
      </w:r>
      <w:r>
        <w:rPr>
          <w:rFonts w:cs="黑体" w:asciiTheme="minorEastAsia" w:hAnsiTheme="minorEastAsia" w:eastAsiaTheme="minorEastAsia"/>
          <w:b/>
          <w:bCs/>
          <w:kern w:val="0"/>
          <w:sz w:val="24"/>
          <w:szCs w:val="24"/>
          <w:u w:val="single"/>
          <w:lang w:val="zh-CN" w:bidi="zh-CN"/>
        </w:rPr>
        <w:t xml:space="preserve">      </w:t>
      </w:r>
      <w:r>
        <w:rPr>
          <w:rFonts w:hint="eastAsia" w:cs="宋体" w:asciiTheme="minorEastAsia" w:hAnsiTheme="minorEastAsia" w:eastAsiaTheme="minorEastAsia"/>
          <w:kern w:val="0"/>
          <w:sz w:val="24"/>
          <w:szCs w:val="24"/>
          <w:lang w:val="zh-CN" w:bidi="zh-CN"/>
        </w:rPr>
        <w:t>年，自验收合格并交付给甲方之日起计算，且</w:t>
      </w:r>
      <w:r>
        <w:rPr>
          <w:rFonts w:cs="宋体" w:asciiTheme="minorEastAsia" w:hAnsiTheme="minorEastAsia" w:eastAsiaTheme="minorEastAsia"/>
          <w:kern w:val="0"/>
          <w:sz w:val="24"/>
          <w:szCs w:val="24"/>
          <w:lang w:val="zh-CN" w:bidi="zh-CN"/>
        </w:rPr>
        <w:t>乙方应</w:t>
      </w:r>
      <w:r>
        <w:rPr>
          <w:rFonts w:hint="eastAsia" w:cs="宋体" w:asciiTheme="minorEastAsia" w:hAnsiTheme="minorEastAsia" w:eastAsiaTheme="minorEastAsia"/>
          <w:kern w:val="0"/>
          <w:sz w:val="24"/>
          <w:szCs w:val="24"/>
          <w:lang w:val="zh-CN" w:bidi="zh-CN"/>
        </w:rPr>
        <w:t>终身维护、维修。</w:t>
      </w:r>
    </w:p>
    <w:p>
      <w:pPr>
        <w:autoSpaceDE w:val="0"/>
        <w:autoSpaceDN w:val="0"/>
        <w:adjustRightInd w:val="0"/>
        <w:snapToGrid w:val="0"/>
        <w:spacing w:line="360" w:lineRule="auto"/>
        <w:ind w:firstLine="48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2</w:t>
      </w:r>
      <w:r>
        <w:rPr>
          <w:rFonts w:hint="eastAsia" w:cs="宋体" w:asciiTheme="minorEastAsia" w:hAnsiTheme="minorEastAsia" w:eastAsiaTheme="minorEastAsia"/>
          <w:kern w:val="0"/>
          <w:sz w:val="24"/>
          <w:szCs w:val="24"/>
          <w:lang w:val="zh-CN" w:bidi="zh-CN"/>
        </w:rPr>
        <w:t>、在质保期内，因产品质量造成的问题，乙方应免费提供配件并现场维修，且所提供的任何零配件必须是其原设备厂家生产的或经其认可的。产品存在质量问题，甲方有权要求乙方换货。</w:t>
      </w:r>
    </w:p>
    <w:p>
      <w:pPr>
        <w:autoSpaceDE w:val="0"/>
        <w:autoSpaceDN w:val="0"/>
        <w:adjustRightInd w:val="0"/>
        <w:snapToGrid w:val="0"/>
        <w:spacing w:line="360" w:lineRule="auto"/>
        <w:ind w:firstLine="48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3</w:t>
      </w:r>
      <w:r>
        <w:rPr>
          <w:rFonts w:hint="eastAsia" w:cs="宋体" w:asciiTheme="minorEastAsia" w:hAnsiTheme="minorEastAsia" w:eastAsiaTheme="minorEastAsia"/>
          <w:kern w:val="0"/>
          <w:sz w:val="24"/>
          <w:szCs w:val="24"/>
          <w:lang w:val="zh-CN" w:bidi="zh-CN"/>
        </w:rPr>
        <w:t>、乙方须提供一年</w:t>
      </w:r>
      <w:r>
        <w:rPr>
          <w:rFonts w:cs="宋体" w:asciiTheme="minorEastAsia" w:hAnsiTheme="minorEastAsia" w:eastAsiaTheme="minorEastAsia"/>
          <w:kern w:val="0"/>
          <w:sz w:val="24"/>
          <w:szCs w:val="24"/>
          <w:u w:val="single"/>
          <w:lang w:val="zh-CN" w:bidi="zh-CN"/>
        </w:rPr>
        <w:t xml:space="preserve">    </w:t>
      </w:r>
      <w:r>
        <w:rPr>
          <w:rFonts w:hint="eastAsia" w:cs="宋体" w:asciiTheme="minorEastAsia" w:hAnsiTheme="minorEastAsia" w:eastAsiaTheme="minorEastAsia"/>
          <w:kern w:val="0"/>
          <w:sz w:val="24"/>
          <w:szCs w:val="24"/>
          <w:lang w:val="zh-CN" w:bidi="zh-CN"/>
        </w:rPr>
        <w:t>次全免费（配件</w:t>
      </w:r>
      <w:r>
        <w:rPr>
          <w:rFonts w:cs="宋体" w:asciiTheme="minorEastAsia" w:hAnsiTheme="minorEastAsia" w:eastAsiaTheme="minorEastAsia"/>
          <w:kern w:val="0"/>
          <w:sz w:val="24"/>
          <w:szCs w:val="24"/>
          <w:lang w:val="zh-CN" w:bidi="zh-CN"/>
        </w:rPr>
        <w:t>+</w:t>
      </w:r>
      <w:r>
        <w:rPr>
          <w:rFonts w:hint="eastAsia" w:cs="宋体" w:asciiTheme="minorEastAsia" w:hAnsiTheme="minorEastAsia" w:eastAsiaTheme="minorEastAsia"/>
          <w:kern w:val="0"/>
          <w:sz w:val="24"/>
          <w:szCs w:val="24"/>
          <w:lang w:val="zh-CN" w:bidi="zh-CN"/>
        </w:rPr>
        <w:t>人力）对产品设备的维护保养。</w:t>
      </w:r>
    </w:p>
    <w:p>
      <w:pPr>
        <w:autoSpaceDE w:val="0"/>
        <w:autoSpaceDN w:val="0"/>
        <w:adjustRightInd w:val="0"/>
        <w:snapToGrid w:val="0"/>
        <w:spacing w:line="360" w:lineRule="auto"/>
        <w:ind w:firstLine="48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4</w:t>
      </w:r>
      <w:r>
        <w:rPr>
          <w:rFonts w:hint="eastAsia" w:cs="宋体" w:asciiTheme="minorEastAsia" w:hAnsiTheme="minorEastAsia" w:eastAsiaTheme="minorEastAsia"/>
          <w:kern w:val="0"/>
          <w:sz w:val="24"/>
          <w:szCs w:val="24"/>
          <w:lang w:val="zh-CN" w:bidi="zh-CN"/>
        </w:rPr>
        <w:t>、乙方承诺凡设备出现故障，自接到甲方报修电话</w:t>
      </w:r>
      <w:r>
        <w:rPr>
          <w:rFonts w:cs="宋体" w:asciiTheme="minorEastAsia" w:hAnsiTheme="minorEastAsia" w:eastAsiaTheme="minorEastAsia"/>
          <w:kern w:val="0"/>
          <w:sz w:val="24"/>
          <w:szCs w:val="24"/>
          <w:lang w:val="zh-CN" w:bidi="zh-CN"/>
        </w:rPr>
        <w:t>1</w:t>
      </w:r>
      <w:r>
        <w:rPr>
          <w:rFonts w:hint="eastAsia" w:cs="宋体" w:asciiTheme="minorEastAsia" w:hAnsiTheme="minorEastAsia" w:eastAsiaTheme="minorEastAsia"/>
          <w:kern w:val="0"/>
          <w:sz w:val="24"/>
          <w:szCs w:val="24"/>
          <w:lang w:val="zh-CN" w:bidi="zh-CN"/>
        </w:rPr>
        <w:t>小时响应，</w:t>
      </w:r>
      <w:r>
        <w:rPr>
          <w:rFonts w:cs="宋体" w:asciiTheme="minorEastAsia" w:hAnsiTheme="minorEastAsia" w:eastAsiaTheme="minorEastAsia"/>
          <w:kern w:val="0"/>
          <w:sz w:val="24"/>
          <w:szCs w:val="24"/>
          <w:lang w:val="zh-CN" w:bidi="zh-CN"/>
        </w:rPr>
        <w:t>3</w:t>
      </w:r>
      <w:r>
        <w:rPr>
          <w:rFonts w:hint="eastAsia" w:cs="宋体" w:asciiTheme="minorEastAsia" w:hAnsiTheme="minorEastAsia" w:eastAsiaTheme="minorEastAsia"/>
          <w:kern w:val="0"/>
          <w:sz w:val="24"/>
          <w:szCs w:val="24"/>
          <w:lang w:val="zh-CN" w:bidi="zh-CN"/>
        </w:rPr>
        <w:t>小时内到达现场，</w:t>
      </w:r>
      <w:r>
        <w:rPr>
          <w:rFonts w:cs="宋体" w:asciiTheme="minorEastAsia" w:hAnsiTheme="minorEastAsia" w:eastAsiaTheme="minorEastAsia"/>
          <w:kern w:val="0"/>
          <w:sz w:val="24"/>
          <w:szCs w:val="24"/>
          <w:lang w:val="zh-CN" w:bidi="zh-CN"/>
        </w:rPr>
        <w:t>24</w:t>
      </w:r>
      <w:r>
        <w:rPr>
          <w:rFonts w:hint="eastAsia" w:cs="宋体" w:asciiTheme="minorEastAsia" w:hAnsiTheme="minorEastAsia" w:eastAsiaTheme="minorEastAsia"/>
          <w:kern w:val="0"/>
          <w:sz w:val="24"/>
          <w:szCs w:val="24"/>
          <w:lang w:val="zh-CN" w:bidi="zh-CN"/>
        </w:rPr>
        <w:t>小时内解决故障问题。质保期外只收取甲方零配件成本费，其他免费。</w:t>
      </w:r>
    </w:p>
    <w:p>
      <w:pPr>
        <w:autoSpaceDE w:val="0"/>
        <w:autoSpaceDN w:val="0"/>
        <w:adjustRightInd w:val="0"/>
        <w:snapToGrid w:val="0"/>
        <w:spacing w:line="360" w:lineRule="auto"/>
        <w:ind w:firstLine="48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 xml:space="preserve">5、乙方有责任对甲方相关人员实施免费的现场培训或集中培训措施，保证甲方相关人员能够独立操作、熟练使用、维护和管理有关设备。                                                                                  </w:t>
      </w:r>
    </w:p>
    <w:p>
      <w:pPr>
        <w:autoSpaceDE w:val="0"/>
        <w:autoSpaceDN w:val="0"/>
        <w:adjustRightInd w:val="0"/>
        <w:snapToGrid w:val="0"/>
        <w:spacing w:line="360" w:lineRule="auto"/>
        <w:ind w:firstLine="480"/>
        <w:jc w:val="left"/>
        <w:rPr>
          <w:rFonts w:cs="宋体" w:asciiTheme="minorEastAsia" w:hAnsiTheme="minorEastAsia" w:eastAsiaTheme="minorEastAsia"/>
          <w:b/>
          <w:bCs/>
          <w:kern w:val="0"/>
          <w:sz w:val="24"/>
          <w:szCs w:val="24"/>
          <w:lang w:val="zh-CN" w:bidi="zh-CN"/>
        </w:rPr>
      </w:pPr>
      <w:r>
        <w:rPr>
          <w:rFonts w:cs="宋体" w:asciiTheme="minorEastAsia" w:hAnsiTheme="minorEastAsia" w:eastAsiaTheme="minorEastAsia"/>
          <w:kern w:val="0"/>
          <w:sz w:val="24"/>
          <w:szCs w:val="24"/>
          <w:lang w:val="zh-CN" w:bidi="zh-CN"/>
        </w:rPr>
        <w:t>6</w:t>
      </w:r>
      <w:r>
        <w:rPr>
          <w:rFonts w:hint="eastAsia" w:cs="宋体" w:asciiTheme="minorEastAsia" w:hAnsiTheme="minorEastAsia" w:eastAsiaTheme="minorEastAsia"/>
          <w:kern w:val="0"/>
          <w:sz w:val="24"/>
          <w:szCs w:val="24"/>
          <w:lang w:val="zh-CN" w:bidi="zh-CN"/>
        </w:rPr>
        <w:t>、其它应</w:t>
      </w:r>
      <w:r>
        <w:rPr>
          <w:rFonts w:cs="宋体" w:asciiTheme="minorEastAsia" w:hAnsiTheme="minorEastAsia" w:eastAsiaTheme="minorEastAsia"/>
          <w:kern w:val="0"/>
          <w:sz w:val="24"/>
          <w:szCs w:val="24"/>
          <w:lang w:val="zh-CN" w:bidi="zh-CN"/>
        </w:rPr>
        <w:t>规定事项</w:t>
      </w:r>
      <w:r>
        <w:rPr>
          <w:rFonts w:hint="eastAsia" w:cs="宋体" w:asciiTheme="minorEastAsia" w:hAnsiTheme="minorEastAsia" w:eastAsiaTheme="minorEastAsia"/>
          <w:bCs/>
          <w:kern w:val="0"/>
          <w:sz w:val="24"/>
          <w:szCs w:val="24"/>
          <w:lang w:val="zh-CN" w:bidi="zh-CN"/>
        </w:rPr>
        <w:t>。</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五、技术服务</w:t>
      </w:r>
    </w:p>
    <w:p>
      <w:pPr>
        <w:autoSpaceDE w:val="0"/>
        <w:autoSpaceDN w:val="0"/>
        <w:adjustRightInd w:val="0"/>
        <w:snapToGrid w:val="0"/>
        <w:spacing w:line="360" w:lineRule="auto"/>
        <w:ind w:firstLine="48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1</w:t>
      </w:r>
      <w:r>
        <w:rPr>
          <w:rFonts w:hint="eastAsia" w:cs="宋体" w:asciiTheme="minorEastAsia" w:hAnsiTheme="minorEastAsia" w:eastAsiaTheme="minorEastAsia"/>
          <w:kern w:val="0"/>
          <w:sz w:val="24"/>
          <w:szCs w:val="24"/>
          <w:lang w:val="zh-CN" w:bidi="zh-CN"/>
        </w:rPr>
        <w:t>、乙方向甲方免费提供标准安装调试及</w:t>
      </w:r>
      <w:r>
        <w:rPr>
          <w:rFonts w:cs="宋体" w:asciiTheme="minorEastAsia" w:hAnsiTheme="minorEastAsia" w:eastAsiaTheme="minorEastAsia"/>
          <w:kern w:val="0"/>
          <w:sz w:val="24"/>
          <w:szCs w:val="24"/>
          <w:u w:val="single"/>
          <w:lang w:val="zh-CN" w:bidi="zh-CN"/>
        </w:rPr>
        <w:t xml:space="preserve">   </w:t>
      </w:r>
      <w:r>
        <w:rPr>
          <w:rFonts w:hint="eastAsia" w:cs="宋体" w:asciiTheme="minorEastAsia" w:hAnsiTheme="minorEastAsia" w:eastAsiaTheme="minorEastAsia"/>
          <w:kern w:val="0"/>
          <w:sz w:val="24"/>
          <w:szCs w:val="24"/>
          <w:lang w:val="zh-CN" w:bidi="zh-CN"/>
        </w:rPr>
        <w:t>人次国内操作培训。</w:t>
      </w:r>
    </w:p>
    <w:p>
      <w:pPr>
        <w:autoSpaceDE w:val="0"/>
        <w:autoSpaceDN w:val="0"/>
        <w:adjustRightInd w:val="0"/>
        <w:snapToGrid w:val="0"/>
        <w:spacing w:line="360" w:lineRule="auto"/>
        <w:ind w:firstLine="48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2</w:t>
      </w:r>
      <w:r>
        <w:rPr>
          <w:rFonts w:hint="eastAsia" w:cs="宋体" w:asciiTheme="minorEastAsia" w:hAnsiTheme="minorEastAsia" w:eastAsiaTheme="minorEastAsia"/>
          <w:kern w:val="0"/>
          <w:sz w:val="24"/>
          <w:szCs w:val="24"/>
          <w:lang w:val="zh-CN" w:bidi="zh-CN"/>
        </w:rPr>
        <w:t>、乙方向甲方提供设备详细技术、维修及使用资料。</w:t>
      </w:r>
    </w:p>
    <w:p>
      <w:pPr>
        <w:autoSpaceDE w:val="0"/>
        <w:autoSpaceDN w:val="0"/>
        <w:adjustRightInd w:val="0"/>
        <w:snapToGrid w:val="0"/>
        <w:spacing w:line="360" w:lineRule="auto"/>
        <w:ind w:firstLine="48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3</w:t>
      </w:r>
      <w:r>
        <w:rPr>
          <w:rFonts w:hint="eastAsia" w:cs="宋体" w:asciiTheme="minorEastAsia" w:hAnsiTheme="minorEastAsia" w:eastAsiaTheme="minorEastAsia"/>
          <w:kern w:val="0"/>
          <w:sz w:val="24"/>
          <w:szCs w:val="24"/>
          <w:lang w:val="zh-CN" w:bidi="zh-CN"/>
        </w:rPr>
        <w:t>、软件免费升级和使用。</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六、专利权</w:t>
      </w:r>
    </w:p>
    <w:p>
      <w:pPr>
        <w:autoSpaceDE w:val="0"/>
        <w:autoSpaceDN w:val="0"/>
        <w:adjustRightInd w:val="0"/>
        <w:snapToGrid w:val="0"/>
        <w:spacing w:line="360" w:lineRule="auto"/>
        <w:ind w:firstLine="48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乙方应保证甲方在使用其所提供的产品时免受第三方提出侵犯其专利权、商标权或保护期的起诉。</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七、交货时间、地点与方式</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1</w:t>
      </w:r>
      <w:r>
        <w:rPr>
          <w:rFonts w:hint="eastAsia" w:cs="宋体" w:asciiTheme="minorEastAsia" w:hAnsiTheme="minorEastAsia" w:eastAsiaTheme="minorEastAsia"/>
          <w:kern w:val="0"/>
          <w:sz w:val="24"/>
          <w:szCs w:val="24"/>
          <w:lang w:val="zh-CN" w:bidi="zh-CN"/>
        </w:rPr>
        <w:t>、乙方于</w:t>
      </w:r>
      <w:r>
        <w:rPr>
          <w:rFonts w:cs="宋体" w:asciiTheme="minorEastAsia" w:hAnsiTheme="minorEastAsia" w:eastAsiaTheme="minorEastAsia"/>
          <w:kern w:val="0"/>
          <w:sz w:val="24"/>
          <w:szCs w:val="24"/>
          <w:u w:val="single"/>
          <w:lang w:val="zh-CN" w:bidi="zh-CN"/>
        </w:rPr>
        <w:t xml:space="preserve">    </w:t>
      </w:r>
      <w:r>
        <w:rPr>
          <w:rFonts w:hint="eastAsia" w:cs="宋体" w:asciiTheme="minorEastAsia" w:hAnsiTheme="minorEastAsia" w:eastAsiaTheme="minorEastAsia"/>
          <w:bCs/>
          <w:kern w:val="0"/>
          <w:sz w:val="24"/>
          <w:szCs w:val="24"/>
          <w:lang w:val="zh-CN" w:bidi="zh-CN"/>
        </w:rPr>
        <w:t>年</w:t>
      </w:r>
      <w:r>
        <w:rPr>
          <w:rFonts w:cs="宋体" w:asciiTheme="minorEastAsia" w:hAnsiTheme="minorEastAsia" w:eastAsiaTheme="minorEastAsia"/>
          <w:bCs/>
          <w:kern w:val="0"/>
          <w:sz w:val="24"/>
          <w:szCs w:val="24"/>
          <w:u w:val="single"/>
          <w:lang w:val="zh-CN" w:bidi="zh-CN"/>
        </w:rPr>
        <w:t xml:space="preserve"> </w:t>
      </w:r>
      <w:r>
        <w:rPr>
          <w:rFonts w:hint="eastAsia" w:cs="宋体" w:asciiTheme="minorEastAsia" w:hAnsiTheme="minorEastAsia" w:eastAsiaTheme="minorEastAsia"/>
          <w:bCs/>
          <w:kern w:val="0"/>
          <w:sz w:val="24"/>
          <w:szCs w:val="24"/>
          <w:u w:val="single"/>
          <w:lang w:val="zh-CN" w:bidi="zh-CN"/>
        </w:rPr>
        <w:t xml:space="preserve"> </w:t>
      </w:r>
      <w:r>
        <w:rPr>
          <w:rFonts w:cs="宋体" w:asciiTheme="minorEastAsia" w:hAnsiTheme="minorEastAsia" w:eastAsiaTheme="minorEastAsia"/>
          <w:bCs/>
          <w:kern w:val="0"/>
          <w:sz w:val="24"/>
          <w:szCs w:val="24"/>
          <w:u w:val="single"/>
          <w:lang w:val="zh-CN" w:bidi="zh-CN"/>
        </w:rPr>
        <w:t xml:space="preserve"> </w:t>
      </w:r>
      <w:r>
        <w:rPr>
          <w:rFonts w:hint="eastAsia" w:cs="宋体" w:asciiTheme="minorEastAsia" w:hAnsiTheme="minorEastAsia" w:eastAsiaTheme="minorEastAsia"/>
          <w:bCs/>
          <w:kern w:val="0"/>
          <w:sz w:val="24"/>
          <w:szCs w:val="24"/>
          <w:lang w:val="zh-CN" w:bidi="zh-CN"/>
        </w:rPr>
        <w:t>月</w:t>
      </w:r>
      <w:r>
        <w:rPr>
          <w:rFonts w:cs="宋体" w:asciiTheme="minorEastAsia" w:hAnsiTheme="minorEastAsia" w:eastAsiaTheme="minorEastAsia"/>
          <w:bCs/>
          <w:kern w:val="0"/>
          <w:sz w:val="24"/>
          <w:szCs w:val="24"/>
          <w:u w:val="single"/>
          <w:lang w:val="zh-CN" w:bidi="zh-CN"/>
        </w:rPr>
        <w:t xml:space="preserve"> </w:t>
      </w:r>
      <w:r>
        <w:rPr>
          <w:rFonts w:hint="eastAsia" w:cs="宋体" w:asciiTheme="minorEastAsia" w:hAnsiTheme="minorEastAsia" w:eastAsiaTheme="minorEastAsia"/>
          <w:bCs/>
          <w:kern w:val="0"/>
          <w:sz w:val="24"/>
          <w:szCs w:val="24"/>
          <w:u w:val="single"/>
          <w:lang w:val="zh-CN" w:bidi="zh-CN"/>
        </w:rPr>
        <w:t xml:space="preserve"> </w:t>
      </w:r>
      <w:r>
        <w:rPr>
          <w:rFonts w:cs="宋体" w:asciiTheme="minorEastAsia" w:hAnsiTheme="minorEastAsia" w:eastAsiaTheme="minorEastAsia"/>
          <w:bCs/>
          <w:kern w:val="0"/>
          <w:sz w:val="24"/>
          <w:szCs w:val="24"/>
          <w:u w:val="single"/>
          <w:lang w:val="zh-CN" w:bidi="zh-CN"/>
        </w:rPr>
        <w:t xml:space="preserve"> </w:t>
      </w:r>
      <w:r>
        <w:rPr>
          <w:rFonts w:hint="eastAsia" w:cs="宋体" w:asciiTheme="minorEastAsia" w:hAnsiTheme="minorEastAsia" w:eastAsiaTheme="minorEastAsia"/>
          <w:bCs/>
          <w:kern w:val="0"/>
          <w:sz w:val="24"/>
          <w:szCs w:val="24"/>
          <w:lang w:val="zh-CN" w:bidi="zh-CN"/>
        </w:rPr>
        <w:t>日</w:t>
      </w:r>
      <w:r>
        <w:rPr>
          <w:rFonts w:hint="eastAsia" w:cs="宋体" w:asciiTheme="minorEastAsia" w:hAnsiTheme="minorEastAsia" w:eastAsiaTheme="minorEastAsia"/>
          <w:kern w:val="0"/>
          <w:sz w:val="24"/>
          <w:szCs w:val="24"/>
          <w:lang w:val="zh-CN" w:bidi="zh-CN"/>
        </w:rPr>
        <w:t>之前将货物按甲方要求在甲方指定地点交货、安装、调试完毕，并具备使用条件，未经甲方允许每推迟一天，按合同总额的千分之五扣除违约金。</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2</w:t>
      </w:r>
      <w:r>
        <w:rPr>
          <w:rFonts w:hint="eastAsia" w:cs="宋体" w:asciiTheme="minorEastAsia" w:hAnsiTheme="minorEastAsia" w:eastAsiaTheme="minorEastAsia"/>
          <w:kern w:val="0"/>
          <w:sz w:val="24"/>
          <w:szCs w:val="24"/>
          <w:lang w:val="zh-CN" w:bidi="zh-CN"/>
        </w:rPr>
        <w:t>、乙方负责所供货物的包装、运输、安装和调试，并承担所发生的费用；甲方为乙方现场安装提供水、电等便利条件。</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3</w:t>
      </w:r>
      <w:r>
        <w:rPr>
          <w:rFonts w:hint="eastAsia" w:cs="宋体" w:asciiTheme="minorEastAsia" w:hAnsiTheme="minorEastAsia" w:eastAsiaTheme="minorEastAsia"/>
          <w:kern w:val="0"/>
          <w:sz w:val="24"/>
          <w:szCs w:val="24"/>
          <w:lang w:val="zh-CN" w:bidi="zh-CN"/>
        </w:rPr>
        <w:t>、安装过程中若发生安全事故由乙方承担。</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4</w:t>
      </w:r>
      <w:r>
        <w:rPr>
          <w:rFonts w:hint="eastAsia" w:cs="宋体" w:asciiTheme="minorEastAsia" w:hAnsiTheme="minorEastAsia" w:eastAsiaTheme="minorEastAsia"/>
          <w:kern w:val="0"/>
          <w:sz w:val="24"/>
          <w:szCs w:val="24"/>
          <w:lang w:val="zh-CN" w:bidi="zh-CN"/>
        </w:rPr>
        <w:t>、乙方安装人员应服从甲方的管理，遵守国家法律法规和学校相关制度，否则一切后果均由乙方承担。</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5</w:t>
      </w:r>
      <w:r>
        <w:rPr>
          <w:rFonts w:hint="eastAsia" w:cs="宋体" w:asciiTheme="minorEastAsia" w:hAnsiTheme="minorEastAsia" w:eastAsiaTheme="minorEastAsia"/>
          <w:kern w:val="0"/>
          <w:sz w:val="24"/>
          <w:szCs w:val="24"/>
          <w:lang w:val="zh-CN" w:bidi="zh-CN"/>
        </w:rPr>
        <w:t>、货物交付使用前，乙方负责对提供货物进行看管，并承担货物的丢失、损毁等风险。</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八、验收方式</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1</w:t>
      </w:r>
      <w:r>
        <w:rPr>
          <w:rFonts w:hint="eastAsia" w:cs="宋体" w:asciiTheme="minorEastAsia" w:hAnsiTheme="minorEastAsia" w:eastAsiaTheme="minorEastAsia"/>
          <w:kern w:val="0"/>
          <w:sz w:val="24"/>
          <w:szCs w:val="24"/>
          <w:lang w:val="zh-CN" w:bidi="zh-CN"/>
        </w:rPr>
        <w:t>、货物安装调试完成并移交所有资料、工具后，由甲乙双方共同进行验收，验收完毕后双方签订验收报告。</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移交资料、工具是指国家有关部门颁发的货物鉴定证书、使用许可证、用户手册、产品合格证、保修手册、有关图纸、资料及配件、随机工具等。乙方为执行本合同而提供的技术资料、软件使用权归甲方所有。乙方不能完整交付货物及本款规定的资料和工具的，视为未按合同约定交货，乙方必须负责不起。由此导致逾期交付的，由乙方承担相关的违约责任。</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2、验收按照国家有关规定规范、招标文件要求和投标文件响应内容进行。</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3、甲乙双方如验收时产生争议的，由甲方邀请具有检测资质的检测机构进行检测，如检测后认定货物质量合格且复核招标文件要求和投标文件响应内容的，相关检测费用由甲方负担；如检测后认定货物质量不合格或达不到招标文件要求或投标文件相应内容的，相关检测费用由乙方承担，乙方承担因质量不合格对甲方造成的一切损失及后果，同时甲方有权终止合同。</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九、付款方式</w:t>
      </w:r>
    </w:p>
    <w:p>
      <w:pPr>
        <w:autoSpaceDE w:val="0"/>
        <w:autoSpaceDN w:val="0"/>
        <w:adjustRightInd w:val="0"/>
        <w:snapToGrid w:val="0"/>
        <w:spacing w:line="360" w:lineRule="auto"/>
        <w:ind w:left="48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1、本合同总价款（大写）为：</w:t>
      </w:r>
      <w:r>
        <w:rPr>
          <w:rFonts w:cs="宋体" w:asciiTheme="minorEastAsia" w:hAnsiTheme="minorEastAsia" w:eastAsiaTheme="minorEastAsia"/>
          <w:b/>
          <w:bCs/>
          <w:kern w:val="0"/>
          <w:sz w:val="24"/>
          <w:szCs w:val="24"/>
          <w:u w:val="single"/>
          <w:lang w:val="zh-CN" w:bidi="zh-CN"/>
        </w:rPr>
        <w:t xml:space="preserve">                 </w:t>
      </w:r>
      <w:r>
        <w:rPr>
          <w:rFonts w:hint="eastAsia" w:cs="宋体" w:asciiTheme="minorEastAsia" w:hAnsiTheme="minorEastAsia" w:eastAsiaTheme="minorEastAsia"/>
          <w:b/>
          <w:bCs/>
          <w:kern w:val="0"/>
          <w:sz w:val="24"/>
          <w:szCs w:val="24"/>
          <w:u w:val="single"/>
          <w:lang w:val="zh-CN" w:bidi="zh-CN"/>
        </w:rPr>
        <w:t>（小写：￥</w:t>
      </w:r>
      <w:r>
        <w:rPr>
          <w:rFonts w:cs="宋体" w:asciiTheme="minorEastAsia" w:hAnsiTheme="minorEastAsia" w:eastAsiaTheme="minorEastAsia"/>
          <w:b/>
          <w:bCs/>
          <w:kern w:val="0"/>
          <w:sz w:val="24"/>
          <w:szCs w:val="24"/>
          <w:u w:val="single"/>
          <w:lang w:val="zh-CN" w:bidi="zh-CN"/>
        </w:rPr>
        <w:t xml:space="preserve">     </w:t>
      </w:r>
      <w:r>
        <w:rPr>
          <w:rFonts w:hint="eastAsia" w:cs="宋体" w:asciiTheme="minorEastAsia" w:hAnsiTheme="minorEastAsia" w:eastAsiaTheme="minorEastAsia"/>
          <w:b/>
          <w:bCs/>
          <w:kern w:val="0"/>
          <w:sz w:val="24"/>
          <w:szCs w:val="24"/>
          <w:u w:val="single"/>
          <w:lang w:val="zh-CN" w:bidi="zh-CN"/>
        </w:rPr>
        <w:t>元）</w:t>
      </w:r>
      <w:r>
        <w:rPr>
          <w:rFonts w:hint="eastAsia" w:cs="宋体" w:asciiTheme="minorEastAsia" w:hAnsiTheme="minorEastAsia" w:eastAsiaTheme="minorEastAsia"/>
          <w:kern w:val="0"/>
          <w:sz w:val="24"/>
          <w:szCs w:val="24"/>
          <w:lang w:val="zh-CN" w:bidi="zh-CN"/>
        </w:rPr>
        <w:t>。</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highlight w:val="red"/>
          <w:u w:val="single"/>
          <w:lang w:val="zh-CN" w:bidi="zh-CN"/>
        </w:rPr>
      </w:pPr>
      <w:r>
        <w:rPr>
          <w:rFonts w:cs="宋体" w:asciiTheme="minorEastAsia" w:hAnsiTheme="minorEastAsia" w:eastAsiaTheme="minorEastAsia"/>
          <w:kern w:val="0"/>
          <w:sz w:val="24"/>
          <w:szCs w:val="24"/>
          <w:lang w:val="zh-CN" w:bidi="zh-CN"/>
        </w:rPr>
        <w:t>2</w:t>
      </w:r>
      <w:r>
        <w:rPr>
          <w:rFonts w:hint="eastAsia" w:cs="宋体" w:asciiTheme="minorEastAsia" w:hAnsiTheme="minorEastAsia" w:eastAsiaTheme="minorEastAsia"/>
          <w:kern w:val="0"/>
          <w:sz w:val="24"/>
          <w:szCs w:val="24"/>
          <w:lang w:val="zh-CN" w:bidi="zh-CN"/>
        </w:rPr>
        <w:t>、付款方</w:t>
      </w:r>
      <w:r>
        <w:rPr>
          <w:rFonts w:hint="eastAsia" w:cs="宋体" w:asciiTheme="minorEastAsia" w:hAnsiTheme="minorEastAsia" w:eastAsiaTheme="minorEastAsia"/>
          <w:kern w:val="0"/>
          <w:sz w:val="24"/>
          <w:szCs w:val="24"/>
          <w:highlight w:val="none"/>
          <w:lang w:val="zh-CN" w:bidi="zh-CN"/>
        </w:rPr>
        <w:t>式：</w:t>
      </w:r>
      <w:r>
        <w:rPr>
          <w:rFonts w:hint="eastAsia" w:cs="宋体" w:asciiTheme="minorEastAsia" w:hAnsiTheme="minorEastAsia" w:eastAsiaTheme="minorEastAsia"/>
          <w:kern w:val="0"/>
          <w:sz w:val="24"/>
          <w:szCs w:val="24"/>
          <w:highlight w:val="none"/>
          <w:u w:val="single"/>
          <w:lang w:val="zh-CN" w:bidi="zh-CN"/>
        </w:rPr>
        <w:t>合同签订时约定。</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3、乙方申请付款时需提供中标通知书、合同、乙方开具的全额增值税发票、验收报告等凭证。</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十、违约责任</w:t>
      </w:r>
    </w:p>
    <w:p>
      <w:pPr>
        <w:autoSpaceDE w:val="0"/>
        <w:autoSpaceDN w:val="0"/>
        <w:adjustRightInd w:val="0"/>
        <w:snapToGrid w:val="0"/>
        <w:spacing w:line="360" w:lineRule="auto"/>
        <w:ind w:firstLine="460" w:firstLineChars="192"/>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1、乙方所交的货物产地、品牌、型号、规格、质量以及技术标准、数量等不符合合同要求，甲方有权拒收，并解除本合同，乙方向甲方支付合同金额的5%的违约金。</w:t>
      </w:r>
    </w:p>
    <w:p>
      <w:pPr>
        <w:autoSpaceDE w:val="0"/>
        <w:autoSpaceDN w:val="0"/>
        <w:adjustRightInd w:val="0"/>
        <w:snapToGrid w:val="0"/>
        <w:spacing w:line="360" w:lineRule="auto"/>
        <w:ind w:firstLine="460" w:firstLineChars="192"/>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2、若乙方不能按其交付货物的，乙方应向甲方每天支付合同标总额日千分之五的违约金。支付违约金后，乙方仍对本合同货物和技术文档有继续交货的义务。</w:t>
      </w:r>
    </w:p>
    <w:p>
      <w:pPr>
        <w:autoSpaceDE w:val="0"/>
        <w:autoSpaceDN w:val="0"/>
        <w:adjustRightInd w:val="0"/>
        <w:snapToGrid w:val="0"/>
        <w:spacing w:line="360" w:lineRule="auto"/>
        <w:ind w:firstLine="460" w:firstLineChars="192"/>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3、乙方逾期30天不能完全交付货物的，按不能交付处理。乙方向甲方另行支付合同金额的10%的违约金，同时甲方有权解除本合同。</w:t>
      </w:r>
    </w:p>
    <w:p>
      <w:pPr>
        <w:autoSpaceDE w:val="0"/>
        <w:autoSpaceDN w:val="0"/>
        <w:adjustRightInd w:val="0"/>
        <w:snapToGrid w:val="0"/>
        <w:spacing w:line="360" w:lineRule="auto"/>
        <w:ind w:firstLine="460" w:firstLineChars="192"/>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4、甲方无正当理由而拒收货物的，甲方影响乙方偿付合同金额的1%的违约金。</w:t>
      </w:r>
    </w:p>
    <w:p>
      <w:pPr>
        <w:autoSpaceDE w:val="0"/>
        <w:autoSpaceDN w:val="0"/>
        <w:adjustRightInd w:val="0"/>
        <w:snapToGrid w:val="0"/>
        <w:spacing w:line="360" w:lineRule="auto"/>
        <w:ind w:firstLine="460" w:firstLineChars="192"/>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5、甲方逾期付款的，应向乙方每天支付本合同金额的千分之五的违约金。</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十一、争议的解决</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bCs/>
          <w:kern w:val="0"/>
          <w:sz w:val="24"/>
          <w:szCs w:val="24"/>
          <w:lang w:val="zh-CN" w:bidi="zh-CN"/>
        </w:rPr>
      </w:pPr>
      <w:r>
        <w:rPr>
          <w:rFonts w:hint="eastAsia" w:cs="宋体" w:asciiTheme="minorEastAsia" w:hAnsiTheme="minorEastAsia" w:eastAsiaTheme="minorEastAsia"/>
          <w:bCs/>
          <w:kern w:val="0"/>
          <w:sz w:val="24"/>
          <w:szCs w:val="24"/>
          <w:lang w:val="zh-CN" w:bidi="zh-CN"/>
        </w:rPr>
        <w:t>1、合同履行过程中发生争议的，双方本着真诚合作的精神，通过友好协商解决。</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bCs/>
          <w:kern w:val="0"/>
          <w:sz w:val="24"/>
          <w:szCs w:val="24"/>
          <w:lang w:val="zh-CN" w:bidi="zh-CN"/>
        </w:rPr>
      </w:pPr>
      <w:r>
        <w:rPr>
          <w:rFonts w:hint="eastAsia" w:cs="宋体" w:asciiTheme="minorEastAsia" w:hAnsiTheme="minorEastAsia" w:eastAsiaTheme="minorEastAsia"/>
          <w:bCs/>
          <w:kern w:val="0"/>
          <w:sz w:val="24"/>
          <w:szCs w:val="24"/>
          <w:lang w:val="zh-CN" w:bidi="zh-CN"/>
        </w:rPr>
        <w:t>2、协商不成时，提交甲方所在地人民法院提起诉讼。</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十二、不可抗力</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bCs/>
          <w:kern w:val="0"/>
          <w:sz w:val="24"/>
          <w:szCs w:val="24"/>
          <w:lang w:val="zh-CN" w:bidi="zh-CN"/>
        </w:rPr>
      </w:pPr>
      <w:r>
        <w:rPr>
          <w:rFonts w:hint="eastAsia" w:cs="宋体" w:asciiTheme="minorEastAsia" w:hAnsiTheme="minorEastAsia" w:eastAsiaTheme="minorEastAsia"/>
          <w:bCs/>
          <w:kern w:val="0"/>
          <w:sz w:val="24"/>
          <w:szCs w:val="24"/>
          <w:lang w:val="zh-CN" w:bidi="zh-CN"/>
        </w:rPr>
        <w:t>1、不可抗力是指不能预见、不能避免并不能克服的客观情况。</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bCs/>
          <w:kern w:val="0"/>
          <w:sz w:val="24"/>
          <w:szCs w:val="24"/>
          <w:lang w:val="zh-CN" w:bidi="zh-CN"/>
        </w:rPr>
      </w:pPr>
      <w:r>
        <w:rPr>
          <w:rFonts w:hint="eastAsia" w:cs="宋体" w:asciiTheme="minorEastAsia" w:hAnsiTheme="minorEastAsia" w:eastAsiaTheme="minorEastAsia"/>
          <w:bCs/>
          <w:kern w:val="0"/>
          <w:sz w:val="24"/>
          <w:szCs w:val="24"/>
          <w:lang w:val="zh-CN" w:bidi="zh-CN"/>
        </w:rPr>
        <w:t>2、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十三、合同组成</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组成本合同的文件及解释顺序为：招标文件、投标文件及其附件；本合同及补充条款；竞争性磋商文件及补充通知；中标通知书；国家、行业或企业（以最高的为准）标准、规范及有关技术文件。</w:t>
      </w:r>
    </w:p>
    <w:p>
      <w:pPr>
        <w:autoSpaceDE w:val="0"/>
        <w:autoSpaceDN w:val="0"/>
        <w:adjustRightInd w:val="0"/>
        <w:snapToGrid w:val="0"/>
        <w:spacing w:line="360" w:lineRule="auto"/>
        <w:ind w:firstLine="482" w:firstLineChars="200"/>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十四、其他</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1、本合同共</w:t>
      </w:r>
      <w:r>
        <w:rPr>
          <w:rFonts w:cs="宋体" w:asciiTheme="minorEastAsia" w:hAnsiTheme="minorEastAsia" w:eastAsiaTheme="minorEastAsia"/>
          <w:kern w:val="0"/>
          <w:sz w:val="24"/>
          <w:szCs w:val="24"/>
          <w:u w:val="single"/>
          <w:lang w:val="zh-CN" w:bidi="zh-CN"/>
        </w:rPr>
        <w:t xml:space="preserve">    </w:t>
      </w:r>
      <w:r>
        <w:rPr>
          <w:rFonts w:hint="eastAsia" w:cs="宋体" w:asciiTheme="minorEastAsia" w:hAnsiTheme="minorEastAsia" w:eastAsiaTheme="minorEastAsia"/>
          <w:kern w:val="0"/>
          <w:sz w:val="24"/>
          <w:szCs w:val="24"/>
          <w:lang w:val="zh-CN" w:bidi="zh-CN"/>
        </w:rPr>
        <w:t>页，一式</w:t>
      </w:r>
      <w:r>
        <w:rPr>
          <w:rFonts w:hint="eastAsia" w:cs="宋体" w:asciiTheme="minorEastAsia" w:hAnsiTheme="minorEastAsia" w:eastAsiaTheme="minorEastAsia"/>
          <w:kern w:val="0"/>
          <w:sz w:val="24"/>
          <w:szCs w:val="24"/>
          <w:u w:val="single"/>
          <w:lang w:val="zh-CN" w:bidi="zh-CN"/>
        </w:rPr>
        <w:t xml:space="preserve">   </w:t>
      </w:r>
      <w:r>
        <w:rPr>
          <w:rFonts w:hint="eastAsia" w:cs="宋体" w:asciiTheme="minorEastAsia" w:hAnsiTheme="minorEastAsia" w:eastAsiaTheme="minorEastAsia"/>
          <w:kern w:val="0"/>
          <w:sz w:val="24"/>
          <w:szCs w:val="24"/>
          <w:lang w:val="zh-CN" w:bidi="zh-CN"/>
        </w:rPr>
        <w:t>份，甲方执</w:t>
      </w:r>
      <w:r>
        <w:rPr>
          <w:rFonts w:hint="eastAsia" w:cs="宋体" w:asciiTheme="minorEastAsia" w:hAnsiTheme="minorEastAsia" w:eastAsiaTheme="minorEastAsia"/>
          <w:kern w:val="0"/>
          <w:sz w:val="24"/>
          <w:szCs w:val="24"/>
          <w:u w:val="single"/>
          <w:lang w:val="zh-CN" w:bidi="zh-CN"/>
        </w:rPr>
        <w:t xml:space="preserve">   </w:t>
      </w:r>
      <w:r>
        <w:rPr>
          <w:rFonts w:hint="eastAsia" w:cs="宋体" w:asciiTheme="minorEastAsia" w:hAnsiTheme="minorEastAsia" w:eastAsiaTheme="minorEastAsia"/>
          <w:kern w:val="0"/>
          <w:sz w:val="24"/>
          <w:szCs w:val="24"/>
          <w:lang w:val="zh-CN" w:bidi="zh-CN"/>
        </w:rPr>
        <w:t>份，乙方执</w:t>
      </w:r>
      <w:r>
        <w:rPr>
          <w:rFonts w:hint="eastAsia" w:cs="宋体" w:asciiTheme="minorEastAsia" w:hAnsiTheme="minorEastAsia" w:eastAsiaTheme="minorEastAsia"/>
          <w:kern w:val="0"/>
          <w:sz w:val="24"/>
          <w:szCs w:val="24"/>
          <w:u w:val="single"/>
          <w:lang w:val="zh-CN" w:bidi="zh-CN"/>
        </w:rPr>
        <w:t xml:space="preserve">   </w:t>
      </w:r>
      <w:r>
        <w:rPr>
          <w:rFonts w:hint="eastAsia" w:cs="宋体" w:asciiTheme="minorEastAsia" w:hAnsiTheme="minorEastAsia" w:eastAsiaTheme="minorEastAsia"/>
          <w:kern w:val="0"/>
          <w:sz w:val="24"/>
          <w:szCs w:val="24"/>
          <w:lang w:val="zh-CN" w:bidi="zh-CN"/>
        </w:rPr>
        <w:t>份。</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2、本合同未尽事宜，供需双方可签订补充协议，与本合同具有同等法律效力。</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hint="eastAsia" w:cs="宋体" w:asciiTheme="minorEastAsia" w:hAnsiTheme="minorEastAsia" w:eastAsiaTheme="minorEastAsia"/>
          <w:kern w:val="0"/>
          <w:sz w:val="24"/>
          <w:szCs w:val="24"/>
          <w:lang w:val="zh-CN" w:bidi="zh-CN"/>
        </w:rPr>
        <w:t>3、合同有效期：本合同双方签字盖章后生效，合同签署之日起至合同内容执行完毕为本合同有效期。</w:t>
      </w:r>
    </w:p>
    <w:p>
      <w:pPr>
        <w:autoSpaceDE w:val="0"/>
        <w:autoSpaceDN w:val="0"/>
        <w:adjustRightInd w:val="0"/>
        <w:snapToGrid w:val="0"/>
        <w:spacing w:line="360" w:lineRule="auto"/>
        <w:ind w:firstLine="480" w:firstLineChars="200"/>
        <w:jc w:val="left"/>
        <w:rPr>
          <w:rFonts w:cs="宋体" w:asciiTheme="minorEastAsia" w:hAnsiTheme="minorEastAsia" w:eastAsiaTheme="minorEastAsia"/>
          <w:kern w:val="0"/>
          <w:sz w:val="24"/>
          <w:szCs w:val="24"/>
          <w:lang w:val="zh-CN" w:bidi="zh-CN"/>
        </w:rPr>
      </w:pPr>
      <w:r>
        <w:rPr>
          <w:rFonts w:cs="宋体" w:asciiTheme="minorEastAsia" w:hAnsiTheme="minorEastAsia" w:eastAsiaTheme="minorEastAsia"/>
          <w:kern w:val="0"/>
          <w:sz w:val="24"/>
          <w:szCs w:val="24"/>
          <w:lang w:val="zh-CN" w:bidi="zh-CN"/>
        </w:rPr>
        <w:t xml:space="preserve">                        </w:t>
      </w:r>
    </w:p>
    <w:p>
      <w:pPr>
        <w:autoSpaceDE w:val="0"/>
        <w:autoSpaceDN w:val="0"/>
        <w:snapToGrid w:val="0"/>
        <w:spacing w:line="360" w:lineRule="auto"/>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甲方：</w:t>
      </w:r>
      <w:r>
        <w:rPr>
          <w:rFonts w:cs="宋体" w:asciiTheme="minorEastAsia" w:hAnsiTheme="minorEastAsia" w:eastAsiaTheme="minorEastAsia"/>
          <w:b/>
          <w:bCs/>
          <w:kern w:val="0"/>
          <w:sz w:val="24"/>
          <w:szCs w:val="24"/>
          <w:lang w:val="zh-CN" w:bidi="zh-CN"/>
        </w:rPr>
        <w:t xml:space="preserve">                               </w:t>
      </w:r>
      <w:r>
        <w:rPr>
          <w:rFonts w:hint="eastAsia" w:cs="宋体" w:asciiTheme="minorEastAsia" w:hAnsiTheme="minorEastAsia" w:eastAsiaTheme="minorEastAsia"/>
          <w:b/>
          <w:bCs/>
          <w:kern w:val="0"/>
          <w:sz w:val="24"/>
          <w:szCs w:val="24"/>
          <w:lang w:val="zh-CN" w:bidi="zh-CN"/>
        </w:rPr>
        <w:t>乙方：</w:t>
      </w:r>
      <w:r>
        <w:rPr>
          <w:rFonts w:cs="宋体" w:asciiTheme="minorEastAsia" w:hAnsiTheme="minorEastAsia" w:eastAsiaTheme="minorEastAsia"/>
          <w:b/>
          <w:bCs/>
          <w:kern w:val="0"/>
          <w:sz w:val="24"/>
          <w:szCs w:val="24"/>
          <w:lang w:val="zh-CN" w:bidi="zh-CN"/>
        </w:rPr>
        <w:t xml:space="preserve"> </w:t>
      </w:r>
    </w:p>
    <w:p>
      <w:pPr>
        <w:autoSpaceDE w:val="0"/>
        <w:autoSpaceDN w:val="0"/>
        <w:snapToGrid w:val="0"/>
        <w:spacing w:line="360" w:lineRule="auto"/>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地址：</w:t>
      </w:r>
      <w:r>
        <w:rPr>
          <w:rFonts w:cs="宋体" w:asciiTheme="minorEastAsia" w:hAnsiTheme="minorEastAsia" w:eastAsiaTheme="minorEastAsia"/>
          <w:b/>
          <w:bCs/>
          <w:kern w:val="0"/>
          <w:sz w:val="24"/>
          <w:szCs w:val="24"/>
          <w:lang w:val="zh-CN" w:bidi="zh-CN"/>
        </w:rPr>
        <w:t xml:space="preserve">                               </w:t>
      </w:r>
      <w:r>
        <w:rPr>
          <w:rFonts w:hint="eastAsia" w:cs="宋体" w:asciiTheme="minorEastAsia" w:hAnsiTheme="minorEastAsia" w:eastAsiaTheme="minorEastAsia"/>
          <w:b/>
          <w:bCs/>
          <w:kern w:val="0"/>
          <w:sz w:val="24"/>
          <w:szCs w:val="24"/>
          <w:lang w:val="zh-CN" w:bidi="zh-CN"/>
        </w:rPr>
        <w:t>地址</w:t>
      </w:r>
      <w:r>
        <w:rPr>
          <w:rFonts w:cs="宋体" w:asciiTheme="minorEastAsia" w:hAnsiTheme="minorEastAsia" w:eastAsiaTheme="minorEastAsia"/>
          <w:b/>
          <w:bCs/>
          <w:kern w:val="0"/>
          <w:sz w:val="24"/>
          <w:szCs w:val="24"/>
          <w:lang w:val="zh-CN" w:bidi="zh-CN"/>
        </w:rPr>
        <w:t xml:space="preserve">: </w:t>
      </w:r>
    </w:p>
    <w:p>
      <w:pPr>
        <w:autoSpaceDE w:val="0"/>
        <w:autoSpaceDN w:val="0"/>
        <w:snapToGrid w:val="0"/>
        <w:spacing w:line="360" w:lineRule="auto"/>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签字代表（或委托代理人）：</w:t>
      </w:r>
      <w:r>
        <w:rPr>
          <w:rFonts w:cs="宋体" w:asciiTheme="minorEastAsia" w:hAnsiTheme="minorEastAsia" w:eastAsiaTheme="minorEastAsia"/>
          <w:b/>
          <w:bCs/>
          <w:kern w:val="0"/>
          <w:sz w:val="24"/>
          <w:szCs w:val="24"/>
          <w:lang w:val="zh-CN" w:bidi="zh-CN"/>
        </w:rPr>
        <w:t xml:space="preserve">           </w:t>
      </w:r>
      <w:r>
        <w:rPr>
          <w:rFonts w:hint="eastAsia" w:cs="宋体" w:asciiTheme="minorEastAsia" w:hAnsiTheme="minorEastAsia" w:eastAsiaTheme="minorEastAsia"/>
          <w:b/>
          <w:bCs/>
          <w:kern w:val="0"/>
          <w:sz w:val="24"/>
          <w:szCs w:val="24"/>
          <w:lang w:val="zh-CN" w:bidi="zh-CN"/>
        </w:rPr>
        <w:t xml:space="preserve"> 签字代表：</w:t>
      </w:r>
    </w:p>
    <w:p>
      <w:pPr>
        <w:tabs>
          <w:tab w:val="left" w:pos="4860"/>
        </w:tabs>
        <w:autoSpaceDE w:val="0"/>
        <w:autoSpaceDN w:val="0"/>
        <w:adjustRightInd w:val="0"/>
        <w:snapToGrid w:val="0"/>
        <w:spacing w:line="360" w:lineRule="auto"/>
        <w:jc w:val="left"/>
        <w:rPr>
          <w:rFonts w:cs="宋体" w:asciiTheme="minorEastAsia" w:hAnsiTheme="minorEastAsia" w:eastAsiaTheme="minorEastAsia"/>
          <w:b/>
          <w:bCs/>
          <w:kern w:val="0"/>
          <w:sz w:val="24"/>
          <w:szCs w:val="24"/>
          <w:lang w:val="zh-CN" w:bidi="zh-CN"/>
        </w:rPr>
      </w:pPr>
      <w:r>
        <w:rPr>
          <w:rFonts w:hint="eastAsia" w:cs="宋体" w:asciiTheme="minorEastAsia" w:hAnsiTheme="minorEastAsia" w:eastAsiaTheme="minorEastAsia"/>
          <w:b/>
          <w:bCs/>
          <w:kern w:val="0"/>
          <w:sz w:val="24"/>
          <w:szCs w:val="24"/>
          <w:lang w:val="zh-CN" w:bidi="zh-CN"/>
        </w:rPr>
        <w:t>电话：</w:t>
      </w:r>
      <w:r>
        <w:rPr>
          <w:rFonts w:cs="宋体" w:asciiTheme="minorEastAsia" w:hAnsiTheme="minorEastAsia" w:eastAsiaTheme="minorEastAsia"/>
          <w:b/>
          <w:bCs/>
          <w:kern w:val="0"/>
          <w:sz w:val="24"/>
          <w:szCs w:val="24"/>
          <w:lang w:val="zh-CN" w:bidi="zh-CN"/>
        </w:rPr>
        <w:t xml:space="preserve">                             </w:t>
      </w:r>
      <w:r>
        <w:rPr>
          <w:rFonts w:hint="eastAsia" w:cs="宋体" w:asciiTheme="minorEastAsia" w:hAnsiTheme="minorEastAsia" w:eastAsiaTheme="minorEastAsia"/>
          <w:b/>
          <w:bCs/>
          <w:kern w:val="0"/>
          <w:sz w:val="24"/>
          <w:szCs w:val="24"/>
          <w:lang w:val="zh-CN" w:bidi="zh-CN"/>
        </w:rPr>
        <w:t xml:space="preserve"> </w:t>
      </w:r>
      <w:r>
        <w:rPr>
          <w:rFonts w:cs="宋体" w:asciiTheme="minorEastAsia" w:hAnsiTheme="minorEastAsia" w:eastAsiaTheme="minorEastAsia"/>
          <w:b/>
          <w:bCs/>
          <w:kern w:val="0"/>
          <w:sz w:val="24"/>
          <w:szCs w:val="24"/>
          <w:lang w:val="zh-CN" w:bidi="zh-CN"/>
        </w:rPr>
        <w:t xml:space="preserve"> </w:t>
      </w:r>
      <w:r>
        <w:rPr>
          <w:rFonts w:hint="eastAsia" w:cs="宋体" w:asciiTheme="minorEastAsia" w:hAnsiTheme="minorEastAsia" w:eastAsiaTheme="minorEastAsia"/>
          <w:b/>
          <w:bCs/>
          <w:kern w:val="0"/>
          <w:sz w:val="24"/>
          <w:szCs w:val="24"/>
          <w:lang w:val="zh-CN" w:bidi="zh-CN"/>
        </w:rPr>
        <w:t>电话：</w:t>
      </w:r>
    </w:p>
    <w:p>
      <w:pPr>
        <w:autoSpaceDE w:val="0"/>
        <w:autoSpaceDN w:val="0"/>
        <w:snapToGrid w:val="0"/>
        <w:spacing w:line="360" w:lineRule="auto"/>
        <w:ind w:firstLine="1205" w:firstLineChars="500"/>
        <w:jc w:val="left"/>
        <w:rPr>
          <w:rFonts w:cs="宋体" w:asciiTheme="minorEastAsia" w:hAnsiTheme="minorEastAsia" w:eastAsiaTheme="minorEastAsia"/>
          <w:b/>
          <w:bCs/>
          <w:kern w:val="0"/>
          <w:sz w:val="24"/>
          <w:szCs w:val="24"/>
          <w:lang w:val="zh-CN" w:bidi="zh-CN"/>
        </w:rPr>
      </w:pPr>
      <w:r>
        <w:rPr>
          <w:rFonts w:cs="宋体" w:asciiTheme="minorEastAsia" w:hAnsiTheme="minorEastAsia" w:eastAsiaTheme="minorEastAsia"/>
          <w:b/>
          <w:bCs/>
          <w:kern w:val="0"/>
          <w:sz w:val="24"/>
          <w:szCs w:val="24"/>
          <w:lang w:val="zh-CN" w:bidi="zh-CN"/>
        </w:rPr>
        <w:t xml:space="preserve">                          </w:t>
      </w:r>
      <w:r>
        <w:rPr>
          <w:rFonts w:hint="eastAsia" w:cs="宋体" w:asciiTheme="minorEastAsia" w:hAnsiTheme="minorEastAsia" w:eastAsiaTheme="minorEastAsia"/>
          <w:b/>
          <w:bCs/>
          <w:kern w:val="0"/>
          <w:sz w:val="24"/>
          <w:szCs w:val="24"/>
          <w:lang w:val="zh-CN" w:bidi="zh-CN"/>
        </w:rPr>
        <w:t xml:space="preserve"> 开户银行：</w:t>
      </w:r>
    </w:p>
    <w:p>
      <w:pPr>
        <w:autoSpaceDE w:val="0"/>
        <w:autoSpaceDN w:val="0"/>
        <w:adjustRightInd w:val="0"/>
        <w:snapToGrid w:val="0"/>
        <w:spacing w:line="360" w:lineRule="auto"/>
        <w:ind w:firstLine="723" w:firstLineChars="300"/>
        <w:jc w:val="left"/>
        <w:rPr>
          <w:rFonts w:cs="宋体" w:asciiTheme="minorEastAsia" w:hAnsiTheme="minorEastAsia" w:eastAsiaTheme="minorEastAsia"/>
          <w:b/>
          <w:bCs/>
          <w:kern w:val="0"/>
          <w:sz w:val="24"/>
          <w:szCs w:val="24"/>
          <w:lang w:val="zh-CN" w:bidi="zh-CN"/>
        </w:rPr>
      </w:pPr>
      <w:r>
        <w:rPr>
          <w:rFonts w:cs="宋体" w:asciiTheme="minorEastAsia" w:hAnsiTheme="minorEastAsia" w:eastAsiaTheme="minorEastAsia"/>
          <w:b/>
          <w:bCs/>
          <w:kern w:val="0"/>
          <w:sz w:val="24"/>
          <w:szCs w:val="24"/>
          <w:lang w:val="zh-CN" w:bidi="zh-CN"/>
        </w:rPr>
        <w:t xml:space="preserve">                              </w:t>
      </w:r>
      <w:r>
        <w:rPr>
          <w:rFonts w:hint="eastAsia" w:cs="宋体" w:asciiTheme="minorEastAsia" w:hAnsiTheme="minorEastAsia" w:eastAsiaTheme="minorEastAsia"/>
          <w:b/>
          <w:bCs/>
          <w:kern w:val="0"/>
          <w:sz w:val="24"/>
          <w:szCs w:val="24"/>
          <w:lang w:val="zh-CN" w:bidi="zh-CN"/>
        </w:rPr>
        <w:t xml:space="preserve"> 账号：</w:t>
      </w:r>
    </w:p>
    <w:p>
      <w:pPr>
        <w:widowControl/>
        <w:snapToGrid w:val="0"/>
        <w:spacing w:line="360" w:lineRule="auto"/>
        <w:jc w:val="left"/>
        <w:rPr>
          <w:b/>
          <w:sz w:val="44"/>
          <w:szCs w:val="44"/>
        </w:rPr>
      </w:pPr>
      <w:r>
        <w:rPr>
          <w:rFonts w:hint="eastAsia" w:cs="宋体" w:asciiTheme="minorEastAsia" w:hAnsiTheme="minorEastAsia" w:eastAsiaTheme="minorEastAsia"/>
          <w:b/>
          <w:bCs/>
          <w:kern w:val="0"/>
          <w:sz w:val="24"/>
          <w:szCs w:val="24"/>
          <w:lang w:val="zh-CN" w:bidi="zh-CN"/>
        </w:rPr>
        <w:t>合同签署日期：</w:t>
      </w:r>
      <w:r>
        <w:rPr>
          <w:rFonts w:cs="宋体" w:asciiTheme="minorEastAsia" w:hAnsiTheme="minorEastAsia" w:eastAsiaTheme="minorEastAsia"/>
          <w:b/>
          <w:bCs/>
          <w:kern w:val="0"/>
          <w:sz w:val="24"/>
          <w:szCs w:val="24"/>
          <w:lang w:val="zh-CN" w:bidi="zh-CN"/>
        </w:rPr>
        <w:t xml:space="preserve">     </w:t>
      </w:r>
      <w:r>
        <w:rPr>
          <w:rFonts w:hint="eastAsia" w:cs="宋体" w:asciiTheme="minorEastAsia" w:hAnsiTheme="minorEastAsia" w:eastAsiaTheme="minorEastAsia"/>
          <w:b/>
          <w:bCs/>
          <w:kern w:val="0"/>
          <w:sz w:val="24"/>
          <w:szCs w:val="24"/>
          <w:lang w:val="zh-CN" w:bidi="zh-CN"/>
        </w:rPr>
        <w:t>年</w:t>
      </w:r>
      <w:r>
        <w:rPr>
          <w:rFonts w:cs="宋体" w:asciiTheme="minorEastAsia" w:hAnsiTheme="minorEastAsia" w:eastAsiaTheme="minorEastAsia"/>
          <w:b/>
          <w:bCs/>
          <w:kern w:val="0"/>
          <w:sz w:val="24"/>
          <w:szCs w:val="24"/>
          <w:lang w:val="zh-CN" w:bidi="zh-CN"/>
        </w:rPr>
        <w:t xml:space="preserve">    </w:t>
      </w:r>
      <w:r>
        <w:rPr>
          <w:rFonts w:hint="eastAsia" w:cs="宋体" w:asciiTheme="minorEastAsia" w:hAnsiTheme="minorEastAsia" w:eastAsiaTheme="minorEastAsia"/>
          <w:b/>
          <w:bCs/>
          <w:kern w:val="0"/>
          <w:sz w:val="24"/>
          <w:szCs w:val="24"/>
          <w:lang w:val="zh-CN" w:bidi="zh-CN"/>
        </w:rPr>
        <w:t>月</w:t>
      </w:r>
      <w:r>
        <w:rPr>
          <w:rFonts w:cs="宋体" w:asciiTheme="minorEastAsia" w:hAnsiTheme="minorEastAsia" w:eastAsiaTheme="minorEastAsia"/>
          <w:b/>
          <w:bCs/>
          <w:kern w:val="0"/>
          <w:sz w:val="24"/>
          <w:szCs w:val="24"/>
          <w:lang w:val="zh-CN" w:bidi="zh-CN"/>
        </w:rPr>
        <w:t xml:space="preserve">    </w:t>
      </w:r>
      <w:r>
        <w:rPr>
          <w:rFonts w:hint="eastAsia" w:cs="宋体" w:asciiTheme="minorEastAsia" w:hAnsiTheme="minorEastAsia" w:eastAsiaTheme="minorEastAsia"/>
          <w:b/>
          <w:bCs/>
          <w:kern w:val="0"/>
          <w:sz w:val="24"/>
          <w:szCs w:val="24"/>
          <w:lang w:val="zh-CN" w:bidi="zh-CN"/>
        </w:rPr>
        <w:t>日</w:t>
      </w:r>
      <w:r>
        <w:rPr>
          <w:rFonts w:cs="宋体" w:asciiTheme="minorEastAsia" w:hAnsiTheme="minorEastAsia" w:eastAsiaTheme="minorEastAsia"/>
          <w:b/>
          <w:bCs/>
          <w:kern w:val="0"/>
          <w:sz w:val="24"/>
          <w:szCs w:val="24"/>
          <w:lang w:val="zh-CN" w:bidi="zh-CN"/>
        </w:rPr>
        <w:t xml:space="preserve">   </w:t>
      </w:r>
      <w:r>
        <w:rPr>
          <w:rFonts w:asciiTheme="minorEastAsia" w:hAnsiTheme="minorEastAsia" w:eastAsiaTheme="minorEastAsia"/>
          <w:b/>
          <w:bCs/>
          <w:sz w:val="24"/>
          <w:szCs w:val="24"/>
        </w:rPr>
        <w:br w:type="page"/>
      </w:r>
    </w:p>
    <w:bookmarkEnd w:id="167"/>
    <w:p>
      <w:pPr>
        <w:pStyle w:val="5"/>
        <w:snapToGrid w:val="0"/>
        <w:jc w:val="center"/>
        <w:rPr>
          <w:rFonts w:ascii="宋体" w:hAnsi="宋体" w:eastAsia="宋体" w:cs="宋体"/>
          <w:b/>
          <w:bCs/>
          <w:sz w:val="36"/>
          <w:szCs w:val="36"/>
        </w:rPr>
      </w:pPr>
      <w:bookmarkStart w:id="178" w:name="_Toc256363560"/>
      <w:bookmarkStart w:id="179" w:name="_Toc47"/>
      <w:r>
        <w:rPr>
          <w:rFonts w:hint="eastAsia" w:ascii="宋体" w:hAnsi="宋体" w:eastAsia="宋体" w:cs="宋体"/>
          <w:b/>
          <w:bCs/>
          <w:sz w:val="36"/>
          <w:szCs w:val="36"/>
        </w:rPr>
        <w:t>第五章项目要求</w:t>
      </w:r>
      <w:bookmarkEnd w:id="178"/>
      <w:bookmarkEnd w:id="179"/>
    </w:p>
    <w:p>
      <w:pPr>
        <w:pStyle w:val="6"/>
        <w:rPr>
          <w:rFonts w:ascii="宋体" w:hAnsi="宋体" w:eastAsia="宋体"/>
        </w:rPr>
      </w:pPr>
      <w:r>
        <w:rPr>
          <w:rFonts w:hint="eastAsia" w:ascii="宋体" w:hAnsi="宋体" w:eastAsia="宋体"/>
        </w:rPr>
        <w:t>一、项目概况：</w:t>
      </w:r>
    </w:p>
    <w:p>
      <w:pPr>
        <w:pStyle w:val="6"/>
        <w:rPr>
          <w:rFonts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lang w:eastAsia="zh-CN"/>
        </w:rPr>
        <w:t>商丘市中医院新院区第二批影像放射类2设备采购项目</w:t>
      </w:r>
      <w:r>
        <w:rPr>
          <w:rFonts w:hint="eastAsia" w:ascii="宋体" w:hAnsi="宋体" w:eastAsia="宋体" w:cs="宋体"/>
          <w:sz w:val="24"/>
          <w:szCs w:val="24"/>
        </w:rPr>
        <w:t>。</w:t>
      </w:r>
    </w:p>
    <w:p>
      <w:pPr>
        <w:pStyle w:val="6"/>
        <w:rPr>
          <w:rFonts w:hint="default" w:ascii="宋体" w:hAnsi="宋体" w:eastAsia="宋体" w:cs="宋体"/>
          <w:sz w:val="24"/>
          <w:szCs w:val="24"/>
          <w:lang w:val="en-US"/>
        </w:rPr>
      </w:pPr>
      <w:r>
        <w:rPr>
          <w:rFonts w:hint="eastAsia" w:ascii="宋体" w:hAnsi="宋体" w:eastAsia="宋体" w:cs="宋体"/>
          <w:sz w:val="24"/>
          <w:szCs w:val="24"/>
        </w:rPr>
        <w:t>2、招标编号：</w:t>
      </w:r>
      <w:r>
        <w:rPr>
          <w:rFonts w:hint="eastAsia" w:ascii="宋体" w:hAnsi="宋体" w:eastAsia="宋体" w:cs="宋体"/>
          <w:sz w:val="24"/>
          <w:szCs w:val="24"/>
          <w:lang w:eastAsia="zh-CN"/>
        </w:rPr>
        <w:t>商财采招-2022-</w:t>
      </w:r>
      <w:r>
        <w:rPr>
          <w:rFonts w:hint="eastAsia" w:ascii="宋体" w:hAnsi="宋体" w:eastAsia="宋体" w:cs="宋体"/>
          <w:sz w:val="24"/>
          <w:szCs w:val="24"/>
          <w:lang w:val="en-US" w:eastAsia="zh-CN"/>
        </w:rPr>
        <w:t xml:space="preserve"> 154</w:t>
      </w:r>
    </w:p>
    <w:p>
      <w:pPr>
        <w:pStyle w:val="6"/>
        <w:rPr>
          <w:rFonts w:ascii="宋体" w:hAnsi="宋体" w:eastAsia="宋体" w:cs="宋体"/>
          <w:sz w:val="24"/>
          <w:szCs w:val="24"/>
        </w:rPr>
      </w:pPr>
      <w:r>
        <w:rPr>
          <w:rFonts w:hint="eastAsia" w:ascii="宋体" w:hAnsi="宋体" w:eastAsia="宋体" w:cs="宋体"/>
          <w:sz w:val="24"/>
          <w:szCs w:val="24"/>
        </w:rPr>
        <w:t xml:space="preserve">3、招标范围: </w:t>
      </w:r>
      <w:r>
        <w:rPr>
          <w:rFonts w:hint="eastAsia" w:ascii="宋体" w:hAnsi="宋体" w:eastAsia="宋体" w:cs="宋体"/>
          <w:sz w:val="24"/>
          <w:szCs w:val="24"/>
          <w:lang w:eastAsia="zh-CN"/>
        </w:rPr>
        <w:t>单光子发射及X射线计算机断层成像系统一套</w:t>
      </w:r>
      <w:r>
        <w:rPr>
          <w:rFonts w:hint="eastAsia" w:ascii="宋体" w:hAnsi="宋体" w:eastAsia="宋体" w:cs="宋体"/>
          <w:sz w:val="24"/>
          <w:szCs w:val="24"/>
        </w:rPr>
        <w:t>（技术参数要求详见采购文件）。</w:t>
      </w:r>
    </w:p>
    <w:p>
      <w:pPr>
        <w:pStyle w:val="6"/>
        <w:rPr>
          <w:rFonts w:ascii="宋体" w:hAnsi="宋体" w:eastAsia="宋体" w:cs="宋体"/>
          <w:sz w:val="24"/>
          <w:szCs w:val="24"/>
          <w:highlight w:val="yellow"/>
        </w:rPr>
      </w:pPr>
      <w:r>
        <w:rPr>
          <w:rFonts w:hint="eastAsia" w:ascii="宋体" w:hAnsi="宋体" w:eastAsia="宋体" w:cs="宋体"/>
          <w:sz w:val="24"/>
          <w:szCs w:val="24"/>
        </w:rPr>
        <w:t>4、资金来源：</w:t>
      </w:r>
      <w:r>
        <w:rPr>
          <w:rFonts w:hint="eastAsia" w:ascii="宋体" w:hAnsi="宋体" w:eastAsia="宋体" w:cs="宋体"/>
          <w:sz w:val="24"/>
          <w:szCs w:val="24"/>
          <w:lang w:eastAsia="zh-CN"/>
        </w:rPr>
        <w:t>自筹资金。</w:t>
      </w:r>
    </w:p>
    <w:p>
      <w:pPr>
        <w:pStyle w:val="6"/>
        <w:rPr>
          <w:rFonts w:ascii="宋体" w:hAnsi="宋体" w:eastAsia="宋体" w:cs="宋体"/>
          <w:sz w:val="24"/>
          <w:szCs w:val="24"/>
        </w:rPr>
      </w:pPr>
      <w:r>
        <w:rPr>
          <w:rFonts w:hint="eastAsia" w:ascii="宋体" w:hAnsi="宋体" w:eastAsia="宋体" w:cs="宋体"/>
          <w:sz w:val="24"/>
          <w:szCs w:val="24"/>
        </w:rPr>
        <w:t>5、标段划分：1个标段</w:t>
      </w:r>
    </w:p>
    <w:p>
      <w:pPr>
        <w:pStyle w:val="6"/>
        <w:rPr>
          <w:rFonts w:ascii="宋体" w:hAnsi="宋体" w:eastAsia="宋体" w:cs="宋体"/>
          <w:sz w:val="24"/>
          <w:szCs w:val="24"/>
        </w:rPr>
      </w:pPr>
      <w:r>
        <w:rPr>
          <w:rFonts w:hint="eastAsia" w:ascii="宋体" w:hAnsi="宋体" w:eastAsia="宋体" w:cs="宋体"/>
          <w:sz w:val="24"/>
          <w:szCs w:val="24"/>
        </w:rPr>
        <w:t>6、交货期期限及交货服务地点：</w:t>
      </w:r>
    </w:p>
    <w:p>
      <w:pPr>
        <w:pStyle w:val="6"/>
        <w:rPr>
          <w:rFonts w:ascii="宋体" w:hAnsi="宋体" w:eastAsia="宋体" w:cs="宋体"/>
          <w:sz w:val="24"/>
          <w:szCs w:val="24"/>
        </w:rPr>
      </w:pPr>
      <w:r>
        <w:rPr>
          <w:rFonts w:hint="eastAsia" w:ascii="宋体" w:hAnsi="宋体" w:eastAsia="宋体" w:cs="宋体"/>
          <w:sz w:val="24"/>
          <w:szCs w:val="24"/>
        </w:rPr>
        <w:t>交货期：合同生效之日起，</w:t>
      </w:r>
      <w:r>
        <w:rPr>
          <w:rFonts w:hint="eastAsia" w:ascii="宋体" w:hAnsi="宋体" w:eastAsia="宋体" w:cs="宋体"/>
          <w:sz w:val="24"/>
          <w:szCs w:val="24"/>
          <w:lang w:val="en-US" w:eastAsia="zh-CN"/>
        </w:rPr>
        <w:t>90</w:t>
      </w:r>
      <w:r>
        <w:rPr>
          <w:rFonts w:hint="eastAsia" w:ascii="宋体" w:hAnsi="宋体" w:eastAsia="宋体" w:cs="宋体"/>
          <w:sz w:val="24"/>
          <w:szCs w:val="24"/>
        </w:rPr>
        <w:t>日历</w:t>
      </w:r>
      <w:r>
        <w:rPr>
          <w:rFonts w:hint="eastAsia" w:ascii="宋体" w:hAnsi="宋体" w:eastAsia="宋体" w:cs="宋体"/>
          <w:sz w:val="24"/>
          <w:szCs w:val="24"/>
        </w:rPr>
        <w:t>天内供货、安装完毕</w:t>
      </w:r>
    </w:p>
    <w:p>
      <w:pPr>
        <w:pStyle w:val="6"/>
        <w:rPr>
          <w:rFonts w:ascii="宋体" w:hAnsi="宋体" w:eastAsia="宋体" w:cs="宋体"/>
          <w:sz w:val="24"/>
          <w:szCs w:val="24"/>
        </w:rPr>
      </w:pPr>
      <w:r>
        <w:rPr>
          <w:rFonts w:hint="eastAsia" w:ascii="宋体" w:hAnsi="宋体" w:eastAsia="宋体" w:cs="宋体"/>
          <w:sz w:val="24"/>
          <w:szCs w:val="24"/>
        </w:rPr>
        <w:t>质保期：整机免费质保期1年</w:t>
      </w:r>
      <w:bookmarkStart w:id="376" w:name="_GoBack"/>
      <w:bookmarkEnd w:id="376"/>
    </w:p>
    <w:p>
      <w:pPr>
        <w:pStyle w:val="6"/>
        <w:rPr>
          <w:rFonts w:ascii="宋体" w:hAnsi="宋体" w:eastAsia="宋体" w:cs="宋体"/>
          <w:sz w:val="24"/>
          <w:szCs w:val="24"/>
        </w:rPr>
      </w:pPr>
      <w:r>
        <w:rPr>
          <w:rFonts w:hint="eastAsia" w:ascii="宋体" w:hAnsi="宋体" w:eastAsia="宋体" w:cs="宋体"/>
          <w:sz w:val="24"/>
          <w:szCs w:val="24"/>
        </w:rPr>
        <w:t>交货地点：采购人指定地点。</w:t>
      </w:r>
    </w:p>
    <w:p>
      <w:pPr>
        <w:pStyle w:val="6"/>
        <w:rPr>
          <w:rFonts w:ascii="宋体" w:hAnsi="宋体" w:eastAsia="宋体"/>
        </w:rPr>
      </w:pPr>
      <w:r>
        <w:rPr>
          <w:rFonts w:hint="eastAsia" w:ascii="宋体" w:hAnsi="宋体" w:eastAsia="宋体"/>
        </w:rPr>
        <w:t>二、技术要求：</w:t>
      </w:r>
    </w:p>
    <w:tbl>
      <w:tblPr>
        <w:tblStyle w:val="39"/>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4860"/>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b/>
                <w:bCs/>
                <w:kern w:val="0"/>
                <w:sz w:val="22"/>
              </w:rPr>
              <w:t>序号</w:t>
            </w:r>
          </w:p>
        </w:tc>
        <w:tc>
          <w:tcPr>
            <w:tcW w:w="4860"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技术和性能参数名称</w:t>
            </w:r>
          </w:p>
        </w:tc>
        <w:tc>
          <w:tcPr>
            <w:tcW w:w="3476"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b/>
                <w:bCs/>
                <w:kern w:val="0"/>
                <w:sz w:val="22"/>
              </w:rPr>
              <w:t>一、</w:t>
            </w:r>
          </w:p>
        </w:tc>
        <w:tc>
          <w:tcPr>
            <w:tcW w:w="4860"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名称：</w:t>
            </w:r>
          </w:p>
        </w:tc>
        <w:tc>
          <w:tcPr>
            <w:tcW w:w="3476"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单光子发射断层及X射线计算机体层摄影成像系统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b/>
                <w:bCs/>
                <w:kern w:val="0"/>
                <w:sz w:val="22"/>
              </w:rPr>
              <w:t>二、</w:t>
            </w:r>
          </w:p>
        </w:tc>
        <w:tc>
          <w:tcPr>
            <w:tcW w:w="4860"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数量：</w:t>
            </w:r>
          </w:p>
        </w:tc>
        <w:tc>
          <w:tcPr>
            <w:tcW w:w="3476"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1台/套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b/>
                <w:bCs/>
                <w:kern w:val="0"/>
                <w:sz w:val="22"/>
              </w:rPr>
              <w:t>三、</w:t>
            </w:r>
          </w:p>
        </w:tc>
        <w:tc>
          <w:tcPr>
            <w:tcW w:w="4860"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设备用途：</w:t>
            </w:r>
          </w:p>
        </w:tc>
        <w:tc>
          <w:tcPr>
            <w:tcW w:w="3476"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用于人体各种疾病的诊断，可供医生用于肿瘤分期和再分期、计划、指导和监控治疗。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kern w:val="0"/>
                <w:sz w:val="22"/>
              </w:rPr>
              <w:t>*</w:t>
            </w:r>
            <w:r>
              <w:rPr>
                <w:rFonts w:hint="eastAsia" w:ascii="等线" w:hAnsi="等线" w:eastAsia="等线" w:cs="宋体"/>
                <w:b/>
                <w:bCs/>
                <w:kern w:val="0"/>
                <w:sz w:val="22"/>
              </w:rPr>
              <w:t>四、</w:t>
            </w:r>
          </w:p>
        </w:tc>
        <w:tc>
          <w:tcPr>
            <w:tcW w:w="4860"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 xml:space="preserve">规格要求： </w:t>
            </w:r>
          </w:p>
        </w:tc>
        <w:tc>
          <w:tcPr>
            <w:tcW w:w="3476"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投标机型为投标人已获得中华人民共和国医疗器械注册证且首次注册时间在</w:t>
            </w:r>
            <w:r>
              <w:rPr>
                <w:rFonts w:ascii="等线" w:hAnsi="等线" w:eastAsia="等线" w:cs="宋体"/>
                <w:b/>
                <w:bCs/>
                <w:kern w:val="0"/>
                <w:sz w:val="22"/>
              </w:rPr>
              <w:t>2018</w:t>
            </w:r>
            <w:r>
              <w:rPr>
                <w:rFonts w:hint="eastAsia" w:ascii="等线" w:hAnsi="等线" w:eastAsia="等线" w:cs="宋体"/>
                <w:b/>
                <w:bCs/>
                <w:kern w:val="0"/>
                <w:sz w:val="22"/>
              </w:rPr>
              <w:t>年以后的带有</w:t>
            </w:r>
            <w:r>
              <w:rPr>
                <w:rFonts w:ascii="等线" w:hAnsi="等线" w:eastAsia="等线" w:cs="宋体"/>
                <w:b/>
                <w:bCs/>
                <w:kern w:val="0"/>
                <w:sz w:val="22"/>
              </w:rPr>
              <w:t>24</w:t>
            </w:r>
            <w:r>
              <w:rPr>
                <w:rFonts w:hint="eastAsia" w:ascii="等线" w:hAnsi="等线" w:eastAsia="等线" w:cs="宋体"/>
                <w:b/>
                <w:bCs/>
                <w:kern w:val="0"/>
                <w:sz w:val="22"/>
              </w:rPr>
              <w:t>排CT的一体化SPECT/CT产品（即SPECT与CT为同一品牌的连体设备）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shd w:val="clear" w:color="000000" w:fill="FFFFFF"/>
            <w:vAlign w:val="center"/>
          </w:tcPr>
          <w:p>
            <w:pPr>
              <w:widowControl/>
              <w:jc w:val="center"/>
              <w:textAlignment w:val="center"/>
              <w:rPr>
                <w:rFonts w:ascii="等线" w:hAnsi="等线" w:eastAsia="等线" w:cs="宋体"/>
                <w:b/>
                <w:bCs/>
                <w:kern w:val="0"/>
                <w:sz w:val="22"/>
              </w:rPr>
            </w:pPr>
            <w:r>
              <w:rPr>
                <w:rFonts w:hint="eastAsia" w:ascii="等线" w:hAnsi="等线" w:eastAsia="等线" w:cs="宋体"/>
                <w:b/>
                <w:bCs/>
                <w:kern w:val="0"/>
                <w:sz w:val="22"/>
              </w:rPr>
              <w:t>五</w:t>
            </w:r>
          </w:p>
        </w:tc>
        <w:tc>
          <w:tcPr>
            <w:tcW w:w="4860" w:type="dxa"/>
            <w:shd w:val="clear" w:color="000000" w:fill="FFFFFF"/>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技术要求和参数：</w:t>
            </w:r>
          </w:p>
        </w:tc>
        <w:tc>
          <w:tcPr>
            <w:tcW w:w="3476" w:type="dxa"/>
            <w:shd w:val="clear" w:color="000000" w:fill="FFFFFF"/>
            <w:vAlign w:val="center"/>
          </w:tcPr>
          <w:p>
            <w:pPr>
              <w:widowControl/>
              <w:jc w:val="left"/>
              <w:rPr>
                <w:rFonts w:ascii="等线" w:hAnsi="等线" w:eastAsia="等线"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b/>
                <w:bCs/>
                <w:kern w:val="0"/>
                <w:sz w:val="22"/>
              </w:rPr>
              <w:t>5.1</w:t>
            </w:r>
          </w:p>
        </w:tc>
        <w:tc>
          <w:tcPr>
            <w:tcW w:w="4860"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探头</w:t>
            </w:r>
          </w:p>
        </w:tc>
        <w:tc>
          <w:tcPr>
            <w:tcW w:w="3476"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kern w:val="0"/>
                <w:sz w:val="22"/>
              </w:rPr>
              <w:t>5.1.1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探头规格</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两个探头，矩形，可变角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kern w:val="0"/>
                <w:sz w:val="22"/>
              </w:rPr>
              <w:t>*5.1.2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探头有效视野(UFOV)(mm)</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≥540×400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kern w:val="0"/>
                <w:sz w:val="22"/>
              </w:rPr>
              <w:t>5.1.3</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晶体类型</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NaI晶体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kern w:val="0"/>
                <w:sz w:val="22"/>
              </w:rPr>
              <w:t>5.1.4</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晶体厚度(英寸)</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kern w:val="0"/>
                <w:sz w:val="22"/>
              </w:rPr>
              <w:t>5.1.5</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能量范围(keV)</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40-620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kern w:val="0"/>
                <w:sz w:val="22"/>
              </w:rPr>
              <w:t>5.1.6</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光电倍增管PMT(只/探头)</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kern w:val="0"/>
                <w:sz w:val="22"/>
              </w:rPr>
              <w:t>*5.1.7</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固有能量分辨率</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b/>
                <w:bCs/>
                <w:kern w:val="0"/>
                <w:sz w:val="22"/>
              </w:rPr>
            </w:pPr>
            <w:r>
              <w:rPr>
                <w:rFonts w:hint="eastAsia" w:ascii="等线" w:hAnsi="等线" w:eastAsia="等线" w:cs="宋体"/>
                <w:kern w:val="0"/>
                <w:sz w:val="22"/>
              </w:rPr>
              <w:t>5.1.8</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单探头最大计数率(kcps)</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5.1.9</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固有空间分辨率</w:t>
            </w:r>
          </w:p>
        </w:tc>
        <w:tc>
          <w:tcPr>
            <w:tcW w:w="3476" w:type="dxa"/>
            <w:shd w:val="clear" w:color="auto" w:fill="auto"/>
            <w:vAlign w:val="center"/>
          </w:tcPr>
          <w:p>
            <w:pPr>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5.1.9.1</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FWHM（CFOV）</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≤3.7mm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5.1.9.2</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FWHM（UFOV）</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5.1.9.3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FWTM（CFOV）</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≤6.8mm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5.1.9.4</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FWTM（UFOV）</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≤6.9mm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*5.1.10</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系统灵敏度(cpm/μCi)（低能高分辨准直器,NEMA标准）</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5.1.11</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重建空间分辨率（低能高分辨准直器,带散射,NEMA标准）</w:t>
            </w:r>
          </w:p>
        </w:tc>
        <w:tc>
          <w:tcPr>
            <w:tcW w:w="3476" w:type="dxa"/>
            <w:shd w:val="clear" w:color="auto" w:fill="auto"/>
            <w:vAlign w:val="center"/>
          </w:tcPr>
          <w:p>
            <w:pPr>
              <w:widowControl/>
              <w:jc w:val="left"/>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5.1.11.1</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径向</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≤9.9mm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5.1.11.2</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中心</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≤9.9mm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5.1.11.3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切向</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5.1.12</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固有均匀度</w:t>
            </w:r>
          </w:p>
        </w:tc>
        <w:tc>
          <w:tcPr>
            <w:tcW w:w="3476" w:type="dxa"/>
            <w:shd w:val="clear" w:color="auto" w:fill="auto"/>
            <w:vAlign w:val="center"/>
          </w:tcPr>
          <w:p>
            <w:pPr>
              <w:widowControl/>
              <w:jc w:val="left"/>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5.1.12.1</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CFOV（积分）</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5.1.12.2</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UFOV（微分）</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5.1.12.3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CFOV（微分）</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5.1.12.4</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UFOV（积分）</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固有空间线性</w:t>
            </w:r>
          </w:p>
        </w:tc>
        <w:tc>
          <w:tcPr>
            <w:tcW w:w="3476" w:type="dxa"/>
            <w:shd w:val="clear" w:color="auto" w:fill="auto"/>
            <w:vAlign w:val="center"/>
          </w:tcPr>
          <w:p>
            <w:pPr>
              <w:widowControl/>
              <w:jc w:val="left"/>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5.1.13.1</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CFOV（微分）</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5.1.13.2</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CFOV（绝对）</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≤0.4mm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5.1.13.3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UFOV（微分）</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5.1.13.4</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UFOV（绝对）</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≤0.4mm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准直器</w:t>
            </w:r>
          </w:p>
        </w:tc>
        <w:tc>
          <w:tcPr>
            <w:tcW w:w="3476" w:type="dxa"/>
            <w:shd w:val="clear" w:color="auto" w:fill="auto"/>
            <w:vAlign w:val="center"/>
          </w:tcPr>
          <w:p>
            <w:pPr>
              <w:widowControl/>
              <w:jc w:val="left"/>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*5.2.1</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低能高分辨准直器</w:t>
            </w:r>
          </w:p>
        </w:tc>
        <w:tc>
          <w:tcPr>
            <w:tcW w:w="3476" w:type="dxa"/>
            <w:shd w:val="clear" w:color="auto" w:fill="auto"/>
            <w:vAlign w:val="center"/>
          </w:tcPr>
          <w:p>
            <w:pPr>
              <w:widowControl/>
              <w:jc w:val="left"/>
              <w:rPr>
                <w:rFonts w:hint="eastAsia" w:ascii="等线" w:hAnsi="等线" w:eastAsia="等线" w:cs="宋体"/>
                <w:kern w:val="0"/>
                <w:sz w:val="22"/>
                <w:lang w:eastAsia="zh-CN"/>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5.2.1.1</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适用核素：</w:t>
            </w:r>
            <w:r>
              <w:rPr>
                <w:rFonts w:ascii="等线" w:hAnsi="等线" w:eastAsia="等线" w:cs="宋体"/>
                <w:kern w:val="0"/>
                <w:sz w:val="22"/>
                <w:vertAlign w:val="superscript"/>
              </w:rPr>
              <w:t>99m</w:t>
            </w:r>
            <w:r>
              <w:rPr>
                <w:rFonts w:ascii="等线" w:hAnsi="等线" w:eastAsia="等线" w:cs="宋体"/>
                <w:kern w:val="0"/>
                <w:sz w:val="22"/>
              </w:rPr>
              <w:t xml:space="preserve"> T</w:t>
            </w:r>
            <w:r>
              <w:rPr>
                <w:rFonts w:hint="eastAsia" w:ascii="等线" w:hAnsi="等线" w:eastAsia="等线" w:cs="宋体"/>
                <w:kern w:val="0"/>
                <w:sz w:val="22"/>
              </w:rPr>
              <w:t>c</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5.2.1.2</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 xml:space="preserve">系统分辨率(@10cm, FWHM)(mm) </w:t>
            </w:r>
            <w:r>
              <w:rPr>
                <w:rFonts w:ascii="等线" w:hAnsi="等线" w:eastAsia="等线" w:cs="宋体"/>
                <w:kern w:val="0"/>
                <w:sz w:val="22"/>
              </w:rPr>
              <w:t>(</w:t>
            </w:r>
            <w:r>
              <w:rPr>
                <w:rFonts w:hint="eastAsia" w:ascii="等线" w:hAnsi="等线" w:eastAsia="等线" w:cs="宋体"/>
                <w:kern w:val="0"/>
                <w:sz w:val="22"/>
              </w:rPr>
              <w:t>NEMA标准)</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5.2.1.3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孔长度(mm)</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w:t>
            </w:r>
            <w:r>
              <w:rPr>
                <w:rFonts w:ascii="等线" w:hAnsi="等线" w:eastAsia="等线" w:cs="宋体"/>
                <w:kern w:val="0"/>
                <w:sz w:val="2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5.2.1.</w:t>
            </w:r>
            <w:r>
              <w:rPr>
                <w:rFonts w:ascii="等线" w:hAnsi="等线" w:eastAsia="等线" w:cs="宋体"/>
                <w:kern w:val="0"/>
                <w:sz w:val="22"/>
              </w:rPr>
              <w:t>4</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壁厚(</w:t>
            </w:r>
            <w:r>
              <w:rPr>
                <w:rFonts w:ascii="等线" w:hAnsi="等线" w:eastAsia="等线" w:cs="宋体"/>
                <w:kern w:val="0"/>
                <w:sz w:val="22"/>
              </w:rPr>
              <w:t>mm)</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w:t>
            </w:r>
            <w:r>
              <w:rPr>
                <w:rFonts w:ascii="等线" w:hAnsi="等线" w:eastAsia="等线" w:cs="宋体"/>
                <w:kern w:val="0"/>
                <w:sz w:val="22"/>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5.2.1.5</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单个准直器重量(kg)</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w:t>
            </w:r>
            <w:r>
              <w:rPr>
                <w:rFonts w:ascii="等线" w:hAnsi="等线" w:eastAsia="等线" w:cs="宋体"/>
                <w:kern w:val="0"/>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H</w:t>
            </w:r>
            <w:r>
              <w:rPr>
                <w:rFonts w:ascii="等线" w:hAnsi="等线" w:eastAsia="等线" w:cs="宋体"/>
                <w:kern w:val="0"/>
                <w:sz w:val="22"/>
              </w:rPr>
              <w:t>EGP</w:t>
            </w:r>
            <w:r>
              <w:rPr>
                <w:rFonts w:hint="eastAsia" w:ascii="等线" w:hAnsi="等线" w:eastAsia="等线" w:cs="宋体"/>
                <w:kern w:val="0"/>
                <w:sz w:val="22"/>
              </w:rPr>
              <w:t>高能通用准直器</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5.2.2.1</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适用核素：</w:t>
            </w:r>
            <w:r>
              <w:rPr>
                <w:rFonts w:hint="eastAsia" w:ascii="等线" w:hAnsi="等线" w:eastAsia="等线" w:cs="宋体"/>
                <w:kern w:val="0"/>
                <w:sz w:val="22"/>
                <w:vertAlign w:val="superscript"/>
              </w:rPr>
              <w:t>1</w:t>
            </w:r>
            <w:r>
              <w:rPr>
                <w:rFonts w:ascii="等线" w:hAnsi="等线" w:eastAsia="等线" w:cs="宋体"/>
                <w:kern w:val="0"/>
                <w:sz w:val="22"/>
                <w:vertAlign w:val="superscript"/>
              </w:rPr>
              <w:t>31</w:t>
            </w:r>
            <w:r>
              <w:rPr>
                <w:rFonts w:ascii="等线" w:hAnsi="等线" w:eastAsia="等线" w:cs="宋体"/>
                <w:kern w:val="0"/>
                <w:sz w:val="22"/>
              </w:rPr>
              <w:t>I</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5.2.2.2</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系统分辨率(@10cm, FWHM)(mm)</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5.2.2.3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孔长度(mm)</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≥6</w:t>
            </w:r>
            <w:r>
              <w:rPr>
                <w:rFonts w:ascii="等线" w:hAnsi="等线" w:eastAsia="等线"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5.2.2.</w:t>
            </w:r>
            <w:r>
              <w:rPr>
                <w:rFonts w:ascii="等线" w:hAnsi="等线" w:eastAsia="等线" w:cs="宋体"/>
                <w:kern w:val="0"/>
                <w:sz w:val="22"/>
              </w:rPr>
              <w:t>4</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壁厚(</w:t>
            </w:r>
            <w:r>
              <w:rPr>
                <w:rFonts w:ascii="等线" w:hAnsi="等线" w:eastAsia="等线" w:cs="宋体"/>
                <w:kern w:val="0"/>
                <w:sz w:val="22"/>
              </w:rPr>
              <w:t>mm)</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w:t>
            </w:r>
            <w:r>
              <w:rPr>
                <w:rFonts w:ascii="等线" w:hAnsi="等线" w:eastAsia="等线" w:cs="宋体"/>
                <w:kern w:val="0"/>
                <w:sz w:val="22"/>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5.2.2.5</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单个准直器重量(kg)</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≥1</w:t>
            </w:r>
            <w:r>
              <w:rPr>
                <w:rFonts w:ascii="等线" w:hAnsi="等线" w:eastAsia="等线" w:cs="宋体"/>
                <w:kern w:val="0"/>
                <w:sz w:val="2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5.2.3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准直器更换车</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(每对准直器配一个独立准直器车)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5.3</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机架</w:t>
            </w:r>
          </w:p>
        </w:tc>
        <w:tc>
          <w:tcPr>
            <w:tcW w:w="3476" w:type="dxa"/>
            <w:shd w:val="clear" w:color="auto" w:fill="auto"/>
            <w:vAlign w:val="center"/>
          </w:tcPr>
          <w:p>
            <w:pPr>
              <w:widowControl/>
              <w:jc w:val="left"/>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5.3.1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机架孔径(cm)</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5.3.2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机架高度(cm)</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5.3.3</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双探头至少具有0°，90°，180°，反向180°这四种探头的采集角度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5.3.4</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SPECT机架旋转角度范围</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≥540º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*5.3.5</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除步进断层采集模式和连续断层采集模式外，提供第三种S</w:t>
            </w:r>
            <w:r>
              <w:rPr>
                <w:rFonts w:ascii="等线" w:hAnsi="等线" w:eastAsia="等线" w:cs="宋体"/>
                <w:kern w:val="0"/>
                <w:sz w:val="22"/>
              </w:rPr>
              <w:t>wiftScan</w:t>
            </w:r>
            <w:r>
              <w:rPr>
                <w:rFonts w:hint="eastAsia" w:ascii="等线" w:hAnsi="等线" w:eastAsia="等线" w:cs="宋体"/>
                <w:kern w:val="0"/>
                <w:sz w:val="22"/>
              </w:rPr>
              <w:t>类螺旋断层采集模式，可实现探头运动和静止时同时采集信号</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w:t>
            </w:r>
            <w:r>
              <w:rPr>
                <w:rFonts w:ascii="等线" w:hAnsi="等线" w:eastAsia="等线" w:cs="宋体"/>
                <w:kern w:val="0"/>
                <w:sz w:val="22"/>
              </w:rPr>
              <w:t>附厂家技术白皮书</w:t>
            </w:r>
            <w:r>
              <w:rPr>
                <w:rFonts w:hint="eastAsia" w:ascii="等线" w:hAnsi="等线" w:eastAsia="等线" w:cs="宋体"/>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5.3.6</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病人安全保护装置</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5.3.7</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全自动人体轮廓跟踪</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5.4</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病人检查床</w:t>
            </w:r>
          </w:p>
        </w:tc>
        <w:tc>
          <w:tcPr>
            <w:tcW w:w="3476" w:type="dxa"/>
            <w:shd w:val="clear" w:color="auto" w:fill="auto"/>
            <w:vAlign w:val="center"/>
          </w:tcPr>
          <w:p>
            <w:pPr>
              <w:widowControl/>
              <w:jc w:val="left"/>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5.4.1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衰减率</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5.4.2</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检查床最大承重(kg)</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5.4.3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全身扫描范围(cm)</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*5.4.4</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扫描床自动记忆辅助定位标尺: 提供触摸控制自动定位辅助功能</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（附厂家技术白皮书或其他证明文件）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CT</w:t>
            </w:r>
          </w:p>
        </w:tc>
        <w:tc>
          <w:tcPr>
            <w:tcW w:w="3476" w:type="dxa"/>
            <w:shd w:val="clear" w:color="auto" w:fill="auto"/>
            <w:vAlign w:val="center"/>
          </w:tcPr>
          <w:p>
            <w:pPr>
              <w:widowControl/>
              <w:jc w:val="left"/>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5.5.1</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探测器</w:t>
            </w:r>
          </w:p>
        </w:tc>
        <w:tc>
          <w:tcPr>
            <w:tcW w:w="3476" w:type="dxa"/>
            <w:shd w:val="clear" w:color="auto" w:fill="auto"/>
            <w:vAlign w:val="center"/>
          </w:tcPr>
          <w:p>
            <w:pPr>
              <w:widowControl/>
              <w:jc w:val="left"/>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5.5.1.1</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探测器类型</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固体稀土陶瓷探测器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*5.5.1.2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探测器宽度(mm)</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*5.5.1.</w:t>
            </w:r>
            <w:r>
              <w:rPr>
                <w:rFonts w:ascii="等线" w:hAnsi="等线" w:eastAsia="等线" w:cs="宋体"/>
                <w:kern w:val="0"/>
                <w:sz w:val="22"/>
              </w:rPr>
              <w:t>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物理探测器排数</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w:t>
            </w:r>
            <w:r>
              <w:rPr>
                <w:rFonts w:ascii="等线" w:hAnsi="等线" w:eastAsia="等线" w:cs="宋体"/>
                <w:kern w:val="0"/>
                <w:sz w:val="22"/>
              </w:rPr>
              <w:t>24</w:t>
            </w:r>
            <w:r>
              <w:rPr>
                <w:rFonts w:hint="eastAsia" w:ascii="等线" w:hAnsi="等线" w:eastAsia="等线" w:cs="宋体"/>
                <w:kern w:val="0"/>
                <w:sz w:val="22"/>
              </w:rPr>
              <w:t>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*5.5.1.</w:t>
            </w:r>
            <w:r>
              <w:rPr>
                <w:rFonts w:ascii="等线" w:hAnsi="等线" w:eastAsia="等线" w:cs="宋体"/>
                <w:kern w:val="0"/>
                <w:sz w:val="22"/>
              </w:rPr>
              <w:t>4</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CT轴扫模式下每圈最多扫描层数</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5.5.1.5</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每排物理探测器个数(个)</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5.5.1.6</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探测器单元数(个)</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≥21888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5.5.2</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球管</w:t>
            </w:r>
          </w:p>
        </w:tc>
        <w:tc>
          <w:tcPr>
            <w:tcW w:w="3476" w:type="dxa"/>
            <w:shd w:val="clear" w:color="auto" w:fill="auto"/>
            <w:vAlign w:val="center"/>
          </w:tcPr>
          <w:p>
            <w:pPr>
              <w:widowControl/>
              <w:jc w:val="left"/>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5.5.2.1</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液态轴承球管</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*5.5.2.</w:t>
            </w:r>
            <w:r>
              <w:rPr>
                <w:rFonts w:ascii="等线" w:hAnsi="等线" w:eastAsia="等线" w:cs="宋体"/>
                <w:kern w:val="0"/>
                <w:sz w:val="22"/>
              </w:rPr>
              <w:t>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球管阳极热容量(MHU)</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5.5.2.</w:t>
            </w:r>
            <w:r>
              <w:rPr>
                <w:rFonts w:ascii="等线" w:hAnsi="等线" w:eastAsia="等线" w:cs="宋体"/>
                <w:kern w:val="0"/>
                <w:sz w:val="22"/>
              </w:rPr>
              <w:t>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球管最大电流(mA)</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5.5.2.</w:t>
            </w:r>
            <w:r>
              <w:rPr>
                <w:rFonts w:ascii="等线" w:hAnsi="等线" w:eastAsia="等线" w:cs="宋体"/>
                <w:kern w:val="0"/>
                <w:sz w:val="22"/>
              </w:rPr>
              <w:t>4</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球管最大电压 (kV)</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5.5.2.</w:t>
            </w:r>
            <w:r>
              <w:rPr>
                <w:rFonts w:ascii="等线" w:hAnsi="等线" w:eastAsia="等线" w:cs="宋体"/>
                <w:kern w:val="0"/>
                <w:sz w:val="22"/>
              </w:rPr>
              <w:t>5</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小焦点大小(mm)</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5.5.2.</w:t>
            </w:r>
            <w:r>
              <w:rPr>
                <w:rFonts w:ascii="等线" w:hAnsi="等线" w:eastAsia="等线" w:cs="宋体"/>
                <w:kern w:val="0"/>
                <w:sz w:val="22"/>
              </w:rPr>
              <w:t>6</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大焦点大小(mm)</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5.5.3</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高压发生器功率(kW)</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w:t>
            </w:r>
            <w:r>
              <w:rPr>
                <w:rFonts w:ascii="等线" w:hAnsi="等线" w:eastAsia="等线" w:cs="宋体"/>
                <w:kern w:val="0"/>
                <w:sz w:val="22"/>
              </w:rPr>
              <w:t>4</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360度最小扫描时间(s)</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w:t>
            </w:r>
            <w:r>
              <w:rPr>
                <w:rFonts w:ascii="等线" w:hAnsi="等线" w:eastAsia="等线" w:cs="宋体"/>
                <w:kern w:val="0"/>
                <w:sz w:val="22"/>
              </w:rPr>
              <w:t>5</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螺旋连续扫描时间(s)</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5.5.</w:t>
            </w:r>
            <w:r>
              <w:rPr>
                <w:rFonts w:ascii="等线" w:hAnsi="等线" w:eastAsia="等线" w:cs="宋体"/>
                <w:kern w:val="0"/>
                <w:sz w:val="22"/>
              </w:rPr>
              <w:t>6</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最小扫描层厚(mm)</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5.6</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采集工作站配置：一体化超高端多功能全身扫描SPECT/CT采集操作工作站，一体化的采集工作站可以同时采集SPECT及CT。</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*5.7</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独立影像工作站配置：原厂高级独立影像工作站，可以同时完成SPECT及CT的后处理功能，可在远离主机的房间独立工作，不与主机共享硬盘。</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ascii="等线" w:hAnsi="等线" w:eastAsia="等线" w:cs="宋体"/>
                <w:kern w:val="0"/>
                <w:sz w:val="22"/>
              </w:rPr>
              <w:t>5.8</w:t>
            </w:r>
          </w:p>
        </w:tc>
        <w:tc>
          <w:tcPr>
            <w:tcW w:w="4860" w:type="dxa"/>
            <w:shd w:val="clear" w:color="auto" w:fill="auto"/>
            <w:vAlign w:val="center"/>
          </w:tcPr>
          <w:p>
            <w:pPr>
              <w:widowControl/>
              <w:jc w:val="left"/>
              <w:rPr>
                <w:rFonts w:ascii="等线" w:hAnsi="等线" w:eastAsia="等线" w:cs="宋体"/>
                <w:kern w:val="0"/>
                <w:sz w:val="22"/>
              </w:rPr>
            </w:pPr>
            <w:r>
              <w:rPr>
                <w:rFonts w:ascii="等线" w:hAnsi="等线" w:eastAsia="等线" w:cs="宋体"/>
                <w:kern w:val="0"/>
                <w:sz w:val="22"/>
              </w:rPr>
              <w:t>SPECT/CT</w:t>
            </w:r>
            <w:r>
              <w:rPr>
                <w:rFonts w:hint="eastAsia" w:ascii="等线" w:hAnsi="等线" w:eastAsia="等线" w:cs="宋体"/>
                <w:kern w:val="0"/>
                <w:sz w:val="22"/>
              </w:rPr>
              <w:t>处理软件包</w:t>
            </w:r>
          </w:p>
        </w:tc>
        <w:tc>
          <w:tcPr>
            <w:tcW w:w="3476" w:type="dxa"/>
            <w:shd w:val="clear" w:color="auto" w:fill="auto"/>
            <w:vAlign w:val="center"/>
          </w:tcPr>
          <w:p>
            <w:pPr>
              <w:widowControl/>
              <w:jc w:val="left"/>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心肌显像定量分析软件系统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心肌血流灌注分析软件包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3</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心肌灌注高级相位分析软件</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*5.8.4</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相位最晚靶区自动分析功能，可实现C</w:t>
            </w:r>
            <w:r>
              <w:rPr>
                <w:rFonts w:ascii="等线" w:hAnsi="等线" w:eastAsia="等线" w:cs="宋体"/>
                <w:kern w:val="0"/>
                <w:sz w:val="22"/>
              </w:rPr>
              <w:t>RT</w:t>
            </w:r>
            <w:r>
              <w:rPr>
                <w:rFonts w:hint="eastAsia" w:ascii="等线" w:hAnsi="等线" w:eastAsia="等线" w:cs="宋体"/>
                <w:kern w:val="0"/>
                <w:sz w:val="22"/>
              </w:rPr>
              <w:t>心脏再同步化治疗指导</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5</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心肌代谢显像与心肌灌注显像同屏匹配功能</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5.8.6</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肾脏灌注和功能分析软件包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*5.8.7</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提供儿童，单肾，移植肾选项，对不同类型患者进行肾动态采集和处理。</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8</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全身骨骼（或局部）分析软件包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9</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肺通气和灌注分析软件包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10</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甲状腺摄取分数计算工具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11</w:t>
            </w:r>
          </w:p>
        </w:tc>
        <w:tc>
          <w:tcPr>
            <w:tcW w:w="4860" w:type="dxa"/>
            <w:shd w:val="clear" w:color="auto" w:fill="auto"/>
            <w:vAlign w:val="center"/>
          </w:tcPr>
          <w:p>
            <w:pPr>
              <w:rPr>
                <w:kern w:val="0"/>
                <w:sz w:val="24"/>
                <w:szCs w:val="24"/>
              </w:rPr>
            </w:pPr>
            <w:r>
              <w:rPr>
                <w:rFonts w:hint="eastAsia" w:ascii="等线" w:hAnsi="等线" w:eastAsia="等线" w:cs="宋体"/>
                <w:kern w:val="0"/>
                <w:sz w:val="22"/>
              </w:rPr>
              <w:t xml:space="preserve">甲状旁腺成像分析工具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12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胃排空指数分析工具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13</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食道运动分析工具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14</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胆囊排泄分数计算工具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15</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脑血流节段分析软件包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16</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容积断层软件包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17</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SPECT中2组3向断层图像对比分析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18</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AVI电影模式或JEPG 荧幕捕捉形式存储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19</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直接二维多平面重建工具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20</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直接三维重建工具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21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CT 三维容积重建功能 </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22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智能造影剂跟踪工具</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23</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CT内窥镜功能</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24</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CT骨骼内固定支架透视技术</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25</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CT骨科畸形矫正评估</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26</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CT急症创伤快速诊断工具</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27</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CT肝脏三期诊断模式</w:t>
            </w:r>
          </w:p>
        </w:tc>
        <w:tc>
          <w:tcPr>
            <w:tcW w:w="3476" w:type="dxa"/>
            <w:shd w:val="clear" w:color="auto" w:fill="auto"/>
          </w:tcPr>
          <w:p>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28</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CT彩色透视解剖图谱</w:t>
            </w:r>
          </w:p>
        </w:tc>
        <w:tc>
          <w:tcPr>
            <w:tcW w:w="3476" w:type="dxa"/>
            <w:shd w:val="clear" w:color="auto" w:fill="auto"/>
          </w:tcPr>
          <w:p>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29</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CT肺功能评估工具</w:t>
            </w:r>
          </w:p>
        </w:tc>
        <w:tc>
          <w:tcPr>
            <w:tcW w:w="3476" w:type="dxa"/>
            <w:shd w:val="clear" w:color="auto" w:fill="auto"/>
          </w:tcPr>
          <w:p>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5.8.</w:t>
            </w:r>
            <w:r>
              <w:rPr>
                <w:rFonts w:ascii="等线" w:hAnsi="等线" w:eastAsia="等线" w:cs="宋体"/>
                <w:kern w:val="0"/>
                <w:sz w:val="22"/>
              </w:rPr>
              <w:t>30</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CT肝体积测量工具</w:t>
            </w:r>
          </w:p>
        </w:tc>
        <w:tc>
          <w:tcPr>
            <w:tcW w:w="3476" w:type="dxa"/>
            <w:shd w:val="clear" w:color="auto" w:fill="auto"/>
          </w:tcPr>
          <w:p>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jc w:val="center"/>
              <w:textAlignment w:val="center"/>
            </w:pPr>
            <w:r>
              <w:rPr>
                <w:rFonts w:hint="eastAsia" w:ascii="等线" w:hAnsi="等线" w:eastAsia="等线" w:cs="宋体"/>
                <w:kern w:val="0"/>
                <w:sz w:val="22"/>
              </w:rPr>
              <w:t>5.8.31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CT腹腔内脂肪测量工具</w:t>
            </w:r>
          </w:p>
        </w:tc>
        <w:tc>
          <w:tcPr>
            <w:tcW w:w="3476" w:type="dxa"/>
            <w:shd w:val="clear" w:color="auto" w:fill="auto"/>
          </w:tcPr>
          <w:p>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jc w:val="center"/>
              <w:textAlignment w:val="center"/>
            </w:pPr>
            <w:r>
              <w:rPr>
                <w:rFonts w:hint="eastAsia" w:ascii="等线" w:hAnsi="等线" w:eastAsia="等线" w:cs="宋体"/>
                <w:kern w:val="0"/>
                <w:sz w:val="22"/>
              </w:rPr>
              <w:t>5.8.</w:t>
            </w:r>
            <w:r>
              <w:rPr>
                <w:rFonts w:ascii="等线" w:hAnsi="等线" w:eastAsia="等线" w:cs="宋体"/>
                <w:kern w:val="0"/>
                <w:sz w:val="22"/>
              </w:rPr>
              <w:t>3</w:t>
            </w:r>
            <w:r>
              <w:rPr>
                <w:rFonts w:hint="eastAsia" w:ascii="等线" w:hAnsi="等线" w:eastAsia="等线" w:cs="宋体"/>
                <w:kern w:val="0"/>
                <w:sz w:val="22"/>
              </w:rPr>
              <w:t>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SPECT/CT三维图像显示功能</w:t>
            </w:r>
          </w:p>
        </w:tc>
        <w:tc>
          <w:tcPr>
            <w:tcW w:w="3476" w:type="dxa"/>
            <w:shd w:val="clear" w:color="auto" w:fill="auto"/>
            <w:vAlign w:val="center"/>
          </w:tcPr>
          <w:p>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9</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高级功能</w:t>
            </w:r>
          </w:p>
        </w:tc>
        <w:tc>
          <w:tcPr>
            <w:tcW w:w="3476" w:type="dxa"/>
            <w:shd w:val="clear" w:color="auto" w:fill="auto"/>
            <w:vAlign w:val="center"/>
          </w:tcPr>
          <w:p>
            <w:pPr>
              <w:widowControl/>
              <w:jc w:val="left"/>
              <w:rPr>
                <w:rFonts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9</w:t>
            </w:r>
            <w:r>
              <w:rPr>
                <w:rFonts w:hint="eastAsia" w:ascii="等线" w:hAnsi="等线" w:eastAsia="等线" w:cs="宋体"/>
                <w:kern w:val="0"/>
                <w:sz w:val="22"/>
              </w:rPr>
              <w:t>.1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提供原厂高级SPECT骨成像技术（提供Evolution for Bone或xSPECT Bone</w:t>
            </w:r>
            <w:r>
              <w:rPr>
                <w:rFonts w:hint="eastAsia" w:ascii="等线" w:hAnsi="等线" w:eastAsia="等线" w:cs="宋体"/>
                <w:sz w:val="22"/>
              </w:rPr>
              <w:t>刻骨高清骨显像技术</w:t>
            </w:r>
            <w:r>
              <w:rPr>
                <w:rFonts w:hint="eastAsia" w:ascii="等线" w:hAnsi="等线" w:eastAsia="等线" w:cs="宋体"/>
                <w:kern w:val="0"/>
                <w:sz w:val="22"/>
              </w:rPr>
              <w:t>）</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（附厂家技术白皮书及临床图例）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9</w:t>
            </w:r>
            <w:r>
              <w:rPr>
                <w:rFonts w:hint="eastAsia" w:ascii="等线" w:hAnsi="等线" w:eastAsia="等线" w:cs="宋体"/>
                <w:kern w:val="0"/>
                <w:sz w:val="22"/>
              </w:rPr>
              <w:t>.</w:t>
            </w:r>
            <w:r>
              <w:rPr>
                <w:rFonts w:ascii="等线" w:hAnsi="等线" w:eastAsia="等线" w:cs="宋体"/>
                <w:kern w:val="0"/>
                <w:sz w:val="22"/>
              </w:rPr>
              <w:t>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提供原厂高级SPECT心脏成像技术（提供Evolution for Cardiac或IQ SPECT高级心脏成像技术）</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（附厂家技术白皮书及临床图例）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9</w:t>
            </w:r>
            <w:r>
              <w:rPr>
                <w:rFonts w:hint="eastAsia" w:ascii="等线" w:hAnsi="等线" w:eastAsia="等线" w:cs="宋体"/>
                <w:kern w:val="0"/>
                <w:sz w:val="22"/>
              </w:rPr>
              <w:t>.</w:t>
            </w:r>
            <w:r>
              <w:rPr>
                <w:rFonts w:ascii="等线" w:hAnsi="等线" w:eastAsia="等线" w:cs="宋体"/>
                <w:kern w:val="0"/>
                <w:sz w:val="22"/>
              </w:rPr>
              <w:t>3</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精准衰减校正质控系统</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（附厂家技术白皮书及临床图例）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ascii="等线" w:hAnsi="等线" w:eastAsia="等线" w:cs="宋体"/>
                <w:kern w:val="0"/>
                <w:sz w:val="22"/>
              </w:rPr>
              <w:t>*</w:t>
            </w:r>
            <w:r>
              <w:rPr>
                <w:rFonts w:hint="eastAsia" w:ascii="等线" w:hAnsi="等线" w:eastAsia="等线" w:cs="宋体"/>
                <w:kern w:val="0"/>
                <w:sz w:val="22"/>
              </w:rPr>
              <w:t>5.10</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提供Q.Cla</w:t>
            </w:r>
            <w:r>
              <w:rPr>
                <w:rFonts w:ascii="等线" w:hAnsi="等线" w:eastAsia="等线" w:cs="宋体"/>
                <w:kern w:val="0"/>
                <w:sz w:val="22"/>
              </w:rPr>
              <w:t>rity</w:t>
            </w:r>
            <w:r>
              <w:rPr>
                <w:rFonts w:hint="eastAsia" w:ascii="等线" w:hAnsi="等线" w:eastAsia="等线" w:cs="宋体"/>
                <w:kern w:val="0"/>
                <w:sz w:val="22"/>
              </w:rPr>
              <w:t>高清全身骨系统</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（附厂家技术白皮书及临床图例）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5.10.1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提供Q.Cla</w:t>
            </w:r>
            <w:r>
              <w:rPr>
                <w:rFonts w:ascii="等线" w:hAnsi="等线" w:eastAsia="等线" w:cs="宋体"/>
                <w:kern w:val="0"/>
                <w:sz w:val="22"/>
              </w:rPr>
              <w:t>rity</w:t>
            </w:r>
            <w:r>
              <w:rPr>
                <w:rFonts w:hint="eastAsia" w:ascii="等线" w:hAnsi="等线" w:eastAsia="等线" w:cs="宋体"/>
                <w:kern w:val="0"/>
                <w:sz w:val="22"/>
              </w:rPr>
              <w:t>高清全身骨算法</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（附厂家技术白皮书及临床图例）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5.10.2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提供基于贝叶斯迭代的Q.Cla</w:t>
            </w:r>
            <w:r>
              <w:rPr>
                <w:rFonts w:ascii="等线" w:hAnsi="等线" w:eastAsia="等线" w:cs="宋体"/>
                <w:kern w:val="0"/>
                <w:sz w:val="22"/>
              </w:rPr>
              <w:t>rity</w:t>
            </w:r>
            <w:r>
              <w:rPr>
                <w:rFonts w:hint="eastAsia" w:ascii="等线" w:hAnsi="等线" w:eastAsia="等线" w:cs="宋体"/>
                <w:kern w:val="0"/>
                <w:sz w:val="22"/>
              </w:rPr>
              <w:t>图像增强重建技术</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5.10.3</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提供基于观测分布校正迭代的Q.Cla</w:t>
            </w:r>
            <w:r>
              <w:rPr>
                <w:rFonts w:ascii="等线" w:hAnsi="等线" w:eastAsia="等线" w:cs="宋体"/>
                <w:kern w:val="0"/>
                <w:sz w:val="22"/>
              </w:rPr>
              <w:t>rity</w:t>
            </w:r>
            <w:r>
              <w:rPr>
                <w:rFonts w:hint="eastAsia" w:ascii="等线" w:hAnsi="等线" w:eastAsia="等线" w:cs="宋体"/>
                <w:kern w:val="0"/>
                <w:sz w:val="22"/>
              </w:rPr>
              <w:t>图像增强重建技术</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5.10.4</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提供Q.Cla</w:t>
            </w:r>
            <w:r>
              <w:rPr>
                <w:rFonts w:ascii="等线" w:hAnsi="等线" w:eastAsia="等线" w:cs="宋体"/>
                <w:kern w:val="0"/>
                <w:sz w:val="22"/>
              </w:rPr>
              <w:t>rity</w:t>
            </w:r>
            <w:r>
              <w:rPr>
                <w:rFonts w:hint="eastAsia" w:ascii="等线" w:hAnsi="等线" w:eastAsia="等线" w:cs="宋体"/>
                <w:kern w:val="0"/>
                <w:sz w:val="22"/>
              </w:rPr>
              <w:t>逐个像素图像融合处理技术</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5.10.5</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可实现Q.Cla</w:t>
            </w:r>
            <w:r>
              <w:rPr>
                <w:rFonts w:ascii="等线" w:hAnsi="等线" w:eastAsia="等线" w:cs="宋体"/>
                <w:kern w:val="0"/>
                <w:sz w:val="22"/>
              </w:rPr>
              <w:t>rity</w:t>
            </w:r>
            <w:r>
              <w:rPr>
                <w:rFonts w:hint="eastAsia" w:ascii="等线" w:hAnsi="等线" w:eastAsia="等线" w:cs="宋体"/>
                <w:kern w:val="0"/>
                <w:sz w:val="22"/>
              </w:rPr>
              <w:t>平面高清系统分辨率(@10cm, FWHM)(mm)</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w:t>
            </w:r>
            <w:r>
              <w:rPr>
                <w:rFonts w:ascii="等线" w:hAnsi="等线" w:eastAsia="等线" w:cs="宋体"/>
                <w:kern w:val="0"/>
                <w:sz w:val="22"/>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5.10.6</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提升小病灶检出率</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w:t>
            </w:r>
            <w:r>
              <w:rPr>
                <w:rFonts w:ascii="等线" w:hAnsi="等线" w:eastAsia="等线" w:cs="宋体"/>
                <w:kern w:val="0"/>
                <w:sz w:val="22"/>
              </w:rPr>
              <w:t>150</w:t>
            </w:r>
            <w:r>
              <w:rPr>
                <w:rFonts w:hint="eastAsia" w:ascii="等线" w:hAnsi="等线" w:eastAsia="等线" w:cs="宋体"/>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5.10.5</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提供可编程的</w:t>
            </w:r>
            <w:r>
              <w:rPr>
                <w:rFonts w:ascii="等线" w:hAnsi="等线" w:eastAsia="等线" w:cs="宋体"/>
                <w:kern w:val="0"/>
                <w:sz w:val="22"/>
              </w:rPr>
              <w:t>Aladdin</w:t>
            </w:r>
            <w:r>
              <w:rPr>
                <w:rFonts w:hint="eastAsia" w:ascii="等线" w:hAnsi="等线" w:eastAsia="等线" w:cs="宋体"/>
                <w:kern w:val="0"/>
                <w:sz w:val="22"/>
              </w:rPr>
              <w:t>功能软件，可实现定制临床应用功能。</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（附实际编程界面及定制的应用功能界面）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原厂SPECT/CT SUV定量系统（包括软硬件）</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5.11.1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支持所有临床常见核素，包括Tc</w:t>
            </w:r>
            <w:r>
              <w:rPr>
                <w:rFonts w:ascii="等线" w:hAnsi="等线" w:eastAsia="等线" w:cs="宋体"/>
                <w:kern w:val="0"/>
                <w:sz w:val="22"/>
              </w:rPr>
              <w:t>-99m, Lu-177, I-131</w:t>
            </w:r>
            <w:r>
              <w:rPr>
                <w:rFonts w:hint="eastAsia" w:ascii="等线" w:hAnsi="等线" w:eastAsia="等线" w:cs="宋体"/>
                <w:kern w:val="0"/>
                <w:sz w:val="22"/>
              </w:rPr>
              <w:t>等</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（附厂家技术白皮书）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提供Q</w:t>
            </w:r>
            <w:r>
              <w:rPr>
                <w:rFonts w:ascii="等线" w:hAnsi="等线" w:eastAsia="等线" w:cs="宋体"/>
                <w:kern w:val="0"/>
                <w:sz w:val="22"/>
              </w:rPr>
              <w:t xml:space="preserve">.VMI </w:t>
            </w:r>
            <w:r>
              <w:rPr>
                <w:rFonts w:hint="eastAsia" w:ascii="等线" w:hAnsi="等线" w:eastAsia="等线" w:cs="宋体"/>
                <w:kern w:val="0"/>
                <w:sz w:val="22"/>
              </w:rPr>
              <w:t>快微C</w:t>
            </w:r>
            <w:r>
              <w:rPr>
                <w:rFonts w:ascii="等线" w:hAnsi="等线" w:eastAsia="等线" w:cs="宋体"/>
                <w:kern w:val="0"/>
                <w:sz w:val="22"/>
              </w:rPr>
              <w:t>ompare</w:t>
            </w:r>
            <w:r>
              <w:rPr>
                <w:rFonts w:hint="eastAsia" w:ascii="等线" w:hAnsi="等线" w:eastAsia="等线" w:cs="宋体"/>
                <w:kern w:val="0"/>
                <w:sz w:val="22"/>
              </w:rPr>
              <w:t>选项，一键对比可显示治疗前后定量值变化百分比</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3</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w:t>
            </w:r>
            <w:r>
              <w:rPr>
                <w:rFonts w:hint="eastAsia" w:ascii="等线" w:hAnsi="等线" w:eastAsia="等线" w:cs="宋体"/>
                <w:kern w:val="0"/>
                <w:sz w:val="22"/>
                <w:vertAlign w:val="superscript"/>
              </w:rPr>
              <w:t>177</w:t>
            </w:r>
            <w:r>
              <w:rPr>
                <w:rFonts w:hint="eastAsia" w:ascii="等线" w:hAnsi="等线" w:eastAsia="等线" w:cs="宋体"/>
                <w:kern w:val="0"/>
                <w:sz w:val="22"/>
              </w:rPr>
              <w:t>Lu-PSMA 前列腺癌Q</w:t>
            </w:r>
            <w:r>
              <w:rPr>
                <w:rFonts w:ascii="等线" w:hAnsi="等线" w:eastAsia="等线" w:cs="宋体"/>
                <w:kern w:val="0"/>
                <w:sz w:val="22"/>
              </w:rPr>
              <w:t>.VMI</w:t>
            </w:r>
            <w:r>
              <w:rPr>
                <w:rFonts w:hint="eastAsia" w:ascii="等线" w:hAnsi="等线" w:eastAsia="等线" w:cs="宋体"/>
                <w:kern w:val="0"/>
                <w:sz w:val="22"/>
              </w:rPr>
              <w:t>快微一键式疗效评估功能</w:t>
            </w:r>
          </w:p>
        </w:tc>
        <w:tc>
          <w:tcPr>
            <w:tcW w:w="3476"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4</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w:t>
            </w:r>
            <w:r>
              <w:rPr>
                <w:rFonts w:hint="eastAsia" w:ascii="等线" w:hAnsi="等线" w:eastAsia="等线" w:cs="宋体"/>
                <w:kern w:val="0"/>
                <w:sz w:val="22"/>
                <w:vertAlign w:val="superscript"/>
              </w:rPr>
              <w:t>131</w:t>
            </w:r>
            <w:r>
              <w:rPr>
                <w:rFonts w:hint="eastAsia" w:ascii="等线" w:hAnsi="等线" w:eastAsia="等线" w:cs="宋体"/>
                <w:kern w:val="0"/>
                <w:sz w:val="22"/>
              </w:rPr>
              <w:t>I清甲手术Q</w:t>
            </w:r>
            <w:r>
              <w:rPr>
                <w:rFonts w:ascii="等线" w:hAnsi="等线" w:eastAsia="等线" w:cs="宋体"/>
                <w:kern w:val="0"/>
                <w:sz w:val="22"/>
              </w:rPr>
              <w:t>.VMI</w:t>
            </w:r>
            <w:r>
              <w:rPr>
                <w:rFonts w:hint="eastAsia" w:ascii="等线" w:hAnsi="等线" w:eastAsia="等线" w:cs="宋体"/>
                <w:kern w:val="0"/>
                <w:sz w:val="22"/>
              </w:rPr>
              <w:t>快微一键式疗效评估功能</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5</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w:t>
            </w:r>
            <w:r>
              <w:rPr>
                <w:rFonts w:ascii="等线" w:hAnsi="等线" w:eastAsia="等线" w:cs="宋体"/>
                <w:kern w:val="0"/>
                <w:sz w:val="22"/>
                <w:vertAlign w:val="superscript"/>
              </w:rPr>
              <w:t>223</w:t>
            </w:r>
            <w:r>
              <w:rPr>
                <w:rFonts w:ascii="等线" w:hAnsi="等线" w:eastAsia="等线" w:cs="宋体"/>
                <w:kern w:val="0"/>
                <w:sz w:val="22"/>
              </w:rPr>
              <w:t>RaCl2</w:t>
            </w:r>
            <w:r>
              <w:rPr>
                <w:rFonts w:hint="eastAsia" w:ascii="等线" w:hAnsi="等线" w:eastAsia="等线" w:cs="宋体"/>
                <w:kern w:val="0"/>
                <w:sz w:val="22"/>
              </w:rPr>
              <w:t>治疗前列腺癌肿瘤骨转移Q</w:t>
            </w:r>
            <w:r>
              <w:rPr>
                <w:rFonts w:ascii="等线" w:hAnsi="等线" w:eastAsia="等线" w:cs="宋体"/>
                <w:kern w:val="0"/>
                <w:sz w:val="22"/>
              </w:rPr>
              <w:t>.VMI</w:t>
            </w:r>
            <w:r>
              <w:rPr>
                <w:rFonts w:hint="eastAsia" w:ascii="等线" w:hAnsi="等线" w:eastAsia="等线" w:cs="宋体"/>
                <w:kern w:val="0"/>
                <w:sz w:val="22"/>
              </w:rPr>
              <w:t>快微一键式疗效评估功能</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6</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提供</w:t>
            </w:r>
            <w:r>
              <w:rPr>
                <w:rFonts w:hint="eastAsia" w:ascii="等线" w:hAnsi="等线" w:eastAsia="等线" w:cs="宋体"/>
                <w:kern w:val="0"/>
                <w:sz w:val="22"/>
                <w:vertAlign w:val="superscript"/>
              </w:rPr>
              <w:t>90</w:t>
            </w:r>
            <w:r>
              <w:rPr>
                <w:rFonts w:hint="eastAsia" w:ascii="等线" w:hAnsi="等线" w:eastAsia="等线" w:cs="宋体"/>
                <w:kern w:val="0"/>
                <w:sz w:val="22"/>
              </w:rPr>
              <w:t>Y微球蛋白治疗Q</w:t>
            </w:r>
            <w:r>
              <w:rPr>
                <w:rFonts w:ascii="等线" w:hAnsi="等线" w:eastAsia="等线" w:cs="宋体"/>
                <w:kern w:val="0"/>
                <w:sz w:val="22"/>
              </w:rPr>
              <w:t>.VMI</w:t>
            </w:r>
            <w:r>
              <w:rPr>
                <w:rFonts w:hint="eastAsia" w:ascii="等线" w:hAnsi="等线" w:eastAsia="等线" w:cs="宋体"/>
                <w:kern w:val="0"/>
                <w:sz w:val="22"/>
              </w:rPr>
              <w:t>快微一键式治疗指导功能</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7</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除手动和阈值法勾画器官外，提供第三种Q</w:t>
            </w:r>
            <w:r>
              <w:rPr>
                <w:rFonts w:ascii="等线" w:hAnsi="等线" w:eastAsia="等线" w:cs="宋体"/>
                <w:kern w:val="0"/>
                <w:sz w:val="22"/>
              </w:rPr>
              <w:t>.VMI</w:t>
            </w:r>
            <w:r>
              <w:rPr>
                <w:rFonts w:hint="eastAsia" w:ascii="等线" w:hAnsi="等线" w:eastAsia="等线" w:cs="宋体"/>
                <w:kern w:val="0"/>
                <w:sz w:val="22"/>
              </w:rPr>
              <w:t>快微全身骨自动勾画功能</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8</w:t>
            </w:r>
          </w:p>
        </w:tc>
        <w:tc>
          <w:tcPr>
            <w:tcW w:w="4860"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rPr>
              <w:t>除手动和阈值法勾画器官外，提供第三种Q</w:t>
            </w:r>
            <w:r>
              <w:rPr>
                <w:rFonts w:ascii="等线" w:hAnsi="等线" w:eastAsia="等线" w:cs="宋体"/>
                <w:kern w:val="0"/>
                <w:sz w:val="22"/>
              </w:rPr>
              <w:t>.VMI</w:t>
            </w:r>
            <w:r>
              <w:rPr>
                <w:rFonts w:hint="eastAsia" w:ascii="等线" w:hAnsi="等线" w:eastAsia="等线" w:cs="宋体"/>
                <w:kern w:val="0"/>
                <w:sz w:val="22"/>
              </w:rPr>
              <w:t>快微肺自动勾画功能</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9</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除手动和阈值法勾画器官外，提供第三种Q</w:t>
            </w:r>
            <w:r>
              <w:rPr>
                <w:rFonts w:ascii="等线" w:hAnsi="等线" w:eastAsia="等线" w:cs="宋体"/>
                <w:kern w:val="0"/>
                <w:sz w:val="22"/>
              </w:rPr>
              <w:t>.VMI</w:t>
            </w:r>
            <w:r>
              <w:rPr>
                <w:rFonts w:hint="eastAsia" w:ascii="等线" w:hAnsi="等线" w:eastAsia="等线" w:cs="宋体"/>
                <w:kern w:val="0"/>
                <w:sz w:val="22"/>
              </w:rPr>
              <w:t>快微气管自动勾画功能</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10</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Q</w:t>
            </w:r>
            <w:r>
              <w:rPr>
                <w:rFonts w:ascii="等线" w:hAnsi="等线" w:eastAsia="等线" w:cs="宋体"/>
                <w:kern w:val="0"/>
                <w:sz w:val="22"/>
              </w:rPr>
              <w:t>.VMI</w:t>
            </w:r>
            <w:r>
              <w:rPr>
                <w:rFonts w:hint="eastAsia" w:ascii="等线" w:hAnsi="等线" w:eastAsia="等线" w:cs="宋体"/>
                <w:kern w:val="0"/>
                <w:sz w:val="22"/>
              </w:rPr>
              <w:t>快微一键式精准诊疗系统自动计算%</w:t>
            </w:r>
            <w:r>
              <w:rPr>
                <w:rFonts w:ascii="等线" w:hAnsi="等线" w:eastAsia="等线" w:cs="宋体"/>
                <w:kern w:val="0"/>
                <w:sz w:val="22"/>
              </w:rPr>
              <w:t xml:space="preserve"> </w:t>
            </w:r>
            <w:r>
              <w:rPr>
                <w:rFonts w:hint="eastAsia" w:ascii="等线" w:hAnsi="等线" w:eastAsia="等线" w:cs="宋体"/>
                <w:kern w:val="0"/>
                <w:sz w:val="22"/>
              </w:rPr>
              <w:t>injected dose摄取率比值</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11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Q</w:t>
            </w:r>
            <w:r>
              <w:rPr>
                <w:rFonts w:ascii="等线" w:hAnsi="等线" w:eastAsia="等线" w:cs="宋体"/>
                <w:kern w:val="0"/>
                <w:sz w:val="22"/>
              </w:rPr>
              <w:t>.VMI</w:t>
            </w:r>
            <w:r>
              <w:rPr>
                <w:rFonts w:hint="eastAsia" w:ascii="等线" w:hAnsi="等线" w:eastAsia="等线" w:cs="宋体"/>
                <w:kern w:val="0"/>
                <w:sz w:val="22"/>
              </w:rPr>
              <w:t>快微一键式精准诊疗系统自动计算SUVbw值</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12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Q</w:t>
            </w:r>
            <w:r>
              <w:rPr>
                <w:rFonts w:ascii="等线" w:hAnsi="等线" w:eastAsia="等线" w:cs="宋体"/>
                <w:kern w:val="0"/>
                <w:sz w:val="22"/>
              </w:rPr>
              <w:t>.VMI</w:t>
            </w:r>
            <w:r>
              <w:rPr>
                <w:rFonts w:hint="eastAsia" w:ascii="等线" w:hAnsi="等线" w:eastAsia="等线" w:cs="宋体"/>
                <w:kern w:val="0"/>
                <w:sz w:val="22"/>
              </w:rPr>
              <w:t>快微一键式精准诊疗系统自动计算SUVbsa值</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tcPr>
          <w:p>
            <w:pPr>
              <w:widowControl/>
              <w:jc w:val="center"/>
              <w:textAlignment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1.</w:t>
            </w:r>
            <w:r>
              <w:rPr>
                <w:rFonts w:ascii="等线" w:hAnsi="等线" w:eastAsia="等线" w:cs="宋体"/>
                <w:kern w:val="0"/>
                <w:sz w:val="22"/>
              </w:rPr>
              <w:t>13</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Q</w:t>
            </w:r>
            <w:r>
              <w:rPr>
                <w:rFonts w:ascii="等线" w:hAnsi="等线" w:eastAsia="等线" w:cs="宋体"/>
                <w:kern w:val="0"/>
                <w:sz w:val="22"/>
              </w:rPr>
              <w:t>.VMI</w:t>
            </w:r>
            <w:r>
              <w:rPr>
                <w:rFonts w:hint="eastAsia" w:ascii="等线" w:hAnsi="等线" w:eastAsia="等线" w:cs="宋体"/>
                <w:kern w:val="0"/>
                <w:sz w:val="22"/>
              </w:rPr>
              <w:t>快微一键式精准诊疗系统自动计算SUVlbm值</w:t>
            </w:r>
          </w:p>
        </w:tc>
        <w:tc>
          <w:tcPr>
            <w:tcW w:w="3476" w:type="dxa"/>
            <w:shd w:val="clear" w:color="auto" w:fill="auto"/>
          </w:tcPr>
          <w:p>
            <w:pPr>
              <w:widowControl/>
              <w:jc w:val="left"/>
              <w:rPr>
                <w:rFonts w:ascii="等线" w:hAnsi="等线" w:eastAsia="等线" w:cs="宋体"/>
                <w:kern w:val="0"/>
                <w:sz w:val="22"/>
              </w:rPr>
            </w:pPr>
            <w:r>
              <w:rPr>
                <w:rFonts w:hint="eastAsia" w:ascii="等线" w:hAnsi="等线" w:eastAsia="等线" w:cs="宋体"/>
                <w:kern w:val="0"/>
                <w:sz w:val="22"/>
                <w:lang w:eastAsia="zh-CN"/>
              </w:rPr>
              <w:t>具备</w:t>
            </w:r>
            <w:r>
              <w:rPr>
                <w:rFonts w:hint="eastAsia" w:ascii="等线" w:hAnsi="等线" w:eastAsia="等线" w:cs="宋体"/>
                <w:kern w:val="0"/>
                <w:sz w:val="22"/>
              </w:rPr>
              <w:t>（附临床实际病例界面）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其他硬件</w:t>
            </w:r>
          </w:p>
        </w:tc>
        <w:tc>
          <w:tcPr>
            <w:tcW w:w="3476" w:type="dxa"/>
            <w:shd w:val="clear" w:color="auto" w:fill="auto"/>
            <w:vAlign w:val="center"/>
          </w:tcPr>
          <w:p>
            <w:pPr>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2.1</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头托 </w:t>
            </w:r>
          </w:p>
        </w:tc>
        <w:tc>
          <w:tcPr>
            <w:tcW w:w="3476" w:type="dxa"/>
            <w:shd w:val="clear" w:color="auto" w:fill="auto"/>
            <w:vAlign w:val="center"/>
          </w:tcPr>
          <w:p>
            <w:pPr>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pPr>
            <w:r>
              <w:rPr>
                <w:rFonts w:hint="eastAsia" w:ascii="等线" w:hAnsi="等线" w:eastAsia="等线" w:cs="宋体"/>
                <w:kern w:val="0"/>
                <w:sz w:val="22"/>
              </w:rPr>
              <w:t>5.</w:t>
            </w:r>
            <w:r>
              <w:rPr>
                <w:rFonts w:ascii="等线" w:hAnsi="等线" w:eastAsia="等线" w:cs="宋体"/>
                <w:kern w:val="0"/>
                <w:sz w:val="22"/>
              </w:rPr>
              <w:t>1</w:t>
            </w:r>
            <w:r>
              <w:rPr>
                <w:rFonts w:hint="eastAsia" w:ascii="等线" w:hAnsi="等线" w:eastAsia="等线" w:cs="宋体"/>
                <w:kern w:val="0"/>
                <w:sz w:val="22"/>
              </w:rPr>
              <w:t>2.2</w:t>
            </w:r>
          </w:p>
        </w:tc>
        <w:tc>
          <w:tcPr>
            <w:tcW w:w="48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提供R波触发器 </w:t>
            </w:r>
          </w:p>
        </w:tc>
        <w:tc>
          <w:tcPr>
            <w:tcW w:w="3476" w:type="dxa"/>
            <w:shd w:val="clear" w:color="auto" w:fill="auto"/>
            <w:vAlign w:val="center"/>
          </w:tcPr>
          <w:p>
            <w:pPr>
              <w:rPr>
                <w:rFonts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b/>
                <w:bCs/>
                <w:kern w:val="0"/>
                <w:sz w:val="22"/>
              </w:rPr>
            </w:pPr>
            <w:r>
              <w:rPr>
                <w:rFonts w:ascii="等线" w:hAnsi="等线" w:eastAsia="等线" w:cs="宋体"/>
                <w:b/>
                <w:bCs/>
                <w:kern w:val="0"/>
                <w:sz w:val="22"/>
              </w:rPr>
              <w:t>6</w:t>
            </w:r>
          </w:p>
        </w:tc>
        <w:tc>
          <w:tcPr>
            <w:tcW w:w="4860" w:type="dxa"/>
            <w:shd w:val="clear" w:color="auto" w:fill="auto"/>
            <w:vAlign w:val="center"/>
          </w:tcPr>
          <w:p>
            <w:pPr>
              <w:widowControl/>
              <w:jc w:val="left"/>
              <w:rPr>
                <w:rFonts w:hint="eastAsia" w:ascii="等线" w:hAnsi="等线" w:eastAsia="等线" w:cs="宋体"/>
                <w:b/>
                <w:bCs/>
                <w:kern w:val="0"/>
                <w:sz w:val="22"/>
              </w:rPr>
            </w:pPr>
            <w:r>
              <w:rPr>
                <w:rFonts w:hint="eastAsia" w:ascii="等线" w:hAnsi="等线" w:eastAsia="等线" w:cs="宋体"/>
                <w:b/>
                <w:bCs/>
                <w:kern w:val="0"/>
                <w:sz w:val="22"/>
              </w:rPr>
              <w:t>第三方附属设备</w:t>
            </w:r>
          </w:p>
        </w:tc>
        <w:tc>
          <w:tcPr>
            <w:tcW w:w="3476" w:type="dxa"/>
            <w:shd w:val="clear" w:color="auto" w:fill="auto"/>
            <w:vAlign w:val="center"/>
          </w:tcPr>
          <w:p>
            <w:pPr>
              <w:rPr>
                <w:rFonts w:hint="eastAsia" w:ascii="等线" w:hAnsi="等线" w:eastAsia="等线"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6.1</w:t>
            </w:r>
          </w:p>
        </w:tc>
        <w:tc>
          <w:tcPr>
            <w:tcW w:w="4860" w:type="dxa"/>
            <w:shd w:val="clear" w:color="auto" w:fill="auto"/>
          </w:tcPr>
          <w:p>
            <w:pPr>
              <w:widowControl/>
              <w:jc w:val="left"/>
              <w:rPr>
                <w:rFonts w:hint="eastAsia" w:ascii="等线" w:hAnsi="等线" w:eastAsia="等线" w:cs="宋体"/>
                <w:kern w:val="0"/>
                <w:sz w:val="22"/>
              </w:rPr>
            </w:pPr>
            <w:r>
              <w:rPr>
                <w:rFonts w:hint="eastAsia"/>
              </w:rPr>
              <w:t>工作站 UPS 不间断电源</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6.2</w:t>
            </w:r>
          </w:p>
        </w:tc>
        <w:tc>
          <w:tcPr>
            <w:tcW w:w="4860" w:type="dxa"/>
            <w:shd w:val="clear" w:color="auto" w:fill="auto"/>
          </w:tcPr>
          <w:p>
            <w:pPr>
              <w:widowControl/>
              <w:jc w:val="left"/>
              <w:rPr>
                <w:rFonts w:hint="eastAsia" w:ascii="等线" w:hAnsi="等线" w:eastAsia="等线" w:cs="宋体"/>
                <w:kern w:val="0"/>
                <w:sz w:val="22"/>
              </w:rPr>
            </w:pPr>
            <w:r>
              <w:rPr>
                <w:rFonts w:hint="eastAsia"/>
              </w:rPr>
              <w:t>活度计</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6.3</w:t>
            </w:r>
          </w:p>
        </w:tc>
        <w:tc>
          <w:tcPr>
            <w:tcW w:w="4860" w:type="dxa"/>
            <w:shd w:val="clear" w:color="auto" w:fill="auto"/>
          </w:tcPr>
          <w:p>
            <w:pPr>
              <w:widowControl/>
              <w:jc w:val="left"/>
              <w:rPr>
                <w:rFonts w:hint="eastAsia" w:ascii="等线" w:hAnsi="等线" w:eastAsia="等线" w:cs="宋体"/>
                <w:kern w:val="0"/>
                <w:sz w:val="22"/>
              </w:rPr>
            </w:pPr>
            <w:r>
              <w:rPr>
                <w:rFonts w:hint="eastAsia"/>
              </w:rPr>
              <w:t>表面污染监测仪</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6.4</w:t>
            </w:r>
          </w:p>
        </w:tc>
        <w:tc>
          <w:tcPr>
            <w:tcW w:w="4860" w:type="dxa"/>
            <w:shd w:val="clear" w:color="auto" w:fill="auto"/>
          </w:tcPr>
          <w:p>
            <w:pPr>
              <w:widowControl/>
              <w:jc w:val="left"/>
              <w:rPr>
                <w:rFonts w:hint="eastAsia" w:ascii="等线" w:hAnsi="等线" w:eastAsia="等线" w:cs="宋体"/>
                <w:kern w:val="0"/>
                <w:sz w:val="22"/>
              </w:rPr>
            </w:pPr>
            <w:r>
              <w:rPr>
                <w:rFonts w:hint="eastAsia"/>
              </w:rPr>
              <w:t>固定式剂量监测系统（3探头）</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6.6</w:t>
            </w:r>
          </w:p>
        </w:tc>
        <w:tc>
          <w:tcPr>
            <w:tcW w:w="4860" w:type="dxa"/>
            <w:shd w:val="clear" w:color="auto" w:fill="auto"/>
          </w:tcPr>
          <w:p>
            <w:pPr>
              <w:widowControl/>
              <w:jc w:val="left"/>
              <w:rPr>
                <w:rFonts w:hint="eastAsia" w:ascii="等线" w:hAnsi="等线" w:eastAsia="等线" w:cs="宋体"/>
                <w:kern w:val="0"/>
                <w:sz w:val="22"/>
              </w:rPr>
            </w:pPr>
            <w:r>
              <w:rPr>
                <w:rFonts w:hint="eastAsia"/>
              </w:rPr>
              <w:t xml:space="preserve">含直型防辐射围领、长方巾、防辐射帽、防辐射眼罩、防辐射衣 </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6.6</w:t>
            </w:r>
          </w:p>
        </w:tc>
        <w:tc>
          <w:tcPr>
            <w:tcW w:w="4860" w:type="dxa"/>
            <w:shd w:val="clear" w:color="auto" w:fill="auto"/>
          </w:tcPr>
          <w:p>
            <w:pPr>
              <w:widowControl/>
              <w:jc w:val="left"/>
              <w:rPr>
                <w:rFonts w:hint="eastAsia" w:ascii="等线" w:hAnsi="等线" w:eastAsia="等线" w:cs="宋体"/>
                <w:kern w:val="0"/>
                <w:sz w:val="22"/>
              </w:rPr>
            </w:pPr>
            <w:r>
              <w:rPr>
                <w:rFonts w:hint="eastAsia"/>
              </w:rPr>
              <w:t>铅手套</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6.7</w:t>
            </w:r>
          </w:p>
        </w:tc>
        <w:tc>
          <w:tcPr>
            <w:tcW w:w="4860" w:type="dxa"/>
            <w:shd w:val="clear" w:color="auto" w:fill="auto"/>
          </w:tcPr>
          <w:p>
            <w:pPr>
              <w:widowControl/>
              <w:jc w:val="left"/>
              <w:rPr>
                <w:rFonts w:hint="eastAsia" w:ascii="等线" w:hAnsi="等线" w:eastAsia="等线" w:cs="宋体"/>
                <w:kern w:val="0"/>
                <w:sz w:val="22"/>
              </w:rPr>
            </w:pPr>
            <w:r>
              <w:rPr>
                <w:rFonts w:hint="eastAsia"/>
              </w:rPr>
              <w:t>升降式防护注射车</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6.8</w:t>
            </w:r>
          </w:p>
        </w:tc>
        <w:tc>
          <w:tcPr>
            <w:tcW w:w="4860" w:type="dxa"/>
            <w:shd w:val="clear" w:color="auto" w:fill="auto"/>
          </w:tcPr>
          <w:p>
            <w:pPr>
              <w:widowControl/>
              <w:jc w:val="left"/>
              <w:rPr>
                <w:rFonts w:hint="eastAsia" w:ascii="等线" w:hAnsi="等线" w:eastAsia="等线" w:cs="宋体"/>
                <w:kern w:val="0"/>
                <w:sz w:val="22"/>
              </w:rPr>
            </w:pPr>
            <w:r>
              <w:rPr>
                <w:rFonts w:hint="eastAsia"/>
              </w:rPr>
              <w:t>注射器防护提盒</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6.9</w:t>
            </w:r>
          </w:p>
        </w:tc>
        <w:tc>
          <w:tcPr>
            <w:tcW w:w="4860" w:type="dxa"/>
            <w:shd w:val="clear" w:color="auto" w:fill="auto"/>
          </w:tcPr>
          <w:p>
            <w:pPr>
              <w:widowControl/>
              <w:jc w:val="left"/>
              <w:rPr>
                <w:rFonts w:hint="eastAsia" w:ascii="等线" w:hAnsi="等线" w:eastAsia="等线" w:cs="宋体"/>
                <w:kern w:val="0"/>
                <w:sz w:val="22"/>
              </w:rPr>
            </w:pPr>
            <w:r>
              <w:rPr>
                <w:rFonts w:hint="eastAsia"/>
              </w:rPr>
              <w:t>注射器防护套</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6.10</w:t>
            </w:r>
          </w:p>
        </w:tc>
        <w:tc>
          <w:tcPr>
            <w:tcW w:w="4860" w:type="dxa"/>
            <w:shd w:val="clear" w:color="auto" w:fill="auto"/>
          </w:tcPr>
          <w:p>
            <w:pPr>
              <w:widowControl/>
              <w:jc w:val="left"/>
              <w:rPr>
                <w:rFonts w:hint="eastAsia" w:ascii="等线" w:hAnsi="等线" w:eastAsia="等线" w:cs="宋体"/>
                <w:kern w:val="0"/>
                <w:sz w:val="22"/>
              </w:rPr>
            </w:pPr>
            <w:r>
              <w:rPr>
                <w:rFonts w:hint="eastAsia"/>
              </w:rPr>
              <w:t xml:space="preserve">放射衰变箱   </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6.11</w:t>
            </w:r>
          </w:p>
        </w:tc>
        <w:tc>
          <w:tcPr>
            <w:tcW w:w="4860" w:type="dxa"/>
            <w:shd w:val="clear" w:color="auto" w:fill="auto"/>
          </w:tcPr>
          <w:p>
            <w:pPr>
              <w:widowControl/>
              <w:jc w:val="left"/>
              <w:rPr>
                <w:rFonts w:hint="eastAsia" w:ascii="等线" w:hAnsi="等线" w:eastAsia="等线" w:cs="宋体"/>
                <w:kern w:val="0"/>
                <w:sz w:val="22"/>
              </w:rPr>
            </w:pPr>
            <w:r>
              <w:rPr>
                <w:rFonts w:hint="eastAsia"/>
              </w:rPr>
              <w:t>储源保险箱</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6.12</w:t>
            </w:r>
          </w:p>
        </w:tc>
        <w:tc>
          <w:tcPr>
            <w:tcW w:w="4860" w:type="dxa"/>
            <w:shd w:val="clear" w:color="auto" w:fill="auto"/>
          </w:tcPr>
          <w:p>
            <w:pPr>
              <w:widowControl/>
              <w:jc w:val="left"/>
              <w:rPr>
                <w:rFonts w:hint="eastAsia" w:ascii="等线" w:hAnsi="等线" w:eastAsia="等线" w:cs="宋体"/>
                <w:kern w:val="0"/>
                <w:sz w:val="22"/>
              </w:rPr>
            </w:pPr>
            <w:r>
              <w:rPr>
                <w:rFonts w:hint="eastAsia"/>
              </w:rPr>
              <w:t>储源铅罐</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6.13</w:t>
            </w:r>
          </w:p>
        </w:tc>
        <w:tc>
          <w:tcPr>
            <w:tcW w:w="4860" w:type="dxa"/>
            <w:shd w:val="clear" w:color="auto" w:fill="auto"/>
          </w:tcPr>
          <w:p>
            <w:pPr>
              <w:widowControl/>
              <w:jc w:val="left"/>
              <w:rPr>
                <w:rFonts w:hint="eastAsia" w:ascii="等线" w:hAnsi="等线" w:eastAsia="等线" w:cs="宋体"/>
                <w:kern w:val="0"/>
                <w:sz w:val="22"/>
              </w:rPr>
            </w:pPr>
            <w:r>
              <w:rPr>
                <w:rFonts w:hint="eastAsia"/>
              </w:rPr>
              <w:t>转运铅罐</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6.14</w:t>
            </w:r>
          </w:p>
        </w:tc>
        <w:tc>
          <w:tcPr>
            <w:tcW w:w="4860" w:type="dxa"/>
            <w:shd w:val="clear" w:color="auto" w:fill="auto"/>
          </w:tcPr>
          <w:p>
            <w:pPr>
              <w:widowControl/>
              <w:jc w:val="left"/>
              <w:rPr>
                <w:rFonts w:hint="eastAsia" w:ascii="等线" w:hAnsi="等线" w:eastAsia="等线" w:cs="宋体"/>
                <w:kern w:val="0"/>
                <w:sz w:val="22"/>
              </w:rPr>
            </w:pPr>
            <w:r>
              <w:rPr>
                <w:rFonts w:hint="eastAsia"/>
              </w:rPr>
              <w:t>翻转铅罐</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6.15</w:t>
            </w:r>
          </w:p>
        </w:tc>
        <w:tc>
          <w:tcPr>
            <w:tcW w:w="4860" w:type="dxa"/>
            <w:shd w:val="clear" w:color="auto" w:fill="auto"/>
          </w:tcPr>
          <w:p>
            <w:pPr>
              <w:widowControl/>
              <w:jc w:val="left"/>
              <w:rPr>
                <w:rFonts w:hint="eastAsia" w:ascii="等线" w:hAnsi="等线" w:eastAsia="等线" w:cs="宋体"/>
                <w:kern w:val="0"/>
                <w:sz w:val="22"/>
              </w:rPr>
            </w:pPr>
            <w:r>
              <w:rPr>
                <w:rFonts w:hint="eastAsia"/>
              </w:rPr>
              <w:t>碘131全自动核素分装仪</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6.16</w:t>
            </w:r>
          </w:p>
        </w:tc>
        <w:tc>
          <w:tcPr>
            <w:tcW w:w="4860" w:type="dxa"/>
            <w:shd w:val="clear" w:color="auto" w:fill="auto"/>
          </w:tcPr>
          <w:p>
            <w:pPr>
              <w:widowControl/>
              <w:jc w:val="left"/>
              <w:rPr>
                <w:rFonts w:hint="eastAsia" w:ascii="等线" w:hAnsi="等线" w:eastAsia="等线" w:cs="宋体"/>
                <w:kern w:val="0"/>
                <w:sz w:val="22"/>
              </w:rPr>
            </w:pPr>
            <w:r>
              <w:rPr>
                <w:rFonts w:hint="eastAsia"/>
              </w:rPr>
              <w:t>机房、候诊区、注射窗、碘 131 分装区视频监控、对讲系统</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rPr>
            </w:pPr>
            <w:r>
              <w:rPr>
                <w:rFonts w:ascii="等线" w:hAnsi="等线" w:eastAsia="等线" w:cs="宋体"/>
                <w:kern w:val="0"/>
                <w:sz w:val="22"/>
              </w:rPr>
              <w:t>6.17</w:t>
            </w:r>
          </w:p>
        </w:tc>
        <w:tc>
          <w:tcPr>
            <w:tcW w:w="4860" w:type="dxa"/>
            <w:shd w:val="clear" w:color="auto" w:fill="auto"/>
          </w:tcPr>
          <w:p>
            <w:pPr>
              <w:widowControl/>
              <w:jc w:val="left"/>
              <w:rPr>
                <w:rFonts w:hint="eastAsia" w:ascii="等线" w:hAnsi="等线" w:eastAsia="等线" w:cs="宋体"/>
                <w:kern w:val="0"/>
                <w:sz w:val="22"/>
              </w:rPr>
            </w:pPr>
            <w:r>
              <w:rPr>
                <w:rFonts w:hint="eastAsia"/>
              </w:rPr>
              <w:t>自助彩色打印设备</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6.18</w:t>
            </w:r>
          </w:p>
        </w:tc>
        <w:tc>
          <w:tcPr>
            <w:tcW w:w="4860" w:type="dxa"/>
            <w:shd w:val="clear" w:color="auto" w:fill="auto"/>
          </w:tcPr>
          <w:p>
            <w:pPr>
              <w:widowControl/>
              <w:jc w:val="left"/>
              <w:rPr>
                <w:rFonts w:hint="eastAsia" w:eastAsia="宋体"/>
                <w:lang w:eastAsia="zh-CN"/>
              </w:rPr>
            </w:pPr>
            <w:r>
              <w:rPr>
                <w:rFonts w:hint="eastAsia"/>
                <w:lang w:eastAsia="zh-CN"/>
              </w:rPr>
              <w:t>运动单车</w:t>
            </w:r>
          </w:p>
        </w:tc>
        <w:tc>
          <w:tcPr>
            <w:tcW w:w="3476" w:type="dxa"/>
            <w:shd w:val="clear" w:color="auto" w:fill="auto"/>
            <w:vAlign w:val="center"/>
          </w:tcPr>
          <w:p>
            <w:pPr>
              <w:rPr>
                <w:rFonts w:hint="eastAsia" w:ascii="等线" w:hAnsi="等线" w:eastAsia="等线" w:cs="宋体"/>
                <w:kern w:val="0"/>
                <w:sz w:val="22"/>
                <w:lang w:eastAsia="zh-CN"/>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lang w:eastAsia="zh-CN"/>
              </w:rPr>
            </w:pPr>
            <w:r>
              <w:rPr>
                <w:rFonts w:ascii="等线" w:hAnsi="等线" w:eastAsia="等线" w:cs="宋体"/>
                <w:kern w:val="0"/>
                <w:sz w:val="22"/>
              </w:rPr>
              <w:t>6.1</w:t>
            </w:r>
            <w:r>
              <w:rPr>
                <w:rFonts w:hint="eastAsia" w:ascii="等线" w:hAnsi="等线" w:eastAsia="等线" w:cs="宋体"/>
                <w:kern w:val="0"/>
                <w:sz w:val="22"/>
                <w:lang w:val="en-US" w:eastAsia="zh-CN"/>
              </w:rPr>
              <w:t>9</w:t>
            </w:r>
          </w:p>
        </w:tc>
        <w:tc>
          <w:tcPr>
            <w:tcW w:w="4860" w:type="dxa"/>
            <w:shd w:val="clear" w:color="auto" w:fill="auto"/>
          </w:tcPr>
          <w:p>
            <w:pPr>
              <w:widowControl/>
              <w:jc w:val="left"/>
              <w:rPr>
                <w:rFonts w:hint="eastAsia" w:ascii="等线" w:hAnsi="等线" w:eastAsia="等线" w:cs="宋体"/>
                <w:kern w:val="0"/>
                <w:sz w:val="22"/>
              </w:rPr>
            </w:pPr>
            <w:r>
              <w:rPr>
                <w:rFonts w:hint="eastAsia"/>
              </w:rPr>
              <w:t>铅衣架</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default" w:ascii="等线" w:hAnsi="等线" w:eastAsia="等线" w:cs="宋体"/>
                <w:kern w:val="0"/>
                <w:sz w:val="22"/>
                <w:lang w:val="en-US" w:eastAsia="zh-CN"/>
              </w:rPr>
            </w:pPr>
            <w:r>
              <w:rPr>
                <w:rFonts w:ascii="等线" w:hAnsi="等线" w:eastAsia="等线" w:cs="宋体"/>
                <w:kern w:val="0"/>
                <w:sz w:val="22"/>
              </w:rPr>
              <w:t>6.</w:t>
            </w:r>
            <w:r>
              <w:rPr>
                <w:rFonts w:hint="eastAsia" w:ascii="等线" w:hAnsi="等线" w:eastAsia="等线" w:cs="宋体"/>
                <w:kern w:val="0"/>
                <w:sz w:val="22"/>
                <w:lang w:val="en-US" w:eastAsia="zh-CN"/>
              </w:rPr>
              <w:t>20</w:t>
            </w:r>
          </w:p>
        </w:tc>
        <w:tc>
          <w:tcPr>
            <w:tcW w:w="4860" w:type="dxa"/>
            <w:shd w:val="clear" w:color="auto" w:fill="auto"/>
          </w:tcPr>
          <w:p>
            <w:pPr>
              <w:widowControl/>
              <w:jc w:val="left"/>
              <w:rPr>
                <w:rFonts w:hint="eastAsia" w:ascii="等线" w:hAnsi="等线" w:eastAsia="等线" w:cs="宋体"/>
                <w:kern w:val="0"/>
                <w:sz w:val="22"/>
              </w:rPr>
            </w:pPr>
            <w:r>
              <w:rPr>
                <w:rFonts w:hint="eastAsia"/>
              </w:rPr>
              <w:t xml:space="preserve">空气消毒机 </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dxa"/>
            <w:shd w:val="clear" w:color="auto" w:fill="auto"/>
            <w:vAlign w:val="center"/>
          </w:tcPr>
          <w:p>
            <w:pPr>
              <w:jc w:val="center"/>
              <w:textAlignment w:val="center"/>
              <w:rPr>
                <w:rFonts w:hint="eastAsia" w:ascii="等线" w:hAnsi="等线" w:eastAsia="等线" w:cs="宋体"/>
                <w:kern w:val="0"/>
                <w:sz w:val="22"/>
                <w:lang w:eastAsia="zh-CN"/>
              </w:rPr>
            </w:pPr>
            <w:r>
              <w:rPr>
                <w:rFonts w:ascii="等线" w:hAnsi="等线" w:eastAsia="等线" w:cs="宋体"/>
                <w:kern w:val="0"/>
                <w:sz w:val="22"/>
              </w:rPr>
              <w:t>6.2</w:t>
            </w:r>
            <w:r>
              <w:rPr>
                <w:rFonts w:hint="eastAsia" w:ascii="等线" w:hAnsi="等线" w:eastAsia="等线" w:cs="宋体"/>
                <w:kern w:val="0"/>
                <w:sz w:val="22"/>
                <w:lang w:val="en-US" w:eastAsia="zh-CN"/>
              </w:rPr>
              <w:t>1</w:t>
            </w:r>
          </w:p>
        </w:tc>
        <w:tc>
          <w:tcPr>
            <w:tcW w:w="4860" w:type="dxa"/>
            <w:shd w:val="clear" w:color="auto" w:fill="auto"/>
          </w:tcPr>
          <w:p>
            <w:pPr>
              <w:widowControl/>
              <w:jc w:val="left"/>
              <w:rPr>
                <w:rFonts w:hint="eastAsia" w:ascii="等线" w:hAnsi="等线" w:eastAsia="等线" w:cs="宋体"/>
                <w:kern w:val="0"/>
                <w:sz w:val="22"/>
              </w:rPr>
            </w:pPr>
            <w:r>
              <w:rPr>
                <w:rFonts w:hint="eastAsia"/>
              </w:rPr>
              <w:t>除湿机</w:t>
            </w:r>
          </w:p>
        </w:tc>
        <w:tc>
          <w:tcPr>
            <w:tcW w:w="3476" w:type="dxa"/>
            <w:shd w:val="clear" w:color="auto" w:fill="auto"/>
            <w:vAlign w:val="center"/>
          </w:tcPr>
          <w:p>
            <w:pPr>
              <w:rPr>
                <w:rFonts w:hint="eastAsia" w:ascii="等线" w:hAnsi="等线" w:eastAsia="等线" w:cs="宋体"/>
                <w:kern w:val="0"/>
                <w:sz w:val="22"/>
              </w:rPr>
            </w:pPr>
            <w:r>
              <w:rPr>
                <w:rFonts w:hint="eastAsia" w:ascii="等线" w:hAnsi="等线" w:eastAsia="等线" w:cs="宋体"/>
                <w:kern w:val="0"/>
                <w:sz w:val="22"/>
                <w:lang w:eastAsia="zh-CN"/>
              </w:rPr>
              <w:t>具备</w:t>
            </w:r>
          </w:p>
        </w:tc>
      </w:tr>
    </w:tbl>
    <w:p>
      <w:pPr>
        <w:pStyle w:val="6"/>
        <w:rPr>
          <w:rFonts w:ascii="宋体" w:hAnsi="宋体" w:eastAsia="宋体" w:cs="宋体"/>
          <w:b/>
          <w:bCs/>
          <w:sz w:val="36"/>
          <w:szCs w:val="36"/>
        </w:rPr>
      </w:pPr>
    </w:p>
    <w:p>
      <w:pPr>
        <w:widowControl/>
        <w:spacing w:line="360" w:lineRule="auto"/>
        <w:jc w:val="left"/>
        <w:rPr>
          <w:rFonts w:ascii="宋体" w:hAnsi="宋体"/>
          <w:kern w:val="44"/>
          <w:sz w:val="24"/>
          <w:szCs w:val="24"/>
        </w:rPr>
      </w:pPr>
      <w:bookmarkStart w:id="180" w:name="_Toc256363562"/>
      <w:r>
        <w:rPr>
          <w:kern w:val="44"/>
        </w:rPr>
        <w:br w:type="page"/>
      </w:r>
    </w:p>
    <w:p>
      <w:pPr>
        <w:widowControl/>
        <w:jc w:val="left"/>
        <w:rPr>
          <w:rFonts w:ascii="仿宋_GB2312" w:eastAsia="仿宋_GB2312"/>
          <w:kern w:val="44"/>
          <w:sz w:val="28"/>
          <w:szCs w:val="28"/>
        </w:rPr>
      </w:pPr>
    </w:p>
    <w:p>
      <w:pPr>
        <w:pStyle w:val="6"/>
        <w:snapToGrid w:val="0"/>
        <w:ind w:firstLine="0"/>
        <w:jc w:val="center"/>
        <w:rPr>
          <w:rFonts w:cs="Times New Roman"/>
          <w:kern w:val="44"/>
        </w:rPr>
      </w:pPr>
    </w:p>
    <w:p>
      <w:pPr>
        <w:pStyle w:val="6"/>
        <w:snapToGrid w:val="0"/>
        <w:ind w:firstLine="0"/>
        <w:jc w:val="center"/>
        <w:rPr>
          <w:rFonts w:cs="Times New Roman"/>
          <w:kern w:val="44"/>
        </w:rPr>
      </w:pPr>
    </w:p>
    <w:p>
      <w:pPr>
        <w:pStyle w:val="6"/>
        <w:snapToGrid w:val="0"/>
        <w:ind w:firstLine="0"/>
        <w:jc w:val="center"/>
        <w:rPr>
          <w:rFonts w:cs="Times New Roman"/>
          <w:kern w:val="44"/>
        </w:rPr>
      </w:pPr>
    </w:p>
    <w:p>
      <w:pPr>
        <w:pStyle w:val="6"/>
        <w:snapToGrid w:val="0"/>
        <w:ind w:firstLine="0"/>
        <w:jc w:val="center"/>
        <w:rPr>
          <w:rFonts w:cs="Times New Roman"/>
          <w:kern w:val="44"/>
        </w:rPr>
      </w:pPr>
    </w:p>
    <w:p>
      <w:pPr>
        <w:pStyle w:val="6"/>
        <w:snapToGrid w:val="0"/>
        <w:ind w:firstLine="0"/>
        <w:jc w:val="center"/>
        <w:rPr>
          <w:rFonts w:cs="Times New Roman"/>
          <w:kern w:val="44"/>
        </w:rPr>
      </w:pPr>
    </w:p>
    <w:p>
      <w:pPr>
        <w:pStyle w:val="6"/>
        <w:snapToGrid w:val="0"/>
        <w:ind w:firstLine="0"/>
        <w:jc w:val="center"/>
        <w:rPr>
          <w:rFonts w:ascii="宋体" w:hAnsi="宋体" w:eastAsia="宋体" w:cs="宋体"/>
          <w:b/>
          <w:bCs/>
          <w:sz w:val="36"/>
          <w:szCs w:val="36"/>
        </w:rPr>
      </w:pPr>
    </w:p>
    <w:p>
      <w:pPr>
        <w:pStyle w:val="5"/>
        <w:snapToGrid w:val="0"/>
        <w:jc w:val="center"/>
        <w:rPr>
          <w:rFonts w:ascii="宋体" w:hAnsi="宋体" w:eastAsia="宋体" w:cs="宋体"/>
          <w:b/>
          <w:bCs/>
          <w:sz w:val="36"/>
          <w:szCs w:val="36"/>
        </w:rPr>
      </w:pPr>
      <w:bookmarkStart w:id="181" w:name="_Toc9728"/>
      <w:r>
        <w:rPr>
          <w:rFonts w:hint="eastAsia" w:ascii="宋体" w:hAnsi="宋体" w:eastAsia="宋体" w:cs="宋体"/>
          <w:b/>
          <w:bCs/>
          <w:sz w:val="36"/>
          <w:szCs w:val="36"/>
        </w:rPr>
        <w:t>第六章投标文件格式</w:t>
      </w:r>
      <w:bookmarkEnd w:id="180"/>
      <w:bookmarkEnd w:id="181"/>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r>
        <w:rPr>
          <w:rFonts w:ascii="宋体"/>
          <w:b/>
          <w:bCs/>
          <w:sz w:val="30"/>
          <w:szCs w:val="30"/>
        </w:rPr>
        <w:br w:type="page"/>
      </w:r>
    </w:p>
    <w:p>
      <w:pPr>
        <w:widowControl/>
        <w:snapToGrid w:val="0"/>
        <w:jc w:val="left"/>
        <w:textAlignment w:val="baseline"/>
        <w:rPr>
          <w:rFonts w:ascii="宋体"/>
          <w:b/>
          <w:bCs/>
          <w:kern w:val="0"/>
          <w:sz w:val="36"/>
          <w:szCs w:val="36"/>
        </w:rPr>
      </w:pPr>
    </w:p>
    <w:p>
      <w:pPr>
        <w:widowControl/>
        <w:snapToGrid w:val="0"/>
        <w:jc w:val="left"/>
        <w:textAlignment w:val="baseline"/>
        <w:rPr>
          <w:rFonts w:ascii="宋体"/>
          <w:b/>
          <w:bCs/>
          <w:kern w:val="0"/>
          <w:sz w:val="36"/>
          <w:szCs w:val="36"/>
        </w:rPr>
      </w:pPr>
    </w:p>
    <w:p>
      <w:pPr>
        <w:tabs>
          <w:tab w:val="left" w:pos="3280"/>
          <w:tab w:val="left" w:pos="4680"/>
          <w:tab w:val="left" w:pos="6080"/>
        </w:tabs>
        <w:snapToGrid w:val="0"/>
        <w:spacing w:line="480" w:lineRule="exact"/>
        <w:ind w:right="-20"/>
        <w:jc w:val="center"/>
        <w:textAlignment w:val="baseline"/>
        <w:rPr>
          <w:rFonts w:ascii="宋体"/>
          <w:b/>
          <w:bCs/>
          <w:kern w:val="0"/>
          <w:sz w:val="28"/>
          <w:szCs w:val="28"/>
        </w:rPr>
      </w:pPr>
      <w:r>
        <w:rPr>
          <w:rFonts w:hint="eastAsia" w:ascii="宋体" w:hAnsi="宋体" w:cs="宋体"/>
          <w:b/>
          <w:bCs/>
          <w:kern w:val="0"/>
          <w:sz w:val="36"/>
          <w:szCs w:val="36"/>
        </w:rPr>
        <w:t>目录</w:t>
      </w:r>
    </w:p>
    <w:p>
      <w:pPr>
        <w:tabs>
          <w:tab w:val="left" w:pos="3280"/>
          <w:tab w:val="left" w:pos="4680"/>
          <w:tab w:val="left" w:pos="6080"/>
        </w:tabs>
        <w:snapToGrid w:val="0"/>
        <w:spacing w:line="480" w:lineRule="exact"/>
        <w:ind w:right="-20"/>
        <w:jc w:val="center"/>
        <w:textAlignment w:val="baseline"/>
        <w:rPr>
          <w:rFonts w:ascii="宋体"/>
          <w:kern w:val="0"/>
          <w:sz w:val="28"/>
          <w:szCs w:val="28"/>
        </w:rPr>
      </w:pPr>
    </w:p>
    <w:p>
      <w:pPr>
        <w:snapToGrid w:val="0"/>
        <w:spacing w:line="600" w:lineRule="exact"/>
        <w:ind w:firstLine="420" w:firstLineChars="200"/>
        <w:textAlignment w:val="baseline"/>
        <w:rPr>
          <w:rFonts w:ascii="宋体" w:hAnsi="宋体" w:cs="宋体"/>
          <w:sz w:val="20"/>
        </w:rPr>
      </w:pPr>
      <w:r>
        <w:rPr>
          <w:rFonts w:hint="eastAsia" w:ascii="宋体" w:hAnsi="宋体" w:cs="宋体"/>
        </w:rPr>
        <w:t>一、投标函</w:t>
      </w:r>
    </w:p>
    <w:p>
      <w:pPr>
        <w:snapToGrid w:val="0"/>
        <w:spacing w:line="600" w:lineRule="exact"/>
        <w:ind w:firstLine="420" w:firstLineChars="200"/>
        <w:textAlignment w:val="baseline"/>
        <w:rPr>
          <w:rFonts w:ascii="宋体" w:hAnsi="宋体" w:cs="宋体"/>
          <w:sz w:val="20"/>
        </w:rPr>
      </w:pPr>
      <w:r>
        <w:rPr>
          <w:rFonts w:hint="eastAsia" w:ascii="宋体" w:hAnsi="宋体" w:cs="宋体"/>
        </w:rPr>
        <w:t>二、开标一览表</w:t>
      </w:r>
    </w:p>
    <w:p>
      <w:pPr>
        <w:snapToGrid w:val="0"/>
        <w:spacing w:line="600" w:lineRule="exact"/>
        <w:ind w:firstLine="420" w:firstLineChars="200"/>
        <w:textAlignment w:val="baseline"/>
        <w:rPr>
          <w:rFonts w:ascii="宋体" w:hAnsi="宋体" w:cs="宋体"/>
          <w:sz w:val="20"/>
        </w:rPr>
      </w:pPr>
      <w:r>
        <w:rPr>
          <w:rFonts w:hint="eastAsia" w:ascii="宋体" w:hAnsi="宋体" w:cs="宋体"/>
        </w:rPr>
        <w:t>三、投标报价分项表</w:t>
      </w:r>
    </w:p>
    <w:p>
      <w:pPr>
        <w:snapToGrid w:val="0"/>
        <w:spacing w:line="600" w:lineRule="exact"/>
        <w:ind w:firstLine="420" w:firstLineChars="200"/>
        <w:textAlignment w:val="baseline"/>
        <w:rPr>
          <w:rFonts w:ascii="宋体" w:hAnsi="宋体" w:cs="宋体"/>
          <w:sz w:val="20"/>
        </w:rPr>
      </w:pPr>
      <w:r>
        <w:rPr>
          <w:rFonts w:hint="eastAsia" w:ascii="宋体" w:hAnsi="宋体" w:cs="宋体"/>
        </w:rPr>
        <w:t>四、技术方案</w:t>
      </w:r>
    </w:p>
    <w:p>
      <w:pPr>
        <w:snapToGrid w:val="0"/>
        <w:spacing w:line="600" w:lineRule="exact"/>
        <w:ind w:firstLine="420" w:firstLineChars="200"/>
        <w:textAlignment w:val="baseline"/>
        <w:rPr>
          <w:rFonts w:ascii="宋体" w:hAnsi="宋体" w:cs="宋体"/>
          <w:sz w:val="20"/>
        </w:rPr>
      </w:pPr>
      <w:r>
        <w:rPr>
          <w:rFonts w:hint="eastAsia" w:ascii="宋体" w:hAnsi="宋体" w:cs="宋体"/>
        </w:rPr>
        <w:t>五、技术及商务偏差表</w:t>
      </w:r>
    </w:p>
    <w:p>
      <w:pPr>
        <w:snapToGrid w:val="0"/>
        <w:spacing w:line="600" w:lineRule="exact"/>
        <w:ind w:firstLine="420" w:firstLineChars="200"/>
        <w:textAlignment w:val="baseline"/>
        <w:rPr>
          <w:rFonts w:ascii="宋体" w:hAnsi="宋体" w:cs="宋体"/>
          <w:sz w:val="20"/>
        </w:rPr>
      </w:pPr>
      <w:r>
        <w:rPr>
          <w:rFonts w:hint="eastAsia" w:ascii="宋体" w:hAnsi="宋体" w:cs="宋体"/>
        </w:rPr>
        <w:t>六、售后服务计划</w:t>
      </w:r>
    </w:p>
    <w:p>
      <w:pPr>
        <w:snapToGrid w:val="0"/>
        <w:spacing w:line="600" w:lineRule="exact"/>
        <w:ind w:firstLine="420" w:firstLineChars="200"/>
        <w:textAlignment w:val="baseline"/>
        <w:rPr>
          <w:rFonts w:ascii="宋体" w:hAnsi="宋体" w:cs="宋体"/>
          <w:sz w:val="20"/>
        </w:rPr>
      </w:pPr>
      <w:r>
        <w:rPr>
          <w:rFonts w:hint="eastAsia" w:ascii="宋体" w:hAnsi="宋体" w:cs="宋体"/>
        </w:rPr>
        <w:t>七、法定代表身份证明及法定代表人授权书</w:t>
      </w:r>
    </w:p>
    <w:p>
      <w:pPr>
        <w:snapToGrid w:val="0"/>
        <w:spacing w:line="600" w:lineRule="exact"/>
        <w:ind w:firstLine="420" w:firstLineChars="200"/>
        <w:textAlignment w:val="baseline"/>
        <w:rPr>
          <w:rFonts w:ascii="宋体" w:hAnsi="宋体" w:cs="宋体"/>
        </w:rPr>
      </w:pPr>
      <w:r>
        <w:rPr>
          <w:rFonts w:hint="eastAsia" w:ascii="宋体" w:hAnsi="宋体" w:cs="宋体"/>
        </w:rPr>
        <w:t>八、投标保证金</w:t>
      </w:r>
    </w:p>
    <w:p>
      <w:pPr>
        <w:snapToGrid w:val="0"/>
        <w:spacing w:line="600" w:lineRule="exact"/>
        <w:ind w:firstLine="420" w:firstLineChars="200"/>
        <w:textAlignment w:val="baseline"/>
        <w:rPr>
          <w:rFonts w:ascii="宋体" w:hAnsi="宋体" w:cs="宋体"/>
        </w:rPr>
      </w:pPr>
      <w:r>
        <w:rPr>
          <w:rFonts w:hint="eastAsia" w:ascii="宋体" w:hAnsi="宋体" w:cs="宋体"/>
        </w:rPr>
        <w:t>九、资格审查资料</w:t>
      </w:r>
    </w:p>
    <w:p>
      <w:pPr>
        <w:snapToGrid w:val="0"/>
        <w:spacing w:line="600" w:lineRule="exact"/>
        <w:ind w:firstLine="420" w:firstLineChars="200"/>
        <w:textAlignment w:val="baseline"/>
        <w:rPr>
          <w:rFonts w:ascii="宋体" w:hAnsi="宋体" w:cs="宋体"/>
        </w:rPr>
      </w:pPr>
      <w:r>
        <w:rPr>
          <w:rFonts w:hint="eastAsia" w:ascii="宋体" w:hAnsi="宋体" w:cs="宋体"/>
        </w:rPr>
        <w:t>十、其他证明材料</w:t>
      </w:r>
    </w:p>
    <w:p>
      <w:pPr>
        <w:snapToGrid w:val="0"/>
        <w:spacing w:line="360" w:lineRule="auto"/>
        <w:ind w:firstLine="482" w:firstLineChars="200"/>
        <w:textAlignment w:val="baseline"/>
        <w:rPr>
          <w:rFonts w:ascii="宋体"/>
          <w:b/>
          <w:bCs/>
          <w:sz w:val="24"/>
          <w:szCs w:val="24"/>
        </w:rPr>
      </w:pPr>
    </w:p>
    <w:p>
      <w:pPr>
        <w:snapToGrid w:val="0"/>
        <w:spacing w:line="360" w:lineRule="auto"/>
        <w:jc w:val="center"/>
        <w:textAlignment w:val="baseline"/>
        <w:rPr>
          <w:rFonts w:ascii="宋体"/>
          <w:kern w:val="0"/>
          <w:sz w:val="28"/>
          <w:szCs w:val="28"/>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spacing w:line="400" w:lineRule="exact"/>
        <w:jc w:val="center"/>
        <w:textAlignment w:val="baseline"/>
        <w:rPr>
          <w:rFonts w:ascii="宋体"/>
          <w:b/>
          <w:bCs/>
          <w:sz w:val="30"/>
          <w:szCs w:val="30"/>
        </w:rPr>
      </w:pPr>
    </w:p>
    <w:p>
      <w:pPr>
        <w:snapToGrid w:val="0"/>
        <w:textAlignment w:val="baseline"/>
        <w:rPr>
          <w:rFonts w:ascii="宋体"/>
          <w:sz w:val="30"/>
          <w:szCs w:val="30"/>
        </w:rPr>
      </w:pPr>
    </w:p>
    <w:p>
      <w:pPr>
        <w:widowControl/>
        <w:snapToGrid w:val="0"/>
        <w:jc w:val="left"/>
        <w:textAlignment w:val="baseline"/>
        <w:rPr>
          <w:rFonts w:ascii="宋体"/>
          <w:sz w:val="30"/>
          <w:szCs w:val="30"/>
        </w:rPr>
      </w:pPr>
      <w:r>
        <w:rPr>
          <w:rFonts w:ascii="宋体"/>
          <w:sz w:val="30"/>
          <w:szCs w:val="30"/>
        </w:rPr>
        <w:br w:type="page"/>
      </w:r>
    </w:p>
    <w:p>
      <w:pPr>
        <w:snapToGrid w:val="0"/>
        <w:textAlignment w:val="baseline"/>
        <w:rPr>
          <w:rFonts w:ascii="宋体"/>
          <w:sz w:val="30"/>
          <w:szCs w:val="30"/>
        </w:rPr>
      </w:pPr>
    </w:p>
    <w:p>
      <w:pPr>
        <w:pStyle w:val="7"/>
        <w:snapToGrid w:val="0"/>
        <w:ind w:left="851"/>
        <w:jc w:val="center"/>
        <w:rPr>
          <w:rFonts w:ascii="宋体" w:hAnsi="宋体" w:eastAsia="宋体"/>
          <w:b/>
          <w:bCs/>
        </w:rPr>
      </w:pPr>
      <w:bookmarkStart w:id="182" w:name="_Toc74732278"/>
      <w:bookmarkStart w:id="183" w:name="_Toc74732335"/>
      <w:bookmarkStart w:id="184" w:name="_Toc24869"/>
      <w:bookmarkStart w:id="185" w:name="_Toc109313723"/>
      <w:r>
        <w:rPr>
          <w:rFonts w:hint="eastAsia" w:ascii="宋体" w:hAnsi="宋体" w:eastAsia="宋体" w:cs="宋体"/>
          <w:b/>
          <w:bCs/>
        </w:rPr>
        <w:t>一、</w:t>
      </w:r>
      <w:bookmarkStart w:id="186" w:name="_Toc277685508"/>
      <w:r>
        <w:rPr>
          <w:rFonts w:hint="eastAsia" w:ascii="宋体" w:hAnsi="宋体" w:eastAsia="宋体" w:cs="宋体"/>
          <w:b/>
          <w:bCs/>
        </w:rPr>
        <w:t>投标函</w:t>
      </w:r>
      <w:bookmarkEnd w:id="182"/>
      <w:bookmarkEnd w:id="183"/>
      <w:bookmarkEnd w:id="184"/>
      <w:bookmarkEnd w:id="185"/>
      <w:bookmarkEnd w:id="186"/>
    </w:p>
    <w:p>
      <w:pPr>
        <w:snapToGrid w:val="0"/>
        <w:spacing w:line="480" w:lineRule="exact"/>
        <w:textAlignment w:val="baseline"/>
        <w:rPr>
          <w:rFonts w:ascii="宋体"/>
          <w:b/>
          <w:bCs/>
          <w:sz w:val="24"/>
          <w:szCs w:val="24"/>
          <w:u w:val="single"/>
        </w:rPr>
      </w:pPr>
    </w:p>
    <w:p>
      <w:pPr>
        <w:snapToGrid w:val="0"/>
        <w:spacing w:line="520" w:lineRule="exact"/>
        <w:textAlignment w:val="baseline"/>
        <w:rPr>
          <w:rFonts w:ascii="宋体"/>
          <w:sz w:val="20"/>
        </w:rPr>
      </w:pPr>
      <w:r>
        <w:rPr>
          <w:rFonts w:hint="eastAsia" w:ascii="宋体" w:hAnsi="宋体" w:cs="宋体"/>
        </w:rPr>
        <w:t>致：（招标人名称）</w:t>
      </w:r>
    </w:p>
    <w:p>
      <w:pPr>
        <w:snapToGrid w:val="0"/>
        <w:spacing w:line="520" w:lineRule="exact"/>
        <w:ind w:firstLine="420" w:firstLineChars="200"/>
        <w:textAlignment w:val="baseline"/>
        <w:rPr>
          <w:rFonts w:ascii="宋体"/>
          <w:sz w:val="20"/>
          <w:u w:val="single"/>
        </w:rPr>
      </w:pPr>
      <w:r>
        <w:rPr>
          <w:rFonts w:ascii="宋体" w:hAnsi="宋体" w:cs="宋体"/>
        </w:rPr>
        <w:t>1</w:t>
      </w:r>
      <w:r>
        <w:rPr>
          <w:rFonts w:hint="eastAsia" w:ascii="宋体" w:hAnsi="宋体" w:cs="宋体"/>
        </w:rPr>
        <w:t>、我方已仔细研究了项目招标文件的全部内容，愿按照招标文件中规定的条款和要求，完成本项目。投标总报价为（大</w:t>
      </w:r>
      <w:r>
        <w:rPr>
          <w:rFonts w:hint="eastAsia" w:ascii="宋体" w:hAnsi="宋体" w:cs="宋体"/>
          <w:highlight w:val="none"/>
        </w:rPr>
        <w:t>写）</w:t>
      </w:r>
      <w:r>
        <w:rPr>
          <w:rFonts w:hint="eastAsia" w:ascii="宋体" w:hAnsi="宋体" w:cs="宋体"/>
          <w:highlight w:val="none"/>
          <w:u w:val="single"/>
          <w:lang w:val="en-US" w:eastAsia="zh-CN"/>
        </w:rPr>
        <w:t xml:space="preserve">    </w:t>
      </w:r>
      <w:r>
        <w:rPr>
          <w:rFonts w:hint="eastAsia" w:ascii="宋体" w:hAnsi="宋体" w:cs="宋体"/>
          <w:highlight w:val="none"/>
        </w:rPr>
        <w:t>元（</w:t>
      </w:r>
      <w:r>
        <w:rPr>
          <w:rFonts w:ascii="宋体"/>
          <w:highlight w:val="none"/>
        </w:rPr>
        <w:t>¥</w:t>
      </w:r>
      <w:r>
        <w:rPr>
          <w:rFonts w:hint="eastAsia" w:ascii="宋体"/>
          <w:highlight w:val="none"/>
          <w:lang w:val="en-US" w:eastAsia="zh-CN"/>
        </w:rPr>
        <w:t xml:space="preserve"> </w:t>
      </w:r>
      <w:r>
        <w:rPr>
          <w:rFonts w:hint="eastAsia" w:ascii="宋体"/>
          <w:highlight w:val="none"/>
          <w:u w:val="single"/>
          <w:lang w:val="en-US" w:eastAsia="zh-CN"/>
        </w:rPr>
        <w:t xml:space="preserve">    </w:t>
      </w:r>
      <w:r>
        <w:rPr>
          <w:rFonts w:hint="eastAsia" w:ascii="宋体" w:hAnsi="宋体" w:cs="宋体"/>
          <w:highlight w:val="none"/>
        </w:rPr>
        <w:t>元），</w:t>
      </w:r>
      <w:r>
        <w:rPr>
          <w:rFonts w:hint="eastAsia" w:ascii="宋体" w:hAnsi="宋体" w:cs="宋体"/>
        </w:rPr>
        <w:t>工期（</w:t>
      </w:r>
      <w:r>
        <w:rPr>
          <w:rFonts w:hint="eastAsia" w:ascii="宋体" w:hAnsi="宋体" w:cs="宋体"/>
          <w:lang w:val="en-US" w:eastAsia="zh-CN"/>
        </w:rPr>
        <w:t>交货期</w:t>
      </w:r>
      <w:r>
        <w:rPr>
          <w:rFonts w:ascii="宋体" w:hAnsi="宋体" w:cs="宋体"/>
        </w:rPr>
        <w:t>/</w:t>
      </w:r>
      <w:r>
        <w:rPr>
          <w:rFonts w:hint="eastAsia" w:ascii="宋体" w:hAnsi="宋体" w:cs="宋体"/>
        </w:rPr>
        <w:t>监理周期</w:t>
      </w:r>
      <w:r>
        <w:rPr>
          <w:rFonts w:ascii="宋体" w:hAnsi="宋体" w:cs="宋体"/>
        </w:rPr>
        <w:t>/</w:t>
      </w:r>
      <w:r>
        <w:rPr>
          <w:rFonts w:hint="eastAsia" w:ascii="宋体" w:hAnsi="宋体" w:cs="宋体"/>
        </w:rPr>
        <w:t>设计周期）为合同生效之日起，</w:t>
      </w:r>
      <w:r>
        <w:rPr>
          <w:rFonts w:hint="eastAsia" w:ascii="宋体" w:hAnsi="宋体" w:cs="宋体"/>
          <w:u w:val="single"/>
          <w:lang w:val="en-US" w:eastAsia="zh-CN"/>
        </w:rPr>
        <w:t xml:space="preserve">     </w:t>
      </w:r>
      <w:r>
        <w:rPr>
          <w:rFonts w:hint="eastAsia" w:ascii="宋体" w:hAnsi="宋体" w:cs="宋体"/>
        </w:rPr>
        <w:t>日历天内供货、安装完毕，</w:t>
      </w:r>
      <w:r>
        <w:rPr>
          <w:rFonts w:hint="eastAsia" w:ascii="宋体" w:hAnsi="宋体" w:cs="宋体"/>
          <w:lang w:val="en-US" w:eastAsia="zh-CN"/>
        </w:rPr>
        <w:t>质保期</w:t>
      </w:r>
      <w:r>
        <w:rPr>
          <w:rFonts w:hint="eastAsia" w:ascii="宋体" w:hAnsi="宋体" w:cs="宋体"/>
          <w:u w:val="single" w:color="000000"/>
        </w:rPr>
        <w:t xml:space="preserve">，   </w:t>
      </w:r>
      <w:r>
        <w:rPr>
          <w:rFonts w:hint="eastAsia" w:ascii="宋体" w:hAnsi="宋体" w:cs="宋体"/>
        </w:rPr>
        <w:t>项目负责人（项目总监）</w:t>
      </w:r>
      <w:r>
        <w:rPr>
          <w:rFonts w:hint="eastAsia" w:ascii="宋体" w:hAnsi="宋体" w:cs="宋体"/>
          <w:u w:val="single"/>
          <w:lang w:val="en-US" w:eastAsia="zh-CN"/>
        </w:rPr>
        <w:t xml:space="preserve">    </w:t>
      </w:r>
      <w:r>
        <w:rPr>
          <w:rFonts w:hint="eastAsia" w:ascii="宋体" w:hAnsi="宋体" w:cs="宋体"/>
          <w:u w:val="single" w:color="000000"/>
        </w:rPr>
        <w:t>。</w:t>
      </w:r>
    </w:p>
    <w:p>
      <w:pPr>
        <w:snapToGrid w:val="0"/>
        <w:spacing w:line="520" w:lineRule="exact"/>
        <w:ind w:firstLine="420" w:firstLineChars="200"/>
        <w:textAlignment w:val="baseline"/>
        <w:rPr>
          <w:rFonts w:ascii="宋体"/>
          <w:sz w:val="20"/>
        </w:rPr>
      </w:pPr>
      <w:r>
        <w:rPr>
          <w:rFonts w:ascii="宋体" w:hAnsi="宋体" w:cs="宋体"/>
        </w:rPr>
        <w:t>2</w:t>
      </w:r>
      <w:r>
        <w:rPr>
          <w:rFonts w:hint="eastAsia" w:ascii="宋体" w:hAnsi="宋体" w:cs="宋体"/>
        </w:rPr>
        <w:t>、我方承诺在投标有效期内不修改、撤销投标文件。</w:t>
      </w:r>
    </w:p>
    <w:p>
      <w:pPr>
        <w:snapToGrid w:val="0"/>
        <w:spacing w:line="520" w:lineRule="exact"/>
        <w:ind w:firstLine="420" w:firstLineChars="200"/>
        <w:textAlignment w:val="baseline"/>
        <w:rPr>
          <w:rFonts w:ascii="宋体"/>
          <w:sz w:val="20"/>
        </w:rPr>
      </w:pPr>
      <w:r>
        <w:rPr>
          <w:rFonts w:ascii="宋体" w:hAnsi="宋体" w:cs="宋体"/>
        </w:rPr>
        <w:t>3</w:t>
      </w:r>
      <w:r>
        <w:rPr>
          <w:rFonts w:hint="eastAsia" w:ascii="宋体" w:hAnsi="宋体" w:cs="宋体"/>
        </w:rPr>
        <w:t>、投标保证金已按招标文件规定提交，金额为人民币（大写）</w:t>
      </w:r>
      <w:r>
        <w:rPr>
          <w:rFonts w:hint="eastAsia" w:ascii="宋体" w:hAnsi="宋体" w:cs="宋体"/>
          <w:u w:val="single" w:color="000000"/>
        </w:rPr>
        <w:t xml:space="preserve">   </w:t>
      </w:r>
      <w:r>
        <w:rPr>
          <w:rFonts w:hint="eastAsia" w:ascii="宋体" w:hAnsi="宋体" w:cs="宋体"/>
        </w:rPr>
        <w:t>元（</w:t>
      </w:r>
      <w:r>
        <w:rPr>
          <w:rFonts w:ascii="宋体"/>
        </w:rPr>
        <w:t>¥</w:t>
      </w:r>
      <w:r>
        <w:rPr>
          <w:rFonts w:hint="eastAsia" w:ascii="宋体" w:hAnsi="宋体" w:cs="宋体"/>
          <w:u w:val="single" w:color="000000"/>
        </w:rPr>
        <w:t xml:space="preserve">   </w:t>
      </w:r>
      <w:r>
        <w:rPr>
          <w:rFonts w:hint="eastAsia" w:ascii="宋体" w:hAnsi="宋体" w:cs="宋体"/>
        </w:rPr>
        <w:t>元）。</w:t>
      </w:r>
    </w:p>
    <w:p>
      <w:pPr>
        <w:snapToGrid w:val="0"/>
        <w:spacing w:line="520" w:lineRule="exact"/>
        <w:ind w:firstLine="420" w:firstLineChars="200"/>
        <w:textAlignment w:val="baseline"/>
        <w:rPr>
          <w:rFonts w:ascii="宋体"/>
          <w:sz w:val="20"/>
        </w:rPr>
      </w:pPr>
      <w:r>
        <w:rPr>
          <w:rFonts w:ascii="宋体" w:hAnsi="宋体" w:cs="宋体"/>
        </w:rPr>
        <w:t>4</w:t>
      </w:r>
      <w:r>
        <w:rPr>
          <w:rFonts w:hint="eastAsia" w:ascii="宋体" w:hAnsi="宋体" w:cs="宋体"/>
        </w:rPr>
        <w:t>、如我方中标：</w:t>
      </w:r>
    </w:p>
    <w:p>
      <w:pPr>
        <w:snapToGrid w:val="0"/>
        <w:spacing w:line="520" w:lineRule="exact"/>
        <w:ind w:firstLine="420" w:firstLineChars="200"/>
        <w:textAlignment w:val="baseline"/>
        <w:rPr>
          <w:rFonts w:ascii="宋体"/>
          <w:sz w:val="20"/>
        </w:rPr>
      </w:pPr>
      <w:r>
        <w:rPr>
          <w:rFonts w:hint="eastAsia" w:ascii="宋体" w:hAnsi="宋体" w:cs="宋体"/>
        </w:rPr>
        <w:t>（</w:t>
      </w:r>
      <w:r>
        <w:rPr>
          <w:rFonts w:ascii="宋体" w:hAnsi="宋体" w:cs="宋体"/>
        </w:rPr>
        <w:t>1</w:t>
      </w:r>
      <w:r>
        <w:rPr>
          <w:rFonts w:hint="eastAsia" w:ascii="宋体" w:hAnsi="宋体" w:cs="宋体"/>
        </w:rPr>
        <w:t>）我方承诺在收到中标通知书后，在中标通知书规定的期限内与你方签订合同。</w:t>
      </w:r>
    </w:p>
    <w:p>
      <w:pPr>
        <w:snapToGrid w:val="0"/>
        <w:spacing w:line="520" w:lineRule="exact"/>
        <w:ind w:firstLine="420" w:firstLineChars="200"/>
        <w:textAlignment w:val="baseline"/>
        <w:rPr>
          <w:rFonts w:ascii="宋体"/>
          <w:sz w:val="20"/>
        </w:rPr>
      </w:pPr>
      <w:r>
        <w:rPr>
          <w:rFonts w:hint="eastAsia" w:ascii="宋体" w:hAnsi="宋体" w:cs="宋体"/>
        </w:rPr>
        <w:t>（</w:t>
      </w:r>
      <w:r>
        <w:rPr>
          <w:rFonts w:ascii="宋体" w:hAnsi="宋体" w:cs="宋体"/>
        </w:rPr>
        <w:t>2</w:t>
      </w:r>
      <w:r>
        <w:rPr>
          <w:rFonts w:hint="eastAsia" w:ascii="宋体" w:hAnsi="宋体" w:cs="宋体"/>
        </w:rPr>
        <w:t>）随同本投标函递交的投标函附录属于合同文件的组成部分。</w:t>
      </w:r>
    </w:p>
    <w:p>
      <w:pPr>
        <w:snapToGrid w:val="0"/>
        <w:spacing w:line="520" w:lineRule="exact"/>
        <w:ind w:firstLine="420" w:firstLineChars="200"/>
        <w:textAlignment w:val="baseline"/>
        <w:rPr>
          <w:rFonts w:ascii="宋体"/>
          <w:sz w:val="20"/>
        </w:rPr>
      </w:pPr>
      <w:r>
        <w:rPr>
          <w:rFonts w:hint="eastAsia" w:ascii="宋体" w:hAnsi="宋体" w:cs="宋体"/>
        </w:rPr>
        <w:t>（</w:t>
      </w:r>
      <w:r>
        <w:rPr>
          <w:rFonts w:ascii="宋体" w:hAnsi="宋体" w:cs="宋体"/>
        </w:rPr>
        <w:t>3</w:t>
      </w:r>
      <w:r>
        <w:rPr>
          <w:rFonts w:hint="eastAsia" w:ascii="宋体" w:hAnsi="宋体" w:cs="宋体"/>
        </w:rPr>
        <w:t>）我方承诺按照招标文件规定向你方递交履约担保。</w:t>
      </w:r>
    </w:p>
    <w:p>
      <w:pPr>
        <w:snapToGrid w:val="0"/>
        <w:spacing w:line="520" w:lineRule="exact"/>
        <w:ind w:firstLine="420" w:firstLineChars="200"/>
        <w:textAlignment w:val="baseline"/>
        <w:rPr>
          <w:rFonts w:ascii="宋体"/>
          <w:sz w:val="20"/>
        </w:rPr>
      </w:pPr>
      <w:r>
        <w:rPr>
          <w:rFonts w:hint="eastAsia" w:ascii="宋体" w:hAnsi="宋体" w:cs="宋体"/>
        </w:rPr>
        <w:t>（</w:t>
      </w:r>
      <w:r>
        <w:rPr>
          <w:rFonts w:ascii="宋体" w:hAnsi="宋体" w:cs="宋体"/>
        </w:rPr>
        <w:t>4</w:t>
      </w:r>
      <w:r>
        <w:rPr>
          <w:rFonts w:hint="eastAsia" w:ascii="宋体" w:hAnsi="宋体" w:cs="宋体"/>
        </w:rPr>
        <w:t>）我方承诺在合同约定的期限内完成本项目。</w:t>
      </w:r>
    </w:p>
    <w:p>
      <w:pPr>
        <w:snapToGrid w:val="0"/>
        <w:spacing w:line="520" w:lineRule="exact"/>
        <w:ind w:firstLine="420" w:firstLineChars="200"/>
        <w:textAlignment w:val="baseline"/>
        <w:rPr>
          <w:rFonts w:ascii="宋体"/>
          <w:sz w:val="20"/>
        </w:rPr>
      </w:pPr>
      <w:r>
        <w:rPr>
          <w:rFonts w:ascii="宋体" w:hAnsi="宋体" w:cs="宋体"/>
        </w:rPr>
        <w:t>5</w:t>
      </w:r>
      <w:r>
        <w:rPr>
          <w:rFonts w:hint="eastAsia" w:ascii="宋体" w:hAnsi="宋体" w:cs="宋体"/>
        </w:rPr>
        <w:t>、我方在此声明，所递交的投标文件及有关资料内容完整、真实和准确。</w:t>
      </w:r>
    </w:p>
    <w:p>
      <w:pPr>
        <w:snapToGrid w:val="0"/>
        <w:spacing w:line="520" w:lineRule="exact"/>
        <w:ind w:firstLine="420" w:firstLineChars="200"/>
        <w:textAlignment w:val="baseline"/>
        <w:rPr>
          <w:rFonts w:ascii="宋体"/>
          <w:sz w:val="20"/>
        </w:rPr>
      </w:pPr>
      <w:r>
        <w:rPr>
          <w:rFonts w:ascii="宋体" w:hAnsi="宋体" w:cs="宋体"/>
        </w:rPr>
        <w:t>6</w:t>
      </w:r>
      <w:r>
        <w:rPr>
          <w:rFonts w:hint="eastAsia" w:ascii="宋体" w:hAnsi="宋体" w:cs="宋体"/>
        </w:rPr>
        <w:t>、（其他补充说明）。</w:t>
      </w:r>
    </w:p>
    <w:p>
      <w:pPr>
        <w:snapToGrid w:val="0"/>
        <w:spacing w:line="520" w:lineRule="exact"/>
        <w:jc w:val="right"/>
        <w:textAlignment w:val="baseline"/>
        <w:rPr>
          <w:rFonts w:ascii="宋体"/>
          <w:sz w:val="20"/>
        </w:rPr>
      </w:pPr>
    </w:p>
    <w:p>
      <w:pPr>
        <w:snapToGrid w:val="0"/>
        <w:spacing w:line="520" w:lineRule="exact"/>
        <w:ind w:firstLine="420" w:firstLineChars="200"/>
        <w:textAlignment w:val="baseline"/>
        <w:rPr>
          <w:rFonts w:ascii="宋体"/>
          <w:sz w:val="20"/>
        </w:rPr>
      </w:pPr>
      <w:r>
        <w:rPr>
          <w:rFonts w:hint="eastAsia" w:ascii="宋体" w:hAnsi="宋体" w:cs="宋体"/>
        </w:rPr>
        <w:t>投标人（盖电子章）：</w:t>
      </w:r>
    </w:p>
    <w:p>
      <w:pPr>
        <w:snapToGrid w:val="0"/>
        <w:spacing w:line="520" w:lineRule="exact"/>
        <w:ind w:firstLine="420" w:firstLineChars="200"/>
        <w:textAlignment w:val="baseline"/>
        <w:rPr>
          <w:rFonts w:ascii="宋体"/>
          <w:sz w:val="20"/>
        </w:rPr>
      </w:pPr>
      <w:r>
        <w:rPr>
          <w:rFonts w:hint="eastAsia" w:ascii="宋体" w:hAnsi="宋体" w:cs="宋体"/>
        </w:rPr>
        <w:t>法定代表人或委托代理人（签字或盖章）：</w:t>
      </w:r>
    </w:p>
    <w:p>
      <w:pPr>
        <w:snapToGrid w:val="0"/>
        <w:spacing w:line="520" w:lineRule="exact"/>
        <w:ind w:firstLine="420" w:firstLineChars="200"/>
        <w:textAlignment w:val="baseline"/>
        <w:rPr>
          <w:rFonts w:ascii="宋体"/>
          <w:sz w:val="20"/>
        </w:rPr>
      </w:pPr>
      <w:r>
        <w:rPr>
          <w:rFonts w:hint="eastAsia" w:ascii="宋体" w:hAnsi="宋体" w:cs="宋体"/>
        </w:rPr>
        <w:t>日期：年月日</w:t>
      </w:r>
    </w:p>
    <w:p>
      <w:pPr>
        <w:snapToGrid w:val="0"/>
        <w:textAlignment w:val="baseline"/>
        <w:rPr>
          <w:rFonts w:ascii="宋体"/>
          <w:sz w:val="20"/>
        </w:rPr>
      </w:pPr>
    </w:p>
    <w:p>
      <w:pPr>
        <w:snapToGrid w:val="0"/>
        <w:spacing w:line="520" w:lineRule="exact"/>
        <w:ind w:firstLine="480" w:firstLineChars="200"/>
        <w:textAlignment w:val="baseline"/>
        <w:rPr>
          <w:rFonts w:ascii="宋体"/>
          <w:sz w:val="24"/>
          <w:szCs w:val="24"/>
        </w:rPr>
      </w:pPr>
    </w:p>
    <w:p>
      <w:pPr>
        <w:snapToGrid w:val="0"/>
        <w:spacing w:line="360" w:lineRule="auto"/>
        <w:jc w:val="center"/>
        <w:textAlignment w:val="baseline"/>
        <w:rPr>
          <w:rFonts w:ascii="宋体"/>
          <w:b/>
          <w:bCs/>
          <w:sz w:val="32"/>
          <w:szCs w:val="32"/>
        </w:rPr>
      </w:pPr>
      <w:r>
        <w:rPr>
          <w:rFonts w:ascii="宋体"/>
          <w:b/>
          <w:bCs/>
          <w:sz w:val="32"/>
          <w:szCs w:val="32"/>
        </w:rPr>
        <w:br w:type="page"/>
      </w:r>
    </w:p>
    <w:p>
      <w:pPr>
        <w:snapToGrid w:val="0"/>
        <w:spacing w:line="360" w:lineRule="auto"/>
        <w:jc w:val="center"/>
        <w:textAlignment w:val="baseline"/>
        <w:rPr>
          <w:rFonts w:ascii="宋体"/>
          <w:b/>
          <w:bCs/>
          <w:sz w:val="32"/>
          <w:szCs w:val="32"/>
        </w:rPr>
      </w:pPr>
    </w:p>
    <w:p>
      <w:pPr>
        <w:snapToGrid w:val="0"/>
        <w:spacing w:line="360" w:lineRule="auto"/>
        <w:jc w:val="center"/>
        <w:textAlignment w:val="baseline"/>
        <w:outlineLvl w:val="1"/>
        <w:rPr>
          <w:rFonts w:ascii="宋体" w:hAnsi="宋体" w:cs="宋体"/>
          <w:b/>
          <w:bCs/>
          <w:sz w:val="32"/>
          <w:szCs w:val="32"/>
        </w:rPr>
      </w:pPr>
      <w:bookmarkStart w:id="187" w:name="_Toc74732279"/>
      <w:bookmarkStart w:id="188" w:name="_Toc74732336"/>
      <w:bookmarkStart w:id="189" w:name="_Toc29979"/>
      <w:r>
        <w:rPr>
          <w:rFonts w:hint="eastAsia" w:ascii="宋体" w:hAnsi="宋体" w:cs="宋体"/>
          <w:b/>
          <w:bCs/>
          <w:sz w:val="32"/>
          <w:szCs w:val="32"/>
        </w:rPr>
        <w:t>二、开标一览表</w:t>
      </w:r>
      <w:bookmarkEnd w:id="187"/>
      <w:bookmarkEnd w:id="188"/>
      <w:bookmarkEnd w:id="189"/>
    </w:p>
    <w:p>
      <w:pPr>
        <w:snapToGrid w:val="0"/>
        <w:spacing w:line="520" w:lineRule="exact"/>
        <w:ind w:firstLine="2891" w:firstLineChars="1200"/>
        <w:jc w:val="right"/>
        <w:textAlignment w:val="baseline"/>
        <w:rPr>
          <w:rFonts w:ascii="宋体" w:hAnsi="宋体" w:cs="宋体"/>
          <w:b/>
          <w:sz w:val="24"/>
          <w:szCs w:val="24"/>
        </w:rPr>
      </w:pPr>
      <w:r>
        <w:rPr>
          <w:rFonts w:hint="eastAsia" w:ascii="宋体" w:hAnsi="宋体" w:cs="宋体"/>
          <w:b/>
          <w:sz w:val="24"/>
          <w:szCs w:val="24"/>
        </w:rPr>
        <w:t>金额单位：元</w:t>
      </w:r>
    </w:p>
    <w:tbl>
      <w:tblPr>
        <w:tblStyle w:val="39"/>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50" w:hRule="atLeast"/>
          <w:jc w:val="center"/>
        </w:trPr>
        <w:tc>
          <w:tcPr>
            <w:tcW w:w="1437" w:type="dxa"/>
            <w:vAlign w:val="center"/>
          </w:tcPr>
          <w:p>
            <w:pPr>
              <w:snapToGrid w:val="0"/>
              <w:jc w:val="center"/>
              <w:textAlignment w:val="baseline"/>
              <w:rPr>
                <w:rFonts w:ascii="宋体" w:hAnsi="宋体" w:cs="宋体"/>
                <w:b/>
                <w:sz w:val="24"/>
                <w:szCs w:val="24"/>
              </w:rPr>
            </w:pPr>
            <w:r>
              <w:rPr>
                <w:rFonts w:hint="eastAsia" w:ascii="宋体" w:hAnsi="宋体" w:cs="宋体"/>
                <w:b/>
                <w:sz w:val="24"/>
                <w:szCs w:val="24"/>
              </w:rPr>
              <w:t>投标人名称</w:t>
            </w:r>
          </w:p>
        </w:tc>
        <w:tc>
          <w:tcPr>
            <w:tcW w:w="7353" w:type="dxa"/>
            <w:vAlign w:val="center"/>
          </w:tcPr>
          <w:p>
            <w:pPr>
              <w:snapToGrid w:val="0"/>
              <w:spacing w:line="480" w:lineRule="auto"/>
              <w:ind w:firstLine="240" w:firstLineChars="100"/>
              <w:textAlignment w:val="baseline"/>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437" w:type="dxa"/>
            <w:vAlign w:val="center"/>
          </w:tcPr>
          <w:p>
            <w:pPr>
              <w:snapToGrid w:val="0"/>
              <w:jc w:val="center"/>
              <w:textAlignment w:val="baseline"/>
              <w:rPr>
                <w:rFonts w:ascii="宋体" w:hAnsi="宋体" w:cs="宋体"/>
                <w:b/>
                <w:sz w:val="24"/>
                <w:szCs w:val="24"/>
              </w:rPr>
            </w:pPr>
            <w:r>
              <w:rPr>
                <w:rFonts w:hint="eastAsia" w:ascii="宋体" w:hAnsi="宋体" w:cs="宋体"/>
                <w:b/>
                <w:sz w:val="24"/>
                <w:szCs w:val="24"/>
              </w:rPr>
              <w:t>投标总报价</w:t>
            </w:r>
          </w:p>
          <w:p>
            <w:pPr>
              <w:snapToGrid w:val="0"/>
              <w:spacing w:after="120"/>
              <w:jc w:val="center"/>
              <w:textAlignment w:val="baseline"/>
              <w:rPr>
                <w:rFonts w:ascii="Calibri" w:hAnsi="Calibri"/>
                <w:sz w:val="20"/>
              </w:rPr>
            </w:pPr>
            <w:r>
              <w:rPr>
                <w:rFonts w:hint="eastAsia" w:ascii="Calibri" w:hAnsi="Calibri"/>
              </w:rPr>
              <w:t>（大写）</w:t>
            </w:r>
          </w:p>
        </w:tc>
        <w:tc>
          <w:tcPr>
            <w:tcW w:w="7353" w:type="dxa"/>
            <w:vAlign w:val="center"/>
          </w:tcPr>
          <w:p>
            <w:pPr>
              <w:snapToGrid w:val="0"/>
              <w:spacing w:line="480" w:lineRule="auto"/>
              <w:ind w:firstLine="240" w:firstLineChars="100"/>
              <w:textAlignment w:val="baseline"/>
              <w:rPr>
                <w:rFonts w:ascii="宋体" w:hAnsi="宋体" w:cs="宋体"/>
                <w:sz w:val="24"/>
                <w:szCs w:val="24"/>
              </w:rPr>
            </w:pPr>
            <w:r>
              <w:rPr>
                <w:rFonts w:hint="eastAsia" w:ascii="宋体" w:hAnsi="宋体" w:cs="宋体"/>
                <w:sz w:val="24"/>
                <w:szCs w:val="24"/>
              </w:rPr>
              <w:t>大写：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437" w:type="dxa"/>
            <w:vAlign w:val="center"/>
          </w:tcPr>
          <w:p>
            <w:pPr>
              <w:snapToGrid w:val="0"/>
              <w:jc w:val="center"/>
              <w:textAlignment w:val="baseline"/>
              <w:rPr>
                <w:rFonts w:ascii="宋体" w:hAnsi="宋体" w:cs="宋体"/>
                <w:b/>
                <w:sz w:val="24"/>
                <w:szCs w:val="24"/>
              </w:rPr>
            </w:pPr>
            <w:r>
              <w:rPr>
                <w:rFonts w:hint="eastAsia" w:ascii="宋体" w:hAnsi="宋体" w:cs="宋体"/>
                <w:b/>
                <w:sz w:val="24"/>
                <w:szCs w:val="24"/>
              </w:rPr>
              <w:t>投标总报价</w:t>
            </w:r>
          </w:p>
          <w:p>
            <w:pPr>
              <w:snapToGrid w:val="0"/>
              <w:spacing w:after="120"/>
              <w:jc w:val="center"/>
              <w:textAlignment w:val="baseline"/>
              <w:rPr>
                <w:rFonts w:ascii="Calibri" w:hAnsi="Calibri"/>
                <w:sz w:val="20"/>
              </w:rPr>
            </w:pPr>
            <w:r>
              <w:rPr>
                <w:rFonts w:hint="eastAsia" w:ascii="Calibri" w:hAnsi="Calibri"/>
              </w:rPr>
              <w:t>（小写）</w:t>
            </w:r>
          </w:p>
        </w:tc>
        <w:tc>
          <w:tcPr>
            <w:tcW w:w="7353" w:type="dxa"/>
            <w:vAlign w:val="center"/>
          </w:tcPr>
          <w:p>
            <w:pPr>
              <w:snapToGrid w:val="0"/>
              <w:spacing w:line="480" w:lineRule="auto"/>
              <w:ind w:firstLine="240" w:firstLineChars="100"/>
              <w:textAlignment w:val="baseline"/>
              <w:rPr>
                <w:rFonts w:ascii="宋体" w:hAnsi="宋体" w:cs="宋体"/>
                <w:sz w:val="24"/>
                <w:szCs w:val="24"/>
              </w:rPr>
            </w:pPr>
            <w:r>
              <w:rPr>
                <w:rFonts w:hint="eastAsia" w:ascii="宋体" w:hAnsi="宋体" w:cs="宋体"/>
                <w:sz w:val="24"/>
                <w:szCs w:val="24"/>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437" w:type="dxa"/>
            <w:vAlign w:val="center"/>
          </w:tcPr>
          <w:p>
            <w:pPr>
              <w:snapToGrid w:val="0"/>
              <w:jc w:val="center"/>
              <w:textAlignment w:val="baseline"/>
              <w:rPr>
                <w:rFonts w:ascii="宋体" w:hAnsi="宋体" w:cs="宋体"/>
                <w:b/>
                <w:sz w:val="24"/>
                <w:szCs w:val="24"/>
              </w:rPr>
            </w:pPr>
            <w:r>
              <w:rPr>
                <w:rFonts w:hint="eastAsia" w:ascii="宋体" w:hAnsi="宋体" w:cs="宋体"/>
                <w:b/>
                <w:sz w:val="24"/>
                <w:szCs w:val="24"/>
              </w:rPr>
              <w:t>交货期</w:t>
            </w:r>
          </w:p>
        </w:tc>
        <w:tc>
          <w:tcPr>
            <w:tcW w:w="7353" w:type="dxa"/>
            <w:vAlign w:val="center"/>
          </w:tcPr>
          <w:p>
            <w:pPr>
              <w:snapToGrid w:val="0"/>
              <w:ind w:firstLine="120" w:firstLineChars="50"/>
              <w:jc w:val="center"/>
              <w:textAlignment w:val="baseline"/>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437" w:type="dxa"/>
            <w:vAlign w:val="center"/>
          </w:tcPr>
          <w:p>
            <w:pPr>
              <w:snapToGrid w:val="0"/>
              <w:jc w:val="center"/>
              <w:textAlignment w:val="baseline"/>
              <w:rPr>
                <w:rFonts w:ascii="宋体" w:hAnsi="宋体" w:cs="宋体"/>
                <w:b/>
                <w:sz w:val="24"/>
                <w:szCs w:val="24"/>
              </w:rPr>
            </w:pPr>
            <w:r>
              <w:rPr>
                <w:rFonts w:hint="eastAsia" w:ascii="宋体" w:hAnsi="宋体" w:cs="宋体"/>
                <w:b/>
                <w:sz w:val="24"/>
                <w:szCs w:val="24"/>
              </w:rPr>
              <w:t>质保期</w:t>
            </w:r>
          </w:p>
        </w:tc>
        <w:tc>
          <w:tcPr>
            <w:tcW w:w="7353" w:type="dxa"/>
            <w:vAlign w:val="center"/>
          </w:tcPr>
          <w:p>
            <w:pPr>
              <w:snapToGrid w:val="0"/>
              <w:textAlignment w:val="baseline"/>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437" w:type="dxa"/>
            <w:vAlign w:val="center"/>
          </w:tcPr>
          <w:p>
            <w:pPr>
              <w:snapToGrid w:val="0"/>
              <w:jc w:val="center"/>
              <w:textAlignment w:val="baseline"/>
              <w:rPr>
                <w:rFonts w:ascii="宋体" w:hAnsi="宋体" w:cs="宋体"/>
                <w:b/>
                <w:sz w:val="24"/>
                <w:szCs w:val="24"/>
              </w:rPr>
            </w:pPr>
            <w:r>
              <w:rPr>
                <w:rFonts w:hint="eastAsia" w:ascii="宋体" w:hAnsi="宋体" w:cs="宋体"/>
                <w:b/>
                <w:sz w:val="24"/>
                <w:szCs w:val="24"/>
              </w:rPr>
              <w:t>投标保证金</w:t>
            </w:r>
          </w:p>
        </w:tc>
        <w:tc>
          <w:tcPr>
            <w:tcW w:w="7353" w:type="dxa"/>
            <w:vAlign w:val="center"/>
          </w:tcPr>
          <w:p>
            <w:pPr>
              <w:snapToGrid w:val="0"/>
              <w:jc w:val="center"/>
              <w:textAlignment w:val="baseline"/>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437" w:type="dxa"/>
            <w:vAlign w:val="center"/>
          </w:tcPr>
          <w:p>
            <w:pPr>
              <w:snapToGrid w:val="0"/>
              <w:jc w:val="center"/>
              <w:textAlignment w:val="baseline"/>
              <w:rPr>
                <w:rFonts w:ascii="宋体" w:hAnsi="宋体" w:cs="宋体"/>
                <w:b/>
                <w:sz w:val="24"/>
                <w:szCs w:val="24"/>
              </w:rPr>
            </w:pPr>
            <w:r>
              <w:rPr>
                <w:rFonts w:hint="eastAsia" w:ascii="宋体" w:hAnsi="宋体" w:cs="宋体"/>
                <w:b/>
                <w:sz w:val="24"/>
                <w:szCs w:val="24"/>
              </w:rPr>
              <w:t>投标有效期</w:t>
            </w:r>
          </w:p>
        </w:tc>
        <w:tc>
          <w:tcPr>
            <w:tcW w:w="7353" w:type="dxa"/>
            <w:vAlign w:val="center"/>
          </w:tcPr>
          <w:p>
            <w:pPr>
              <w:snapToGrid w:val="0"/>
              <w:jc w:val="center"/>
              <w:textAlignment w:val="baseline"/>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437" w:type="dxa"/>
            <w:vAlign w:val="center"/>
          </w:tcPr>
          <w:p>
            <w:pPr>
              <w:snapToGrid w:val="0"/>
              <w:jc w:val="center"/>
              <w:textAlignment w:val="baseline"/>
              <w:rPr>
                <w:rFonts w:ascii="宋体" w:hAnsi="宋体" w:cs="宋体"/>
                <w:b/>
                <w:sz w:val="24"/>
                <w:szCs w:val="24"/>
              </w:rPr>
            </w:pPr>
            <w:r>
              <w:rPr>
                <w:rFonts w:hint="eastAsia" w:ascii="宋体" w:hAnsi="宋体" w:cs="宋体"/>
                <w:b/>
                <w:sz w:val="24"/>
                <w:szCs w:val="24"/>
              </w:rPr>
              <w:t>其他声明</w:t>
            </w:r>
          </w:p>
        </w:tc>
        <w:tc>
          <w:tcPr>
            <w:tcW w:w="7353" w:type="dxa"/>
            <w:vAlign w:val="center"/>
          </w:tcPr>
          <w:p>
            <w:pPr>
              <w:snapToGrid w:val="0"/>
              <w:textAlignment w:val="baseline"/>
              <w:rPr>
                <w:rFonts w:ascii="宋体" w:hAnsi="宋体" w:cs="宋体"/>
                <w:sz w:val="24"/>
                <w:szCs w:val="24"/>
              </w:rPr>
            </w:pPr>
          </w:p>
        </w:tc>
      </w:tr>
    </w:tbl>
    <w:p>
      <w:pPr>
        <w:snapToGrid w:val="0"/>
        <w:spacing w:line="620" w:lineRule="exact"/>
        <w:textAlignment w:val="baseline"/>
        <w:rPr>
          <w:rFonts w:ascii="宋体" w:cs="宋体"/>
          <w:sz w:val="20"/>
          <w:u w:val="single"/>
        </w:rPr>
      </w:pPr>
      <w:r>
        <w:rPr>
          <w:rFonts w:hint="eastAsia" w:ascii="宋体" w:hAnsi="宋体" w:cs="宋体"/>
        </w:rPr>
        <w:t>投标人：</w:t>
      </w:r>
      <w:r>
        <w:rPr>
          <w:rFonts w:hint="eastAsia" w:ascii="宋体" w:hAnsi="宋体" w:cs="宋体"/>
          <w:u w:val="single" w:color="000000"/>
        </w:rPr>
        <w:t>（盖电子章）</w:t>
      </w:r>
    </w:p>
    <w:p>
      <w:pPr>
        <w:snapToGrid w:val="0"/>
        <w:spacing w:line="620" w:lineRule="exact"/>
        <w:textAlignment w:val="baseline"/>
        <w:rPr>
          <w:rFonts w:ascii="宋体" w:cs="宋体"/>
          <w:sz w:val="20"/>
          <w:u w:val="single"/>
        </w:rPr>
      </w:pPr>
      <w:r>
        <w:rPr>
          <w:rFonts w:hint="eastAsia" w:ascii="宋体" w:hAnsi="宋体" w:cs="宋体"/>
        </w:rPr>
        <w:t>法定代表人或其委托代理人签字：</w:t>
      </w:r>
      <w:r>
        <w:rPr>
          <w:rFonts w:hint="eastAsia" w:ascii="宋体" w:hAnsi="宋体" w:cs="宋体"/>
          <w:u w:val="single" w:color="000000"/>
        </w:rPr>
        <w:t>（或盖电子章）</w:t>
      </w:r>
    </w:p>
    <w:p>
      <w:pPr>
        <w:snapToGrid w:val="0"/>
        <w:spacing w:line="620" w:lineRule="exact"/>
        <w:textAlignment w:val="baseline"/>
        <w:rPr>
          <w:rFonts w:ascii="宋体"/>
          <w:sz w:val="20"/>
        </w:rPr>
      </w:pPr>
      <w:r>
        <w:rPr>
          <w:rFonts w:hint="eastAsia" w:ascii="宋体" w:hAnsi="宋体" w:cs="宋体"/>
        </w:rPr>
        <w:t>日期：</w:t>
      </w:r>
      <w:r>
        <w:rPr>
          <w:rFonts w:ascii="宋体"/>
          <w:u w:val="single" w:color="000000"/>
        </w:rPr>
        <w:tab/>
      </w:r>
      <w:r>
        <w:rPr>
          <w:rFonts w:hint="eastAsia" w:ascii="宋体" w:hAnsi="宋体" w:cs="宋体"/>
        </w:rPr>
        <w:t>年</w:t>
      </w:r>
      <w:r>
        <w:rPr>
          <w:rFonts w:ascii="宋体"/>
          <w:u w:val="single" w:color="000000"/>
        </w:rPr>
        <w:tab/>
      </w:r>
      <w:r>
        <w:rPr>
          <w:rFonts w:hint="eastAsia" w:ascii="宋体" w:hAnsi="宋体" w:cs="宋体"/>
        </w:rPr>
        <w:t>月</w:t>
      </w:r>
      <w:r>
        <w:rPr>
          <w:rFonts w:ascii="宋体"/>
          <w:u w:val="single" w:color="000000"/>
        </w:rPr>
        <w:tab/>
      </w:r>
      <w:r>
        <w:rPr>
          <w:rFonts w:hint="eastAsia" w:ascii="宋体" w:hAnsi="宋体" w:cs="宋体"/>
        </w:rPr>
        <w:t>日</w:t>
      </w:r>
    </w:p>
    <w:p>
      <w:pPr>
        <w:snapToGrid w:val="0"/>
        <w:spacing w:line="620" w:lineRule="exact"/>
        <w:textAlignment w:val="baseline"/>
        <w:rPr>
          <w:rFonts w:ascii="宋体"/>
          <w:sz w:val="20"/>
        </w:rPr>
      </w:pPr>
      <w:r>
        <w:rPr>
          <w:rFonts w:hint="eastAsia" w:ascii="宋体" w:hAnsi="宋体" w:cs="宋体"/>
        </w:rPr>
        <w:t>联系电话：座机</w:t>
      </w:r>
      <w:r>
        <w:rPr>
          <w:rFonts w:ascii="宋体" w:hAnsi="宋体" w:cs="宋体"/>
        </w:rPr>
        <w:t>+</w:t>
      </w:r>
      <w:r>
        <w:rPr>
          <w:rFonts w:hint="eastAsia" w:ascii="宋体" w:hAnsi="宋体" w:cs="宋体"/>
        </w:rPr>
        <w:t>手机</w:t>
      </w:r>
    </w:p>
    <w:p>
      <w:pPr>
        <w:widowControl/>
        <w:jc w:val="left"/>
        <w:rPr>
          <w:rFonts w:ascii="宋体"/>
          <w:b/>
          <w:bCs/>
          <w:sz w:val="32"/>
          <w:szCs w:val="32"/>
        </w:rPr>
      </w:pPr>
      <w:r>
        <w:rPr>
          <w:rFonts w:ascii="宋体"/>
          <w:b/>
          <w:bCs/>
          <w:sz w:val="32"/>
          <w:szCs w:val="32"/>
        </w:rPr>
        <w:br w:type="page"/>
      </w:r>
    </w:p>
    <w:p>
      <w:pPr>
        <w:snapToGrid w:val="0"/>
        <w:spacing w:line="360" w:lineRule="auto"/>
        <w:jc w:val="center"/>
        <w:textAlignment w:val="baseline"/>
        <w:rPr>
          <w:rFonts w:ascii="宋体"/>
          <w:b/>
          <w:bCs/>
          <w:sz w:val="32"/>
          <w:szCs w:val="32"/>
        </w:rPr>
      </w:pPr>
    </w:p>
    <w:p>
      <w:pPr>
        <w:snapToGrid w:val="0"/>
        <w:spacing w:line="360" w:lineRule="auto"/>
        <w:jc w:val="center"/>
        <w:textAlignment w:val="baseline"/>
        <w:outlineLvl w:val="1"/>
        <w:rPr>
          <w:rFonts w:ascii="宋体"/>
          <w:b/>
          <w:bCs/>
          <w:sz w:val="32"/>
          <w:szCs w:val="32"/>
        </w:rPr>
      </w:pPr>
      <w:bookmarkStart w:id="190" w:name="_Toc18298"/>
      <w:bookmarkStart w:id="191" w:name="_Toc74732337"/>
      <w:bookmarkStart w:id="192" w:name="_Toc74732280"/>
      <w:r>
        <w:rPr>
          <w:rFonts w:hint="eastAsia" w:ascii="宋体" w:hAnsi="宋体" w:cs="宋体"/>
          <w:b/>
          <w:bCs/>
          <w:sz w:val="32"/>
          <w:szCs w:val="32"/>
        </w:rPr>
        <w:t>三、投标报价分项表</w:t>
      </w:r>
      <w:bookmarkEnd w:id="190"/>
      <w:bookmarkEnd w:id="191"/>
      <w:bookmarkEnd w:id="192"/>
    </w:p>
    <w:p>
      <w:pPr>
        <w:snapToGrid w:val="0"/>
        <w:spacing w:line="620" w:lineRule="exact"/>
        <w:textAlignment w:val="baseline"/>
        <w:rPr>
          <w:rFonts w:ascii="宋体" w:hAnsi="宋体"/>
          <w:sz w:val="24"/>
          <w:szCs w:val="24"/>
        </w:rPr>
      </w:pPr>
      <w:r>
        <w:rPr>
          <w:rFonts w:hint="eastAsia" w:ascii="宋体" w:hAnsi="宋体" w:cs="宋体"/>
          <w:sz w:val="24"/>
          <w:szCs w:val="24"/>
        </w:rPr>
        <w:t>格式不限，由投标人自行提供。</w:t>
      </w:r>
    </w:p>
    <w:p>
      <w:pPr>
        <w:snapToGrid w:val="0"/>
        <w:ind w:firstLine="480" w:firstLineChars="200"/>
        <w:jc w:val="right"/>
        <w:textAlignment w:val="baseline"/>
        <w:rPr>
          <w:rFonts w:ascii="宋体"/>
          <w:kern w:val="0"/>
          <w:sz w:val="24"/>
          <w:szCs w:val="24"/>
        </w:rPr>
      </w:pPr>
    </w:p>
    <w:p>
      <w:pPr>
        <w:snapToGrid w:val="0"/>
        <w:ind w:firstLine="480" w:firstLineChars="200"/>
        <w:jc w:val="right"/>
        <w:textAlignment w:val="baseline"/>
        <w:rPr>
          <w:rFonts w:ascii="宋体"/>
          <w:kern w:val="0"/>
          <w:sz w:val="24"/>
          <w:szCs w:val="24"/>
        </w:rPr>
      </w:pPr>
    </w:p>
    <w:p>
      <w:pPr>
        <w:snapToGrid w:val="0"/>
        <w:ind w:firstLine="480" w:firstLineChars="200"/>
        <w:jc w:val="right"/>
        <w:textAlignment w:val="baseline"/>
        <w:rPr>
          <w:rFonts w:ascii="宋体"/>
          <w:kern w:val="0"/>
          <w:sz w:val="24"/>
          <w:szCs w:val="24"/>
        </w:rPr>
      </w:pPr>
    </w:p>
    <w:p>
      <w:pPr>
        <w:widowControl/>
        <w:snapToGrid w:val="0"/>
        <w:jc w:val="left"/>
        <w:textAlignment w:val="baseline"/>
        <w:rPr>
          <w:rFonts w:ascii="宋体"/>
          <w:b/>
          <w:bCs/>
          <w:sz w:val="32"/>
          <w:szCs w:val="32"/>
        </w:rPr>
      </w:pPr>
      <w:r>
        <w:rPr>
          <w:rFonts w:ascii="宋体"/>
          <w:b/>
          <w:bCs/>
          <w:sz w:val="32"/>
          <w:szCs w:val="32"/>
        </w:rPr>
        <w:br w:type="page"/>
      </w:r>
    </w:p>
    <w:p>
      <w:pPr>
        <w:snapToGrid w:val="0"/>
        <w:spacing w:line="360" w:lineRule="auto"/>
        <w:jc w:val="center"/>
        <w:textAlignment w:val="baseline"/>
        <w:outlineLvl w:val="1"/>
        <w:rPr>
          <w:rFonts w:ascii="宋体" w:hAnsi="宋体" w:cs="宋体"/>
          <w:b/>
          <w:bCs/>
          <w:sz w:val="32"/>
          <w:szCs w:val="32"/>
        </w:rPr>
      </w:pPr>
      <w:bookmarkStart w:id="193" w:name="_Toc74732338"/>
      <w:bookmarkStart w:id="194" w:name="_Toc74732281"/>
      <w:bookmarkStart w:id="195" w:name="_Toc19015"/>
      <w:r>
        <w:rPr>
          <w:rFonts w:hint="eastAsia" w:ascii="宋体" w:hAnsi="宋体" w:cs="宋体"/>
          <w:b/>
          <w:bCs/>
          <w:sz w:val="32"/>
          <w:szCs w:val="32"/>
        </w:rPr>
        <w:t>四、</w:t>
      </w:r>
      <w:bookmarkEnd w:id="193"/>
      <w:bookmarkEnd w:id="194"/>
      <w:r>
        <w:rPr>
          <w:rFonts w:hint="eastAsia" w:ascii="宋体" w:hAnsi="宋体" w:cs="宋体"/>
          <w:b/>
          <w:bCs/>
          <w:sz w:val="32"/>
          <w:szCs w:val="32"/>
        </w:rPr>
        <w:t>技术方案</w:t>
      </w:r>
      <w:bookmarkEnd w:id="195"/>
    </w:p>
    <w:p>
      <w:pPr>
        <w:snapToGrid w:val="0"/>
        <w:spacing w:line="360" w:lineRule="auto"/>
        <w:jc w:val="center"/>
        <w:textAlignment w:val="baseline"/>
        <w:rPr>
          <w:rFonts w:ascii="宋体"/>
          <w:b/>
          <w:bCs/>
          <w:sz w:val="32"/>
          <w:szCs w:val="32"/>
        </w:rPr>
      </w:pPr>
      <w:r>
        <w:rPr>
          <w:rFonts w:hint="eastAsia" w:ascii="宋体" w:hAnsi="宋体" w:cs="宋体"/>
          <w:b/>
          <w:bCs/>
          <w:sz w:val="32"/>
          <w:szCs w:val="32"/>
        </w:rPr>
        <w:t>实施方案及技术方案</w:t>
      </w:r>
    </w:p>
    <w:p>
      <w:pPr>
        <w:snapToGrid w:val="0"/>
        <w:spacing w:line="360" w:lineRule="auto"/>
        <w:jc w:val="center"/>
        <w:textAlignment w:val="baseline"/>
        <w:rPr>
          <w:rFonts w:ascii="宋体"/>
          <w:bCs/>
          <w:sz w:val="24"/>
          <w:szCs w:val="24"/>
        </w:rPr>
      </w:pPr>
      <w:r>
        <w:rPr>
          <w:rFonts w:hint="eastAsia" w:ascii="宋体"/>
          <w:bCs/>
          <w:sz w:val="24"/>
          <w:szCs w:val="24"/>
        </w:rPr>
        <w:t>投标人应根据项目情况提供技术服务方案，格式不限。</w:t>
      </w:r>
    </w:p>
    <w:p>
      <w:pPr>
        <w:widowControl/>
        <w:jc w:val="left"/>
        <w:rPr>
          <w:rFonts w:ascii="宋体"/>
          <w:b/>
          <w:bCs/>
          <w:sz w:val="32"/>
          <w:szCs w:val="32"/>
        </w:rPr>
      </w:pPr>
      <w:r>
        <w:rPr>
          <w:rFonts w:ascii="宋体"/>
          <w:bCs/>
          <w:sz w:val="24"/>
          <w:szCs w:val="24"/>
        </w:rPr>
        <w:br w:type="page"/>
      </w:r>
    </w:p>
    <w:p>
      <w:pPr>
        <w:snapToGrid w:val="0"/>
        <w:spacing w:line="360" w:lineRule="auto"/>
        <w:jc w:val="center"/>
        <w:textAlignment w:val="baseline"/>
        <w:rPr>
          <w:rFonts w:ascii="宋体"/>
          <w:b/>
          <w:bCs/>
          <w:sz w:val="32"/>
          <w:szCs w:val="32"/>
        </w:rPr>
        <w:sectPr>
          <w:headerReference r:id="rId3" w:type="default"/>
          <w:footerReference r:id="rId4" w:type="default"/>
          <w:pgSz w:w="11920" w:h="16840"/>
          <w:pgMar w:top="1418" w:right="1418" w:bottom="1418" w:left="1418" w:header="794" w:footer="851" w:gutter="284"/>
          <w:cols w:space="720" w:num="1"/>
        </w:sectPr>
      </w:pPr>
    </w:p>
    <w:p>
      <w:pPr>
        <w:snapToGrid w:val="0"/>
        <w:spacing w:line="360" w:lineRule="auto"/>
        <w:jc w:val="center"/>
        <w:textAlignment w:val="baseline"/>
        <w:outlineLvl w:val="1"/>
        <w:rPr>
          <w:rFonts w:ascii="宋体" w:hAnsi="宋体" w:cs="宋体"/>
          <w:b/>
          <w:bCs/>
          <w:sz w:val="32"/>
          <w:szCs w:val="32"/>
        </w:rPr>
      </w:pPr>
      <w:bookmarkStart w:id="196" w:name="_Toc74732283"/>
      <w:bookmarkStart w:id="197" w:name="_Toc74732340"/>
      <w:bookmarkStart w:id="198" w:name="_Toc9742"/>
      <w:r>
        <w:rPr>
          <w:rFonts w:hint="eastAsia" w:ascii="宋体" w:hAnsi="宋体" w:cs="宋体"/>
          <w:b/>
          <w:bCs/>
          <w:sz w:val="32"/>
          <w:szCs w:val="32"/>
        </w:rPr>
        <w:t>五、</w:t>
      </w:r>
      <w:bookmarkEnd w:id="196"/>
      <w:bookmarkEnd w:id="197"/>
      <w:r>
        <w:rPr>
          <w:rFonts w:hint="eastAsia" w:ascii="宋体" w:hAnsi="宋体" w:cs="宋体"/>
          <w:b/>
          <w:bCs/>
          <w:sz w:val="32"/>
          <w:szCs w:val="32"/>
        </w:rPr>
        <w:t>技术及商务偏差表</w:t>
      </w:r>
      <w:bookmarkEnd w:id="198"/>
    </w:p>
    <w:p>
      <w:pPr>
        <w:snapToGrid w:val="0"/>
        <w:jc w:val="center"/>
        <w:textAlignment w:val="baseline"/>
        <w:rPr>
          <w:rFonts w:ascii="宋体" w:hAnsi="宋体" w:cs="宋体"/>
          <w:b/>
          <w:sz w:val="24"/>
        </w:rPr>
      </w:pPr>
      <w:r>
        <w:rPr>
          <w:rFonts w:hint="eastAsia" w:ascii="宋体" w:hAnsi="宋体" w:cs="宋体"/>
          <w:b/>
          <w:sz w:val="24"/>
        </w:rPr>
        <w:t>5.1技术偏差表</w:t>
      </w:r>
    </w:p>
    <w:p>
      <w:pPr>
        <w:snapToGrid w:val="0"/>
        <w:textAlignment w:val="baseline"/>
        <w:rPr>
          <w:rFonts w:ascii="宋体" w:hAnsi="宋体" w:cs="宋体"/>
          <w:sz w:val="20"/>
        </w:rPr>
      </w:pPr>
    </w:p>
    <w:p>
      <w:pPr>
        <w:snapToGrid w:val="0"/>
        <w:textAlignment w:val="baseline"/>
        <w:rPr>
          <w:rFonts w:ascii="宋体" w:hAnsi="宋体" w:cs="宋体"/>
          <w:sz w:val="20"/>
        </w:rPr>
      </w:pPr>
      <w:r>
        <w:rPr>
          <w:rFonts w:hint="eastAsia" w:ascii="宋体" w:hAnsi="宋体" w:cs="宋体"/>
        </w:rPr>
        <w:t>投标人名称：</w:t>
      </w:r>
    </w:p>
    <w:p>
      <w:pPr>
        <w:snapToGrid w:val="0"/>
        <w:textAlignment w:val="baseline"/>
        <w:rPr>
          <w:rFonts w:ascii="宋体" w:hAnsi="宋体" w:cs="宋体"/>
          <w:sz w:val="20"/>
        </w:rPr>
      </w:pPr>
      <w:r>
        <w:rPr>
          <w:rFonts w:hint="eastAsia" w:ascii="宋体" w:hAnsi="宋体" w:cs="宋体"/>
        </w:rPr>
        <w:t xml:space="preserve">招标编号 ：                                             </w:t>
      </w:r>
    </w:p>
    <w:p>
      <w:pPr>
        <w:snapToGrid w:val="0"/>
        <w:jc w:val="left"/>
        <w:textAlignment w:val="baseline"/>
        <w:rPr>
          <w:rFonts w:ascii="宋体" w:hAnsi="宋体" w:cs="宋体"/>
          <w:sz w:val="20"/>
        </w:rPr>
      </w:pPr>
    </w:p>
    <w:tbl>
      <w:tblPr>
        <w:tblStyle w:val="39"/>
        <w:tblW w:w="91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5"/>
        <w:gridCol w:w="2204"/>
        <w:gridCol w:w="1965"/>
        <w:gridCol w:w="1608"/>
        <w:gridCol w:w="1455"/>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5" w:hRule="atLeast"/>
        </w:trPr>
        <w:tc>
          <w:tcPr>
            <w:tcW w:w="415" w:type="dxa"/>
            <w:tcBorders>
              <w:top w:val="single" w:color="auto" w:sz="4" w:space="0"/>
              <w:left w:val="single" w:color="auto" w:sz="4" w:space="0"/>
              <w:right w:val="single" w:color="auto" w:sz="4" w:space="0"/>
            </w:tcBorders>
            <w:vAlign w:val="center"/>
          </w:tcPr>
          <w:p>
            <w:pPr>
              <w:snapToGrid w:val="0"/>
              <w:jc w:val="center"/>
              <w:textAlignment w:val="baseline"/>
              <w:rPr>
                <w:rFonts w:ascii="宋体" w:hAnsi="宋体" w:cs="宋体"/>
                <w:sz w:val="20"/>
              </w:rPr>
            </w:pPr>
            <w:r>
              <w:rPr>
                <w:rFonts w:hint="eastAsia" w:ascii="宋体" w:hAnsi="宋体" w:cs="宋体"/>
              </w:rPr>
              <w:t>序号</w:t>
            </w:r>
          </w:p>
        </w:tc>
        <w:tc>
          <w:tcPr>
            <w:tcW w:w="2204" w:type="dxa"/>
            <w:tcBorders>
              <w:top w:val="single" w:color="auto" w:sz="4" w:space="0"/>
              <w:left w:val="single" w:color="auto" w:sz="4" w:space="0"/>
              <w:right w:val="single" w:color="auto" w:sz="4" w:space="0"/>
            </w:tcBorders>
            <w:vAlign w:val="center"/>
          </w:tcPr>
          <w:p>
            <w:pPr>
              <w:snapToGrid w:val="0"/>
              <w:jc w:val="center"/>
              <w:textAlignment w:val="baseline"/>
              <w:rPr>
                <w:rFonts w:ascii="宋体" w:hAnsi="宋体" w:cs="宋体"/>
                <w:sz w:val="20"/>
              </w:rPr>
            </w:pPr>
            <w:r>
              <w:rPr>
                <w:rFonts w:hint="eastAsia" w:ascii="宋体" w:hAnsi="宋体" w:cs="宋体"/>
              </w:rPr>
              <w:t>名称及条款号</w:t>
            </w:r>
          </w:p>
        </w:tc>
        <w:tc>
          <w:tcPr>
            <w:tcW w:w="1965" w:type="dxa"/>
            <w:tcBorders>
              <w:top w:val="single" w:color="auto" w:sz="4" w:space="0"/>
              <w:left w:val="single" w:color="auto" w:sz="4" w:space="0"/>
              <w:right w:val="single" w:color="auto" w:sz="4" w:space="0"/>
            </w:tcBorders>
            <w:vAlign w:val="center"/>
          </w:tcPr>
          <w:p>
            <w:pPr>
              <w:snapToGrid w:val="0"/>
              <w:ind w:firstLine="105" w:firstLineChars="50"/>
              <w:textAlignment w:val="baseline"/>
              <w:rPr>
                <w:rFonts w:ascii="宋体" w:hAnsi="宋体" w:cs="宋体"/>
                <w:sz w:val="20"/>
              </w:rPr>
            </w:pPr>
            <w:r>
              <w:rPr>
                <w:rFonts w:hint="eastAsia" w:ascii="宋体" w:hAnsi="宋体" w:cs="宋体"/>
              </w:rPr>
              <w:t>招标文件要求</w:t>
            </w:r>
          </w:p>
        </w:tc>
        <w:tc>
          <w:tcPr>
            <w:tcW w:w="1608" w:type="dxa"/>
            <w:tcBorders>
              <w:top w:val="single" w:color="auto" w:sz="4" w:space="0"/>
              <w:left w:val="single" w:color="auto" w:sz="4" w:space="0"/>
              <w:right w:val="single" w:color="auto" w:sz="4" w:space="0"/>
            </w:tcBorders>
            <w:vAlign w:val="center"/>
          </w:tcPr>
          <w:p>
            <w:pPr>
              <w:snapToGrid w:val="0"/>
              <w:jc w:val="center"/>
              <w:textAlignment w:val="baseline"/>
              <w:rPr>
                <w:rFonts w:ascii="宋体" w:hAnsi="宋体" w:cs="宋体"/>
                <w:sz w:val="20"/>
              </w:rPr>
            </w:pPr>
            <w:r>
              <w:rPr>
                <w:rFonts w:hint="eastAsia" w:ascii="宋体" w:hAnsi="宋体" w:cs="宋体"/>
              </w:rPr>
              <w:t>投标文件响应内容</w:t>
            </w:r>
          </w:p>
        </w:tc>
        <w:tc>
          <w:tcPr>
            <w:tcW w:w="1455" w:type="dxa"/>
            <w:tcBorders>
              <w:top w:val="single" w:color="auto" w:sz="4" w:space="0"/>
              <w:left w:val="single" w:color="auto" w:sz="4" w:space="0"/>
              <w:right w:val="single" w:color="auto" w:sz="4" w:space="0"/>
            </w:tcBorders>
            <w:vAlign w:val="center"/>
          </w:tcPr>
          <w:p>
            <w:pPr>
              <w:snapToGrid w:val="0"/>
              <w:jc w:val="center"/>
              <w:textAlignment w:val="baseline"/>
              <w:rPr>
                <w:rFonts w:ascii="宋体" w:hAnsi="宋体" w:cs="宋体"/>
                <w:sz w:val="20"/>
              </w:rPr>
            </w:pPr>
            <w:r>
              <w:rPr>
                <w:rFonts w:hint="eastAsia" w:ascii="宋体" w:hAnsi="宋体" w:cs="宋体"/>
              </w:rPr>
              <w:t>对招标文件偏差</w:t>
            </w:r>
          </w:p>
        </w:tc>
        <w:tc>
          <w:tcPr>
            <w:tcW w:w="1509" w:type="dxa"/>
            <w:tcBorders>
              <w:top w:val="single" w:color="auto" w:sz="4" w:space="0"/>
              <w:left w:val="single" w:color="auto" w:sz="4" w:space="0"/>
              <w:right w:val="single" w:color="auto" w:sz="4" w:space="0"/>
            </w:tcBorders>
            <w:vAlign w:val="center"/>
          </w:tcPr>
          <w:p>
            <w:pPr>
              <w:snapToGrid w:val="0"/>
              <w:jc w:val="center"/>
              <w:textAlignment w:val="baseline"/>
              <w:rPr>
                <w:rFonts w:ascii="宋体" w:hAnsi="宋体" w:cs="宋体"/>
                <w:sz w:val="20"/>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415"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cs="宋体"/>
                <w:sz w:val="20"/>
              </w:rPr>
            </w:pPr>
            <w:r>
              <w:rPr>
                <w:rFonts w:hint="eastAsia" w:ascii="宋体" w:hAnsi="宋体" w:cs="宋体"/>
              </w:rPr>
              <w:t>1</w:t>
            </w:r>
          </w:p>
        </w:tc>
        <w:tc>
          <w:tcPr>
            <w:tcW w:w="22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baseline"/>
              <w:rPr>
                <w:rFonts w:ascii="宋体" w:hAnsi="宋体" w:cs="宋体"/>
                <w:sz w:val="20"/>
              </w:rPr>
            </w:pPr>
            <w:r>
              <w:rPr>
                <w:rFonts w:hint="eastAsia" w:ascii="宋体" w:hAnsi="宋体" w:cs="宋体"/>
              </w:rPr>
              <w:t>技术要求</w:t>
            </w:r>
          </w:p>
        </w:tc>
        <w:tc>
          <w:tcPr>
            <w:tcW w:w="196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608"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45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509"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trPr>
        <w:tc>
          <w:tcPr>
            <w:tcW w:w="415"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cs="宋体"/>
                <w:sz w:val="20"/>
              </w:rPr>
            </w:pPr>
          </w:p>
        </w:tc>
        <w:tc>
          <w:tcPr>
            <w:tcW w:w="22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baseline"/>
              <w:rPr>
                <w:rFonts w:ascii="宋体" w:hAnsi="宋体" w:cs="宋体"/>
                <w:sz w:val="20"/>
              </w:rPr>
            </w:pPr>
          </w:p>
        </w:tc>
        <w:tc>
          <w:tcPr>
            <w:tcW w:w="196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608"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45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509"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trPr>
        <w:tc>
          <w:tcPr>
            <w:tcW w:w="415"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cs="宋体"/>
                <w:sz w:val="20"/>
              </w:rPr>
            </w:pPr>
          </w:p>
        </w:tc>
        <w:tc>
          <w:tcPr>
            <w:tcW w:w="22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baseline"/>
              <w:rPr>
                <w:rFonts w:ascii="宋体" w:hAnsi="宋体" w:cs="宋体"/>
                <w:sz w:val="20"/>
              </w:rPr>
            </w:pPr>
          </w:p>
        </w:tc>
        <w:tc>
          <w:tcPr>
            <w:tcW w:w="196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608"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45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509"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18" w:hRule="atLeast"/>
        </w:trPr>
        <w:tc>
          <w:tcPr>
            <w:tcW w:w="415"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cs="宋体"/>
                <w:sz w:val="20"/>
              </w:rPr>
            </w:pPr>
          </w:p>
        </w:tc>
        <w:tc>
          <w:tcPr>
            <w:tcW w:w="22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baseline"/>
              <w:rPr>
                <w:rFonts w:ascii="宋体" w:hAnsi="宋体" w:cs="宋体"/>
                <w:sz w:val="20"/>
              </w:rPr>
            </w:pPr>
            <w:r>
              <w:rPr>
                <w:rFonts w:hint="eastAsia" w:ascii="宋体" w:hAnsi="宋体" w:cs="宋体"/>
              </w:rPr>
              <w:t>……</w:t>
            </w:r>
          </w:p>
        </w:tc>
        <w:tc>
          <w:tcPr>
            <w:tcW w:w="196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608"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45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509"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trPr>
        <w:tc>
          <w:tcPr>
            <w:tcW w:w="415"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cs="宋体"/>
                <w:sz w:val="20"/>
              </w:rPr>
            </w:pPr>
            <w:r>
              <w:rPr>
                <w:rFonts w:hint="eastAsia" w:ascii="宋体" w:hAnsi="宋体" w:cs="宋体"/>
              </w:rPr>
              <w:t>2</w:t>
            </w:r>
          </w:p>
        </w:tc>
        <w:tc>
          <w:tcPr>
            <w:tcW w:w="22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baseline"/>
              <w:rPr>
                <w:rFonts w:ascii="宋体" w:hAnsi="宋体" w:cs="宋体"/>
                <w:sz w:val="20"/>
              </w:rPr>
            </w:pPr>
          </w:p>
        </w:tc>
        <w:tc>
          <w:tcPr>
            <w:tcW w:w="196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608"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45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509"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9" w:hRule="atLeast"/>
        </w:trPr>
        <w:tc>
          <w:tcPr>
            <w:tcW w:w="415"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cs="宋体"/>
                <w:sz w:val="20"/>
              </w:rPr>
            </w:pPr>
          </w:p>
        </w:tc>
        <w:tc>
          <w:tcPr>
            <w:tcW w:w="22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baseline"/>
              <w:rPr>
                <w:rFonts w:ascii="宋体" w:hAnsi="宋体" w:cs="宋体"/>
                <w:sz w:val="20"/>
              </w:rPr>
            </w:pPr>
          </w:p>
        </w:tc>
        <w:tc>
          <w:tcPr>
            <w:tcW w:w="196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608"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45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509"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9" w:hRule="atLeast"/>
        </w:trPr>
        <w:tc>
          <w:tcPr>
            <w:tcW w:w="415"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cs="宋体"/>
                <w:sz w:val="20"/>
              </w:rPr>
            </w:pPr>
          </w:p>
        </w:tc>
        <w:tc>
          <w:tcPr>
            <w:tcW w:w="22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baseline"/>
              <w:rPr>
                <w:rFonts w:ascii="宋体" w:hAnsi="宋体" w:cs="宋体"/>
                <w:sz w:val="20"/>
              </w:rPr>
            </w:pPr>
          </w:p>
        </w:tc>
        <w:tc>
          <w:tcPr>
            <w:tcW w:w="196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608"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45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509"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415"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cs="宋体"/>
                <w:sz w:val="20"/>
              </w:rPr>
            </w:pPr>
          </w:p>
        </w:tc>
        <w:tc>
          <w:tcPr>
            <w:tcW w:w="22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baseline"/>
              <w:rPr>
                <w:rFonts w:ascii="宋体" w:hAnsi="宋体" w:cs="宋体"/>
                <w:sz w:val="20"/>
              </w:rPr>
            </w:pPr>
            <w:r>
              <w:rPr>
                <w:rFonts w:hint="eastAsia" w:ascii="宋体" w:hAnsi="宋体" w:cs="宋体"/>
              </w:rPr>
              <w:t>……</w:t>
            </w:r>
          </w:p>
        </w:tc>
        <w:tc>
          <w:tcPr>
            <w:tcW w:w="196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608"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45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509"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99" w:hRule="atLeast"/>
        </w:trPr>
        <w:tc>
          <w:tcPr>
            <w:tcW w:w="415"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cs="宋体"/>
                <w:sz w:val="20"/>
              </w:rPr>
            </w:pPr>
          </w:p>
        </w:tc>
        <w:tc>
          <w:tcPr>
            <w:tcW w:w="22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baseline"/>
              <w:rPr>
                <w:rFonts w:ascii="宋体" w:hAnsi="宋体" w:cs="宋体"/>
                <w:sz w:val="20"/>
              </w:rPr>
            </w:pPr>
          </w:p>
        </w:tc>
        <w:tc>
          <w:tcPr>
            <w:tcW w:w="196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608"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45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509"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trPr>
        <w:tc>
          <w:tcPr>
            <w:tcW w:w="415" w:type="dxa"/>
            <w:tcBorders>
              <w:top w:val="single" w:color="auto" w:sz="4" w:space="0"/>
              <w:bottom w:val="single" w:color="auto" w:sz="4" w:space="0"/>
              <w:right w:val="single" w:color="auto" w:sz="4" w:space="0"/>
            </w:tcBorders>
          </w:tcPr>
          <w:p>
            <w:pPr>
              <w:snapToGrid w:val="0"/>
              <w:jc w:val="center"/>
              <w:textAlignment w:val="baseline"/>
              <w:rPr>
                <w:rFonts w:ascii="宋体" w:hAnsi="宋体" w:cs="宋体"/>
                <w:sz w:val="20"/>
              </w:rPr>
            </w:pPr>
          </w:p>
        </w:tc>
        <w:tc>
          <w:tcPr>
            <w:tcW w:w="22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baseline"/>
              <w:rPr>
                <w:rFonts w:ascii="宋体" w:hAnsi="宋体" w:cs="宋体"/>
                <w:sz w:val="20"/>
              </w:rPr>
            </w:pPr>
          </w:p>
        </w:tc>
        <w:tc>
          <w:tcPr>
            <w:tcW w:w="196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608"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455" w:type="dxa"/>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cs="宋体"/>
                <w:sz w:val="20"/>
              </w:rPr>
            </w:pPr>
          </w:p>
        </w:tc>
        <w:tc>
          <w:tcPr>
            <w:tcW w:w="1509" w:type="dxa"/>
            <w:tcBorders>
              <w:top w:val="single" w:color="auto" w:sz="4" w:space="0"/>
              <w:left w:val="single" w:color="auto" w:sz="4" w:space="0"/>
              <w:bottom w:val="single" w:color="auto" w:sz="4" w:space="0"/>
            </w:tcBorders>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28" w:hRule="atLeast"/>
        </w:trPr>
        <w:tc>
          <w:tcPr>
            <w:tcW w:w="415" w:type="dxa"/>
            <w:tcBorders>
              <w:top w:val="single" w:color="auto" w:sz="4" w:space="0"/>
              <w:right w:val="single" w:color="auto" w:sz="4" w:space="0"/>
            </w:tcBorders>
          </w:tcPr>
          <w:p>
            <w:pPr>
              <w:snapToGrid w:val="0"/>
              <w:jc w:val="center"/>
              <w:textAlignment w:val="baseline"/>
              <w:rPr>
                <w:rFonts w:ascii="宋体" w:hAnsi="宋体" w:cs="宋体"/>
                <w:sz w:val="20"/>
              </w:rPr>
            </w:pPr>
          </w:p>
        </w:tc>
        <w:tc>
          <w:tcPr>
            <w:tcW w:w="2204" w:type="dxa"/>
            <w:tcBorders>
              <w:top w:val="single" w:color="auto" w:sz="4" w:space="0"/>
              <w:left w:val="single" w:color="auto" w:sz="4" w:space="0"/>
              <w:right w:val="single" w:color="auto" w:sz="4" w:space="0"/>
            </w:tcBorders>
            <w:vAlign w:val="center"/>
          </w:tcPr>
          <w:p>
            <w:pPr>
              <w:snapToGrid w:val="0"/>
              <w:spacing w:line="360" w:lineRule="auto"/>
              <w:jc w:val="center"/>
              <w:textAlignment w:val="baseline"/>
              <w:rPr>
                <w:rFonts w:ascii="宋体" w:hAnsi="宋体" w:cs="宋体"/>
                <w:sz w:val="20"/>
              </w:rPr>
            </w:pPr>
            <w:r>
              <w:rPr>
                <w:rFonts w:hint="eastAsia" w:ascii="宋体" w:hAnsi="宋体" w:cs="宋体"/>
              </w:rPr>
              <w:t>……</w:t>
            </w:r>
          </w:p>
        </w:tc>
        <w:tc>
          <w:tcPr>
            <w:tcW w:w="1965" w:type="dxa"/>
            <w:tcBorders>
              <w:top w:val="single" w:color="auto" w:sz="4" w:space="0"/>
              <w:left w:val="single" w:color="auto" w:sz="4" w:space="0"/>
              <w:right w:val="single" w:color="auto" w:sz="4" w:space="0"/>
            </w:tcBorders>
          </w:tcPr>
          <w:p>
            <w:pPr>
              <w:snapToGrid w:val="0"/>
              <w:textAlignment w:val="baseline"/>
              <w:rPr>
                <w:rFonts w:ascii="宋体" w:hAnsi="宋体" w:cs="宋体"/>
                <w:sz w:val="20"/>
              </w:rPr>
            </w:pPr>
          </w:p>
        </w:tc>
        <w:tc>
          <w:tcPr>
            <w:tcW w:w="1608" w:type="dxa"/>
            <w:tcBorders>
              <w:top w:val="single" w:color="auto" w:sz="4" w:space="0"/>
              <w:left w:val="single" w:color="auto" w:sz="4" w:space="0"/>
              <w:right w:val="single" w:color="auto" w:sz="4" w:space="0"/>
            </w:tcBorders>
          </w:tcPr>
          <w:p>
            <w:pPr>
              <w:snapToGrid w:val="0"/>
              <w:textAlignment w:val="baseline"/>
              <w:rPr>
                <w:rFonts w:ascii="宋体" w:hAnsi="宋体" w:cs="宋体"/>
                <w:sz w:val="20"/>
              </w:rPr>
            </w:pPr>
          </w:p>
        </w:tc>
        <w:tc>
          <w:tcPr>
            <w:tcW w:w="1455" w:type="dxa"/>
            <w:tcBorders>
              <w:top w:val="single" w:color="auto" w:sz="4" w:space="0"/>
              <w:left w:val="single" w:color="auto" w:sz="4" w:space="0"/>
              <w:right w:val="single" w:color="auto" w:sz="4" w:space="0"/>
            </w:tcBorders>
          </w:tcPr>
          <w:p>
            <w:pPr>
              <w:snapToGrid w:val="0"/>
              <w:textAlignment w:val="baseline"/>
              <w:rPr>
                <w:rFonts w:ascii="宋体" w:hAnsi="宋体" w:cs="宋体"/>
                <w:sz w:val="20"/>
              </w:rPr>
            </w:pPr>
          </w:p>
        </w:tc>
        <w:tc>
          <w:tcPr>
            <w:tcW w:w="1509" w:type="dxa"/>
            <w:tcBorders>
              <w:top w:val="single" w:color="auto" w:sz="4" w:space="0"/>
              <w:left w:val="single" w:color="auto" w:sz="4" w:space="0"/>
            </w:tcBorders>
          </w:tcPr>
          <w:p>
            <w:pPr>
              <w:snapToGrid w:val="0"/>
              <w:textAlignment w:val="baseline"/>
              <w:rPr>
                <w:rFonts w:ascii="宋体" w:hAnsi="宋体" w:cs="宋体"/>
                <w:sz w:val="20"/>
              </w:rPr>
            </w:pPr>
          </w:p>
        </w:tc>
      </w:tr>
    </w:tbl>
    <w:p>
      <w:pPr>
        <w:snapToGrid w:val="0"/>
        <w:spacing w:line="620" w:lineRule="exact"/>
        <w:textAlignment w:val="baseline"/>
        <w:rPr>
          <w:rFonts w:ascii="宋体" w:cs="宋体"/>
          <w:sz w:val="20"/>
          <w:u w:val="single"/>
        </w:rPr>
      </w:pPr>
      <w:r>
        <w:rPr>
          <w:rFonts w:hint="eastAsia" w:ascii="宋体" w:hAnsi="宋体" w:cs="宋体"/>
        </w:rPr>
        <w:t>投标人：</w:t>
      </w:r>
      <w:r>
        <w:rPr>
          <w:rFonts w:hint="eastAsia" w:ascii="宋体" w:hAnsi="宋体" w:cs="宋体"/>
          <w:u w:val="single" w:color="000000"/>
        </w:rPr>
        <w:t>（盖电子章）</w:t>
      </w:r>
    </w:p>
    <w:p>
      <w:pPr>
        <w:snapToGrid w:val="0"/>
        <w:spacing w:line="620" w:lineRule="exact"/>
        <w:textAlignment w:val="baseline"/>
        <w:rPr>
          <w:rFonts w:ascii="宋体" w:cs="宋体"/>
          <w:sz w:val="20"/>
          <w:u w:val="single"/>
        </w:rPr>
      </w:pPr>
      <w:r>
        <w:rPr>
          <w:rFonts w:hint="eastAsia" w:ascii="宋体" w:hAnsi="宋体" w:cs="宋体"/>
        </w:rPr>
        <w:t>法定代表人或其委托代理人签字：</w:t>
      </w:r>
      <w:r>
        <w:rPr>
          <w:rFonts w:hint="eastAsia" w:ascii="宋体" w:hAnsi="宋体" w:cs="宋体"/>
          <w:u w:val="single" w:color="000000"/>
        </w:rPr>
        <w:t>（或盖电子章）</w:t>
      </w:r>
    </w:p>
    <w:p>
      <w:pPr>
        <w:snapToGrid w:val="0"/>
        <w:jc w:val="left"/>
        <w:textAlignment w:val="baseline"/>
        <w:rPr>
          <w:rFonts w:ascii="宋体" w:hAnsi="宋体" w:cs="宋体"/>
          <w:sz w:val="20"/>
        </w:rPr>
      </w:pPr>
      <w:r>
        <w:rPr>
          <w:rFonts w:hint="eastAsia" w:ascii="宋体" w:hAnsi="宋体" w:cs="宋体"/>
        </w:rPr>
        <w:t>日期：</w:t>
      </w:r>
      <w:r>
        <w:rPr>
          <w:rFonts w:ascii="宋体"/>
          <w:u w:val="single" w:color="000000"/>
        </w:rPr>
        <w:tab/>
      </w:r>
      <w:r>
        <w:rPr>
          <w:rFonts w:hint="eastAsia" w:ascii="宋体" w:hAnsi="宋体" w:cs="宋体"/>
        </w:rPr>
        <w:t>年</w:t>
      </w:r>
      <w:r>
        <w:rPr>
          <w:rFonts w:ascii="宋体"/>
          <w:u w:val="single" w:color="000000"/>
        </w:rPr>
        <w:tab/>
      </w:r>
      <w:r>
        <w:rPr>
          <w:rFonts w:hint="eastAsia" w:ascii="宋体" w:hAnsi="宋体" w:cs="宋体"/>
        </w:rPr>
        <w:t>月</w:t>
      </w:r>
      <w:r>
        <w:rPr>
          <w:rFonts w:ascii="宋体"/>
          <w:u w:val="single" w:color="000000"/>
        </w:rPr>
        <w:tab/>
      </w:r>
      <w:r>
        <w:rPr>
          <w:rFonts w:hint="eastAsia" w:ascii="宋体" w:hAnsi="宋体" w:cs="宋体"/>
        </w:rPr>
        <w:t>日</w:t>
      </w:r>
    </w:p>
    <w:p>
      <w:pPr>
        <w:snapToGrid w:val="0"/>
        <w:spacing w:line="360" w:lineRule="auto"/>
        <w:jc w:val="left"/>
        <w:textAlignment w:val="baseline"/>
        <w:rPr>
          <w:rFonts w:ascii="宋体" w:hAnsi="宋体" w:cs="宋体"/>
          <w:sz w:val="20"/>
        </w:rPr>
      </w:pPr>
      <w:r>
        <w:rPr>
          <w:rFonts w:ascii="宋体" w:hAnsi="宋体" w:cs="宋体"/>
        </w:rPr>
        <w:t xml:space="preserve">说明： </w:t>
      </w:r>
    </w:p>
    <w:p>
      <w:pPr>
        <w:snapToGrid w:val="0"/>
        <w:spacing w:line="360" w:lineRule="auto"/>
        <w:jc w:val="left"/>
        <w:textAlignment w:val="baseline"/>
        <w:rPr>
          <w:rFonts w:ascii="宋体" w:hAnsi="宋体" w:cs="宋体"/>
          <w:sz w:val="20"/>
        </w:rPr>
      </w:pPr>
      <w:r>
        <w:rPr>
          <w:rFonts w:ascii="宋体" w:hAnsi="宋体" w:cs="宋体"/>
        </w:rPr>
        <w:t xml:space="preserve">1、上述此表中的“招标文件”或“投标文件”内容不得空缺，否则视为未如实、完整填写本表，对其投标按拒绝处理； </w:t>
      </w:r>
    </w:p>
    <w:p>
      <w:pPr>
        <w:snapToGrid w:val="0"/>
        <w:textAlignment w:val="baseline"/>
        <w:rPr>
          <w:rFonts w:ascii="宋体" w:hAnsi="宋体" w:cs="宋体"/>
          <w:sz w:val="20"/>
        </w:rPr>
      </w:pPr>
    </w:p>
    <w:p>
      <w:pPr>
        <w:snapToGrid w:val="0"/>
        <w:textAlignment w:val="baseline"/>
        <w:rPr>
          <w:rFonts w:ascii="宋体" w:hAnsi="宋体" w:cs="宋体"/>
          <w:sz w:val="20"/>
        </w:rPr>
      </w:pPr>
    </w:p>
    <w:p>
      <w:pPr>
        <w:snapToGrid w:val="0"/>
        <w:ind w:firstLine="600" w:firstLineChars="300"/>
        <w:textAlignment w:val="baseline"/>
        <w:rPr>
          <w:rFonts w:ascii="宋体" w:hAnsi="宋体" w:cs="宋体"/>
          <w:sz w:val="20"/>
        </w:rPr>
      </w:pPr>
    </w:p>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pPr>
    </w:p>
    <w:p>
      <w:pPr>
        <w:snapToGrid w:val="0"/>
        <w:jc w:val="center"/>
        <w:textAlignment w:val="baseline"/>
        <w:rPr>
          <w:rFonts w:ascii="宋体" w:hAnsi="宋体" w:cs="宋体"/>
          <w:sz w:val="20"/>
        </w:rPr>
      </w:pPr>
      <w:r>
        <w:rPr>
          <w:rFonts w:hint="eastAsia"/>
        </w:rPr>
        <w:br w:type="page"/>
      </w:r>
    </w:p>
    <w:p>
      <w:pPr>
        <w:snapToGrid w:val="0"/>
        <w:jc w:val="center"/>
        <w:textAlignment w:val="baseline"/>
        <w:rPr>
          <w:rFonts w:ascii="宋体" w:hAnsi="宋体" w:cs="宋体"/>
          <w:sz w:val="20"/>
        </w:rPr>
      </w:pPr>
      <w:bookmarkStart w:id="199" w:name="_Toc395181599"/>
      <w:bookmarkStart w:id="200" w:name="_Toc99423354"/>
      <w:r>
        <w:rPr>
          <w:rFonts w:hint="eastAsia" w:ascii="宋体" w:hAnsi="宋体" w:cs="宋体"/>
          <w:b/>
          <w:sz w:val="24"/>
        </w:rPr>
        <w:t>5.2商务条款偏差一览表</w:t>
      </w:r>
      <w:bookmarkEnd w:id="199"/>
      <w:bookmarkEnd w:id="200"/>
    </w:p>
    <w:p>
      <w:pPr>
        <w:snapToGrid w:val="0"/>
        <w:ind w:firstLine="200" w:firstLineChars="100"/>
        <w:textAlignment w:val="baseline"/>
        <w:rPr>
          <w:rFonts w:ascii="宋体" w:hAnsi="宋体" w:cs="宋体"/>
          <w:sz w:val="20"/>
        </w:rPr>
      </w:pPr>
    </w:p>
    <w:p>
      <w:pPr>
        <w:snapToGrid w:val="0"/>
        <w:ind w:firstLine="210" w:firstLineChars="100"/>
        <w:textAlignment w:val="baseline"/>
        <w:rPr>
          <w:rFonts w:ascii="宋体" w:hAnsi="宋体" w:cs="宋体"/>
          <w:sz w:val="20"/>
        </w:rPr>
      </w:pPr>
      <w:r>
        <w:rPr>
          <w:rFonts w:hint="eastAsia" w:ascii="宋体" w:hAnsi="宋体" w:cs="宋体"/>
        </w:rPr>
        <w:t xml:space="preserve">投标人名称： </w:t>
      </w:r>
    </w:p>
    <w:p>
      <w:pPr>
        <w:snapToGrid w:val="0"/>
        <w:ind w:right="210" w:firstLine="210" w:firstLineChars="100"/>
        <w:textAlignment w:val="baseline"/>
        <w:rPr>
          <w:rFonts w:ascii="宋体" w:hAnsi="宋体" w:cs="宋体"/>
          <w:sz w:val="20"/>
        </w:rPr>
      </w:pPr>
      <w:r>
        <w:rPr>
          <w:rFonts w:hint="eastAsia" w:ascii="宋体" w:hAnsi="宋体" w:cs="宋体"/>
        </w:rPr>
        <w:t xml:space="preserve">招标编号 ：      </w:t>
      </w:r>
    </w:p>
    <w:p>
      <w:pPr>
        <w:snapToGrid w:val="0"/>
        <w:ind w:firstLine="200" w:firstLineChars="100"/>
        <w:jc w:val="left"/>
        <w:textAlignment w:val="baseline"/>
        <w:rPr>
          <w:rFonts w:ascii="宋体" w:hAnsi="宋体" w:cs="宋体"/>
          <w:sz w:val="20"/>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028"/>
        <w:gridCol w:w="1260"/>
        <w:gridCol w:w="1252"/>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napToGrid w:val="0"/>
              <w:jc w:val="center"/>
              <w:textAlignment w:val="baseline"/>
              <w:rPr>
                <w:rFonts w:ascii="宋体" w:hAnsi="宋体" w:cs="宋体"/>
                <w:sz w:val="20"/>
              </w:rPr>
            </w:pPr>
            <w:r>
              <w:rPr>
                <w:rFonts w:hint="eastAsia" w:ascii="宋体" w:hAnsi="宋体" w:cs="宋体"/>
              </w:rPr>
              <w:t>序号</w:t>
            </w:r>
          </w:p>
        </w:tc>
        <w:tc>
          <w:tcPr>
            <w:tcW w:w="2028" w:type="dxa"/>
          </w:tcPr>
          <w:p>
            <w:pPr>
              <w:snapToGrid w:val="0"/>
              <w:textAlignment w:val="baseline"/>
              <w:rPr>
                <w:rFonts w:ascii="宋体" w:hAnsi="宋体" w:cs="宋体"/>
                <w:sz w:val="20"/>
              </w:rPr>
            </w:pPr>
            <w:r>
              <w:rPr>
                <w:rFonts w:hint="eastAsia" w:ascii="宋体" w:hAnsi="宋体" w:cs="宋体"/>
              </w:rPr>
              <w:t>项目</w:t>
            </w:r>
          </w:p>
        </w:tc>
        <w:tc>
          <w:tcPr>
            <w:tcW w:w="1260" w:type="dxa"/>
          </w:tcPr>
          <w:p>
            <w:pPr>
              <w:snapToGrid w:val="0"/>
              <w:textAlignment w:val="baseline"/>
              <w:rPr>
                <w:rFonts w:ascii="宋体" w:hAnsi="宋体" w:cs="宋体"/>
                <w:sz w:val="20"/>
              </w:rPr>
            </w:pPr>
            <w:r>
              <w:rPr>
                <w:rFonts w:hint="eastAsia" w:ascii="宋体" w:hAnsi="宋体" w:cs="宋体"/>
              </w:rPr>
              <w:t>招标文件要求</w:t>
            </w:r>
          </w:p>
        </w:tc>
        <w:tc>
          <w:tcPr>
            <w:tcW w:w="1252" w:type="dxa"/>
          </w:tcPr>
          <w:p>
            <w:pPr>
              <w:snapToGrid w:val="0"/>
              <w:textAlignment w:val="baseline"/>
              <w:rPr>
                <w:rFonts w:ascii="宋体" w:hAnsi="宋体" w:cs="宋体"/>
                <w:sz w:val="20"/>
              </w:rPr>
            </w:pPr>
            <w:r>
              <w:rPr>
                <w:rFonts w:hint="eastAsia" w:ascii="宋体" w:hAnsi="宋体" w:cs="宋体"/>
              </w:rPr>
              <w:t>投标文件响应内容</w:t>
            </w:r>
          </w:p>
        </w:tc>
        <w:tc>
          <w:tcPr>
            <w:tcW w:w="1421" w:type="dxa"/>
          </w:tcPr>
          <w:p>
            <w:pPr>
              <w:snapToGrid w:val="0"/>
              <w:textAlignment w:val="baseline"/>
              <w:rPr>
                <w:rFonts w:ascii="宋体" w:hAnsi="宋体" w:cs="宋体"/>
                <w:sz w:val="20"/>
              </w:rPr>
            </w:pPr>
            <w:r>
              <w:rPr>
                <w:rFonts w:hint="eastAsia" w:ascii="宋体" w:hAnsi="宋体" w:cs="宋体"/>
              </w:rPr>
              <w:t>对招标文件偏差</w:t>
            </w:r>
          </w:p>
        </w:tc>
        <w:tc>
          <w:tcPr>
            <w:tcW w:w="1421" w:type="dxa"/>
          </w:tcPr>
          <w:p>
            <w:pPr>
              <w:snapToGrid w:val="0"/>
              <w:textAlignment w:val="baseline"/>
              <w:rPr>
                <w:rFonts w:ascii="宋体" w:hAnsi="宋体" w:cs="宋体"/>
                <w:sz w:val="20"/>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napToGrid w:val="0"/>
              <w:jc w:val="center"/>
              <w:textAlignment w:val="baseline"/>
              <w:rPr>
                <w:rFonts w:ascii="宋体" w:hAnsi="宋体" w:cs="宋体"/>
                <w:sz w:val="20"/>
              </w:rPr>
            </w:pPr>
            <w:r>
              <w:rPr>
                <w:rFonts w:hint="eastAsia" w:ascii="宋体" w:hAnsi="宋体" w:cs="宋体"/>
              </w:rPr>
              <w:t>1</w:t>
            </w:r>
          </w:p>
        </w:tc>
        <w:tc>
          <w:tcPr>
            <w:tcW w:w="2028" w:type="dxa"/>
          </w:tcPr>
          <w:p>
            <w:pPr>
              <w:snapToGrid w:val="0"/>
              <w:textAlignment w:val="baseline"/>
              <w:rPr>
                <w:rFonts w:ascii="宋体" w:hAnsi="宋体" w:cs="宋体"/>
                <w:sz w:val="20"/>
              </w:rPr>
            </w:pPr>
            <w:r>
              <w:rPr>
                <w:rFonts w:hint="eastAsia" w:ascii="宋体" w:hAnsi="宋体" w:cs="宋体"/>
              </w:rPr>
              <w:t>服务期限（</w:t>
            </w:r>
            <w:r>
              <w:rPr>
                <w:rFonts w:hint="eastAsia" w:ascii="宋体" w:hAnsi="宋体" w:cs="宋体"/>
                <w:lang w:eastAsia="zh-CN"/>
              </w:rPr>
              <w:t>交货期</w:t>
            </w:r>
            <w:r>
              <w:rPr>
                <w:rFonts w:hint="eastAsia" w:ascii="宋体" w:hAnsi="宋体" w:cs="宋体"/>
              </w:rPr>
              <w:t>）</w:t>
            </w:r>
          </w:p>
        </w:tc>
        <w:tc>
          <w:tcPr>
            <w:tcW w:w="1260" w:type="dxa"/>
          </w:tcPr>
          <w:p>
            <w:pPr>
              <w:snapToGrid w:val="0"/>
              <w:textAlignment w:val="baseline"/>
              <w:rPr>
                <w:rFonts w:ascii="宋体" w:hAnsi="宋体" w:cs="宋体"/>
                <w:sz w:val="20"/>
              </w:rPr>
            </w:pPr>
          </w:p>
        </w:tc>
        <w:tc>
          <w:tcPr>
            <w:tcW w:w="1252"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napToGrid w:val="0"/>
              <w:jc w:val="center"/>
              <w:textAlignment w:val="baseline"/>
              <w:rPr>
                <w:rFonts w:ascii="宋体" w:hAnsi="宋体" w:cs="宋体"/>
                <w:sz w:val="20"/>
              </w:rPr>
            </w:pPr>
            <w:r>
              <w:rPr>
                <w:rFonts w:hint="eastAsia" w:ascii="宋体" w:hAnsi="宋体" w:cs="宋体"/>
              </w:rPr>
              <w:t>2</w:t>
            </w:r>
          </w:p>
        </w:tc>
        <w:tc>
          <w:tcPr>
            <w:tcW w:w="2028" w:type="dxa"/>
          </w:tcPr>
          <w:p>
            <w:pPr>
              <w:snapToGrid w:val="0"/>
              <w:textAlignment w:val="baseline"/>
              <w:rPr>
                <w:rFonts w:ascii="宋体" w:hAnsi="宋体" w:cs="宋体"/>
                <w:sz w:val="20"/>
              </w:rPr>
            </w:pPr>
            <w:r>
              <w:rPr>
                <w:rFonts w:hint="eastAsia" w:ascii="宋体" w:hAnsi="宋体" w:cs="宋体"/>
              </w:rPr>
              <w:t>付款方式</w:t>
            </w:r>
          </w:p>
        </w:tc>
        <w:tc>
          <w:tcPr>
            <w:tcW w:w="1260" w:type="dxa"/>
          </w:tcPr>
          <w:p>
            <w:pPr>
              <w:snapToGrid w:val="0"/>
              <w:textAlignment w:val="baseline"/>
              <w:rPr>
                <w:rFonts w:ascii="宋体" w:hAnsi="宋体" w:cs="宋体"/>
                <w:sz w:val="20"/>
              </w:rPr>
            </w:pPr>
          </w:p>
        </w:tc>
        <w:tc>
          <w:tcPr>
            <w:tcW w:w="1252"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0" w:type="dxa"/>
          </w:tcPr>
          <w:p>
            <w:pPr>
              <w:snapToGrid w:val="0"/>
              <w:jc w:val="center"/>
              <w:textAlignment w:val="baseline"/>
              <w:rPr>
                <w:rFonts w:ascii="宋体" w:hAnsi="宋体" w:cs="宋体"/>
                <w:sz w:val="20"/>
              </w:rPr>
            </w:pPr>
            <w:r>
              <w:rPr>
                <w:rFonts w:hint="eastAsia" w:ascii="宋体" w:hAnsi="宋体" w:cs="宋体"/>
              </w:rPr>
              <w:t>3</w:t>
            </w:r>
          </w:p>
        </w:tc>
        <w:tc>
          <w:tcPr>
            <w:tcW w:w="2028" w:type="dxa"/>
          </w:tcPr>
          <w:p>
            <w:pPr>
              <w:snapToGrid w:val="0"/>
              <w:textAlignment w:val="baseline"/>
              <w:rPr>
                <w:rFonts w:ascii="宋体" w:hAnsi="宋体" w:cs="宋体"/>
                <w:sz w:val="20"/>
              </w:rPr>
            </w:pPr>
            <w:r>
              <w:rPr>
                <w:rFonts w:hint="eastAsia" w:ascii="宋体" w:hAnsi="宋体" w:cs="宋体"/>
              </w:rPr>
              <w:t>质保期限</w:t>
            </w:r>
          </w:p>
        </w:tc>
        <w:tc>
          <w:tcPr>
            <w:tcW w:w="1260" w:type="dxa"/>
          </w:tcPr>
          <w:p>
            <w:pPr>
              <w:snapToGrid w:val="0"/>
              <w:textAlignment w:val="baseline"/>
              <w:rPr>
                <w:rFonts w:ascii="宋体" w:hAnsi="宋体" w:cs="宋体"/>
                <w:sz w:val="20"/>
              </w:rPr>
            </w:pPr>
          </w:p>
        </w:tc>
        <w:tc>
          <w:tcPr>
            <w:tcW w:w="1252"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40" w:type="dxa"/>
          </w:tcPr>
          <w:p>
            <w:pPr>
              <w:snapToGrid w:val="0"/>
              <w:jc w:val="center"/>
              <w:textAlignment w:val="baseline"/>
              <w:rPr>
                <w:rFonts w:ascii="宋体" w:hAnsi="宋体" w:cs="宋体"/>
                <w:sz w:val="20"/>
              </w:rPr>
            </w:pPr>
            <w:r>
              <w:rPr>
                <w:rFonts w:hint="eastAsia" w:ascii="宋体" w:hAnsi="宋体" w:cs="宋体"/>
              </w:rPr>
              <w:t>4</w:t>
            </w:r>
          </w:p>
        </w:tc>
        <w:tc>
          <w:tcPr>
            <w:tcW w:w="2028" w:type="dxa"/>
          </w:tcPr>
          <w:p>
            <w:pPr>
              <w:snapToGrid w:val="0"/>
              <w:textAlignment w:val="baseline"/>
              <w:rPr>
                <w:rFonts w:ascii="宋体" w:hAnsi="宋体" w:cs="宋体"/>
                <w:sz w:val="20"/>
              </w:rPr>
            </w:pPr>
            <w:r>
              <w:rPr>
                <w:rFonts w:hint="eastAsia" w:ascii="宋体" w:hAnsi="宋体" w:cs="宋体"/>
              </w:rPr>
              <w:t>投标有效期</w:t>
            </w:r>
          </w:p>
        </w:tc>
        <w:tc>
          <w:tcPr>
            <w:tcW w:w="1260" w:type="dxa"/>
          </w:tcPr>
          <w:p>
            <w:pPr>
              <w:snapToGrid w:val="0"/>
              <w:textAlignment w:val="baseline"/>
              <w:rPr>
                <w:rFonts w:ascii="宋体" w:hAnsi="宋体" w:cs="宋体"/>
                <w:sz w:val="20"/>
              </w:rPr>
            </w:pPr>
          </w:p>
        </w:tc>
        <w:tc>
          <w:tcPr>
            <w:tcW w:w="1252"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napToGrid w:val="0"/>
              <w:jc w:val="center"/>
              <w:textAlignment w:val="baseline"/>
              <w:rPr>
                <w:rFonts w:ascii="宋体" w:hAnsi="宋体" w:cs="宋体"/>
                <w:sz w:val="20"/>
              </w:rPr>
            </w:pPr>
            <w:r>
              <w:rPr>
                <w:rFonts w:hint="eastAsia" w:ascii="宋体" w:hAnsi="宋体" w:cs="宋体"/>
              </w:rPr>
              <w:t>5</w:t>
            </w:r>
          </w:p>
        </w:tc>
        <w:tc>
          <w:tcPr>
            <w:tcW w:w="2028" w:type="dxa"/>
          </w:tcPr>
          <w:p>
            <w:pPr>
              <w:snapToGrid w:val="0"/>
              <w:textAlignment w:val="baseline"/>
              <w:rPr>
                <w:rFonts w:ascii="宋体" w:hAnsi="宋体" w:cs="宋体"/>
                <w:sz w:val="20"/>
              </w:rPr>
            </w:pPr>
            <w:r>
              <w:rPr>
                <w:rFonts w:hint="eastAsia" w:ascii="宋体" w:hAnsi="宋体" w:cs="宋体"/>
              </w:rPr>
              <w:t>其它</w:t>
            </w:r>
          </w:p>
        </w:tc>
        <w:tc>
          <w:tcPr>
            <w:tcW w:w="1260" w:type="dxa"/>
          </w:tcPr>
          <w:p>
            <w:pPr>
              <w:snapToGrid w:val="0"/>
              <w:textAlignment w:val="baseline"/>
              <w:rPr>
                <w:rFonts w:ascii="宋体" w:hAnsi="宋体" w:cs="宋体"/>
                <w:sz w:val="20"/>
              </w:rPr>
            </w:pPr>
          </w:p>
        </w:tc>
        <w:tc>
          <w:tcPr>
            <w:tcW w:w="1252"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napToGrid w:val="0"/>
              <w:jc w:val="center"/>
              <w:textAlignment w:val="baseline"/>
              <w:rPr>
                <w:rFonts w:ascii="宋体" w:hAnsi="宋体" w:cs="宋体"/>
                <w:sz w:val="20"/>
              </w:rPr>
            </w:pPr>
          </w:p>
        </w:tc>
        <w:tc>
          <w:tcPr>
            <w:tcW w:w="2028" w:type="dxa"/>
          </w:tcPr>
          <w:p>
            <w:pPr>
              <w:snapToGrid w:val="0"/>
              <w:textAlignment w:val="baseline"/>
              <w:rPr>
                <w:rFonts w:ascii="宋体" w:hAnsi="宋体" w:cs="宋体"/>
                <w:sz w:val="20"/>
              </w:rPr>
            </w:pPr>
          </w:p>
        </w:tc>
        <w:tc>
          <w:tcPr>
            <w:tcW w:w="1260" w:type="dxa"/>
          </w:tcPr>
          <w:p>
            <w:pPr>
              <w:snapToGrid w:val="0"/>
              <w:textAlignment w:val="baseline"/>
              <w:rPr>
                <w:rFonts w:ascii="宋体" w:hAnsi="宋体" w:cs="宋体"/>
                <w:sz w:val="20"/>
              </w:rPr>
            </w:pPr>
          </w:p>
        </w:tc>
        <w:tc>
          <w:tcPr>
            <w:tcW w:w="1252"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napToGrid w:val="0"/>
              <w:jc w:val="center"/>
              <w:textAlignment w:val="baseline"/>
              <w:rPr>
                <w:rFonts w:ascii="宋体" w:hAnsi="宋体" w:cs="宋体"/>
                <w:sz w:val="20"/>
              </w:rPr>
            </w:pPr>
          </w:p>
        </w:tc>
        <w:tc>
          <w:tcPr>
            <w:tcW w:w="2028" w:type="dxa"/>
          </w:tcPr>
          <w:p>
            <w:pPr>
              <w:snapToGrid w:val="0"/>
              <w:textAlignment w:val="baseline"/>
              <w:rPr>
                <w:rFonts w:ascii="宋体" w:hAnsi="宋体" w:cs="宋体"/>
                <w:sz w:val="20"/>
              </w:rPr>
            </w:pPr>
          </w:p>
        </w:tc>
        <w:tc>
          <w:tcPr>
            <w:tcW w:w="1260" w:type="dxa"/>
          </w:tcPr>
          <w:p>
            <w:pPr>
              <w:snapToGrid w:val="0"/>
              <w:textAlignment w:val="baseline"/>
              <w:rPr>
                <w:rFonts w:ascii="宋体" w:hAnsi="宋体" w:cs="宋体"/>
                <w:sz w:val="20"/>
              </w:rPr>
            </w:pPr>
          </w:p>
        </w:tc>
        <w:tc>
          <w:tcPr>
            <w:tcW w:w="1252"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napToGrid w:val="0"/>
              <w:jc w:val="center"/>
              <w:textAlignment w:val="baseline"/>
              <w:rPr>
                <w:rFonts w:ascii="宋体" w:hAnsi="宋体" w:cs="宋体"/>
                <w:b/>
                <w:sz w:val="20"/>
              </w:rPr>
            </w:pPr>
          </w:p>
        </w:tc>
        <w:tc>
          <w:tcPr>
            <w:tcW w:w="2028" w:type="dxa"/>
          </w:tcPr>
          <w:p>
            <w:pPr>
              <w:snapToGrid w:val="0"/>
              <w:textAlignment w:val="baseline"/>
              <w:rPr>
                <w:rFonts w:ascii="宋体" w:hAnsi="宋体" w:cs="宋体"/>
                <w:b/>
                <w:sz w:val="20"/>
              </w:rPr>
            </w:pPr>
          </w:p>
        </w:tc>
        <w:tc>
          <w:tcPr>
            <w:tcW w:w="1260" w:type="dxa"/>
          </w:tcPr>
          <w:p>
            <w:pPr>
              <w:snapToGrid w:val="0"/>
              <w:textAlignment w:val="baseline"/>
              <w:rPr>
                <w:rFonts w:ascii="宋体" w:hAnsi="宋体" w:cs="宋体"/>
                <w:sz w:val="20"/>
              </w:rPr>
            </w:pPr>
          </w:p>
        </w:tc>
        <w:tc>
          <w:tcPr>
            <w:tcW w:w="1252"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napToGrid w:val="0"/>
              <w:jc w:val="center"/>
              <w:textAlignment w:val="baseline"/>
              <w:rPr>
                <w:rFonts w:ascii="宋体" w:hAnsi="宋体" w:cs="宋体"/>
                <w:b/>
                <w:sz w:val="20"/>
              </w:rPr>
            </w:pPr>
          </w:p>
        </w:tc>
        <w:tc>
          <w:tcPr>
            <w:tcW w:w="2028" w:type="dxa"/>
            <w:vAlign w:val="center"/>
          </w:tcPr>
          <w:p>
            <w:pPr>
              <w:snapToGrid w:val="0"/>
              <w:spacing w:line="440" w:lineRule="exact"/>
              <w:jc w:val="center"/>
              <w:textAlignment w:val="baseline"/>
              <w:rPr>
                <w:rFonts w:ascii="宋体" w:hAnsi="宋体" w:cs="宋体"/>
                <w:b/>
                <w:sz w:val="20"/>
              </w:rPr>
            </w:pPr>
          </w:p>
        </w:tc>
        <w:tc>
          <w:tcPr>
            <w:tcW w:w="1260" w:type="dxa"/>
          </w:tcPr>
          <w:p>
            <w:pPr>
              <w:snapToGrid w:val="0"/>
              <w:textAlignment w:val="baseline"/>
              <w:rPr>
                <w:rFonts w:ascii="宋体" w:hAnsi="宋体" w:cs="宋体"/>
                <w:sz w:val="20"/>
              </w:rPr>
            </w:pPr>
          </w:p>
        </w:tc>
        <w:tc>
          <w:tcPr>
            <w:tcW w:w="1252"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pPr>
              <w:snapToGrid w:val="0"/>
              <w:jc w:val="center"/>
              <w:textAlignment w:val="baseline"/>
              <w:rPr>
                <w:rFonts w:ascii="宋体" w:hAnsi="宋体" w:cs="宋体"/>
                <w:b/>
                <w:sz w:val="20"/>
              </w:rPr>
            </w:pPr>
            <w:r>
              <w:rPr>
                <w:rFonts w:hint="eastAsia" w:ascii="宋体" w:hAnsi="宋体" w:cs="宋体"/>
              </w:rPr>
              <w:t>…</w:t>
            </w:r>
          </w:p>
        </w:tc>
        <w:tc>
          <w:tcPr>
            <w:tcW w:w="2028" w:type="dxa"/>
            <w:vAlign w:val="center"/>
          </w:tcPr>
          <w:p>
            <w:pPr>
              <w:snapToGrid w:val="0"/>
              <w:spacing w:line="440" w:lineRule="exact"/>
              <w:jc w:val="center"/>
              <w:textAlignment w:val="baseline"/>
              <w:rPr>
                <w:rFonts w:ascii="宋体" w:hAnsi="宋体" w:cs="宋体"/>
                <w:b/>
                <w:sz w:val="20"/>
              </w:rPr>
            </w:pPr>
            <w:r>
              <w:rPr>
                <w:rFonts w:hint="eastAsia" w:ascii="宋体" w:hAnsi="宋体" w:cs="宋体"/>
              </w:rPr>
              <w:t>……</w:t>
            </w:r>
          </w:p>
        </w:tc>
        <w:tc>
          <w:tcPr>
            <w:tcW w:w="1260" w:type="dxa"/>
          </w:tcPr>
          <w:p>
            <w:pPr>
              <w:snapToGrid w:val="0"/>
              <w:textAlignment w:val="baseline"/>
              <w:rPr>
                <w:rFonts w:ascii="宋体" w:hAnsi="宋体" w:cs="宋体"/>
                <w:sz w:val="20"/>
              </w:rPr>
            </w:pPr>
          </w:p>
        </w:tc>
        <w:tc>
          <w:tcPr>
            <w:tcW w:w="1252"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c>
          <w:tcPr>
            <w:tcW w:w="1421" w:type="dxa"/>
          </w:tcPr>
          <w:p>
            <w:pPr>
              <w:snapToGrid w:val="0"/>
              <w:textAlignment w:val="baseline"/>
              <w:rPr>
                <w:rFonts w:ascii="宋体" w:hAnsi="宋体" w:cs="宋体"/>
                <w:sz w:val="20"/>
              </w:rPr>
            </w:pPr>
          </w:p>
        </w:tc>
      </w:tr>
    </w:tbl>
    <w:p>
      <w:pPr>
        <w:snapToGrid w:val="0"/>
        <w:spacing w:line="620" w:lineRule="exact"/>
        <w:textAlignment w:val="baseline"/>
        <w:rPr>
          <w:rFonts w:ascii="宋体" w:cs="宋体"/>
          <w:sz w:val="20"/>
          <w:u w:val="single"/>
        </w:rPr>
      </w:pPr>
      <w:r>
        <w:rPr>
          <w:rFonts w:hint="eastAsia" w:ascii="宋体" w:hAnsi="宋体" w:cs="宋体"/>
        </w:rPr>
        <w:t>投标人：</w:t>
      </w:r>
      <w:r>
        <w:rPr>
          <w:rFonts w:hint="eastAsia" w:ascii="宋体" w:hAnsi="宋体" w:cs="宋体"/>
          <w:u w:val="single" w:color="000000"/>
        </w:rPr>
        <w:t>（盖电子章）</w:t>
      </w:r>
    </w:p>
    <w:p>
      <w:pPr>
        <w:snapToGrid w:val="0"/>
        <w:spacing w:line="620" w:lineRule="exact"/>
        <w:textAlignment w:val="baseline"/>
        <w:rPr>
          <w:rFonts w:ascii="宋体" w:cs="宋体"/>
          <w:sz w:val="20"/>
          <w:u w:val="single"/>
        </w:rPr>
      </w:pPr>
      <w:r>
        <w:rPr>
          <w:rFonts w:hint="eastAsia" w:ascii="宋体" w:hAnsi="宋体" w:cs="宋体"/>
        </w:rPr>
        <w:t>法定代表人或其委托代理人签字：</w:t>
      </w:r>
      <w:r>
        <w:rPr>
          <w:rFonts w:hint="eastAsia" w:ascii="宋体" w:hAnsi="宋体" w:cs="宋体"/>
          <w:u w:val="single" w:color="000000"/>
        </w:rPr>
        <w:t>（或盖电子章）</w:t>
      </w:r>
    </w:p>
    <w:p>
      <w:pPr>
        <w:snapToGrid w:val="0"/>
        <w:spacing w:line="360" w:lineRule="auto"/>
        <w:jc w:val="left"/>
        <w:textAlignment w:val="baseline"/>
        <w:rPr>
          <w:rFonts w:ascii="宋体" w:hAnsi="宋体" w:cs="宋体"/>
          <w:sz w:val="20"/>
        </w:rPr>
      </w:pPr>
      <w:r>
        <w:rPr>
          <w:rFonts w:hint="eastAsia" w:ascii="宋体" w:hAnsi="宋体" w:cs="宋体"/>
        </w:rPr>
        <w:t>日期：</w:t>
      </w:r>
      <w:r>
        <w:rPr>
          <w:rFonts w:ascii="宋体"/>
          <w:u w:val="single" w:color="000000"/>
        </w:rPr>
        <w:tab/>
      </w:r>
      <w:r>
        <w:rPr>
          <w:rFonts w:hint="eastAsia" w:ascii="宋体" w:hAnsi="宋体" w:cs="宋体"/>
        </w:rPr>
        <w:t>年</w:t>
      </w:r>
      <w:r>
        <w:rPr>
          <w:rFonts w:ascii="宋体"/>
          <w:u w:val="single" w:color="000000"/>
        </w:rPr>
        <w:tab/>
      </w:r>
      <w:r>
        <w:rPr>
          <w:rFonts w:hint="eastAsia" w:ascii="宋体" w:hAnsi="宋体" w:cs="宋体"/>
        </w:rPr>
        <w:t>月</w:t>
      </w:r>
      <w:r>
        <w:rPr>
          <w:rFonts w:ascii="宋体"/>
          <w:u w:val="single" w:color="000000"/>
        </w:rPr>
        <w:tab/>
      </w:r>
      <w:r>
        <w:rPr>
          <w:rFonts w:hint="eastAsia" w:ascii="宋体" w:hAnsi="宋体" w:cs="宋体"/>
        </w:rPr>
        <w:t>日</w:t>
      </w:r>
    </w:p>
    <w:p>
      <w:pPr>
        <w:snapToGrid w:val="0"/>
        <w:spacing w:line="360" w:lineRule="auto"/>
        <w:jc w:val="left"/>
        <w:textAlignment w:val="baseline"/>
        <w:rPr>
          <w:rFonts w:ascii="宋体" w:hAnsi="宋体" w:cs="宋体"/>
          <w:sz w:val="20"/>
        </w:rPr>
      </w:pPr>
      <w:r>
        <w:rPr>
          <w:rFonts w:ascii="宋体" w:hAnsi="宋体" w:cs="宋体"/>
        </w:rPr>
        <w:t xml:space="preserve">说明： </w:t>
      </w:r>
    </w:p>
    <w:p>
      <w:pPr>
        <w:widowControl/>
        <w:snapToGrid w:val="0"/>
        <w:jc w:val="left"/>
        <w:textAlignment w:val="baseline"/>
        <w:rPr>
          <w:rFonts w:ascii="宋体"/>
          <w:b/>
          <w:bCs/>
          <w:sz w:val="32"/>
          <w:szCs w:val="32"/>
        </w:rPr>
      </w:pPr>
      <w:r>
        <w:rPr>
          <w:rFonts w:ascii="宋体"/>
          <w:b/>
          <w:bCs/>
          <w:sz w:val="32"/>
          <w:szCs w:val="32"/>
        </w:rPr>
        <w:br w:type="page"/>
      </w:r>
    </w:p>
    <w:p>
      <w:pPr>
        <w:snapToGrid w:val="0"/>
        <w:spacing w:line="360" w:lineRule="auto"/>
        <w:jc w:val="center"/>
        <w:textAlignment w:val="baseline"/>
        <w:outlineLvl w:val="1"/>
        <w:rPr>
          <w:rFonts w:ascii="宋体"/>
          <w:b/>
          <w:bCs/>
          <w:sz w:val="32"/>
          <w:szCs w:val="32"/>
        </w:rPr>
      </w:pPr>
      <w:bookmarkStart w:id="201" w:name="_Toc74732341"/>
      <w:bookmarkStart w:id="202" w:name="_Toc12387"/>
      <w:bookmarkStart w:id="203" w:name="_Toc74732284"/>
      <w:r>
        <w:rPr>
          <w:rFonts w:hint="eastAsia" w:ascii="宋体" w:hAnsi="宋体" w:cs="宋体"/>
          <w:b/>
          <w:bCs/>
          <w:sz w:val="32"/>
          <w:szCs w:val="32"/>
        </w:rPr>
        <w:t>六、售后服务计划</w:t>
      </w:r>
      <w:bookmarkEnd w:id="201"/>
      <w:bookmarkEnd w:id="202"/>
      <w:bookmarkEnd w:id="203"/>
    </w:p>
    <w:p>
      <w:pPr>
        <w:keepLines w:val="0"/>
        <w:snapToGrid w:val="0"/>
        <w:spacing w:line="360" w:lineRule="auto"/>
        <w:ind w:left="709"/>
        <w:outlineLvl w:val="9"/>
        <w:rPr>
          <w:rFonts w:ascii="宋体" w:hAnsi="宋体" w:eastAsia="宋体"/>
          <w:sz w:val="22"/>
          <w:szCs w:val="22"/>
        </w:rPr>
      </w:pPr>
      <w:bookmarkStart w:id="204" w:name="_Toc109313724"/>
      <w:r>
        <w:rPr>
          <w:rFonts w:hint="eastAsia" w:ascii="宋体" w:hAnsi="宋体" w:eastAsia="宋体"/>
          <w:sz w:val="22"/>
          <w:szCs w:val="22"/>
        </w:rPr>
        <w:t>由投标人自行提供，格式不限。</w:t>
      </w:r>
      <w:bookmarkEnd w:id="204"/>
    </w:p>
    <w:p>
      <w:pPr>
        <w:pStyle w:val="6"/>
        <w:snapToGrid w:val="0"/>
        <w:rPr>
          <w:rFonts w:ascii="宋体" w:hAnsi="宋体" w:eastAsia="宋体" w:cs="Times New Roman"/>
        </w:rPr>
      </w:pPr>
    </w:p>
    <w:p>
      <w:pPr>
        <w:pStyle w:val="6"/>
        <w:snapToGrid w:val="0"/>
        <w:rPr>
          <w:rFonts w:ascii="宋体" w:hAnsi="宋体" w:eastAsia="宋体" w:cs="Times New Roman"/>
        </w:rPr>
      </w:pPr>
    </w:p>
    <w:p>
      <w:pPr>
        <w:pStyle w:val="6"/>
        <w:snapToGrid w:val="0"/>
        <w:rPr>
          <w:rFonts w:ascii="宋体" w:hAnsi="宋体" w:eastAsia="宋体" w:cs="Times New Roman"/>
        </w:rPr>
      </w:pPr>
    </w:p>
    <w:p>
      <w:pPr>
        <w:pStyle w:val="6"/>
        <w:snapToGrid w:val="0"/>
        <w:rPr>
          <w:rFonts w:ascii="宋体" w:hAnsi="宋体" w:eastAsia="宋体" w:cs="Times New Roman"/>
        </w:rPr>
      </w:pPr>
    </w:p>
    <w:p>
      <w:pPr>
        <w:pStyle w:val="6"/>
        <w:snapToGrid w:val="0"/>
        <w:rPr>
          <w:rFonts w:ascii="宋体" w:hAnsi="宋体" w:eastAsia="宋体" w:cs="Times New Roman"/>
          <w:sz w:val="21"/>
          <w:szCs w:val="21"/>
        </w:rPr>
      </w:pPr>
    </w:p>
    <w:p>
      <w:pPr>
        <w:snapToGrid w:val="0"/>
        <w:spacing w:line="360" w:lineRule="auto"/>
        <w:ind w:firstLine="400" w:firstLineChars="200"/>
        <w:jc w:val="left"/>
        <w:textAlignment w:val="baseline"/>
        <w:rPr>
          <w:rFonts w:ascii="宋体"/>
          <w:kern w:val="0"/>
          <w:sz w:val="20"/>
        </w:rPr>
      </w:pPr>
    </w:p>
    <w:p>
      <w:pPr>
        <w:snapToGrid w:val="0"/>
        <w:spacing w:line="360" w:lineRule="auto"/>
        <w:jc w:val="left"/>
        <w:textAlignment w:val="baseline"/>
        <w:rPr>
          <w:rFonts w:ascii="宋体"/>
          <w:b/>
          <w:bCs/>
          <w:sz w:val="32"/>
          <w:szCs w:val="32"/>
        </w:rPr>
      </w:pPr>
    </w:p>
    <w:p>
      <w:pPr>
        <w:widowControl/>
        <w:snapToGrid w:val="0"/>
        <w:jc w:val="left"/>
        <w:textAlignment w:val="baseline"/>
        <w:rPr>
          <w:rFonts w:ascii="宋体"/>
          <w:b/>
          <w:bCs/>
          <w:sz w:val="32"/>
          <w:szCs w:val="32"/>
        </w:rPr>
      </w:pPr>
      <w:r>
        <w:rPr>
          <w:rFonts w:ascii="宋体"/>
          <w:b/>
          <w:bCs/>
          <w:sz w:val="32"/>
          <w:szCs w:val="32"/>
        </w:rPr>
        <w:br w:type="page"/>
      </w:r>
    </w:p>
    <w:p>
      <w:pPr>
        <w:pStyle w:val="84"/>
        <w:snapToGrid w:val="0"/>
        <w:ind w:left="425" w:hanging="425"/>
        <w:jc w:val="center"/>
        <w:textAlignment w:val="baseline"/>
        <w:rPr>
          <w:rFonts w:ascii="宋体" w:hAnsi="宋体" w:eastAsia="宋体"/>
          <w:b/>
          <w:bCs/>
          <w:sz w:val="32"/>
          <w:szCs w:val="32"/>
        </w:rPr>
      </w:pPr>
      <w:bookmarkStart w:id="205" w:name="_Toc74732287"/>
      <w:bookmarkStart w:id="206" w:name="_Toc109313725"/>
      <w:bookmarkStart w:id="207" w:name="_Toc74732344"/>
      <w:bookmarkStart w:id="208" w:name="_Toc6615"/>
      <w:bookmarkStart w:id="209" w:name="_Toc106079109"/>
      <w:bookmarkStart w:id="210" w:name="_Toc106079262"/>
      <w:bookmarkStart w:id="211" w:name="_Toc129512126"/>
      <w:bookmarkStart w:id="212" w:name="_Toc106076894"/>
      <w:bookmarkStart w:id="213" w:name="_Toc106080550"/>
      <w:bookmarkStart w:id="214" w:name="_Toc106078820"/>
      <w:bookmarkStart w:id="215" w:name="_Toc105816676"/>
      <w:bookmarkStart w:id="216" w:name="_Toc105833184"/>
      <w:bookmarkStart w:id="217" w:name="_Toc184635141"/>
      <w:r>
        <w:rPr>
          <w:rFonts w:hint="eastAsia" w:ascii="宋体" w:hAnsi="宋体" w:eastAsia="宋体" w:cs="宋体"/>
          <w:b/>
          <w:bCs/>
          <w:sz w:val="32"/>
          <w:szCs w:val="32"/>
        </w:rPr>
        <w:t>七、</w:t>
      </w:r>
      <w:bookmarkStart w:id="218" w:name="_Toc464123044"/>
      <w:r>
        <w:rPr>
          <w:rFonts w:hint="eastAsia" w:ascii="宋体" w:hAnsi="宋体" w:eastAsia="宋体" w:cs="宋体"/>
          <w:b/>
          <w:bCs/>
          <w:sz w:val="32"/>
          <w:szCs w:val="32"/>
        </w:rPr>
        <w:t>法定代表身份证明及法定代表人授权书</w:t>
      </w:r>
      <w:bookmarkEnd w:id="205"/>
      <w:bookmarkEnd w:id="206"/>
      <w:bookmarkEnd w:id="207"/>
      <w:bookmarkEnd w:id="208"/>
      <w:bookmarkEnd w:id="218"/>
    </w:p>
    <w:p>
      <w:pPr>
        <w:snapToGrid w:val="0"/>
        <w:spacing w:line="440" w:lineRule="exact"/>
        <w:textAlignment w:val="baseline"/>
        <w:rPr>
          <w:rFonts w:ascii="宋体"/>
          <w:sz w:val="20"/>
          <w:szCs w:val="20"/>
        </w:rPr>
      </w:pPr>
    </w:p>
    <w:p>
      <w:pPr>
        <w:snapToGrid w:val="0"/>
        <w:spacing w:line="440" w:lineRule="exact"/>
        <w:jc w:val="center"/>
        <w:textAlignment w:val="baseline"/>
        <w:rPr>
          <w:rFonts w:ascii="宋体"/>
          <w:sz w:val="24"/>
          <w:szCs w:val="24"/>
        </w:rPr>
      </w:pPr>
      <w:r>
        <w:rPr>
          <w:rFonts w:hint="eastAsia" w:ascii="宋体" w:hAnsi="宋体" w:cs="宋体"/>
          <w:sz w:val="24"/>
          <w:szCs w:val="24"/>
        </w:rPr>
        <w:t>7</w:t>
      </w:r>
      <w:r>
        <w:rPr>
          <w:rFonts w:ascii="宋体" w:hAnsi="宋体" w:cs="宋体"/>
          <w:sz w:val="24"/>
          <w:szCs w:val="24"/>
        </w:rPr>
        <w:t>-1</w:t>
      </w:r>
      <w:r>
        <w:rPr>
          <w:rFonts w:hint="eastAsia" w:ascii="宋体" w:hAnsi="宋体" w:cs="宋体"/>
          <w:sz w:val="24"/>
          <w:szCs w:val="24"/>
        </w:rPr>
        <w:t>法定代表人身份证明</w:t>
      </w:r>
    </w:p>
    <w:p>
      <w:pPr>
        <w:snapToGrid w:val="0"/>
        <w:spacing w:line="440" w:lineRule="exact"/>
        <w:jc w:val="center"/>
        <w:textAlignment w:val="baseline"/>
        <w:rPr>
          <w:rFonts w:ascii="宋体"/>
          <w:sz w:val="20"/>
        </w:rPr>
      </w:pPr>
    </w:p>
    <w:p>
      <w:pPr>
        <w:snapToGrid w:val="0"/>
        <w:spacing w:line="440" w:lineRule="exact"/>
        <w:textAlignment w:val="baseline"/>
        <w:rPr>
          <w:rFonts w:ascii="宋体"/>
          <w:sz w:val="20"/>
        </w:rPr>
      </w:pPr>
      <w:r>
        <w:rPr>
          <w:rFonts w:hint="eastAsia" w:ascii="宋体" w:hAnsi="宋体" w:cs="宋体"/>
        </w:rPr>
        <w:t>投标人名称：</w:t>
      </w:r>
    </w:p>
    <w:p>
      <w:pPr>
        <w:snapToGrid w:val="0"/>
        <w:spacing w:line="440" w:lineRule="exact"/>
        <w:textAlignment w:val="baseline"/>
        <w:rPr>
          <w:rFonts w:ascii="宋体"/>
          <w:sz w:val="20"/>
        </w:rPr>
      </w:pPr>
      <w:r>
        <w:rPr>
          <w:rFonts w:hint="eastAsia" w:ascii="宋体" w:hAnsi="宋体" w:cs="宋体"/>
        </w:rPr>
        <w:t>单位性质：</w:t>
      </w:r>
    </w:p>
    <w:p>
      <w:pPr>
        <w:snapToGrid w:val="0"/>
        <w:spacing w:line="440" w:lineRule="exact"/>
        <w:textAlignment w:val="baseline"/>
        <w:rPr>
          <w:rFonts w:ascii="宋体"/>
          <w:sz w:val="20"/>
        </w:rPr>
      </w:pPr>
      <w:r>
        <w:rPr>
          <w:rFonts w:hint="eastAsia" w:ascii="宋体" w:hAnsi="宋体" w:cs="宋体"/>
        </w:rPr>
        <w:t>地址：</w:t>
      </w:r>
    </w:p>
    <w:p>
      <w:pPr>
        <w:snapToGrid w:val="0"/>
        <w:spacing w:line="440" w:lineRule="exact"/>
        <w:textAlignment w:val="baseline"/>
        <w:rPr>
          <w:rFonts w:ascii="宋体"/>
          <w:sz w:val="20"/>
        </w:rPr>
      </w:pPr>
      <w:r>
        <w:rPr>
          <w:rFonts w:hint="eastAsia" w:ascii="宋体" w:hAnsi="宋体" w:cs="宋体"/>
        </w:rPr>
        <w:t>成立时间：年月日</w:t>
      </w:r>
    </w:p>
    <w:p>
      <w:pPr>
        <w:snapToGrid w:val="0"/>
        <w:spacing w:line="440" w:lineRule="exact"/>
        <w:textAlignment w:val="baseline"/>
        <w:rPr>
          <w:rFonts w:ascii="宋体"/>
          <w:sz w:val="20"/>
        </w:rPr>
      </w:pPr>
      <w:r>
        <w:rPr>
          <w:rFonts w:hint="eastAsia" w:ascii="宋体" w:hAnsi="宋体" w:cs="宋体"/>
        </w:rPr>
        <w:t>经营期限：</w:t>
      </w:r>
    </w:p>
    <w:p>
      <w:pPr>
        <w:snapToGrid w:val="0"/>
        <w:spacing w:line="440" w:lineRule="exact"/>
        <w:textAlignment w:val="baseline"/>
        <w:rPr>
          <w:rFonts w:ascii="宋体"/>
          <w:sz w:val="20"/>
        </w:rPr>
      </w:pPr>
      <w:r>
        <w:rPr>
          <w:rFonts w:hint="eastAsia" w:ascii="宋体" w:hAnsi="宋体" w:cs="宋体"/>
        </w:rPr>
        <w:t>姓名：性别：年龄：职务：</w:t>
      </w:r>
    </w:p>
    <w:p>
      <w:pPr>
        <w:snapToGrid w:val="0"/>
        <w:spacing w:line="440" w:lineRule="exact"/>
        <w:textAlignment w:val="baseline"/>
        <w:rPr>
          <w:rFonts w:ascii="宋体"/>
          <w:sz w:val="20"/>
        </w:rPr>
      </w:pPr>
      <w:r>
        <w:rPr>
          <w:rFonts w:hint="eastAsia" w:ascii="宋体" w:hAnsi="宋体" w:cs="宋体"/>
        </w:rPr>
        <w:t>系（投标人名称）的法定代表人。</w:t>
      </w:r>
    </w:p>
    <w:p>
      <w:pPr>
        <w:snapToGrid w:val="0"/>
        <w:spacing w:line="440" w:lineRule="exact"/>
        <w:ind w:firstLine="420" w:firstLineChars="200"/>
        <w:textAlignment w:val="baseline"/>
        <w:rPr>
          <w:rFonts w:ascii="宋体"/>
          <w:sz w:val="20"/>
        </w:rPr>
      </w:pPr>
      <w:r>
        <w:rPr>
          <w:rFonts w:hint="eastAsia" w:ascii="宋体" w:hAnsi="宋体" w:cs="宋体"/>
        </w:rPr>
        <w:t>特此证明。</w:t>
      </w:r>
    </w:p>
    <w:p>
      <w:pPr>
        <w:snapToGrid w:val="0"/>
        <w:spacing w:line="440" w:lineRule="exact"/>
        <w:textAlignment w:val="baseline"/>
        <w:rPr>
          <w:rFonts w:ascii="宋体"/>
          <w:sz w:val="20"/>
        </w:rPr>
      </w:pPr>
    </w:p>
    <w:p>
      <w:pPr>
        <w:snapToGrid w:val="0"/>
        <w:spacing w:line="440" w:lineRule="exact"/>
        <w:textAlignment w:val="baseline"/>
        <w:rPr>
          <w:rFonts w:ascii="宋体"/>
          <w:sz w:val="20"/>
        </w:rPr>
      </w:pPr>
    </w:p>
    <w:p>
      <w:pPr>
        <w:snapToGrid w:val="0"/>
        <w:spacing w:line="440" w:lineRule="exact"/>
        <w:jc w:val="center"/>
        <w:textAlignment w:val="baseline"/>
        <w:rPr>
          <w:rFonts w:ascii="宋体"/>
          <w:kern w:val="0"/>
          <w:sz w:val="24"/>
          <w:szCs w:val="24"/>
        </w:rPr>
      </w:pPr>
      <w:r>
        <w:rPr>
          <w:rFonts w:hint="eastAsia" w:ascii="宋体" w:hAnsi="宋体" w:cs="宋体"/>
          <w:kern w:val="0"/>
          <w:sz w:val="24"/>
          <w:szCs w:val="24"/>
        </w:rPr>
        <w:t>投标人（</w:t>
      </w:r>
      <w:r>
        <w:rPr>
          <w:rFonts w:hint="eastAsia" w:ascii="宋体" w:hAnsi="宋体" w:cs="宋体"/>
          <w:sz w:val="24"/>
          <w:szCs w:val="24"/>
          <w:u w:val="single" w:color="000000"/>
        </w:rPr>
        <w:t>盖电子章</w:t>
      </w:r>
      <w:r>
        <w:rPr>
          <w:rFonts w:hint="eastAsia" w:ascii="宋体" w:hAnsi="宋体" w:cs="宋体"/>
          <w:kern w:val="0"/>
          <w:sz w:val="24"/>
          <w:szCs w:val="24"/>
        </w:rPr>
        <w:t>）：</w:t>
      </w:r>
    </w:p>
    <w:p>
      <w:pPr>
        <w:snapToGrid w:val="0"/>
        <w:spacing w:line="440" w:lineRule="exact"/>
        <w:ind w:firstLine="4560" w:firstLineChars="1900"/>
        <w:jc w:val="left"/>
        <w:textAlignment w:val="baseline"/>
        <w:rPr>
          <w:rFonts w:ascii="宋体" w:hAnsi="宋体" w:cs="宋体"/>
          <w:kern w:val="0"/>
          <w:sz w:val="24"/>
          <w:szCs w:val="24"/>
        </w:rPr>
      </w:pPr>
      <w:r>
        <w:rPr>
          <w:rFonts w:hint="eastAsia" w:ascii="宋体" w:hAnsi="宋体" w:cs="宋体"/>
          <w:kern w:val="0"/>
          <w:sz w:val="24"/>
          <w:szCs w:val="24"/>
        </w:rPr>
        <w:t>年月日</w:t>
      </w:r>
    </w:p>
    <w:p>
      <w:pPr>
        <w:snapToGrid w:val="0"/>
        <w:spacing w:line="440" w:lineRule="exact"/>
        <w:textAlignment w:val="baseline"/>
        <w:rPr>
          <w:rFonts w:ascii="宋体"/>
          <w:sz w:val="20"/>
        </w:rPr>
      </w:pPr>
    </w:p>
    <w:p>
      <w:pPr>
        <w:snapToGrid w:val="0"/>
        <w:spacing w:line="440" w:lineRule="exact"/>
        <w:textAlignment w:val="baseline"/>
        <w:rPr>
          <w:rFonts w:ascii="宋体"/>
          <w:sz w:val="20"/>
        </w:rPr>
      </w:pPr>
    </w:p>
    <w:tbl>
      <w:tblPr>
        <w:tblStyle w:val="39"/>
        <w:tblW w:w="852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vAlign w:val="center"/>
          </w:tcPr>
          <w:p>
            <w:pPr>
              <w:snapToGrid w:val="0"/>
              <w:spacing w:line="440" w:lineRule="exact"/>
              <w:jc w:val="center"/>
              <w:textAlignment w:val="baseline"/>
              <w:rPr>
                <w:rFonts w:ascii="宋体"/>
                <w:sz w:val="32"/>
                <w:szCs w:val="32"/>
              </w:rPr>
            </w:pPr>
            <w:r>
              <w:rPr>
                <w:rFonts w:hint="eastAsia" w:ascii="宋体" w:hAnsi="宋体" w:cs="宋体"/>
                <w:sz w:val="32"/>
                <w:szCs w:val="32"/>
              </w:rPr>
              <w:t>法定代表人身份证扫描件</w:t>
            </w:r>
          </w:p>
          <w:p>
            <w:pPr>
              <w:snapToGrid w:val="0"/>
              <w:spacing w:line="440" w:lineRule="exact"/>
              <w:jc w:val="center"/>
              <w:textAlignment w:val="baseline"/>
              <w:rPr>
                <w:rFonts w:ascii="宋体"/>
                <w:sz w:val="20"/>
              </w:rPr>
            </w:pPr>
          </w:p>
        </w:tc>
      </w:tr>
    </w:tbl>
    <w:p>
      <w:pPr>
        <w:snapToGrid w:val="0"/>
        <w:spacing w:line="440" w:lineRule="exact"/>
        <w:textAlignment w:val="baseline"/>
        <w:rPr>
          <w:rFonts w:ascii="宋体"/>
          <w:sz w:val="20"/>
        </w:rPr>
      </w:pPr>
    </w:p>
    <w:p>
      <w:pPr>
        <w:snapToGrid w:val="0"/>
        <w:spacing w:line="440" w:lineRule="exact"/>
        <w:textAlignment w:val="baseline"/>
        <w:rPr>
          <w:rFonts w:ascii="宋体"/>
          <w:sz w:val="20"/>
        </w:rPr>
      </w:pPr>
    </w:p>
    <w:p>
      <w:pPr>
        <w:snapToGrid w:val="0"/>
        <w:spacing w:line="440" w:lineRule="exact"/>
        <w:textAlignment w:val="baseline"/>
        <w:rPr>
          <w:rFonts w:ascii="宋体"/>
          <w:sz w:val="20"/>
          <w:szCs w:val="20"/>
        </w:rPr>
      </w:pPr>
    </w:p>
    <w:p>
      <w:pPr>
        <w:snapToGrid w:val="0"/>
        <w:spacing w:line="440" w:lineRule="exact"/>
        <w:textAlignment w:val="baseline"/>
        <w:rPr>
          <w:rFonts w:ascii="宋体"/>
          <w:sz w:val="20"/>
          <w:szCs w:val="20"/>
        </w:rPr>
      </w:pPr>
    </w:p>
    <w:p>
      <w:pPr>
        <w:snapToGrid w:val="0"/>
        <w:spacing w:line="440" w:lineRule="exact"/>
        <w:jc w:val="center"/>
        <w:textAlignment w:val="baseline"/>
        <w:rPr>
          <w:rFonts w:ascii="宋体"/>
          <w:sz w:val="24"/>
          <w:szCs w:val="24"/>
        </w:rPr>
      </w:pPr>
      <w:r>
        <w:rPr>
          <w:rFonts w:hint="eastAsia" w:ascii="宋体" w:hAnsi="宋体" w:cs="宋体"/>
          <w:sz w:val="24"/>
          <w:szCs w:val="24"/>
        </w:rPr>
        <w:t>7</w:t>
      </w:r>
      <w:r>
        <w:rPr>
          <w:rFonts w:ascii="宋体" w:hAnsi="宋体" w:cs="宋体"/>
          <w:sz w:val="24"/>
          <w:szCs w:val="24"/>
        </w:rPr>
        <w:t>-2</w:t>
      </w:r>
      <w:r>
        <w:rPr>
          <w:rFonts w:hint="eastAsia" w:ascii="宋体" w:hAnsi="宋体" w:cs="宋体"/>
          <w:sz w:val="24"/>
          <w:szCs w:val="24"/>
        </w:rPr>
        <w:t>法定代表人授权书</w:t>
      </w:r>
    </w:p>
    <w:p>
      <w:pPr>
        <w:snapToGrid w:val="0"/>
        <w:spacing w:line="440" w:lineRule="exact"/>
        <w:textAlignment w:val="baseline"/>
        <w:rPr>
          <w:rFonts w:ascii="宋体"/>
          <w:sz w:val="20"/>
        </w:rPr>
      </w:pPr>
    </w:p>
    <w:p>
      <w:pPr>
        <w:snapToGrid w:val="0"/>
        <w:spacing w:line="440" w:lineRule="exact"/>
        <w:ind w:firstLine="420" w:firstLineChars="200"/>
        <w:textAlignment w:val="baseline"/>
        <w:rPr>
          <w:rFonts w:ascii="宋体"/>
          <w:sz w:val="20"/>
        </w:rPr>
      </w:pPr>
      <w:r>
        <w:rPr>
          <w:rFonts w:hint="eastAsia" w:ascii="宋体" w:hAnsi="宋体" w:cs="宋体"/>
        </w:rPr>
        <w:t>本人（姓名）系（投标人名称）的法定代表人，现委托（姓名）为我方代理人。代理人根据授权，以我方名义签署、澄清、说明、补正、递交、撤回、修改（项目名称）包投标文件、签订合同和处理有关事宜，其法律后果由我方承担。</w:t>
      </w:r>
    </w:p>
    <w:p>
      <w:pPr>
        <w:snapToGrid w:val="0"/>
        <w:spacing w:line="440" w:lineRule="exact"/>
        <w:textAlignment w:val="baseline"/>
        <w:rPr>
          <w:rFonts w:ascii="宋体"/>
          <w:sz w:val="20"/>
        </w:rPr>
      </w:pPr>
      <w:r>
        <w:rPr>
          <w:rFonts w:hint="eastAsia" w:ascii="宋体" w:hAnsi="宋体" w:cs="宋体"/>
        </w:rPr>
        <w:t>委托期限：。</w:t>
      </w:r>
    </w:p>
    <w:p>
      <w:pPr>
        <w:snapToGrid w:val="0"/>
        <w:spacing w:line="440" w:lineRule="exact"/>
        <w:ind w:firstLine="400" w:firstLineChars="200"/>
        <w:textAlignment w:val="baseline"/>
        <w:rPr>
          <w:rFonts w:ascii="宋体"/>
          <w:sz w:val="20"/>
        </w:rPr>
      </w:pPr>
    </w:p>
    <w:p>
      <w:pPr>
        <w:snapToGrid w:val="0"/>
        <w:spacing w:line="440" w:lineRule="exact"/>
        <w:ind w:firstLine="420" w:firstLineChars="200"/>
        <w:textAlignment w:val="baseline"/>
        <w:rPr>
          <w:rFonts w:ascii="宋体"/>
          <w:sz w:val="20"/>
        </w:rPr>
      </w:pPr>
      <w:r>
        <w:rPr>
          <w:rFonts w:hint="eastAsia" w:ascii="宋体" w:hAnsi="宋体" w:cs="宋体"/>
        </w:rPr>
        <w:t>附：法定代表人身份证明</w:t>
      </w:r>
    </w:p>
    <w:p>
      <w:pPr>
        <w:snapToGrid w:val="0"/>
        <w:spacing w:line="440" w:lineRule="exact"/>
        <w:textAlignment w:val="baseline"/>
        <w:rPr>
          <w:rFonts w:ascii="宋体"/>
          <w:sz w:val="20"/>
        </w:rPr>
      </w:pPr>
    </w:p>
    <w:p>
      <w:pPr>
        <w:snapToGrid w:val="0"/>
        <w:spacing w:line="440" w:lineRule="exact"/>
        <w:textAlignment w:val="baseline"/>
        <w:rPr>
          <w:rFonts w:ascii="宋体"/>
          <w:sz w:val="20"/>
        </w:rPr>
      </w:pPr>
    </w:p>
    <w:p>
      <w:pPr>
        <w:snapToGrid w:val="0"/>
        <w:spacing w:line="440" w:lineRule="exact"/>
        <w:textAlignment w:val="baseline"/>
        <w:rPr>
          <w:rFonts w:ascii="宋体"/>
          <w:sz w:val="20"/>
        </w:rPr>
      </w:pPr>
    </w:p>
    <w:p>
      <w:pPr>
        <w:snapToGrid w:val="0"/>
        <w:spacing w:line="440" w:lineRule="exact"/>
        <w:jc w:val="center"/>
        <w:textAlignment w:val="baseline"/>
        <w:rPr>
          <w:rFonts w:hint="eastAsia" w:ascii="宋体" w:eastAsia="宋体"/>
          <w:kern w:val="0"/>
          <w:sz w:val="24"/>
          <w:szCs w:val="24"/>
          <w:lang w:eastAsia="zh-CN"/>
        </w:rPr>
      </w:pPr>
      <w:r>
        <w:rPr>
          <w:rFonts w:hint="eastAsia" w:ascii="宋体" w:hAnsi="宋体" w:cs="宋体"/>
          <w:kern w:val="0"/>
          <w:sz w:val="24"/>
          <w:szCs w:val="24"/>
        </w:rPr>
        <w:t>投标人（</w:t>
      </w:r>
      <w:r>
        <w:rPr>
          <w:rFonts w:hint="eastAsia" w:ascii="宋体" w:hAnsi="宋体" w:cs="宋体"/>
          <w:sz w:val="24"/>
          <w:szCs w:val="24"/>
          <w:u w:val="single" w:color="000000"/>
        </w:rPr>
        <w:t>盖电子章</w:t>
      </w:r>
      <w:r>
        <w:rPr>
          <w:rFonts w:hint="eastAsia" w:ascii="宋体" w:hAnsi="宋体" w:cs="宋体"/>
          <w:kern w:val="0"/>
          <w:sz w:val="24"/>
          <w:szCs w:val="24"/>
        </w:rPr>
        <w:t>）：</w:t>
      </w:r>
      <w:r>
        <w:rPr>
          <w:rFonts w:ascii="宋体"/>
          <w:kern w:val="0"/>
          <w:sz w:val="24"/>
          <w:szCs w:val="24"/>
        </w:rPr>
        <w:t> </w:t>
      </w:r>
    </w:p>
    <w:p>
      <w:pPr>
        <w:snapToGrid w:val="0"/>
        <w:spacing w:line="440" w:lineRule="exact"/>
        <w:jc w:val="center"/>
        <w:textAlignment w:val="baseline"/>
        <w:rPr>
          <w:rFonts w:ascii="宋体"/>
          <w:sz w:val="20"/>
        </w:rPr>
      </w:pPr>
      <w:r>
        <w:rPr>
          <w:rFonts w:hint="eastAsia" w:ascii="宋体" w:hAnsi="宋体" w:cs="宋体"/>
        </w:rPr>
        <w:t>法定代表人：（签字或盖电子章）</w:t>
      </w:r>
    </w:p>
    <w:p>
      <w:pPr>
        <w:snapToGrid w:val="0"/>
        <w:spacing w:line="440" w:lineRule="exact"/>
        <w:ind w:firstLine="2835" w:firstLineChars="1350"/>
        <w:textAlignment w:val="baseline"/>
        <w:rPr>
          <w:rFonts w:ascii="宋体"/>
          <w:sz w:val="20"/>
        </w:rPr>
      </w:pPr>
      <w:r>
        <w:rPr>
          <w:rFonts w:hint="eastAsia" w:ascii="宋体" w:hAnsi="宋体" w:cs="宋体"/>
        </w:rPr>
        <w:t>身份证号码：</w:t>
      </w:r>
    </w:p>
    <w:p>
      <w:pPr>
        <w:snapToGrid w:val="0"/>
        <w:spacing w:line="440" w:lineRule="exact"/>
        <w:jc w:val="right"/>
        <w:textAlignment w:val="baseline"/>
        <w:rPr>
          <w:rFonts w:ascii="宋体"/>
          <w:sz w:val="20"/>
        </w:rPr>
      </w:pPr>
      <w:r>
        <w:rPr>
          <w:rFonts w:hint="eastAsia" w:ascii="宋体" w:hAnsi="宋体" w:cs="宋体"/>
        </w:rPr>
        <w:t>委托代理人：（签字或盖章）</w:t>
      </w:r>
    </w:p>
    <w:p>
      <w:pPr>
        <w:snapToGrid w:val="0"/>
        <w:spacing w:line="440" w:lineRule="exact"/>
        <w:ind w:firstLine="2835" w:firstLineChars="1350"/>
        <w:textAlignment w:val="baseline"/>
        <w:rPr>
          <w:rFonts w:ascii="宋体"/>
          <w:sz w:val="20"/>
        </w:rPr>
      </w:pPr>
      <w:r>
        <w:rPr>
          <w:rFonts w:hint="eastAsia" w:ascii="宋体" w:hAnsi="宋体" w:cs="宋体"/>
        </w:rPr>
        <w:t>身份证号码：</w:t>
      </w:r>
    </w:p>
    <w:p>
      <w:pPr>
        <w:snapToGrid w:val="0"/>
        <w:spacing w:line="440" w:lineRule="exact"/>
        <w:jc w:val="right"/>
        <w:textAlignment w:val="baseline"/>
        <w:rPr>
          <w:rFonts w:ascii="宋体"/>
          <w:sz w:val="20"/>
        </w:rPr>
      </w:pPr>
      <w:r>
        <w:rPr>
          <w:rFonts w:hint="eastAsia" w:ascii="宋体" w:hAnsi="宋体" w:cs="宋体"/>
        </w:rPr>
        <w:t>年月日</w:t>
      </w:r>
    </w:p>
    <w:p>
      <w:pPr>
        <w:snapToGrid w:val="0"/>
        <w:spacing w:line="440" w:lineRule="exact"/>
        <w:textAlignment w:val="baseline"/>
        <w:rPr>
          <w:rFonts w:ascii="宋体"/>
          <w:sz w:val="20"/>
        </w:rPr>
      </w:pPr>
    </w:p>
    <w:tbl>
      <w:tblPr>
        <w:tblStyle w:val="39"/>
        <w:tblW w:w="852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8528" w:type="dxa"/>
            <w:vAlign w:val="center"/>
          </w:tcPr>
          <w:p>
            <w:pPr>
              <w:snapToGrid w:val="0"/>
              <w:spacing w:line="440" w:lineRule="exact"/>
              <w:jc w:val="center"/>
              <w:textAlignment w:val="baseline"/>
              <w:rPr>
                <w:rFonts w:ascii="宋体"/>
                <w:sz w:val="32"/>
                <w:szCs w:val="32"/>
              </w:rPr>
            </w:pPr>
            <w:r>
              <w:rPr>
                <w:rFonts w:hint="eastAsia" w:ascii="宋体" w:hAnsi="宋体" w:cs="宋体"/>
                <w:sz w:val="32"/>
                <w:szCs w:val="32"/>
              </w:rPr>
              <w:t>委托代理人身份证扫描件</w:t>
            </w:r>
          </w:p>
          <w:p>
            <w:pPr>
              <w:snapToGrid w:val="0"/>
              <w:spacing w:line="440" w:lineRule="exact"/>
              <w:jc w:val="center"/>
              <w:textAlignment w:val="baseline"/>
              <w:rPr>
                <w:rFonts w:ascii="宋体"/>
                <w:sz w:val="20"/>
              </w:rPr>
            </w:pPr>
          </w:p>
        </w:tc>
      </w:tr>
    </w:tbl>
    <w:p>
      <w:pPr>
        <w:snapToGrid w:val="0"/>
        <w:spacing w:line="440" w:lineRule="exact"/>
        <w:textAlignment w:val="baseline"/>
        <w:rPr>
          <w:rFonts w:ascii="宋体"/>
          <w:sz w:val="20"/>
        </w:rPr>
      </w:pPr>
    </w:p>
    <w:p>
      <w:pPr>
        <w:snapToGrid w:val="0"/>
        <w:spacing w:line="600" w:lineRule="exact"/>
        <w:ind w:firstLine="640"/>
        <w:textAlignment w:val="baseline"/>
        <w:rPr>
          <w:rFonts w:ascii="宋体"/>
          <w:sz w:val="24"/>
          <w:szCs w:val="24"/>
        </w:rPr>
      </w:pPr>
    </w:p>
    <w:p>
      <w:pPr>
        <w:snapToGrid w:val="0"/>
        <w:spacing w:line="600" w:lineRule="exact"/>
        <w:ind w:firstLine="640"/>
        <w:textAlignment w:val="baseline"/>
        <w:rPr>
          <w:rFonts w:ascii="宋体"/>
          <w:sz w:val="24"/>
          <w:szCs w:val="24"/>
        </w:rPr>
      </w:pPr>
    </w:p>
    <w:p>
      <w:pPr>
        <w:snapToGrid w:val="0"/>
        <w:textAlignment w:val="baseline"/>
        <w:rPr>
          <w:rFonts w:ascii="宋体"/>
          <w:sz w:val="28"/>
          <w:szCs w:val="28"/>
        </w:rPr>
      </w:pPr>
    </w:p>
    <w:bookmarkEnd w:id="209"/>
    <w:bookmarkEnd w:id="210"/>
    <w:bookmarkEnd w:id="211"/>
    <w:bookmarkEnd w:id="212"/>
    <w:bookmarkEnd w:id="213"/>
    <w:bookmarkEnd w:id="214"/>
    <w:bookmarkEnd w:id="215"/>
    <w:bookmarkEnd w:id="216"/>
    <w:bookmarkEnd w:id="217"/>
    <w:p>
      <w:pPr>
        <w:snapToGrid w:val="0"/>
        <w:spacing w:line="480" w:lineRule="exact"/>
        <w:jc w:val="left"/>
        <w:textAlignment w:val="baseline"/>
        <w:rPr>
          <w:rFonts w:ascii="宋体"/>
          <w:b/>
          <w:bCs/>
          <w:sz w:val="32"/>
          <w:szCs w:val="32"/>
        </w:rPr>
      </w:pPr>
      <w:bookmarkStart w:id="219" w:name="_Toc184635145"/>
    </w:p>
    <w:p>
      <w:pPr>
        <w:snapToGrid w:val="0"/>
        <w:spacing w:line="360" w:lineRule="auto"/>
        <w:jc w:val="center"/>
        <w:textAlignment w:val="baseline"/>
        <w:outlineLvl w:val="1"/>
        <w:rPr>
          <w:rFonts w:ascii="宋体"/>
          <w:b/>
          <w:bCs/>
          <w:sz w:val="32"/>
          <w:szCs w:val="32"/>
        </w:rPr>
      </w:pPr>
      <w:bookmarkStart w:id="220" w:name="_Toc74732345"/>
      <w:bookmarkStart w:id="221" w:name="_Toc24531"/>
      <w:bookmarkStart w:id="222" w:name="_Toc74732288"/>
      <w:r>
        <w:rPr>
          <w:rFonts w:hint="eastAsia" w:ascii="宋体" w:hAnsi="宋体" w:cs="宋体"/>
          <w:b/>
          <w:bCs/>
          <w:sz w:val="32"/>
          <w:szCs w:val="32"/>
        </w:rPr>
        <w:t>八、投标保证金</w:t>
      </w:r>
      <w:bookmarkEnd w:id="220"/>
      <w:bookmarkEnd w:id="221"/>
      <w:bookmarkEnd w:id="222"/>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r>
        <w:rPr>
          <w:rFonts w:hint="eastAsia" w:ascii="宋体" w:hAnsi="宋体" w:cs="宋体"/>
          <w:b/>
          <w:bCs/>
          <w:sz w:val="32"/>
          <w:szCs w:val="32"/>
        </w:rPr>
        <w:t>（附投标保证金</w:t>
      </w:r>
      <w:bookmarkStart w:id="223" w:name="OLE_LINK12"/>
      <w:r>
        <w:rPr>
          <w:rFonts w:hint="eastAsia" w:ascii="宋体" w:hAnsi="宋体" w:cs="宋体"/>
          <w:b/>
          <w:bCs/>
          <w:sz w:val="32"/>
          <w:szCs w:val="32"/>
        </w:rPr>
        <w:t>缴纳</w:t>
      </w:r>
      <w:bookmarkEnd w:id="223"/>
      <w:r>
        <w:rPr>
          <w:rFonts w:hint="eastAsia" w:ascii="宋体" w:hAnsi="宋体" w:cs="宋体"/>
          <w:b/>
          <w:bCs/>
          <w:sz w:val="32"/>
          <w:szCs w:val="32"/>
        </w:rPr>
        <w:t>凭证和基本户开户许可证）</w:t>
      </w: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480" w:lineRule="exact"/>
        <w:jc w:val="center"/>
        <w:textAlignment w:val="baseline"/>
        <w:rPr>
          <w:rFonts w:ascii="宋体"/>
          <w:b/>
          <w:bCs/>
          <w:sz w:val="32"/>
          <w:szCs w:val="32"/>
        </w:rPr>
      </w:pPr>
    </w:p>
    <w:p>
      <w:pPr>
        <w:snapToGrid w:val="0"/>
        <w:spacing w:line="360" w:lineRule="auto"/>
        <w:jc w:val="left"/>
        <w:textAlignment w:val="baseline"/>
        <w:rPr>
          <w:rFonts w:ascii="宋体"/>
          <w:b/>
          <w:bCs/>
          <w:sz w:val="32"/>
          <w:szCs w:val="32"/>
        </w:rPr>
      </w:pPr>
      <w:bookmarkStart w:id="224" w:name="_Toc230508842"/>
      <w:bookmarkStart w:id="225" w:name="_Toc467769965"/>
    </w:p>
    <w:bookmarkEnd w:id="224"/>
    <w:p>
      <w:pPr>
        <w:snapToGrid w:val="0"/>
        <w:spacing w:line="360" w:lineRule="auto"/>
        <w:jc w:val="center"/>
        <w:textAlignment w:val="baseline"/>
        <w:rPr>
          <w:rFonts w:ascii="宋体" w:hAnsi="宋体" w:cs="宋体"/>
          <w:b/>
          <w:bCs/>
          <w:sz w:val="32"/>
          <w:szCs w:val="32"/>
        </w:rPr>
      </w:pPr>
      <w:bookmarkStart w:id="226" w:name="_Toc74732346"/>
      <w:bookmarkStart w:id="227" w:name="_Toc74732289"/>
    </w:p>
    <w:p>
      <w:pPr>
        <w:snapToGrid w:val="0"/>
        <w:spacing w:line="360" w:lineRule="auto"/>
        <w:jc w:val="center"/>
        <w:textAlignment w:val="baseline"/>
        <w:outlineLvl w:val="1"/>
        <w:rPr>
          <w:rFonts w:ascii="宋体"/>
          <w:b/>
          <w:bCs/>
          <w:sz w:val="32"/>
          <w:szCs w:val="32"/>
        </w:rPr>
      </w:pPr>
      <w:bookmarkStart w:id="228" w:name="_Toc29642"/>
      <w:r>
        <w:rPr>
          <w:rFonts w:hint="eastAsia" w:ascii="宋体" w:hAnsi="宋体" w:cs="宋体"/>
          <w:b/>
          <w:bCs/>
          <w:sz w:val="32"/>
          <w:szCs w:val="32"/>
        </w:rPr>
        <w:t>九、资格审查资料</w:t>
      </w:r>
      <w:bookmarkEnd w:id="225"/>
      <w:bookmarkEnd w:id="226"/>
      <w:bookmarkEnd w:id="227"/>
      <w:bookmarkEnd w:id="228"/>
    </w:p>
    <w:p>
      <w:pPr>
        <w:pStyle w:val="8"/>
        <w:tabs>
          <w:tab w:val="left" w:pos="3780"/>
        </w:tabs>
        <w:snapToGrid w:val="0"/>
        <w:jc w:val="center"/>
        <w:rPr>
          <w:rFonts w:ascii="宋体" w:hAnsi="宋体" w:eastAsia="宋体" w:cs="宋体"/>
          <w:b/>
          <w:bCs/>
          <w:sz w:val="30"/>
          <w:szCs w:val="30"/>
        </w:rPr>
      </w:pPr>
      <w:bookmarkStart w:id="229" w:name="_Toc20393"/>
      <w:bookmarkStart w:id="230" w:name="_Toc49935954"/>
      <w:bookmarkStart w:id="231" w:name="_Toc109313726"/>
      <w:bookmarkStart w:id="232" w:name="_Toc74732347"/>
      <w:bookmarkStart w:id="233" w:name="_Toc32592"/>
      <w:bookmarkStart w:id="234" w:name="_Toc74732290"/>
      <w:bookmarkStart w:id="235" w:name="_Toc49935840"/>
      <w:r>
        <w:rPr>
          <w:rFonts w:ascii="宋体" w:hAnsi="宋体" w:eastAsia="宋体" w:cs="宋体"/>
          <w:b/>
          <w:bCs/>
          <w:sz w:val="30"/>
          <w:szCs w:val="30"/>
        </w:rPr>
        <w:t>1</w:t>
      </w:r>
      <w:r>
        <w:rPr>
          <w:rFonts w:hint="eastAsia" w:ascii="宋体" w:hAnsi="宋体" w:eastAsia="宋体" w:cs="宋体"/>
          <w:b/>
          <w:bCs/>
          <w:sz w:val="30"/>
          <w:szCs w:val="30"/>
        </w:rPr>
        <w:t>、基本情况表</w:t>
      </w:r>
      <w:bookmarkEnd w:id="229"/>
      <w:bookmarkEnd w:id="230"/>
      <w:bookmarkEnd w:id="231"/>
      <w:bookmarkEnd w:id="232"/>
      <w:bookmarkEnd w:id="233"/>
      <w:bookmarkEnd w:id="234"/>
      <w:bookmarkEnd w:id="235"/>
    </w:p>
    <w:tbl>
      <w:tblPr>
        <w:tblStyle w:val="39"/>
        <w:tblW w:w="89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413"/>
        <w:gridCol w:w="2458"/>
        <w:gridCol w:w="107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vAlign w:val="center"/>
          </w:tcPr>
          <w:p>
            <w:pPr>
              <w:snapToGrid w:val="0"/>
              <w:jc w:val="center"/>
              <w:textAlignment w:val="baseline"/>
              <w:rPr>
                <w:rFonts w:ascii="宋体"/>
                <w:sz w:val="20"/>
              </w:rPr>
            </w:pPr>
            <w:r>
              <w:rPr>
                <w:rFonts w:hint="eastAsia" w:ascii="宋体" w:hAnsi="宋体" w:cs="宋体"/>
              </w:rPr>
              <w:t>投标人名称</w:t>
            </w:r>
          </w:p>
        </w:tc>
        <w:tc>
          <w:tcPr>
            <w:tcW w:w="6819" w:type="dxa"/>
            <w:gridSpan w:val="4"/>
            <w:vAlign w:val="center"/>
          </w:tcPr>
          <w:p>
            <w:pPr>
              <w:snapToGrid w:val="0"/>
              <w:jc w:val="center"/>
              <w:textAlignment w:val="baseline"/>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vAlign w:val="center"/>
          </w:tcPr>
          <w:p>
            <w:pPr>
              <w:snapToGrid w:val="0"/>
              <w:jc w:val="center"/>
              <w:textAlignment w:val="baseline"/>
              <w:rPr>
                <w:rFonts w:ascii="宋体"/>
                <w:sz w:val="20"/>
              </w:rPr>
            </w:pPr>
            <w:r>
              <w:rPr>
                <w:rFonts w:hint="eastAsia" w:ascii="宋体" w:hAnsi="宋体" w:cs="宋体"/>
              </w:rPr>
              <w:t>注册资金</w:t>
            </w:r>
          </w:p>
        </w:tc>
        <w:tc>
          <w:tcPr>
            <w:tcW w:w="3871" w:type="dxa"/>
            <w:gridSpan w:val="2"/>
            <w:vAlign w:val="center"/>
          </w:tcPr>
          <w:p>
            <w:pPr>
              <w:snapToGrid w:val="0"/>
              <w:jc w:val="center"/>
              <w:textAlignment w:val="baseline"/>
              <w:rPr>
                <w:rFonts w:ascii="宋体"/>
                <w:sz w:val="20"/>
              </w:rPr>
            </w:pPr>
          </w:p>
        </w:tc>
        <w:tc>
          <w:tcPr>
            <w:tcW w:w="1070" w:type="dxa"/>
            <w:vAlign w:val="center"/>
          </w:tcPr>
          <w:p>
            <w:pPr>
              <w:snapToGrid w:val="0"/>
              <w:jc w:val="center"/>
              <w:textAlignment w:val="baseline"/>
              <w:rPr>
                <w:rFonts w:ascii="宋体"/>
                <w:sz w:val="20"/>
              </w:rPr>
            </w:pPr>
            <w:r>
              <w:rPr>
                <w:rFonts w:hint="eastAsia" w:ascii="宋体" w:hAnsi="宋体" w:cs="宋体"/>
              </w:rPr>
              <w:t>成立时间</w:t>
            </w:r>
          </w:p>
        </w:tc>
        <w:tc>
          <w:tcPr>
            <w:tcW w:w="1878" w:type="dxa"/>
            <w:vAlign w:val="center"/>
          </w:tcPr>
          <w:p>
            <w:pPr>
              <w:snapToGrid w:val="0"/>
              <w:jc w:val="center"/>
              <w:textAlignment w:val="baseline"/>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21" w:type="dxa"/>
            <w:vAlign w:val="center"/>
          </w:tcPr>
          <w:p>
            <w:pPr>
              <w:snapToGrid w:val="0"/>
              <w:jc w:val="center"/>
              <w:textAlignment w:val="baseline"/>
              <w:rPr>
                <w:rFonts w:ascii="宋体"/>
                <w:sz w:val="20"/>
              </w:rPr>
            </w:pPr>
            <w:r>
              <w:rPr>
                <w:rFonts w:hint="eastAsia" w:ascii="宋体" w:hAnsi="宋体" w:cs="宋体"/>
              </w:rPr>
              <w:t>注册地址</w:t>
            </w:r>
          </w:p>
        </w:tc>
        <w:tc>
          <w:tcPr>
            <w:tcW w:w="6819" w:type="dxa"/>
            <w:gridSpan w:val="4"/>
            <w:vAlign w:val="center"/>
          </w:tcPr>
          <w:p>
            <w:pPr>
              <w:snapToGrid w:val="0"/>
              <w:jc w:val="center"/>
              <w:textAlignment w:val="baseline"/>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vAlign w:val="center"/>
          </w:tcPr>
          <w:p>
            <w:pPr>
              <w:snapToGrid w:val="0"/>
              <w:jc w:val="center"/>
              <w:textAlignment w:val="baseline"/>
              <w:rPr>
                <w:rFonts w:ascii="宋体"/>
                <w:sz w:val="20"/>
              </w:rPr>
            </w:pPr>
            <w:r>
              <w:rPr>
                <w:rFonts w:hint="eastAsia" w:ascii="宋体" w:hAnsi="宋体" w:cs="宋体"/>
              </w:rPr>
              <w:t>邮政编码</w:t>
            </w:r>
          </w:p>
        </w:tc>
        <w:tc>
          <w:tcPr>
            <w:tcW w:w="3871" w:type="dxa"/>
            <w:gridSpan w:val="2"/>
            <w:vAlign w:val="center"/>
          </w:tcPr>
          <w:p>
            <w:pPr>
              <w:snapToGrid w:val="0"/>
              <w:jc w:val="center"/>
              <w:textAlignment w:val="baseline"/>
              <w:rPr>
                <w:rFonts w:ascii="宋体"/>
                <w:sz w:val="20"/>
              </w:rPr>
            </w:pPr>
          </w:p>
        </w:tc>
        <w:tc>
          <w:tcPr>
            <w:tcW w:w="1070" w:type="dxa"/>
            <w:vAlign w:val="center"/>
          </w:tcPr>
          <w:p>
            <w:pPr>
              <w:snapToGrid w:val="0"/>
              <w:jc w:val="center"/>
              <w:textAlignment w:val="baseline"/>
              <w:rPr>
                <w:rFonts w:ascii="宋体"/>
                <w:sz w:val="20"/>
              </w:rPr>
            </w:pPr>
            <w:r>
              <w:rPr>
                <w:rFonts w:hint="eastAsia" w:ascii="宋体" w:hAnsi="宋体" w:cs="宋体"/>
              </w:rPr>
              <w:t>员工总数</w:t>
            </w:r>
          </w:p>
        </w:tc>
        <w:tc>
          <w:tcPr>
            <w:tcW w:w="1878" w:type="dxa"/>
            <w:vAlign w:val="center"/>
          </w:tcPr>
          <w:p>
            <w:pPr>
              <w:snapToGrid w:val="0"/>
              <w:jc w:val="center"/>
              <w:textAlignment w:val="baseline"/>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vMerge w:val="restart"/>
            <w:vAlign w:val="center"/>
          </w:tcPr>
          <w:p>
            <w:pPr>
              <w:snapToGrid w:val="0"/>
              <w:jc w:val="center"/>
              <w:textAlignment w:val="baseline"/>
              <w:rPr>
                <w:rFonts w:ascii="宋体"/>
                <w:sz w:val="20"/>
              </w:rPr>
            </w:pPr>
            <w:r>
              <w:rPr>
                <w:rFonts w:hint="eastAsia" w:ascii="宋体" w:hAnsi="宋体" w:cs="宋体"/>
              </w:rPr>
              <w:t>联系方式</w:t>
            </w:r>
          </w:p>
        </w:tc>
        <w:tc>
          <w:tcPr>
            <w:tcW w:w="1413" w:type="dxa"/>
            <w:vAlign w:val="center"/>
          </w:tcPr>
          <w:p>
            <w:pPr>
              <w:snapToGrid w:val="0"/>
              <w:jc w:val="center"/>
              <w:textAlignment w:val="baseline"/>
              <w:rPr>
                <w:rFonts w:ascii="宋体"/>
                <w:sz w:val="20"/>
              </w:rPr>
            </w:pPr>
            <w:r>
              <w:rPr>
                <w:rFonts w:hint="eastAsia" w:ascii="宋体" w:hAnsi="宋体" w:cs="宋体"/>
              </w:rPr>
              <w:t>联系人</w:t>
            </w:r>
          </w:p>
        </w:tc>
        <w:tc>
          <w:tcPr>
            <w:tcW w:w="2458" w:type="dxa"/>
            <w:vAlign w:val="center"/>
          </w:tcPr>
          <w:p>
            <w:pPr>
              <w:snapToGrid w:val="0"/>
              <w:jc w:val="center"/>
              <w:textAlignment w:val="baseline"/>
              <w:rPr>
                <w:rFonts w:ascii="宋体"/>
                <w:sz w:val="20"/>
              </w:rPr>
            </w:pPr>
          </w:p>
        </w:tc>
        <w:tc>
          <w:tcPr>
            <w:tcW w:w="1070" w:type="dxa"/>
            <w:vAlign w:val="center"/>
          </w:tcPr>
          <w:p>
            <w:pPr>
              <w:snapToGrid w:val="0"/>
              <w:jc w:val="center"/>
              <w:textAlignment w:val="baseline"/>
              <w:rPr>
                <w:rFonts w:ascii="宋体"/>
                <w:sz w:val="20"/>
              </w:rPr>
            </w:pPr>
            <w:r>
              <w:rPr>
                <w:rFonts w:hint="eastAsia" w:ascii="宋体" w:hAnsi="宋体" w:cs="宋体"/>
              </w:rPr>
              <w:t>电话</w:t>
            </w:r>
          </w:p>
        </w:tc>
        <w:tc>
          <w:tcPr>
            <w:tcW w:w="1878" w:type="dxa"/>
            <w:vAlign w:val="center"/>
          </w:tcPr>
          <w:p>
            <w:pPr>
              <w:snapToGrid w:val="0"/>
              <w:jc w:val="center"/>
              <w:textAlignment w:val="baseline"/>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vMerge w:val="continue"/>
            <w:vAlign w:val="center"/>
          </w:tcPr>
          <w:p>
            <w:pPr>
              <w:snapToGrid w:val="0"/>
              <w:jc w:val="center"/>
              <w:textAlignment w:val="baseline"/>
              <w:rPr>
                <w:rFonts w:ascii="宋体"/>
                <w:sz w:val="20"/>
              </w:rPr>
            </w:pPr>
          </w:p>
        </w:tc>
        <w:tc>
          <w:tcPr>
            <w:tcW w:w="1413" w:type="dxa"/>
            <w:vAlign w:val="center"/>
          </w:tcPr>
          <w:p>
            <w:pPr>
              <w:snapToGrid w:val="0"/>
              <w:jc w:val="center"/>
              <w:textAlignment w:val="baseline"/>
              <w:rPr>
                <w:rFonts w:ascii="宋体"/>
                <w:sz w:val="20"/>
              </w:rPr>
            </w:pPr>
            <w:r>
              <w:rPr>
                <w:rFonts w:hint="eastAsia" w:ascii="宋体" w:hAnsi="宋体" w:cs="宋体"/>
              </w:rPr>
              <w:t>传真</w:t>
            </w:r>
          </w:p>
        </w:tc>
        <w:tc>
          <w:tcPr>
            <w:tcW w:w="2458" w:type="dxa"/>
            <w:vAlign w:val="center"/>
          </w:tcPr>
          <w:p>
            <w:pPr>
              <w:snapToGrid w:val="0"/>
              <w:jc w:val="center"/>
              <w:textAlignment w:val="baseline"/>
              <w:rPr>
                <w:rFonts w:ascii="宋体"/>
                <w:sz w:val="20"/>
              </w:rPr>
            </w:pPr>
          </w:p>
        </w:tc>
        <w:tc>
          <w:tcPr>
            <w:tcW w:w="1070" w:type="dxa"/>
            <w:vAlign w:val="center"/>
          </w:tcPr>
          <w:p>
            <w:pPr>
              <w:snapToGrid w:val="0"/>
              <w:jc w:val="center"/>
              <w:textAlignment w:val="baseline"/>
              <w:rPr>
                <w:rFonts w:ascii="宋体"/>
                <w:sz w:val="20"/>
              </w:rPr>
            </w:pPr>
            <w:r>
              <w:rPr>
                <w:rFonts w:hint="eastAsia" w:ascii="宋体" w:hAnsi="宋体" w:cs="宋体"/>
              </w:rPr>
              <w:t>网址</w:t>
            </w:r>
          </w:p>
        </w:tc>
        <w:tc>
          <w:tcPr>
            <w:tcW w:w="1878" w:type="dxa"/>
            <w:vAlign w:val="center"/>
          </w:tcPr>
          <w:p>
            <w:pPr>
              <w:snapToGrid w:val="0"/>
              <w:jc w:val="center"/>
              <w:textAlignment w:val="baseline"/>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21" w:type="dxa"/>
            <w:vAlign w:val="center"/>
          </w:tcPr>
          <w:p>
            <w:pPr>
              <w:snapToGrid w:val="0"/>
              <w:jc w:val="center"/>
              <w:textAlignment w:val="baseline"/>
              <w:rPr>
                <w:rFonts w:ascii="宋体"/>
                <w:sz w:val="20"/>
              </w:rPr>
            </w:pPr>
            <w:r>
              <w:rPr>
                <w:rFonts w:hint="eastAsia" w:ascii="宋体" w:hAnsi="宋体" w:cs="宋体"/>
              </w:rPr>
              <w:t>法定代表人</w:t>
            </w:r>
          </w:p>
        </w:tc>
        <w:tc>
          <w:tcPr>
            <w:tcW w:w="1413" w:type="dxa"/>
            <w:vAlign w:val="center"/>
          </w:tcPr>
          <w:p>
            <w:pPr>
              <w:snapToGrid w:val="0"/>
              <w:jc w:val="center"/>
              <w:textAlignment w:val="baseline"/>
              <w:rPr>
                <w:rFonts w:ascii="宋体"/>
                <w:sz w:val="20"/>
              </w:rPr>
            </w:pPr>
            <w:r>
              <w:rPr>
                <w:rFonts w:hint="eastAsia" w:ascii="宋体" w:hAnsi="宋体" w:cs="宋体"/>
              </w:rPr>
              <w:t>姓名</w:t>
            </w:r>
          </w:p>
        </w:tc>
        <w:tc>
          <w:tcPr>
            <w:tcW w:w="2458" w:type="dxa"/>
            <w:vAlign w:val="center"/>
          </w:tcPr>
          <w:p>
            <w:pPr>
              <w:snapToGrid w:val="0"/>
              <w:jc w:val="center"/>
              <w:textAlignment w:val="baseline"/>
              <w:rPr>
                <w:rFonts w:ascii="宋体"/>
                <w:sz w:val="20"/>
              </w:rPr>
            </w:pPr>
          </w:p>
        </w:tc>
        <w:tc>
          <w:tcPr>
            <w:tcW w:w="1070" w:type="dxa"/>
            <w:vAlign w:val="center"/>
          </w:tcPr>
          <w:p>
            <w:pPr>
              <w:snapToGrid w:val="0"/>
              <w:jc w:val="center"/>
              <w:textAlignment w:val="baseline"/>
              <w:rPr>
                <w:rFonts w:ascii="宋体"/>
                <w:sz w:val="20"/>
              </w:rPr>
            </w:pPr>
            <w:r>
              <w:rPr>
                <w:rFonts w:hint="eastAsia" w:ascii="宋体" w:hAnsi="宋体" w:cs="宋体"/>
              </w:rPr>
              <w:t>电话</w:t>
            </w:r>
          </w:p>
        </w:tc>
        <w:tc>
          <w:tcPr>
            <w:tcW w:w="1878" w:type="dxa"/>
            <w:vAlign w:val="center"/>
          </w:tcPr>
          <w:p>
            <w:pPr>
              <w:snapToGrid w:val="0"/>
              <w:jc w:val="center"/>
              <w:textAlignment w:val="baseline"/>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121" w:type="dxa"/>
            <w:vAlign w:val="center"/>
          </w:tcPr>
          <w:p>
            <w:pPr>
              <w:snapToGrid w:val="0"/>
              <w:jc w:val="center"/>
              <w:textAlignment w:val="baseline"/>
              <w:rPr>
                <w:rFonts w:ascii="宋体"/>
                <w:sz w:val="20"/>
              </w:rPr>
            </w:pPr>
            <w:r>
              <w:rPr>
                <w:rFonts w:hint="eastAsia" w:ascii="宋体" w:hAnsi="宋体" w:cs="宋体"/>
              </w:rPr>
              <w:t>基本账户开户银行</w:t>
            </w:r>
          </w:p>
        </w:tc>
        <w:tc>
          <w:tcPr>
            <w:tcW w:w="6819" w:type="dxa"/>
            <w:gridSpan w:val="4"/>
            <w:vAlign w:val="center"/>
          </w:tcPr>
          <w:p>
            <w:pPr>
              <w:snapToGrid w:val="0"/>
              <w:jc w:val="left"/>
              <w:textAlignment w:val="baseline"/>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121" w:type="dxa"/>
            <w:vAlign w:val="center"/>
          </w:tcPr>
          <w:p>
            <w:pPr>
              <w:snapToGrid w:val="0"/>
              <w:jc w:val="center"/>
              <w:textAlignment w:val="baseline"/>
              <w:rPr>
                <w:rFonts w:ascii="宋体"/>
                <w:sz w:val="20"/>
              </w:rPr>
            </w:pPr>
            <w:r>
              <w:rPr>
                <w:rFonts w:hint="eastAsia" w:ascii="宋体" w:hAnsi="宋体" w:cs="宋体"/>
              </w:rPr>
              <w:t>基本账户银行账号</w:t>
            </w:r>
          </w:p>
        </w:tc>
        <w:tc>
          <w:tcPr>
            <w:tcW w:w="6819" w:type="dxa"/>
            <w:gridSpan w:val="4"/>
            <w:vAlign w:val="center"/>
          </w:tcPr>
          <w:p>
            <w:pPr>
              <w:snapToGrid w:val="0"/>
              <w:jc w:val="left"/>
              <w:textAlignment w:val="baseline"/>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121" w:type="dxa"/>
            <w:vAlign w:val="center"/>
          </w:tcPr>
          <w:p>
            <w:pPr>
              <w:snapToGrid w:val="0"/>
              <w:jc w:val="center"/>
              <w:textAlignment w:val="baseline"/>
              <w:rPr>
                <w:rFonts w:ascii="宋体"/>
                <w:sz w:val="20"/>
              </w:rPr>
            </w:pPr>
            <w:r>
              <w:rPr>
                <w:rFonts w:hint="eastAsia" w:ascii="宋体" w:hAnsi="宋体" w:cs="宋体"/>
              </w:rPr>
              <w:t>备注</w:t>
            </w:r>
          </w:p>
        </w:tc>
        <w:tc>
          <w:tcPr>
            <w:tcW w:w="6819" w:type="dxa"/>
            <w:gridSpan w:val="4"/>
            <w:vAlign w:val="center"/>
          </w:tcPr>
          <w:p>
            <w:pPr>
              <w:snapToGrid w:val="0"/>
              <w:ind w:firstLine="400" w:firstLineChars="200"/>
              <w:jc w:val="left"/>
              <w:textAlignment w:val="baseline"/>
              <w:rPr>
                <w:rFonts w:ascii="宋体"/>
                <w:sz w:val="20"/>
              </w:rPr>
            </w:pPr>
          </w:p>
        </w:tc>
      </w:tr>
    </w:tbl>
    <w:p>
      <w:pPr>
        <w:snapToGrid w:val="0"/>
        <w:spacing w:line="360" w:lineRule="exact"/>
        <w:ind w:firstLine="402" w:firstLineChars="200"/>
        <w:textAlignment w:val="baseline"/>
        <w:rPr>
          <w:rFonts w:ascii="宋体"/>
          <w:b/>
          <w:bCs/>
          <w:sz w:val="20"/>
        </w:rPr>
      </w:pPr>
    </w:p>
    <w:p>
      <w:pPr>
        <w:snapToGrid w:val="0"/>
        <w:spacing w:line="360" w:lineRule="exact"/>
        <w:ind w:firstLine="402" w:firstLineChars="200"/>
        <w:textAlignment w:val="baseline"/>
        <w:rPr>
          <w:rFonts w:ascii="宋体"/>
          <w:b/>
          <w:bCs/>
          <w:sz w:val="20"/>
        </w:rPr>
      </w:pPr>
    </w:p>
    <w:p>
      <w:pPr>
        <w:snapToGrid w:val="0"/>
        <w:spacing w:line="360" w:lineRule="exact"/>
        <w:ind w:firstLine="422" w:firstLineChars="200"/>
        <w:textAlignment w:val="baseline"/>
        <w:rPr>
          <w:rFonts w:ascii="宋体"/>
          <w:b/>
          <w:bCs/>
          <w:sz w:val="20"/>
        </w:rPr>
      </w:pPr>
      <w:r>
        <w:rPr>
          <w:rFonts w:ascii="宋体"/>
          <w:b/>
          <w:bCs/>
        </w:rPr>
        <w:br w:type="page"/>
      </w:r>
    </w:p>
    <w:bookmarkEnd w:id="219"/>
    <w:p>
      <w:pPr>
        <w:tabs>
          <w:tab w:val="left" w:pos="3780"/>
        </w:tabs>
        <w:snapToGrid w:val="0"/>
        <w:spacing w:before="160" w:after="160" w:line="160" w:lineRule="atLeast"/>
        <w:ind w:left="851" w:hanging="425"/>
        <w:jc w:val="center"/>
        <w:textAlignment w:val="baseline"/>
        <w:outlineLvl w:val="2"/>
        <w:rPr>
          <w:rFonts w:ascii="宋体" w:hAnsi="宋体"/>
          <w:b/>
          <w:sz w:val="30"/>
        </w:rPr>
      </w:pPr>
      <w:bookmarkStart w:id="236" w:name="_Toc74732349"/>
      <w:bookmarkStart w:id="237" w:name="_Toc23279"/>
      <w:bookmarkStart w:id="238" w:name="_Toc49935956"/>
      <w:bookmarkStart w:id="239" w:name="_Toc531870504"/>
      <w:bookmarkStart w:id="240" w:name="_Toc49935842"/>
      <w:bookmarkStart w:id="241" w:name="_Toc74732292"/>
      <w:r>
        <w:rPr>
          <w:rFonts w:hint="eastAsia" w:ascii="宋体" w:hAnsi="宋体" w:cs="宋体"/>
          <w:b/>
          <w:bCs/>
          <w:sz w:val="30"/>
          <w:szCs w:val="30"/>
          <w:lang w:val="en-US" w:eastAsia="zh-CN"/>
        </w:rPr>
        <w:t>2</w:t>
      </w:r>
      <w:r>
        <w:rPr>
          <w:rFonts w:hint="eastAsia" w:ascii="宋体" w:hAnsi="宋体" w:cs="宋体"/>
          <w:b/>
          <w:bCs/>
          <w:sz w:val="30"/>
          <w:szCs w:val="30"/>
        </w:rPr>
        <w:t>、证书</w:t>
      </w:r>
      <w:bookmarkEnd w:id="236"/>
      <w:bookmarkEnd w:id="237"/>
      <w:bookmarkEnd w:id="238"/>
      <w:bookmarkEnd w:id="239"/>
      <w:bookmarkEnd w:id="240"/>
      <w:bookmarkEnd w:id="241"/>
    </w:p>
    <w:p>
      <w:pPr>
        <w:pStyle w:val="15"/>
        <w:snapToGrid w:val="0"/>
        <w:spacing w:line="420" w:lineRule="auto"/>
        <w:textAlignment w:val="baseline"/>
        <w:rPr>
          <w:rFonts w:ascii="宋体"/>
        </w:rPr>
      </w:pPr>
      <w:r>
        <w:rPr>
          <w:rFonts w:hint="eastAsia" w:ascii="宋体" w:hAnsi="宋体" w:cs="宋体"/>
        </w:rPr>
        <w:t>下述签字人证明本资格文件和要求的格式中的说明是真实的和正确的。</w:t>
      </w:r>
    </w:p>
    <w:p>
      <w:pPr>
        <w:pStyle w:val="15"/>
        <w:snapToGrid w:val="0"/>
        <w:spacing w:line="420" w:lineRule="auto"/>
        <w:textAlignment w:val="baseline"/>
        <w:rPr>
          <w:rFonts w:ascii="宋体"/>
        </w:rPr>
      </w:pPr>
      <w:r>
        <w:rPr>
          <w:rFonts w:hint="eastAsia" w:ascii="宋体" w:hAnsi="宋体" w:cs="宋体"/>
        </w:rPr>
        <w:t>下述签字人在此授权并要求任何被征询的银行向招标公司提供招标文件所要求的资料，以证明本声明及本公司实力和信誉。</w:t>
      </w:r>
    </w:p>
    <w:p>
      <w:pPr>
        <w:pStyle w:val="15"/>
        <w:snapToGrid w:val="0"/>
        <w:spacing w:line="420" w:lineRule="auto"/>
        <w:textAlignment w:val="baseline"/>
        <w:rPr>
          <w:rFonts w:ascii="宋体"/>
        </w:rPr>
      </w:pPr>
      <w:r>
        <w:rPr>
          <w:rFonts w:hint="eastAsia" w:ascii="宋体" w:hAnsi="宋体" w:cs="宋体"/>
        </w:rPr>
        <w:t>下述签字人理解并同意提交对其它有关资格材料的进一步要求。</w:t>
      </w:r>
    </w:p>
    <w:p>
      <w:pPr>
        <w:pStyle w:val="15"/>
        <w:snapToGrid w:val="0"/>
        <w:spacing w:line="420" w:lineRule="auto"/>
        <w:textAlignment w:val="baseline"/>
        <w:rPr>
          <w:rFonts w:ascii="宋体"/>
        </w:rPr>
      </w:pPr>
    </w:p>
    <w:p>
      <w:pPr>
        <w:pStyle w:val="15"/>
        <w:snapToGrid w:val="0"/>
        <w:spacing w:line="420" w:lineRule="auto"/>
        <w:ind w:firstLine="0"/>
        <w:jc w:val="left"/>
        <w:textAlignment w:val="baseline"/>
        <w:rPr>
          <w:rFonts w:ascii="宋体"/>
        </w:rPr>
      </w:pPr>
      <w:r>
        <w:rPr>
          <w:rFonts w:hint="eastAsia" w:ascii="宋体" w:hAnsi="宋体" w:cs="宋体"/>
        </w:rPr>
        <w:t>投标单位被授权投标代表人</w:t>
      </w:r>
    </w:p>
    <w:p>
      <w:pPr>
        <w:pStyle w:val="15"/>
        <w:snapToGrid w:val="0"/>
        <w:spacing w:line="420" w:lineRule="auto"/>
        <w:ind w:firstLine="0"/>
        <w:jc w:val="left"/>
        <w:textAlignment w:val="baseline"/>
        <w:rPr>
          <w:rFonts w:ascii="宋体"/>
        </w:rPr>
      </w:pPr>
      <w:r>
        <w:rPr>
          <w:rFonts w:hint="eastAsia" w:ascii="宋体" w:hAnsi="宋体" w:cs="宋体"/>
        </w:rPr>
        <w:t>名称：签名：</w:t>
      </w:r>
    </w:p>
    <w:p>
      <w:pPr>
        <w:pStyle w:val="15"/>
        <w:snapToGrid w:val="0"/>
        <w:spacing w:line="420" w:lineRule="auto"/>
        <w:ind w:firstLine="0"/>
        <w:jc w:val="left"/>
        <w:textAlignment w:val="baseline"/>
        <w:rPr>
          <w:rFonts w:ascii="宋体"/>
        </w:rPr>
      </w:pPr>
      <w:r>
        <w:rPr>
          <w:rFonts w:hint="eastAsia" w:ascii="宋体" w:hAnsi="宋体" w:cs="宋体"/>
        </w:rPr>
        <w:t>地址：职位：</w:t>
      </w:r>
    </w:p>
    <w:p>
      <w:pPr>
        <w:pStyle w:val="15"/>
        <w:snapToGrid w:val="0"/>
        <w:spacing w:line="420" w:lineRule="auto"/>
        <w:ind w:firstLine="0"/>
        <w:jc w:val="left"/>
        <w:textAlignment w:val="baseline"/>
        <w:rPr>
          <w:rFonts w:ascii="宋体" w:cs="宋体"/>
        </w:rPr>
      </w:pPr>
      <w:r>
        <w:rPr>
          <w:rFonts w:hint="eastAsia" w:ascii="宋体" w:hAnsi="宋体" w:cs="宋体"/>
        </w:rPr>
        <w:t>邮编：电话：</w:t>
      </w:r>
    </w:p>
    <w:p>
      <w:pPr>
        <w:pStyle w:val="15"/>
        <w:snapToGrid w:val="0"/>
        <w:spacing w:line="420" w:lineRule="auto"/>
        <w:ind w:firstLine="0"/>
        <w:jc w:val="left"/>
        <w:textAlignment w:val="baseline"/>
        <w:rPr>
          <w:rFonts w:ascii="宋体" w:cs="宋体"/>
        </w:rPr>
      </w:pPr>
    </w:p>
    <w:p>
      <w:pPr>
        <w:pStyle w:val="15"/>
        <w:snapToGrid w:val="0"/>
        <w:spacing w:line="420" w:lineRule="auto"/>
        <w:ind w:firstLine="2520" w:firstLineChars="1200"/>
        <w:jc w:val="left"/>
        <w:textAlignment w:val="baseline"/>
        <w:rPr>
          <w:rFonts w:ascii="宋体"/>
        </w:rPr>
      </w:pPr>
    </w:p>
    <w:p>
      <w:pPr>
        <w:pStyle w:val="15"/>
        <w:snapToGrid w:val="0"/>
        <w:spacing w:line="420" w:lineRule="auto"/>
        <w:ind w:firstLine="2520" w:firstLineChars="1200"/>
        <w:jc w:val="left"/>
        <w:textAlignment w:val="baseline"/>
        <w:rPr>
          <w:rFonts w:ascii="宋体"/>
        </w:rPr>
      </w:pPr>
    </w:p>
    <w:p>
      <w:pPr>
        <w:pStyle w:val="15"/>
        <w:snapToGrid w:val="0"/>
        <w:spacing w:line="420" w:lineRule="auto"/>
        <w:ind w:firstLine="2520" w:firstLineChars="1200"/>
        <w:jc w:val="left"/>
        <w:textAlignment w:val="baseline"/>
        <w:rPr>
          <w:rFonts w:ascii="宋体"/>
        </w:rPr>
      </w:pPr>
    </w:p>
    <w:p>
      <w:pPr>
        <w:pStyle w:val="15"/>
        <w:snapToGrid w:val="0"/>
        <w:spacing w:line="420" w:lineRule="auto"/>
        <w:ind w:firstLine="2520" w:firstLineChars="1200"/>
        <w:jc w:val="left"/>
        <w:textAlignment w:val="baseline"/>
        <w:rPr>
          <w:rFonts w:ascii="宋体"/>
        </w:rPr>
      </w:pPr>
    </w:p>
    <w:p>
      <w:pPr>
        <w:pStyle w:val="15"/>
        <w:snapToGrid w:val="0"/>
        <w:spacing w:line="420" w:lineRule="auto"/>
        <w:ind w:firstLine="2520" w:firstLineChars="1200"/>
        <w:jc w:val="left"/>
        <w:textAlignment w:val="baseline"/>
        <w:rPr>
          <w:rFonts w:ascii="宋体"/>
        </w:rPr>
      </w:pPr>
    </w:p>
    <w:p>
      <w:pPr>
        <w:pStyle w:val="15"/>
        <w:snapToGrid w:val="0"/>
        <w:spacing w:line="420" w:lineRule="auto"/>
        <w:ind w:firstLine="4830" w:firstLineChars="2300"/>
        <w:textAlignment w:val="baseline"/>
        <w:rPr>
          <w:rFonts w:ascii="宋体"/>
        </w:rPr>
      </w:pPr>
      <w:r>
        <w:rPr>
          <w:rFonts w:hint="eastAsia" w:ascii="宋体" w:hAnsi="宋体" w:cs="宋体"/>
        </w:rPr>
        <w:t>年月日</w:t>
      </w:r>
    </w:p>
    <w:p>
      <w:pPr>
        <w:snapToGrid w:val="0"/>
        <w:spacing w:line="420" w:lineRule="auto"/>
        <w:textAlignment w:val="baseline"/>
        <w:rPr>
          <w:rFonts w:ascii="宋体"/>
          <w:sz w:val="20"/>
        </w:rPr>
      </w:pPr>
    </w:p>
    <w:p>
      <w:r>
        <w:br w:type="page"/>
      </w:r>
    </w:p>
    <w:p>
      <w:pPr>
        <w:pStyle w:val="8"/>
        <w:numPr>
          <w:ilvl w:val="2"/>
          <w:numId w:val="5"/>
        </w:numPr>
        <w:snapToGrid w:val="0"/>
        <w:jc w:val="center"/>
        <w:rPr>
          <w:rFonts w:ascii="宋体" w:hAnsi="宋体" w:eastAsia="宋体"/>
          <w:b/>
          <w:bCs/>
          <w:spacing w:val="10"/>
          <w:sz w:val="36"/>
          <w:szCs w:val="36"/>
        </w:rPr>
      </w:pPr>
      <w:bookmarkStart w:id="242" w:name="_Toc49935957"/>
      <w:bookmarkStart w:id="243" w:name="_Toc531870505"/>
      <w:bookmarkStart w:id="244" w:name="_Toc4144"/>
      <w:bookmarkStart w:id="245" w:name="_Toc109313728"/>
      <w:bookmarkStart w:id="246" w:name="_Toc74732293"/>
      <w:bookmarkStart w:id="247" w:name="_Toc74732350"/>
      <w:bookmarkStart w:id="248" w:name="_Toc49935843"/>
      <w:r>
        <w:rPr>
          <w:rFonts w:hint="eastAsia" w:ascii="宋体" w:hAnsi="宋体" w:eastAsia="宋体" w:cs="宋体"/>
          <w:b/>
          <w:bCs/>
          <w:lang w:val="en-US" w:eastAsia="zh-CN"/>
        </w:rPr>
        <w:t>3</w:t>
      </w:r>
      <w:r>
        <w:rPr>
          <w:rFonts w:hint="eastAsia" w:ascii="宋体" w:hAnsi="宋体" w:eastAsia="宋体" w:cs="宋体"/>
          <w:b/>
          <w:bCs/>
        </w:rPr>
        <w:t>、近三年无违法违纪、无不良记录承诺书</w:t>
      </w:r>
      <w:bookmarkEnd w:id="242"/>
      <w:bookmarkEnd w:id="243"/>
      <w:bookmarkEnd w:id="244"/>
      <w:bookmarkEnd w:id="245"/>
      <w:bookmarkEnd w:id="246"/>
      <w:bookmarkEnd w:id="247"/>
      <w:bookmarkEnd w:id="248"/>
    </w:p>
    <w:p>
      <w:pPr>
        <w:snapToGrid w:val="0"/>
        <w:spacing w:line="360" w:lineRule="auto"/>
        <w:textAlignment w:val="baseline"/>
        <w:rPr>
          <w:rFonts w:ascii="宋体"/>
          <w:sz w:val="20"/>
        </w:rPr>
      </w:pPr>
    </w:p>
    <w:p>
      <w:pPr>
        <w:pStyle w:val="15"/>
        <w:snapToGrid w:val="0"/>
        <w:spacing w:line="360" w:lineRule="auto"/>
        <w:ind w:firstLine="0"/>
        <w:textAlignment w:val="baseline"/>
        <w:rPr>
          <w:rFonts w:ascii="宋体"/>
        </w:rPr>
      </w:pPr>
      <w:r>
        <w:rPr>
          <w:rFonts w:hint="eastAsia" w:ascii="宋体" w:hAnsi="宋体" w:cs="宋体"/>
        </w:rPr>
        <w:t>我公司承诺：</w:t>
      </w:r>
    </w:p>
    <w:p>
      <w:pPr>
        <w:pStyle w:val="15"/>
        <w:snapToGrid w:val="0"/>
        <w:spacing w:line="360" w:lineRule="auto"/>
        <w:ind w:firstLine="0"/>
        <w:textAlignment w:val="baseline"/>
        <w:rPr>
          <w:rFonts w:ascii="宋体"/>
        </w:rPr>
      </w:pPr>
      <w:r>
        <w:rPr>
          <w:rFonts w:hint="eastAsia" w:ascii="宋体" w:hAnsi="宋体" w:cs="宋体"/>
        </w:rPr>
        <w:t>我公司近三年内在中华人民共和国境内无违法违纪、无不良记录、未被列入黑名单、无不良行为事件发生，具有良好的商业信誉和完善的售后服务体系，并能承担招标项目供货能力和服务的企业。</w:t>
      </w:r>
    </w:p>
    <w:p>
      <w:pPr>
        <w:pStyle w:val="15"/>
        <w:snapToGrid w:val="0"/>
        <w:spacing w:line="360" w:lineRule="auto"/>
        <w:ind w:firstLine="0"/>
        <w:textAlignment w:val="baseline"/>
        <w:rPr>
          <w:rFonts w:ascii="宋体"/>
        </w:rPr>
      </w:pPr>
      <w:r>
        <w:rPr>
          <w:rFonts w:hint="eastAsia" w:ascii="宋体" w:hAnsi="宋体" w:cs="宋体"/>
        </w:rPr>
        <w:t>若我公司承诺不属实，愿取消本项目投标资格，并将承担相关法律责任，接受处理。</w:t>
      </w:r>
    </w:p>
    <w:p>
      <w:pPr>
        <w:snapToGrid w:val="0"/>
        <w:spacing w:line="480" w:lineRule="auto"/>
        <w:textAlignment w:val="baseline"/>
        <w:rPr>
          <w:rFonts w:ascii="宋体"/>
          <w:sz w:val="20"/>
        </w:rPr>
      </w:pPr>
    </w:p>
    <w:p>
      <w:pPr>
        <w:snapToGrid w:val="0"/>
        <w:spacing w:line="360" w:lineRule="auto"/>
        <w:textAlignment w:val="baseline"/>
        <w:rPr>
          <w:rFonts w:ascii="宋体"/>
          <w:sz w:val="24"/>
          <w:szCs w:val="24"/>
        </w:rPr>
      </w:pPr>
    </w:p>
    <w:p>
      <w:pPr>
        <w:snapToGrid w:val="0"/>
        <w:spacing w:line="360" w:lineRule="auto"/>
        <w:textAlignment w:val="baseline"/>
        <w:rPr>
          <w:rFonts w:ascii="宋体"/>
          <w:sz w:val="24"/>
          <w:szCs w:val="24"/>
        </w:rPr>
      </w:pPr>
    </w:p>
    <w:p>
      <w:pPr>
        <w:snapToGrid w:val="0"/>
        <w:spacing w:line="360" w:lineRule="auto"/>
        <w:textAlignment w:val="baseline"/>
        <w:rPr>
          <w:rFonts w:ascii="宋体"/>
          <w:sz w:val="24"/>
          <w:szCs w:val="24"/>
        </w:rPr>
      </w:pPr>
    </w:p>
    <w:p>
      <w:pPr>
        <w:snapToGrid w:val="0"/>
        <w:spacing w:line="620" w:lineRule="exact"/>
        <w:textAlignment w:val="baseline"/>
        <w:rPr>
          <w:rFonts w:ascii="宋体" w:cs="宋体"/>
          <w:sz w:val="20"/>
          <w:u w:val="single"/>
        </w:rPr>
      </w:pPr>
      <w:r>
        <w:rPr>
          <w:rFonts w:hint="eastAsia" w:ascii="宋体" w:hAnsi="宋体" w:cs="宋体"/>
        </w:rPr>
        <w:t>投标人：</w:t>
      </w:r>
      <w:r>
        <w:rPr>
          <w:rFonts w:hint="eastAsia" w:ascii="宋体" w:hAnsi="宋体" w:cs="宋体"/>
          <w:u w:val="single" w:color="000000"/>
        </w:rPr>
        <w:t>（盖电子章）</w:t>
      </w:r>
    </w:p>
    <w:p>
      <w:pPr>
        <w:snapToGrid w:val="0"/>
        <w:spacing w:line="620" w:lineRule="exact"/>
        <w:textAlignment w:val="baseline"/>
        <w:rPr>
          <w:rFonts w:ascii="宋体" w:cs="宋体"/>
          <w:sz w:val="20"/>
          <w:u w:val="single"/>
        </w:rPr>
      </w:pPr>
      <w:r>
        <w:rPr>
          <w:rFonts w:hint="eastAsia" w:ascii="宋体" w:hAnsi="宋体" w:cs="宋体"/>
        </w:rPr>
        <w:t>法定代表人或其委托代理人签字：</w:t>
      </w:r>
      <w:r>
        <w:rPr>
          <w:rFonts w:hint="eastAsia" w:ascii="宋体" w:hAnsi="宋体" w:cs="宋体"/>
          <w:u w:val="single" w:color="000000"/>
        </w:rPr>
        <w:t>（或盖电子章）</w:t>
      </w:r>
    </w:p>
    <w:p>
      <w:pPr>
        <w:pStyle w:val="15"/>
        <w:snapToGrid w:val="0"/>
        <w:spacing w:line="360" w:lineRule="auto"/>
        <w:ind w:firstLine="0"/>
        <w:textAlignment w:val="baseline"/>
        <w:rPr>
          <w:rFonts w:ascii="宋体"/>
        </w:rPr>
      </w:pPr>
      <w:r>
        <w:rPr>
          <w:rFonts w:hint="eastAsia" w:ascii="宋体" w:hAnsi="宋体" w:cs="宋体"/>
        </w:rPr>
        <w:t>日期：</w:t>
      </w:r>
      <w:r>
        <w:rPr>
          <w:rFonts w:ascii="宋体"/>
          <w:u w:val="single" w:color="000000"/>
        </w:rPr>
        <w:tab/>
      </w:r>
      <w:r>
        <w:rPr>
          <w:rFonts w:hint="eastAsia" w:ascii="宋体" w:hAnsi="宋体" w:cs="宋体"/>
        </w:rPr>
        <w:t>年</w:t>
      </w:r>
      <w:r>
        <w:rPr>
          <w:rFonts w:ascii="宋体"/>
          <w:u w:val="single" w:color="000000"/>
        </w:rPr>
        <w:tab/>
      </w:r>
      <w:r>
        <w:rPr>
          <w:rFonts w:hint="eastAsia" w:ascii="宋体" w:hAnsi="宋体" w:cs="宋体"/>
        </w:rPr>
        <w:t>月</w:t>
      </w:r>
      <w:r>
        <w:rPr>
          <w:rFonts w:ascii="宋体"/>
          <w:u w:val="single" w:color="000000"/>
        </w:rPr>
        <w:tab/>
      </w:r>
      <w:r>
        <w:rPr>
          <w:rFonts w:hint="eastAsia" w:ascii="宋体" w:hAnsi="宋体" w:cs="宋体"/>
        </w:rPr>
        <w:t>日</w:t>
      </w:r>
    </w:p>
    <w:p>
      <w:pPr>
        <w:snapToGrid w:val="0"/>
        <w:spacing w:line="360" w:lineRule="auto"/>
        <w:ind w:firstLine="555"/>
        <w:jc w:val="right"/>
        <w:textAlignment w:val="baseline"/>
        <w:rPr>
          <w:rFonts w:ascii="宋体"/>
          <w:sz w:val="24"/>
          <w:szCs w:val="24"/>
        </w:rPr>
      </w:pPr>
    </w:p>
    <w:p>
      <w:pPr>
        <w:snapToGrid w:val="0"/>
        <w:spacing w:line="360" w:lineRule="auto"/>
        <w:ind w:firstLine="555"/>
        <w:jc w:val="right"/>
        <w:textAlignment w:val="baseline"/>
        <w:rPr>
          <w:rFonts w:ascii="宋体"/>
          <w:sz w:val="24"/>
          <w:szCs w:val="24"/>
        </w:rPr>
      </w:pPr>
    </w:p>
    <w:p>
      <w:pPr>
        <w:snapToGrid w:val="0"/>
        <w:spacing w:line="360" w:lineRule="auto"/>
        <w:ind w:firstLine="555"/>
        <w:jc w:val="right"/>
        <w:textAlignment w:val="baseline"/>
        <w:rPr>
          <w:rFonts w:ascii="宋体"/>
          <w:sz w:val="24"/>
          <w:szCs w:val="24"/>
        </w:rPr>
      </w:pPr>
    </w:p>
    <w:p>
      <w:pPr>
        <w:snapToGrid w:val="0"/>
        <w:spacing w:line="360" w:lineRule="auto"/>
        <w:ind w:firstLine="555"/>
        <w:jc w:val="right"/>
        <w:textAlignment w:val="baseline"/>
        <w:rPr>
          <w:rFonts w:ascii="宋体"/>
          <w:sz w:val="24"/>
          <w:szCs w:val="24"/>
        </w:rPr>
      </w:pPr>
    </w:p>
    <w:p>
      <w:pPr>
        <w:snapToGrid w:val="0"/>
        <w:spacing w:line="360" w:lineRule="auto"/>
        <w:ind w:firstLine="555"/>
        <w:jc w:val="right"/>
        <w:textAlignment w:val="baseline"/>
        <w:rPr>
          <w:rFonts w:ascii="宋体"/>
          <w:sz w:val="24"/>
          <w:szCs w:val="24"/>
        </w:rPr>
      </w:pPr>
    </w:p>
    <w:p>
      <w:pPr>
        <w:snapToGrid w:val="0"/>
        <w:spacing w:line="360" w:lineRule="auto"/>
        <w:ind w:firstLine="555"/>
        <w:jc w:val="right"/>
        <w:textAlignment w:val="baseline"/>
        <w:rPr>
          <w:rFonts w:ascii="宋体"/>
          <w:sz w:val="24"/>
          <w:szCs w:val="24"/>
        </w:rPr>
      </w:pPr>
    </w:p>
    <w:p>
      <w:pPr>
        <w:snapToGrid w:val="0"/>
        <w:spacing w:line="360" w:lineRule="auto"/>
        <w:ind w:firstLine="555"/>
        <w:jc w:val="right"/>
        <w:textAlignment w:val="baseline"/>
        <w:rPr>
          <w:rFonts w:ascii="宋体"/>
          <w:sz w:val="24"/>
          <w:szCs w:val="24"/>
        </w:rPr>
      </w:pPr>
    </w:p>
    <w:p>
      <w:pPr>
        <w:snapToGrid w:val="0"/>
        <w:spacing w:line="360" w:lineRule="auto"/>
        <w:ind w:firstLine="555"/>
        <w:jc w:val="right"/>
        <w:textAlignment w:val="baseline"/>
        <w:rPr>
          <w:rFonts w:ascii="宋体"/>
          <w:sz w:val="24"/>
          <w:szCs w:val="24"/>
        </w:rPr>
      </w:pPr>
    </w:p>
    <w:p>
      <w:pPr>
        <w:snapToGrid w:val="0"/>
        <w:spacing w:line="360" w:lineRule="auto"/>
        <w:ind w:firstLine="555"/>
        <w:jc w:val="right"/>
        <w:textAlignment w:val="baseline"/>
        <w:rPr>
          <w:rFonts w:ascii="宋体"/>
          <w:sz w:val="24"/>
          <w:szCs w:val="24"/>
        </w:rPr>
      </w:pPr>
    </w:p>
    <w:p>
      <w:pPr>
        <w:snapToGrid w:val="0"/>
        <w:spacing w:line="360" w:lineRule="auto"/>
        <w:ind w:firstLine="555"/>
        <w:jc w:val="right"/>
        <w:textAlignment w:val="baseline"/>
        <w:rPr>
          <w:rFonts w:ascii="宋体"/>
          <w:sz w:val="24"/>
          <w:szCs w:val="24"/>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widowControl/>
        <w:snapToGrid w:val="0"/>
        <w:jc w:val="left"/>
        <w:textAlignment w:val="baseline"/>
        <w:rPr>
          <w:rFonts w:ascii="宋体"/>
          <w:sz w:val="20"/>
        </w:rPr>
      </w:pPr>
      <w:r>
        <w:rPr>
          <w:rFonts w:ascii="宋体"/>
        </w:rPr>
        <w:br w:type="page"/>
      </w:r>
    </w:p>
    <w:p>
      <w:pPr>
        <w:widowControl/>
        <w:snapToGrid w:val="0"/>
        <w:jc w:val="left"/>
        <w:textAlignment w:val="baseline"/>
        <w:rPr>
          <w:rFonts w:ascii="宋体"/>
          <w:sz w:val="20"/>
        </w:rPr>
      </w:pPr>
    </w:p>
    <w:p>
      <w:pPr>
        <w:snapToGrid w:val="0"/>
        <w:spacing w:line="360" w:lineRule="auto"/>
        <w:ind w:left="839"/>
        <w:jc w:val="left"/>
        <w:textAlignment w:val="baseline"/>
        <w:rPr>
          <w:rFonts w:ascii="宋体"/>
          <w:sz w:val="20"/>
        </w:rPr>
      </w:pPr>
    </w:p>
    <w:p>
      <w:pPr>
        <w:pStyle w:val="8"/>
        <w:numPr>
          <w:ilvl w:val="2"/>
          <w:numId w:val="5"/>
        </w:numPr>
        <w:snapToGrid w:val="0"/>
        <w:jc w:val="center"/>
        <w:rPr>
          <w:rFonts w:ascii="宋体" w:hAnsi="宋体" w:eastAsia="宋体"/>
          <w:b/>
          <w:bCs/>
        </w:rPr>
      </w:pPr>
      <w:bookmarkStart w:id="249" w:name="_Toc74732351"/>
      <w:bookmarkStart w:id="250" w:name="_Toc49935958"/>
      <w:bookmarkStart w:id="251" w:name="_Toc531870506"/>
      <w:bookmarkStart w:id="252" w:name="_Toc74732294"/>
      <w:bookmarkStart w:id="253" w:name="_Toc4100"/>
      <w:bookmarkStart w:id="254" w:name="_Toc109313729"/>
      <w:bookmarkStart w:id="255" w:name="_Toc49935844"/>
      <w:r>
        <w:rPr>
          <w:rFonts w:hint="eastAsia" w:ascii="宋体" w:hAnsi="宋体" w:eastAsia="宋体" w:cs="宋体"/>
          <w:b/>
          <w:bCs/>
          <w:lang w:val="en-US" w:eastAsia="zh-CN"/>
        </w:rPr>
        <w:t>4</w:t>
      </w:r>
      <w:r>
        <w:rPr>
          <w:rFonts w:hint="eastAsia" w:ascii="宋体" w:hAnsi="宋体" w:eastAsia="宋体" w:cs="宋体"/>
          <w:b/>
          <w:bCs/>
        </w:rPr>
        <w:t>、信用记录查询结果告知函</w:t>
      </w:r>
      <w:bookmarkEnd w:id="249"/>
      <w:bookmarkEnd w:id="250"/>
      <w:bookmarkEnd w:id="251"/>
      <w:bookmarkEnd w:id="252"/>
      <w:bookmarkEnd w:id="253"/>
      <w:bookmarkEnd w:id="254"/>
      <w:bookmarkEnd w:id="255"/>
    </w:p>
    <w:p>
      <w:pPr>
        <w:pStyle w:val="15"/>
        <w:snapToGrid w:val="0"/>
        <w:spacing w:line="360" w:lineRule="auto"/>
        <w:ind w:firstLine="0"/>
        <w:textAlignment w:val="baseline"/>
        <w:rPr>
          <w:rFonts w:ascii="宋体"/>
        </w:rPr>
      </w:pPr>
      <w:r>
        <w:rPr>
          <w:rFonts w:hint="eastAsia" w:ascii="宋体" w:hAnsi="宋体" w:cs="宋体"/>
        </w:rPr>
        <w:t>致：（招标人）</w:t>
      </w:r>
    </w:p>
    <w:p>
      <w:pPr>
        <w:pStyle w:val="15"/>
        <w:snapToGrid w:val="0"/>
        <w:spacing w:line="360" w:lineRule="auto"/>
        <w:ind w:firstLine="0"/>
        <w:textAlignment w:val="baseline"/>
        <w:rPr>
          <w:rFonts w:ascii="宋体" w:hAnsi="宋体" w:cs="宋体"/>
        </w:rPr>
      </w:pPr>
      <w:r>
        <w:rPr>
          <w:rFonts w:hint="eastAsia" w:ascii="宋体" w:hAnsi="宋体" w:cs="宋体"/>
        </w:rPr>
        <w:t>（招标代理机构）</w:t>
      </w:r>
    </w:p>
    <w:p>
      <w:pPr>
        <w:pStyle w:val="15"/>
        <w:snapToGrid w:val="0"/>
        <w:spacing w:line="360" w:lineRule="auto"/>
        <w:ind w:firstLine="0"/>
        <w:textAlignment w:val="baseline"/>
        <w:rPr>
          <w:rFonts w:ascii="宋体" w:hAnsi="宋体" w:cs="宋体"/>
        </w:rPr>
      </w:pPr>
      <w:r>
        <w:rPr>
          <w:rFonts w:hint="eastAsia" w:ascii="宋体" w:hAnsi="宋体" w:cs="宋体"/>
        </w:rPr>
        <w:t>根据本项目（项目名称及招标编号）招标文件的要求，发布公告之后</w:t>
      </w:r>
      <w:r>
        <w:rPr>
          <w:rFonts w:ascii="宋体" w:hAnsi="宋体" w:cs="宋体"/>
        </w:rPr>
        <w:t>,</w:t>
      </w:r>
      <w:r>
        <w:rPr>
          <w:rFonts w:hint="eastAsia" w:ascii="宋体" w:hAnsi="宋体" w:cs="宋体"/>
        </w:rPr>
        <w:t>通过“信用中国”、“中国执行信息公开网” 查询，我公司未列入“重大税收违法失信主体”和“失信被执行人”。特此告知</w:t>
      </w:r>
      <w:r>
        <w:rPr>
          <w:rFonts w:ascii="宋体" w:hAnsi="宋体" w:cs="宋体"/>
        </w:rPr>
        <w:t xml:space="preserve">.     </w:t>
      </w:r>
    </w:p>
    <w:p>
      <w:pPr>
        <w:pStyle w:val="15"/>
        <w:snapToGrid w:val="0"/>
        <w:spacing w:line="360" w:lineRule="auto"/>
        <w:ind w:firstLine="0"/>
        <w:textAlignment w:val="baseline"/>
        <w:rPr>
          <w:rFonts w:ascii="宋体" w:hAnsi="宋体" w:cs="宋体"/>
        </w:rPr>
      </w:pPr>
      <w:r>
        <w:rPr>
          <w:rFonts w:hint="eastAsia" w:ascii="宋体" w:hAnsi="宋体" w:cs="宋体"/>
        </w:rPr>
        <w:t>告知函需附查询页面截图。</w:t>
      </w:r>
    </w:p>
    <w:p>
      <w:pPr>
        <w:pStyle w:val="15"/>
        <w:snapToGrid w:val="0"/>
        <w:spacing w:line="360" w:lineRule="auto"/>
        <w:ind w:firstLine="0"/>
        <w:textAlignment w:val="baseline"/>
        <w:rPr>
          <w:rFonts w:ascii="宋体" w:hAnsi="宋体" w:cs="宋体"/>
        </w:rPr>
      </w:pPr>
      <w:r>
        <w:rPr>
          <w:rFonts w:hint="eastAsia" w:ascii="宋体" w:hAnsi="宋体" w:cs="宋体"/>
        </w:rPr>
        <w:t>我公司承诺以上内容属实，如若不实则承担因我方就此弄虚作假所引起的一切法律后果。</w:t>
      </w:r>
    </w:p>
    <w:p>
      <w:pPr>
        <w:snapToGrid w:val="0"/>
        <w:spacing w:line="620" w:lineRule="exact"/>
        <w:textAlignment w:val="baseline"/>
        <w:rPr>
          <w:rFonts w:ascii="宋体" w:cs="宋体"/>
          <w:sz w:val="20"/>
          <w:u w:val="single"/>
        </w:rPr>
      </w:pPr>
      <w:r>
        <w:rPr>
          <w:rFonts w:hint="eastAsia" w:ascii="宋体" w:hAnsi="宋体" w:cs="宋体"/>
        </w:rPr>
        <w:t>投标人：</w:t>
      </w:r>
      <w:r>
        <w:rPr>
          <w:rFonts w:hint="eastAsia" w:ascii="宋体" w:hAnsi="宋体" w:cs="宋体"/>
          <w:u w:val="single" w:color="000000"/>
        </w:rPr>
        <w:t>（盖电子章）</w:t>
      </w:r>
    </w:p>
    <w:p>
      <w:pPr>
        <w:snapToGrid w:val="0"/>
        <w:spacing w:line="620" w:lineRule="exact"/>
        <w:textAlignment w:val="baseline"/>
        <w:rPr>
          <w:rFonts w:ascii="宋体" w:cs="宋体"/>
          <w:sz w:val="20"/>
          <w:u w:val="single"/>
        </w:rPr>
      </w:pPr>
      <w:r>
        <w:rPr>
          <w:rFonts w:hint="eastAsia" w:ascii="宋体" w:hAnsi="宋体" w:cs="宋体"/>
        </w:rPr>
        <w:t>法定代表人或其委托代理人签字：</w:t>
      </w:r>
      <w:r>
        <w:rPr>
          <w:rFonts w:hint="eastAsia" w:ascii="宋体" w:hAnsi="宋体" w:cs="宋体"/>
          <w:u w:val="single" w:color="000000"/>
        </w:rPr>
        <w:t>（或盖电子章）</w:t>
      </w:r>
    </w:p>
    <w:p>
      <w:pPr>
        <w:pStyle w:val="15"/>
        <w:snapToGrid w:val="0"/>
        <w:spacing w:line="360" w:lineRule="auto"/>
        <w:ind w:firstLine="0"/>
        <w:textAlignment w:val="baseline"/>
        <w:rPr>
          <w:rFonts w:ascii="宋体"/>
        </w:rPr>
      </w:pPr>
      <w:r>
        <w:rPr>
          <w:rFonts w:hint="eastAsia" w:ascii="宋体" w:hAnsi="宋体" w:cs="宋体"/>
        </w:rPr>
        <w:t>日期：</w:t>
      </w:r>
      <w:r>
        <w:rPr>
          <w:rFonts w:ascii="宋体"/>
          <w:u w:val="single" w:color="000000"/>
        </w:rPr>
        <w:tab/>
      </w:r>
      <w:r>
        <w:rPr>
          <w:rFonts w:hint="eastAsia" w:ascii="宋体" w:hAnsi="宋体" w:cs="宋体"/>
        </w:rPr>
        <w:t>年</w:t>
      </w:r>
      <w:r>
        <w:rPr>
          <w:rFonts w:ascii="宋体"/>
          <w:u w:val="single" w:color="000000"/>
        </w:rPr>
        <w:tab/>
      </w:r>
      <w:r>
        <w:rPr>
          <w:rFonts w:hint="eastAsia" w:ascii="宋体" w:hAnsi="宋体" w:cs="宋体"/>
        </w:rPr>
        <w:t>月</w:t>
      </w:r>
      <w:r>
        <w:rPr>
          <w:rFonts w:ascii="宋体"/>
          <w:u w:val="single" w:color="000000"/>
        </w:rPr>
        <w:tab/>
      </w:r>
      <w:r>
        <w:rPr>
          <w:rFonts w:hint="eastAsia" w:ascii="宋体" w:hAnsi="宋体" w:cs="宋体"/>
        </w:rPr>
        <w:t>日</w:t>
      </w: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pStyle w:val="8"/>
        <w:numPr>
          <w:ilvl w:val="2"/>
          <w:numId w:val="5"/>
        </w:numPr>
        <w:snapToGrid w:val="0"/>
        <w:jc w:val="center"/>
        <w:rPr>
          <w:rFonts w:ascii="宋体" w:hAnsi="宋体" w:eastAsia="宋体"/>
          <w:b/>
          <w:bCs/>
        </w:rPr>
      </w:pPr>
      <w:bookmarkStart w:id="256" w:name="_Toc2544"/>
      <w:bookmarkStart w:id="257" w:name="_Toc531870507"/>
      <w:bookmarkStart w:id="258" w:name="_Toc74732352"/>
      <w:bookmarkStart w:id="259" w:name="_Toc49935845"/>
      <w:bookmarkStart w:id="260" w:name="_Toc49935959"/>
      <w:bookmarkStart w:id="261" w:name="_Toc109313730"/>
      <w:bookmarkStart w:id="262" w:name="_Toc74732295"/>
    </w:p>
    <w:p>
      <w:pPr>
        <w:pStyle w:val="8"/>
        <w:numPr>
          <w:ilvl w:val="2"/>
          <w:numId w:val="5"/>
        </w:numPr>
        <w:snapToGrid w:val="0"/>
        <w:jc w:val="center"/>
        <w:rPr>
          <w:rFonts w:ascii="宋体" w:hAnsi="宋体" w:eastAsia="宋体"/>
          <w:b/>
          <w:bCs/>
        </w:rPr>
      </w:pPr>
      <w:r>
        <w:rPr>
          <w:rFonts w:hint="eastAsia" w:ascii="宋体" w:hAnsi="宋体" w:eastAsia="宋体" w:cs="宋体"/>
          <w:b/>
          <w:bCs/>
          <w:lang w:val="en-US" w:eastAsia="zh-CN"/>
        </w:rPr>
        <w:t>5</w:t>
      </w:r>
      <w:r>
        <w:rPr>
          <w:rFonts w:hint="eastAsia" w:ascii="宋体" w:hAnsi="宋体" w:eastAsia="宋体" w:cs="宋体"/>
          <w:b/>
          <w:bCs/>
        </w:rPr>
        <w:t>、投标人反商业贿赂承诺书（固定格式）</w:t>
      </w:r>
      <w:bookmarkEnd w:id="256"/>
      <w:bookmarkEnd w:id="257"/>
      <w:bookmarkEnd w:id="258"/>
      <w:bookmarkEnd w:id="259"/>
      <w:bookmarkEnd w:id="260"/>
      <w:bookmarkEnd w:id="261"/>
      <w:bookmarkEnd w:id="262"/>
    </w:p>
    <w:p>
      <w:pPr>
        <w:snapToGrid w:val="0"/>
        <w:spacing w:line="360" w:lineRule="auto"/>
        <w:textAlignment w:val="baseline"/>
        <w:rPr>
          <w:rFonts w:ascii="宋体"/>
          <w:sz w:val="20"/>
        </w:rPr>
      </w:pPr>
    </w:p>
    <w:p>
      <w:pPr>
        <w:snapToGrid w:val="0"/>
        <w:spacing w:line="360" w:lineRule="auto"/>
        <w:textAlignment w:val="baseline"/>
        <w:rPr>
          <w:rFonts w:ascii="宋体"/>
          <w:sz w:val="20"/>
        </w:rPr>
      </w:pPr>
      <w:bookmarkStart w:id="263" w:name="_Toc49935846"/>
      <w:bookmarkStart w:id="264" w:name="_Toc74732353"/>
      <w:bookmarkStart w:id="265" w:name="_Toc74732296"/>
      <w:bookmarkStart w:id="266" w:name="_Toc49935960"/>
      <w:bookmarkStart w:id="267" w:name="_Toc29133759"/>
      <w:bookmarkStart w:id="268" w:name="_Toc29133669"/>
      <w:bookmarkStart w:id="269" w:name="_Toc5698248"/>
      <w:bookmarkStart w:id="270" w:name="_Toc531870508"/>
      <w:r>
        <w:rPr>
          <w:rFonts w:hint="eastAsia" w:ascii="宋体" w:hAnsi="宋体" w:cs="宋体"/>
        </w:rPr>
        <w:t>我公司承诺：</w:t>
      </w:r>
      <w:bookmarkEnd w:id="263"/>
      <w:bookmarkEnd w:id="264"/>
      <w:bookmarkEnd w:id="265"/>
      <w:bookmarkEnd w:id="266"/>
      <w:bookmarkEnd w:id="267"/>
      <w:bookmarkEnd w:id="268"/>
      <w:bookmarkEnd w:id="269"/>
      <w:bookmarkEnd w:id="270"/>
    </w:p>
    <w:p>
      <w:pPr>
        <w:snapToGrid w:val="0"/>
        <w:spacing w:line="360" w:lineRule="auto"/>
        <w:ind w:firstLine="555"/>
        <w:textAlignment w:val="baseline"/>
        <w:rPr>
          <w:rFonts w:ascii="宋体"/>
          <w:sz w:val="20"/>
        </w:rPr>
      </w:pPr>
      <w:bookmarkStart w:id="271" w:name="_Toc29133760"/>
      <w:bookmarkStart w:id="272" w:name="_Toc49935961"/>
      <w:bookmarkStart w:id="273" w:name="_Toc74732297"/>
      <w:bookmarkStart w:id="274" w:name="_Toc531870509"/>
      <w:bookmarkStart w:id="275" w:name="_Toc29133670"/>
      <w:bookmarkStart w:id="276" w:name="_Toc49935847"/>
      <w:bookmarkStart w:id="277" w:name="_Toc74732354"/>
      <w:bookmarkStart w:id="278" w:name="_Toc5698249"/>
      <w:r>
        <w:rPr>
          <w:rFonts w:hint="eastAsia" w:ascii="宋体" w:hAnsi="宋体" w:cs="宋体"/>
        </w:rPr>
        <w:t>在</w:t>
      </w:r>
      <w:r>
        <w:rPr>
          <w:rFonts w:hint="eastAsia" w:ascii="宋体" w:hAnsi="宋体" w:cs="宋体"/>
          <w:u w:val="single" w:color="000000"/>
        </w:rPr>
        <w:t>（投标项目名称）</w:t>
      </w:r>
      <w:r>
        <w:rPr>
          <w:rFonts w:hint="eastAsia" w:ascii="宋体" w:hAnsi="宋体" w:cs="宋体"/>
        </w:rPr>
        <w:t>招标活动中，我公司保证做到：</w:t>
      </w:r>
      <w:bookmarkEnd w:id="271"/>
      <w:bookmarkEnd w:id="272"/>
      <w:bookmarkEnd w:id="273"/>
      <w:bookmarkEnd w:id="274"/>
      <w:bookmarkEnd w:id="275"/>
      <w:bookmarkEnd w:id="276"/>
      <w:bookmarkEnd w:id="277"/>
      <w:bookmarkEnd w:id="278"/>
    </w:p>
    <w:p>
      <w:pPr>
        <w:snapToGrid w:val="0"/>
        <w:spacing w:line="360" w:lineRule="auto"/>
        <w:ind w:firstLine="555"/>
        <w:textAlignment w:val="baseline"/>
        <w:rPr>
          <w:rFonts w:ascii="宋体"/>
          <w:sz w:val="20"/>
        </w:rPr>
      </w:pPr>
      <w:bookmarkStart w:id="279" w:name="_Toc74732298"/>
      <w:bookmarkStart w:id="280" w:name="_Toc5698250"/>
      <w:bookmarkStart w:id="281" w:name="_Toc49935962"/>
      <w:bookmarkStart w:id="282" w:name="_Toc29133761"/>
      <w:bookmarkStart w:id="283" w:name="_Toc531870510"/>
      <w:bookmarkStart w:id="284" w:name="_Toc29133671"/>
      <w:bookmarkStart w:id="285" w:name="_Toc49935848"/>
      <w:bookmarkStart w:id="286" w:name="_Toc74732355"/>
      <w:r>
        <w:rPr>
          <w:rFonts w:hint="eastAsia" w:ascii="宋体" w:hAnsi="宋体" w:cs="宋体"/>
        </w:rPr>
        <w:t>一、公平竞争参加本次招标活动。</w:t>
      </w:r>
      <w:bookmarkEnd w:id="279"/>
      <w:bookmarkEnd w:id="280"/>
      <w:bookmarkEnd w:id="281"/>
      <w:bookmarkEnd w:id="282"/>
      <w:bookmarkEnd w:id="283"/>
      <w:bookmarkEnd w:id="284"/>
      <w:bookmarkEnd w:id="285"/>
      <w:bookmarkEnd w:id="286"/>
    </w:p>
    <w:p>
      <w:pPr>
        <w:snapToGrid w:val="0"/>
        <w:spacing w:line="360" w:lineRule="auto"/>
        <w:ind w:firstLine="555"/>
        <w:textAlignment w:val="baseline"/>
        <w:rPr>
          <w:rFonts w:ascii="宋体"/>
          <w:sz w:val="20"/>
        </w:rPr>
      </w:pPr>
      <w:bookmarkStart w:id="287" w:name="_Toc49935963"/>
      <w:bookmarkStart w:id="288" w:name="_Toc74732356"/>
      <w:bookmarkStart w:id="289" w:name="_Toc5698251"/>
      <w:bookmarkStart w:id="290" w:name="_Toc29133762"/>
      <w:bookmarkStart w:id="291" w:name="_Toc74732299"/>
      <w:bookmarkStart w:id="292" w:name="_Toc531870511"/>
      <w:bookmarkStart w:id="293" w:name="_Toc49935849"/>
      <w:bookmarkStart w:id="294" w:name="_Toc29133672"/>
      <w:r>
        <w:rPr>
          <w:rFonts w:hint="eastAsia" w:ascii="宋体" w:hAnsi="宋体" w:cs="宋体"/>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bookmarkEnd w:id="287"/>
      <w:bookmarkEnd w:id="288"/>
      <w:bookmarkEnd w:id="289"/>
      <w:bookmarkEnd w:id="290"/>
      <w:bookmarkEnd w:id="291"/>
      <w:bookmarkEnd w:id="292"/>
      <w:bookmarkEnd w:id="293"/>
      <w:bookmarkEnd w:id="294"/>
    </w:p>
    <w:p>
      <w:pPr>
        <w:snapToGrid w:val="0"/>
        <w:spacing w:line="360" w:lineRule="auto"/>
        <w:ind w:firstLine="555"/>
        <w:textAlignment w:val="baseline"/>
        <w:rPr>
          <w:rFonts w:ascii="宋体"/>
          <w:sz w:val="20"/>
        </w:rPr>
      </w:pPr>
      <w:bookmarkStart w:id="295" w:name="_Toc29133673"/>
      <w:bookmarkStart w:id="296" w:name="_Toc29133763"/>
      <w:bookmarkStart w:id="297" w:name="_Toc74732357"/>
      <w:bookmarkStart w:id="298" w:name="_Toc531870512"/>
      <w:bookmarkStart w:id="299" w:name="_Toc49935964"/>
      <w:bookmarkStart w:id="300" w:name="_Toc5698252"/>
      <w:bookmarkStart w:id="301" w:name="_Toc49935850"/>
      <w:bookmarkStart w:id="302" w:name="_Toc74732300"/>
      <w:r>
        <w:rPr>
          <w:rFonts w:hint="eastAsia" w:ascii="宋体" w:hAnsi="宋体" w:cs="宋体"/>
        </w:rPr>
        <w:t>三、若出现上述行为，我公司及参与投标的工作人员愿意接受按照国家法律法规等有关规定给予的处罚。</w:t>
      </w:r>
      <w:bookmarkEnd w:id="295"/>
      <w:bookmarkEnd w:id="296"/>
      <w:bookmarkEnd w:id="297"/>
      <w:bookmarkEnd w:id="298"/>
      <w:bookmarkEnd w:id="299"/>
      <w:bookmarkEnd w:id="300"/>
      <w:bookmarkEnd w:id="301"/>
      <w:bookmarkEnd w:id="302"/>
    </w:p>
    <w:p>
      <w:pPr>
        <w:snapToGrid w:val="0"/>
        <w:spacing w:line="360" w:lineRule="auto"/>
        <w:ind w:firstLine="555"/>
        <w:textAlignment w:val="baseline"/>
        <w:rPr>
          <w:rFonts w:ascii="宋体"/>
          <w:sz w:val="20"/>
        </w:rPr>
      </w:pPr>
    </w:p>
    <w:p>
      <w:pPr>
        <w:snapToGrid w:val="0"/>
        <w:spacing w:line="620" w:lineRule="exact"/>
        <w:textAlignment w:val="baseline"/>
        <w:rPr>
          <w:rFonts w:ascii="宋体" w:cs="宋体"/>
          <w:sz w:val="20"/>
          <w:u w:val="single"/>
        </w:rPr>
      </w:pPr>
      <w:r>
        <w:rPr>
          <w:rFonts w:hint="eastAsia" w:ascii="宋体" w:hAnsi="宋体" w:cs="宋体"/>
        </w:rPr>
        <w:t>投标人：</w:t>
      </w:r>
      <w:r>
        <w:rPr>
          <w:rFonts w:hint="eastAsia" w:ascii="宋体" w:hAnsi="宋体" w:cs="宋体"/>
          <w:u w:val="single" w:color="000000"/>
        </w:rPr>
        <w:t>（盖电子章）</w:t>
      </w:r>
    </w:p>
    <w:p>
      <w:pPr>
        <w:snapToGrid w:val="0"/>
        <w:spacing w:line="620" w:lineRule="exact"/>
        <w:textAlignment w:val="baseline"/>
        <w:rPr>
          <w:rFonts w:ascii="宋体" w:cs="宋体"/>
          <w:sz w:val="20"/>
          <w:u w:val="single"/>
        </w:rPr>
      </w:pPr>
      <w:r>
        <w:rPr>
          <w:rFonts w:hint="eastAsia" w:ascii="宋体" w:hAnsi="宋体" w:cs="宋体"/>
        </w:rPr>
        <w:t>法定代表人或其委托代理人签字：</w:t>
      </w:r>
      <w:r>
        <w:rPr>
          <w:rFonts w:hint="eastAsia" w:ascii="宋体" w:hAnsi="宋体" w:cs="宋体"/>
          <w:u w:val="single" w:color="000000"/>
        </w:rPr>
        <w:t>（或盖电子章）</w:t>
      </w:r>
    </w:p>
    <w:p>
      <w:pPr>
        <w:snapToGrid w:val="0"/>
        <w:spacing w:line="360" w:lineRule="auto"/>
        <w:jc w:val="left"/>
        <w:textAlignment w:val="baseline"/>
        <w:rPr>
          <w:rFonts w:ascii="宋体"/>
          <w:sz w:val="20"/>
        </w:rPr>
      </w:pPr>
      <w:bookmarkStart w:id="303" w:name="_Toc29133764"/>
      <w:bookmarkStart w:id="304" w:name="_Toc49935965"/>
      <w:bookmarkStart w:id="305" w:name="_Toc29133674"/>
      <w:bookmarkStart w:id="306" w:name="_Toc74732358"/>
      <w:bookmarkStart w:id="307" w:name="_Toc5698253"/>
      <w:bookmarkStart w:id="308" w:name="_Toc74732301"/>
      <w:bookmarkStart w:id="309" w:name="_Toc49935851"/>
      <w:r>
        <w:rPr>
          <w:rFonts w:hint="eastAsia" w:ascii="宋体" w:hAnsi="宋体" w:cs="宋体"/>
        </w:rPr>
        <w:t>日期：</w:t>
      </w:r>
      <w:r>
        <w:rPr>
          <w:rFonts w:ascii="宋体"/>
          <w:u w:val="single" w:color="000000"/>
        </w:rPr>
        <w:tab/>
      </w:r>
      <w:r>
        <w:rPr>
          <w:rFonts w:hint="eastAsia" w:ascii="宋体" w:hAnsi="宋体" w:cs="宋体"/>
        </w:rPr>
        <w:t>年</w:t>
      </w:r>
      <w:r>
        <w:rPr>
          <w:rFonts w:ascii="宋体"/>
          <w:u w:val="single" w:color="000000"/>
        </w:rPr>
        <w:tab/>
      </w:r>
      <w:r>
        <w:rPr>
          <w:rFonts w:hint="eastAsia" w:ascii="宋体" w:hAnsi="宋体" w:cs="宋体"/>
        </w:rPr>
        <w:t>月</w:t>
      </w:r>
      <w:r>
        <w:rPr>
          <w:rFonts w:ascii="宋体"/>
          <w:u w:val="single" w:color="000000"/>
        </w:rPr>
        <w:tab/>
      </w:r>
      <w:r>
        <w:rPr>
          <w:rFonts w:hint="eastAsia" w:ascii="宋体" w:hAnsi="宋体" w:cs="宋体"/>
        </w:rPr>
        <w:t>日</w:t>
      </w:r>
      <w:bookmarkEnd w:id="303"/>
      <w:bookmarkEnd w:id="304"/>
      <w:bookmarkEnd w:id="305"/>
      <w:bookmarkEnd w:id="306"/>
      <w:bookmarkEnd w:id="307"/>
      <w:bookmarkEnd w:id="308"/>
      <w:bookmarkEnd w:id="309"/>
    </w:p>
    <w:p>
      <w:pPr>
        <w:snapToGrid w:val="0"/>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snapToGrid w:val="0"/>
        <w:spacing w:line="360" w:lineRule="auto"/>
        <w:ind w:left="839"/>
        <w:jc w:val="left"/>
        <w:textAlignment w:val="baseline"/>
        <w:rPr>
          <w:rFonts w:ascii="宋体"/>
          <w:sz w:val="20"/>
        </w:rPr>
      </w:pPr>
    </w:p>
    <w:p>
      <w:pPr>
        <w:pStyle w:val="8"/>
        <w:numPr>
          <w:ilvl w:val="2"/>
          <w:numId w:val="5"/>
        </w:numPr>
        <w:snapToGrid w:val="0"/>
        <w:spacing w:line="360" w:lineRule="auto"/>
        <w:jc w:val="left"/>
        <w:rPr>
          <w:rFonts w:ascii="宋体" w:hAnsi="宋体" w:eastAsia="宋体" w:cs="宋体"/>
          <w:b/>
          <w:bCs/>
        </w:rPr>
      </w:pPr>
      <w:bookmarkStart w:id="310" w:name="_Toc49935966"/>
      <w:bookmarkStart w:id="311" w:name="_Toc26470"/>
      <w:bookmarkStart w:id="312" w:name="_Toc29133765"/>
      <w:bookmarkStart w:id="313" w:name="_Toc109313731"/>
      <w:bookmarkStart w:id="314" w:name="_Toc74732302"/>
      <w:bookmarkStart w:id="315" w:name="_Toc531870517"/>
      <w:bookmarkStart w:id="316" w:name="_Toc49935852"/>
      <w:bookmarkStart w:id="317" w:name="_Toc74732359"/>
      <w:r>
        <w:rPr>
          <w:rFonts w:hint="eastAsia" w:ascii="宋体" w:hAnsi="宋体" w:eastAsia="宋体" w:cs="宋体"/>
          <w:b/>
          <w:bCs/>
          <w:lang w:val="en-US" w:eastAsia="zh-CN"/>
        </w:rPr>
        <w:t>6</w:t>
      </w:r>
      <w:r>
        <w:rPr>
          <w:rFonts w:hint="eastAsia" w:ascii="宋体" w:hAnsi="宋体" w:eastAsia="宋体" w:cs="宋体"/>
          <w:b/>
          <w:bCs/>
        </w:rPr>
        <w:t>、纳税凭证及社保证明</w:t>
      </w:r>
      <w:bookmarkEnd w:id="310"/>
      <w:bookmarkEnd w:id="311"/>
      <w:bookmarkEnd w:id="312"/>
      <w:bookmarkEnd w:id="313"/>
      <w:bookmarkEnd w:id="314"/>
      <w:bookmarkEnd w:id="315"/>
      <w:bookmarkEnd w:id="316"/>
      <w:bookmarkEnd w:id="317"/>
    </w:p>
    <w:p>
      <w:pPr>
        <w:numPr>
          <w:ilvl w:val="2"/>
          <w:numId w:val="5"/>
        </w:numPr>
        <w:snapToGrid w:val="0"/>
        <w:spacing w:line="360" w:lineRule="auto"/>
        <w:jc w:val="left"/>
        <w:outlineLvl w:val="9"/>
        <w:rPr>
          <w:rFonts w:ascii="宋体" w:hAnsi="宋体" w:eastAsia="宋体" w:cs="宋体"/>
          <w:b/>
          <w:bCs/>
        </w:rPr>
      </w:pPr>
      <w:bookmarkStart w:id="318" w:name="_Toc74732360"/>
      <w:bookmarkStart w:id="319" w:name="_Toc531870518"/>
      <w:bookmarkStart w:id="320" w:name="_Toc49935967"/>
      <w:bookmarkStart w:id="321" w:name="_Toc74732303"/>
      <w:bookmarkStart w:id="322" w:name="_Toc49935853"/>
      <w:bookmarkStart w:id="323" w:name="_Toc109313732"/>
      <w:r>
        <w:rPr>
          <w:rFonts w:hint="eastAsia" w:ascii="宋体" w:hAnsi="宋体" w:eastAsia="宋体" w:cs="宋体"/>
          <w:b/>
          <w:bCs/>
        </w:rPr>
        <w:t>（提供2021年</w:t>
      </w:r>
      <w:r>
        <w:rPr>
          <w:rFonts w:hint="eastAsia" w:ascii="宋体" w:hAnsi="宋体" w:eastAsia="宋体" w:cs="宋体"/>
          <w:b/>
          <w:bCs/>
          <w:lang w:val="en-US" w:eastAsia="zh-CN"/>
        </w:rPr>
        <w:t>11</w:t>
      </w:r>
      <w:r>
        <w:rPr>
          <w:rFonts w:hint="eastAsia" w:ascii="宋体" w:hAnsi="宋体" w:eastAsia="宋体" w:cs="宋体"/>
          <w:b/>
          <w:bCs/>
        </w:rPr>
        <w:t>月以来任意3个月纳税和社保证明材料&lt;依法免税企业，应提供相关证明文件&gt;</w:t>
      </w:r>
      <w:r>
        <w:rPr>
          <w:rFonts w:ascii="宋体" w:hAnsi="宋体" w:eastAsia="宋体" w:cs="宋体"/>
          <w:b/>
          <w:bCs/>
        </w:rPr>
        <w:t>）</w:t>
      </w:r>
      <w:bookmarkEnd w:id="318"/>
      <w:bookmarkEnd w:id="319"/>
      <w:bookmarkEnd w:id="320"/>
      <w:bookmarkEnd w:id="321"/>
      <w:bookmarkEnd w:id="322"/>
      <w:bookmarkEnd w:id="323"/>
    </w:p>
    <w:p>
      <w:pPr>
        <w:pStyle w:val="8"/>
        <w:numPr>
          <w:ilvl w:val="2"/>
          <w:numId w:val="5"/>
        </w:numPr>
        <w:snapToGrid w:val="0"/>
        <w:spacing w:line="360" w:lineRule="auto"/>
        <w:jc w:val="left"/>
        <w:rPr>
          <w:rFonts w:ascii="宋体" w:hAnsi="宋体" w:eastAsia="宋体" w:cs="宋体"/>
          <w:b/>
          <w:bCs/>
        </w:rPr>
      </w:pPr>
      <w:bookmarkStart w:id="324" w:name="_Toc109313733"/>
      <w:bookmarkStart w:id="325" w:name="_Toc49935968"/>
      <w:bookmarkStart w:id="326" w:name="_Toc74732361"/>
      <w:bookmarkStart w:id="327" w:name="_Toc49935854"/>
      <w:bookmarkStart w:id="328" w:name="_Toc1797"/>
      <w:bookmarkStart w:id="329" w:name="_Toc74732304"/>
      <w:bookmarkStart w:id="330" w:name="_Toc531870519"/>
      <w:r>
        <w:rPr>
          <w:rFonts w:hint="eastAsia" w:ascii="宋体" w:hAnsi="宋体" w:eastAsia="宋体" w:cs="宋体"/>
          <w:b/>
          <w:bCs/>
          <w:lang w:val="en-US" w:eastAsia="zh-CN"/>
        </w:rPr>
        <w:t>7</w:t>
      </w:r>
      <w:r>
        <w:rPr>
          <w:rFonts w:hint="eastAsia" w:ascii="宋体" w:hAnsi="宋体" w:eastAsia="宋体" w:cs="宋体"/>
          <w:b/>
          <w:bCs/>
        </w:rPr>
        <w:t>、财务状况报告</w:t>
      </w:r>
      <w:bookmarkEnd w:id="324"/>
      <w:bookmarkEnd w:id="325"/>
      <w:bookmarkEnd w:id="326"/>
      <w:bookmarkEnd w:id="327"/>
      <w:bookmarkEnd w:id="328"/>
      <w:bookmarkEnd w:id="329"/>
      <w:bookmarkEnd w:id="330"/>
    </w:p>
    <w:p>
      <w:pPr>
        <w:numPr>
          <w:ilvl w:val="2"/>
          <w:numId w:val="5"/>
        </w:numPr>
        <w:snapToGrid w:val="0"/>
        <w:spacing w:line="360" w:lineRule="auto"/>
        <w:ind w:left="431" w:leftChars="0" w:hanging="5" w:firstLineChars="0"/>
        <w:jc w:val="left"/>
        <w:outlineLvl w:val="9"/>
        <w:rPr>
          <w:rFonts w:ascii="宋体" w:hAnsi="宋体" w:eastAsia="宋体" w:cs="宋体"/>
          <w:b/>
          <w:bCs/>
        </w:rPr>
      </w:pPr>
      <w:bookmarkStart w:id="331" w:name="_Toc74732305"/>
      <w:bookmarkStart w:id="332" w:name="_Toc49935969"/>
      <w:bookmarkStart w:id="333" w:name="_Toc531870520"/>
      <w:bookmarkStart w:id="334" w:name="_Toc74732362"/>
      <w:bookmarkStart w:id="335" w:name="_Toc109313734"/>
      <w:bookmarkStart w:id="336" w:name="_Toc49935855"/>
      <w:r>
        <w:rPr>
          <w:rFonts w:hint="eastAsia" w:ascii="宋体" w:hAnsi="宋体" w:eastAsia="宋体" w:cs="宋体"/>
          <w:b/>
          <w:bCs/>
        </w:rPr>
        <w:t>（投标人需具有良好的商业信誉和健全的财务会计制度（提供2021年度经审计的财务报告；如截止到开标时间投标人成立时间不足一年，须提供近三个月内其基本开户银行出具的资信证明</w:t>
      </w:r>
      <w:r>
        <w:rPr>
          <w:rFonts w:ascii="宋体" w:hAnsi="宋体" w:eastAsia="宋体" w:cs="宋体"/>
          <w:b/>
          <w:bCs/>
        </w:rPr>
        <w:t>）</w:t>
      </w:r>
      <w:bookmarkEnd w:id="331"/>
      <w:bookmarkEnd w:id="332"/>
      <w:bookmarkEnd w:id="333"/>
      <w:bookmarkEnd w:id="334"/>
      <w:bookmarkEnd w:id="335"/>
      <w:bookmarkEnd w:id="336"/>
    </w:p>
    <w:p>
      <w:pPr>
        <w:pStyle w:val="8"/>
        <w:numPr>
          <w:ilvl w:val="2"/>
          <w:numId w:val="5"/>
        </w:numPr>
        <w:snapToGrid w:val="0"/>
        <w:spacing w:line="360" w:lineRule="auto"/>
        <w:jc w:val="left"/>
        <w:rPr>
          <w:rFonts w:ascii="宋体" w:hAnsi="宋体" w:cs="宋体"/>
          <w:b/>
          <w:bCs/>
          <w:kern w:val="0"/>
          <w:sz w:val="28"/>
          <w:szCs w:val="28"/>
        </w:rPr>
      </w:pPr>
      <w:bookmarkStart w:id="337" w:name="_Toc49935856"/>
      <w:bookmarkStart w:id="338" w:name="_Toc109313735"/>
      <w:bookmarkStart w:id="339" w:name="_Toc74732363"/>
      <w:bookmarkStart w:id="340" w:name="_Toc49935970"/>
      <w:bookmarkStart w:id="341" w:name="_Toc531870521"/>
      <w:bookmarkStart w:id="342" w:name="_Toc74732306"/>
      <w:bookmarkStart w:id="343" w:name="_Toc29464"/>
      <w:r>
        <w:rPr>
          <w:rFonts w:hint="eastAsia" w:ascii="宋体" w:hAnsi="宋体" w:eastAsia="宋体" w:cs="宋体"/>
          <w:b/>
          <w:bCs/>
          <w:lang w:val="en-US" w:eastAsia="zh-CN"/>
        </w:rPr>
        <w:t>8</w:t>
      </w:r>
      <w:r>
        <w:rPr>
          <w:rFonts w:hint="eastAsia" w:ascii="宋体" w:hAnsi="宋体" w:eastAsia="宋体" w:cs="宋体"/>
          <w:b/>
          <w:bCs/>
        </w:rPr>
        <w:t>、企业法人营业执照、税务登记证、组织机构代码证</w:t>
      </w:r>
      <w:bookmarkEnd w:id="337"/>
      <w:bookmarkEnd w:id="338"/>
      <w:bookmarkEnd w:id="339"/>
      <w:bookmarkEnd w:id="340"/>
      <w:bookmarkEnd w:id="341"/>
      <w:bookmarkEnd w:id="342"/>
      <w:bookmarkStart w:id="344" w:name="_Toc49935857"/>
      <w:bookmarkStart w:id="345" w:name="_Toc74732307"/>
      <w:bookmarkStart w:id="346" w:name="_Toc74732364"/>
      <w:bookmarkStart w:id="347" w:name="_Toc531870522"/>
      <w:bookmarkStart w:id="348" w:name="_Toc49935971"/>
      <w:r>
        <w:rPr>
          <w:rFonts w:ascii="宋体" w:hAnsi="宋体" w:cs="宋体"/>
          <w:b/>
          <w:bCs/>
          <w:kern w:val="0"/>
          <w:sz w:val="28"/>
          <w:szCs w:val="28"/>
        </w:rPr>
        <w:t>(</w:t>
      </w:r>
      <w:r>
        <w:rPr>
          <w:rFonts w:hint="eastAsia" w:ascii="宋体" w:hAnsi="宋体" w:cs="宋体"/>
          <w:b/>
          <w:bCs/>
          <w:kern w:val="0"/>
          <w:sz w:val="28"/>
          <w:szCs w:val="28"/>
        </w:rPr>
        <w:t>或提供三证合一或五证合一</w:t>
      </w:r>
      <w:r>
        <w:rPr>
          <w:rFonts w:ascii="宋体" w:hAnsi="宋体" w:cs="宋体"/>
          <w:b/>
          <w:bCs/>
          <w:kern w:val="0"/>
          <w:sz w:val="28"/>
          <w:szCs w:val="28"/>
        </w:rPr>
        <w:t>)</w:t>
      </w:r>
      <w:bookmarkEnd w:id="343"/>
      <w:bookmarkEnd w:id="344"/>
      <w:bookmarkEnd w:id="345"/>
      <w:bookmarkEnd w:id="346"/>
      <w:bookmarkEnd w:id="347"/>
      <w:bookmarkEnd w:id="348"/>
    </w:p>
    <w:p>
      <w:pPr>
        <w:pStyle w:val="8"/>
        <w:numPr>
          <w:ilvl w:val="2"/>
          <w:numId w:val="5"/>
        </w:numPr>
        <w:snapToGrid w:val="0"/>
        <w:spacing w:line="360" w:lineRule="auto"/>
        <w:jc w:val="left"/>
        <w:rPr>
          <w:rFonts w:ascii="宋体" w:hAnsi="宋体" w:eastAsia="宋体" w:cs="宋体"/>
          <w:b/>
          <w:bCs/>
        </w:rPr>
      </w:pPr>
      <w:bookmarkStart w:id="349" w:name="_Toc74732365"/>
      <w:bookmarkStart w:id="350" w:name="_Toc74732308"/>
      <w:bookmarkStart w:id="351" w:name="_Toc13631"/>
      <w:bookmarkStart w:id="352" w:name="_Toc109313736"/>
      <w:r>
        <w:rPr>
          <w:rFonts w:hint="eastAsia" w:ascii="宋体" w:hAnsi="宋体" w:eastAsia="宋体" w:cs="宋体"/>
          <w:b/>
          <w:bCs/>
          <w:lang w:val="en-US" w:eastAsia="zh-CN"/>
        </w:rPr>
        <w:t>9</w:t>
      </w:r>
      <w:r>
        <w:rPr>
          <w:rFonts w:hint="eastAsia" w:ascii="宋体" w:hAnsi="宋体" w:eastAsia="宋体" w:cs="宋体"/>
          <w:b/>
          <w:bCs/>
        </w:rPr>
        <w:t>、</w:t>
      </w:r>
      <w:bookmarkEnd w:id="349"/>
      <w:bookmarkEnd w:id="350"/>
      <w:bookmarkStart w:id="353" w:name="_Toc74732309"/>
      <w:bookmarkStart w:id="354" w:name="_Toc74732366"/>
      <w:r>
        <w:rPr>
          <w:rFonts w:hint="eastAsia" w:ascii="宋体" w:hAnsi="宋体" w:eastAsia="宋体" w:cs="宋体"/>
          <w:b/>
          <w:bCs/>
        </w:rPr>
        <w:t>投标人须具有良好的商业信誉和完善的售后服务体系，并具有承担本项目的能力。（提供承诺函）。</w:t>
      </w:r>
      <w:bookmarkEnd w:id="351"/>
      <w:bookmarkEnd w:id="352"/>
      <w:bookmarkEnd w:id="353"/>
      <w:bookmarkEnd w:id="354"/>
    </w:p>
    <w:p>
      <w:pPr>
        <w:pStyle w:val="8"/>
        <w:numPr>
          <w:ilvl w:val="2"/>
          <w:numId w:val="5"/>
        </w:numPr>
        <w:snapToGrid w:val="0"/>
        <w:spacing w:line="360" w:lineRule="auto"/>
        <w:jc w:val="left"/>
        <w:rPr>
          <w:rFonts w:ascii="宋体" w:hAnsi="宋体" w:cs="宋体"/>
          <w:b/>
          <w:bCs/>
        </w:rPr>
      </w:pPr>
      <w:bookmarkStart w:id="355" w:name="_Toc109313737"/>
      <w:bookmarkStart w:id="356" w:name="_Toc26138"/>
      <w:r>
        <w:rPr>
          <w:rFonts w:ascii="宋体" w:hAnsi="宋体" w:eastAsia="宋体" w:cs="宋体"/>
          <w:b/>
          <w:bCs/>
        </w:rPr>
        <w:t>1</w:t>
      </w:r>
      <w:r>
        <w:rPr>
          <w:rFonts w:hint="eastAsia" w:ascii="宋体" w:hAnsi="宋体" w:eastAsia="宋体" w:cs="宋体"/>
          <w:b/>
          <w:bCs/>
          <w:lang w:val="en-US" w:eastAsia="zh-CN"/>
        </w:rPr>
        <w:t>0</w:t>
      </w:r>
      <w:r>
        <w:rPr>
          <w:rFonts w:ascii="宋体" w:hAnsi="宋体" w:eastAsia="宋体" w:cs="宋体"/>
          <w:b/>
          <w:bCs/>
        </w:rPr>
        <w:t>、</w:t>
      </w:r>
      <w:r>
        <w:rPr>
          <w:rFonts w:hint="eastAsia" w:ascii="宋体" w:hAnsi="宋体" w:eastAsia="宋体" w:cs="宋体"/>
          <w:b/>
          <w:bCs/>
        </w:rPr>
        <w:t>投标单位负责人为同一人或者存在直接控股、管理关系的不同投标人，不得同时参加本项目的投标活动（提供承诺函）。</w:t>
      </w:r>
      <w:bookmarkEnd w:id="355"/>
      <w:bookmarkEnd w:id="356"/>
    </w:p>
    <w:p>
      <w:pPr>
        <w:pStyle w:val="8"/>
        <w:numPr>
          <w:ilvl w:val="2"/>
          <w:numId w:val="5"/>
        </w:numPr>
        <w:snapToGrid w:val="0"/>
        <w:spacing w:line="360" w:lineRule="auto"/>
        <w:jc w:val="left"/>
        <w:rPr>
          <w:rFonts w:ascii="宋体" w:hAnsi="宋体" w:eastAsia="宋体" w:cs="宋体"/>
          <w:b/>
          <w:bCs/>
        </w:rPr>
      </w:pPr>
      <w:bookmarkStart w:id="357" w:name="_Toc3654"/>
      <w:bookmarkStart w:id="358" w:name="_Toc109313738"/>
      <w:bookmarkStart w:id="359" w:name="_Toc74732367"/>
      <w:bookmarkStart w:id="360" w:name="_Toc74732310"/>
      <w:r>
        <w:rPr>
          <w:rFonts w:ascii="宋体" w:hAnsi="宋体" w:eastAsia="宋体" w:cs="宋体"/>
          <w:b/>
          <w:bCs/>
        </w:rPr>
        <w:t>1</w:t>
      </w:r>
      <w:r>
        <w:rPr>
          <w:rFonts w:hint="eastAsia" w:ascii="宋体" w:hAnsi="宋体" w:eastAsia="宋体" w:cs="宋体"/>
          <w:b/>
          <w:bCs/>
          <w:lang w:val="en-US" w:eastAsia="zh-CN"/>
        </w:rPr>
        <w:t>1</w:t>
      </w:r>
      <w:r>
        <w:rPr>
          <w:rFonts w:hint="eastAsia" w:ascii="宋体" w:hAnsi="宋体" w:eastAsia="宋体" w:cs="宋体"/>
          <w:b/>
          <w:bCs/>
        </w:rPr>
        <w:t>、本招标项目不接受联合体投标（提供承诺函）。</w:t>
      </w:r>
      <w:bookmarkEnd w:id="357"/>
      <w:bookmarkEnd w:id="358"/>
      <w:bookmarkEnd w:id="359"/>
      <w:bookmarkEnd w:id="360"/>
    </w:p>
    <w:p>
      <w:pPr>
        <w:pStyle w:val="8"/>
        <w:numPr>
          <w:ilvl w:val="2"/>
          <w:numId w:val="5"/>
        </w:numPr>
        <w:snapToGrid w:val="0"/>
        <w:spacing w:line="360" w:lineRule="auto"/>
        <w:jc w:val="left"/>
        <w:rPr>
          <w:rFonts w:ascii="宋体" w:hAnsi="宋体" w:eastAsia="宋体" w:cs="宋体"/>
          <w:b/>
          <w:bCs/>
        </w:rPr>
      </w:pPr>
      <w:bookmarkStart w:id="361" w:name="_Toc49935972"/>
      <w:bookmarkStart w:id="362" w:name="_Toc49935858"/>
      <w:bookmarkStart w:id="363" w:name="_Toc109313739"/>
      <w:bookmarkStart w:id="364" w:name="_Toc17271"/>
      <w:bookmarkStart w:id="365" w:name="_Toc74732368"/>
      <w:bookmarkStart w:id="366" w:name="_Toc531870523"/>
      <w:bookmarkStart w:id="367" w:name="_Toc74732311"/>
      <w:r>
        <w:rPr>
          <w:rFonts w:ascii="宋体" w:hAnsi="宋体" w:eastAsia="宋体" w:cs="宋体"/>
          <w:b/>
          <w:bCs/>
        </w:rPr>
        <w:t>1</w:t>
      </w:r>
      <w:r>
        <w:rPr>
          <w:rFonts w:hint="eastAsia" w:ascii="宋体" w:hAnsi="宋体" w:eastAsia="宋体" w:cs="宋体"/>
          <w:b/>
          <w:bCs/>
          <w:lang w:val="en-US" w:eastAsia="zh-CN"/>
        </w:rPr>
        <w:t>2</w:t>
      </w:r>
      <w:r>
        <w:rPr>
          <w:rFonts w:hint="eastAsia" w:ascii="宋体" w:hAnsi="宋体" w:eastAsia="宋体" w:cs="宋体"/>
          <w:b/>
          <w:bCs/>
        </w:rPr>
        <w:t>、招标文件要求提供的其他资格证明文件或投标人认为有必要提供的其他证明文件</w:t>
      </w:r>
      <w:bookmarkEnd w:id="361"/>
      <w:bookmarkEnd w:id="362"/>
      <w:bookmarkEnd w:id="363"/>
      <w:bookmarkEnd w:id="364"/>
      <w:bookmarkEnd w:id="365"/>
      <w:bookmarkEnd w:id="366"/>
      <w:bookmarkEnd w:id="367"/>
    </w:p>
    <w:p>
      <w:pPr>
        <w:bidi w:val="0"/>
        <w:spacing w:line="360" w:lineRule="auto"/>
        <w:jc w:val="center"/>
        <w:outlineLvl w:val="2"/>
        <w:rPr>
          <w:rFonts w:hint="eastAsia" w:ascii="宋体" w:hAnsi="宋体" w:eastAsia="宋体" w:cs="宋体"/>
          <w:b/>
          <w:bCs/>
          <w:color w:val="000000" w:themeColor="text1"/>
          <w:szCs w:val="21"/>
          <w:highlight w:val="none"/>
          <w:lang w:val="en-US" w:eastAsia="zh-CN"/>
          <w14:textFill>
            <w14:solidFill>
              <w14:schemeClr w14:val="tx1"/>
            </w14:solidFill>
          </w14:textFill>
        </w:rPr>
      </w:pPr>
      <w:r>
        <w:br w:type="page"/>
      </w:r>
      <w:bookmarkStart w:id="368" w:name="_Toc615"/>
      <w:bookmarkStart w:id="369" w:name="_Toc31398"/>
      <w:bookmarkStart w:id="370" w:name="_Toc18282"/>
      <w:r>
        <w:rPr>
          <w:rFonts w:hint="eastAsia" w:ascii="宋体" w:hAnsi="宋体" w:eastAsia="宋体" w:cs="宋体"/>
          <w:b/>
          <w:bCs/>
          <w:color w:val="000000" w:themeColor="text1"/>
          <w:szCs w:val="21"/>
          <w:highlight w:val="none"/>
          <w:lang w:val="en-US" w:eastAsia="zh-CN"/>
          <w14:textFill>
            <w14:solidFill>
              <w14:schemeClr w14:val="tx1"/>
            </w14:solidFill>
          </w14:textFill>
        </w:rPr>
        <w:t>13、中小企业声明函（货物）</w:t>
      </w:r>
      <w:bookmarkEnd w:id="368"/>
      <w:bookmarkEnd w:id="369"/>
      <w:bookmarkEnd w:id="370"/>
    </w:p>
    <w:p>
      <w:pPr>
        <w:keepNext w:val="0"/>
        <w:keepLines w:val="0"/>
        <w:widowControl/>
        <w:suppressLineNumbers w:val="0"/>
        <w:spacing w:line="360" w:lineRule="auto"/>
        <w:ind w:firstLine="420" w:firstLineChars="200"/>
        <w:jc w:val="left"/>
        <w:outlineLvl w:val="9"/>
        <w:rPr>
          <w:rFonts w:hint="eastAsia" w:ascii="宋体" w:hAnsi="宋体" w:eastAsia="宋体" w:cs="宋体"/>
          <w:i w:val="0"/>
          <w:iCs w:val="0"/>
          <w:color w:val="auto"/>
          <w:sz w:val="21"/>
          <w:szCs w:val="21"/>
          <w:highlight w:val="none"/>
        </w:rPr>
      </w:pPr>
      <w:r>
        <w:rPr>
          <w:rFonts w:hint="eastAsia" w:ascii="宋体" w:hAnsi="宋体" w:eastAsia="宋体" w:cs="宋体"/>
          <w:color w:val="auto"/>
          <w:kern w:val="0"/>
          <w:sz w:val="21"/>
          <w:szCs w:val="21"/>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olor w:val="auto"/>
          <w:kern w:val="0"/>
          <w:sz w:val="21"/>
          <w:szCs w:val="21"/>
          <w:highlight w:val="none"/>
          <w:u w:val="single"/>
          <w:lang w:val="en-US" w:eastAsia="zh-CN" w:bidi="ar"/>
        </w:rPr>
        <w:t>（单位名称）</w:t>
      </w:r>
      <w:r>
        <w:rPr>
          <w:rFonts w:hint="eastAsia" w:ascii="宋体" w:hAnsi="宋体" w:eastAsia="宋体" w:cs="宋体"/>
          <w:i w:val="0"/>
          <w:iCs w:val="0"/>
          <w:color w:val="auto"/>
          <w:kern w:val="0"/>
          <w:sz w:val="21"/>
          <w:szCs w:val="21"/>
          <w:highlight w:val="none"/>
          <w:lang w:val="en-US" w:eastAsia="zh-CN" w:bidi="ar"/>
        </w:rPr>
        <w:t>的</w:t>
      </w:r>
      <w:r>
        <w:rPr>
          <w:rFonts w:hint="eastAsia" w:ascii="宋体" w:hAnsi="宋体" w:eastAsia="宋体" w:cs="宋体"/>
          <w:i w:val="0"/>
          <w:iCs w:val="0"/>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lang w:val="en-US" w:eastAsia="zh-CN" w:bidi="ar"/>
        </w:rPr>
        <w:t>采购活动，提供的货物全部由符合政策要求的中小企业制造。相关企业（含联合体中的中小企业、签订分包意向协议的中小企业）的具体情况如下：</w:t>
      </w:r>
    </w:p>
    <w:p>
      <w:pPr>
        <w:keepNext w:val="0"/>
        <w:keepLines w:val="0"/>
        <w:widowControl/>
        <w:numPr>
          <w:ilvl w:val="0"/>
          <w:numId w:val="0"/>
        </w:numPr>
        <w:suppressLineNumbers w:val="0"/>
        <w:spacing w:line="360" w:lineRule="auto"/>
        <w:ind w:firstLine="420" w:firstLineChars="200"/>
        <w:jc w:val="left"/>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（采购文件中明确的所属行业）行业</w:t>
      </w:r>
      <w:r>
        <w:rPr>
          <w:rFonts w:hint="eastAsia" w:ascii="宋体" w:hAnsi="宋体" w:eastAsia="宋体" w:cs="宋体"/>
          <w:i w:val="0"/>
          <w:iCs w:val="0"/>
          <w:color w:val="auto"/>
          <w:kern w:val="0"/>
          <w:sz w:val="21"/>
          <w:szCs w:val="21"/>
          <w:highlight w:val="none"/>
          <w:lang w:val="en-US" w:eastAsia="zh-CN" w:bidi="ar"/>
        </w:rPr>
        <w:t>；制造商为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万元①，属于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 xml:space="preserve">； </w:t>
      </w:r>
    </w:p>
    <w:p>
      <w:pPr>
        <w:keepNext w:val="0"/>
        <w:keepLines w:val="0"/>
        <w:widowControl/>
        <w:suppressLineNumbers w:val="0"/>
        <w:spacing w:line="360" w:lineRule="auto"/>
        <w:ind w:firstLine="420" w:firstLineChars="200"/>
        <w:jc w:val="left"/>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single"/>
          <w:lang w:val="en-US" w:eastAsia="zh-CN" w:bidi="ar"/>
        </w:rPr>
        <w:t xml:space="preserve"> （标的名称）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（采购文件中明确的所属行业）行业</w:t>
      </w:r>
      <w:r>
        <w:rPr>
          <w:rFonts w:hint="eastAsia" w:ascii="宋体" w:hAnsi="宋体" w:eastAsia="宋体" w:cs="宋体"/>
          <w:i w:val="0"/>
          <w:iCs w:val="0"/>
          <w:color w:val="auto"/>
          <w:kern w:val="0"/>
          <w:sz w:val="21"/>
          <w:szCs w:val="21"/>
          <w:highlight w:val="none"/>
          <w:lang w:val="en-US" w:eastAsia="zh-CN" w:bidi="ar"/>
        </w:rPr>
        <w:t>；制造商为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万元①，属于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w:t>
      </w:r>
    </w:p>
    <w:p>
      <w:pPr>
        <w:keepNext w:val="0"/>
        <w:keepLines w:val="0"/>
        <w:widowControl/>
        <w:suppressLineNumbers w:val="0"/>
        <w:spacing w:line="360" w:lineRule="auto"/>
        <w:jc w:val="left"/>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w:t>
      </w:r>
    </w:p>
    <w:p>
      <w:pPr>
        <w:keepNext w:val="0"/>
        <w:keepLines w:val="0"/>
        <w:widowControl/>
        <w:suppressLineNumbers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以上企业，不属于大企业的分支机构，不存在控股股东</w:t>
      </w:r>
      <w:r>
        <w:rPr>
          <w:rFonts w:hint="eastAsia" w:ascii="宋体" w:hAnsi="宋体" w:eastAsia="宋体" w:cs="宋体"/>
          <w:color w:val="auto"/>
          <w:kern w:val="0"/>
          <w:sz w:val="21"/>
          <w:szCs w:val="21"/>
          <w:highlight w:val="none"/>
          <w:lang w:val="en-US" w:eastAsia="zh-CN" w:bidi="ar"/>
        </w:rPr>
        <w:t>为大企业的情形，也不存在与大企业的负责人为同一人的情形。</w:t>
      </w:r>
    </w:p>
    <w:p>
      <w:pPr>
        <w:keepNext w:val="0"/>
        <w:keepLines w:val="0"/>
        <w:widowControl/>
        <w:suppressLineNumbers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企业名称（盖章）： </w:t>
      </w:r>
    </w:p>
    <w:p>
      <w:pPr>
        <w:keepNext w:val="0"/>
        <w:keepLines w:val="0"/>
        <w:widowControl/>
        <w:suppressLineNumbers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 期： </w:t>
      </w:r>
    </w:p>
    <w:p>
      <w:pPr>
        <w:spacing w:line="360" w:lineRule="auto"/>
        <w:ind w:firstLine="422" w:firstLineChars="200"/>
        <w:outlineLvl w:val="9"/>
        <w:rPr>
          <w:rFonts w:hint="eastAsia" w:ascii="宋体" w:hAnsi="宋体" w:eastAsia="宋体" w:cs="宋体"/>
          <w:b/>
          <w:bCs/>
          <w:color w:val="auto"/>
          <w:sz w:val="21"/>
          <w:szCs w:val="21"/>
          <w:highlight w:val="none"/>
        </w:rPr>
      </w:pPr>
    </w:p>
    <w:p>
      <w:pPr>
        <w:spacing w:line="360" w:lineRule="auto"/>
        <w:ind w:firstLine="422" w:firstLineChars="200"/>
        <w:outlineLvl w:val="9"/>
        <w:rPr>
          <w:rFonts w:hint="eastAsia" w:ascii="宋体" w:hAnsi="宋体" w:eastAsia="宋体" w:cs="宋体"/>
          <w:b/>
          <w:bCs/>
          <w:color w:val="auto"/>
          <w:sz w:val="21"/>
          <w:szCs w:val="21"/>
          <w:highlight w:val="none"/>
        </w:rPr>
      </w:pPr>
    </w:p>
    <w:p>
      <w:pPr>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①</w:t>
      </w:r>
      <w:r>
        <w:rPr>
          <w:rFonts w:hint="eastAsia" w:ascii="宋体" w:hAnsi="宋体" w:eastAsia="宋体" w:cs="宋体"/>
          <w:b/>
          <w:bCs/>
          <w:color w:val="auto"/>
          <w:sz w:val="21"/>
          <w:szCs w:val="21"/>
          <w:highlight w:val="none"/>
        </w:rPr>
        <w:t>从业人员、营业收入、资产总额填报上一年度数据，无上一年度数据的新成立企业可不填报。</w:t>
      </w:r>
    </w:p>
    <w:p>
      <w:pPr>
        <w:spacing w:line="360" w:lineRule="auto"/>
        <w:ind w:firstLine="420" w:firstLineChars="200"/>
        <w:jc w:val="center"/>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outlineLvl w:val="9"/>
        <w:rPr>
          <w:rStyle w:val="167"/>
          <w:rFonts w:hint="eastAsia" w:ascii="宋体" w:hAnsi="宋体" w:eastAsia="宋体" w:cs="宋体"/>
          <w:b/>
          <w:bCs w:val="0"/>
          <w:sz w:val="28"/>
          <w:szCs w:val="28"/>
          <w:highlight w:val="none"/>
        </w:rPr>
      </w:pPr>
    </w:p>
    <w:p>
      <w:pPr>
        <w:spacing w:line="360" w:lineRule="auto"/>
        <w:rPr>
          <w:rStyle w:val="167"/>
          <w:rFonts w:hint="eastAsia" w:ascii="宋体" w:hAnsi="宋体" w:eastAsia="宋体" w:cs="宋体"/>
          <w:b/>
          <w:bCs w:val="0"/>
          <w:sz w:val="28"/>
          <w:szCs w:val="28"/>
          <w:highlight w:val="none"/>
        </w:rPr>
      </w:pPr>
      <w:r>
        <w:rPr>
          <w:rStyle w:val="167"/>
          <w:rFonts w:hint="eastAsia" w:ascii="宋体" w:hAnsi="宋体" w:eastAsia="宋体" w:cs="宋体"/>
          <w:b/>
          <w:bCs w:val="0"/>
          <w:sz w:val="28"/>
          <w:szCs w:val="28"/>
          <w:highlight w:val="none"/>
        </w:rPr>
        <w:br w:type="page"/>
      </w:r>
    </w:p>
    <w:p>
      <w:pPr>
        <w:bidi w:val="0"/>
        <w:spacing w:line="360" w:lineRule="auto"/>
        <w:jc w:val="center"/>
        <w:outlineLvl w:val="2"/>
        <w:rPr>
          <w:rFonts w:hint="eastAsia" w:ascii="宋体" w:hAnsi="宋体" w:eastAsia="宋体" w:cs="宋体"/>
          <w:b/>
          <w:bCs/>
          <w:color w:val="000000" w:themeColor="text1"/>
          <w:szCs w:val="21"/>
          <w:highlight w:val="none"/>
          <w:lang w:val="en-US" w:eastAsia="zh-CN"/>
          <w14:textFill>
            <w14:solidFill>
              <w14:schemeClr w14:val="tx1"/>
            </w14:solidFill>
          </w14:textFill>
        </w:rPr>
      </w:pPr>
      <w:bookmarkStart w:id="371" w:name="_Toc10000"/>
      <w:bookmarkStart w:id="372" w:name="_Toc22443"/>
      <w:bookmarkStart w:id="373" w:name="_Toc4636"/>
      <w:r>
        <w:rPr>
          <w:rFonts w:hint="eastAsia" w:ascii="宋体" w:hAnsi="宋体" w:eastAsia="宋体" w:cs="宋体"/>
          <w:b/>
          <w:bCs/>
          <w:color w:val="000000" w:themeColor="text1"/>
          <w:szCs w:val="21"/>
          <w:highlight w:val="none"/>
          <w:lang w:val="en-US" w:eastAsia="zh-CN"/>
          <w14:textFill>
            <w14:solidFill>
              <w14:schemeClr w14:val="tx1"/>
            </w14:solidFill>
          </w14:textFill>
        </w:rPr>
        <w:t>14、残疾人福利性单位声明函（如有）</w:t>
      </w:r>
      <w:bookmarkEnd w:id="371"/>
      <w:bookmarkEnd w:id="372"/>
      <w:bookmarkEnd w:id="373"/>
    </w:p>
    <w:p>
      <w:pPr>
        <w:pStyle w:val="3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本单位郑重声明，根据《财政部民政部 中国残疾人联合会关于促进残疾人就业政府采购政策的通知》（财库〔2017〕141 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 。</w:t>
      </w:r>
    </w:p>
    <w:p>
      <w:pPr>
        <w:pStyle w:val="3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本单位对上述声明的真实性负责。如有虚假，将依法承担相应责任。</w:t>
      </w:r>
    </w:p>
    <w:p>
      <w:pPr>
        <w:pStyle w:val="33"/>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pStyle w:val="33"/>
        <w:spacing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供应商名称</w:t>
      </w:r>
      <w:r>
        <w:rPr>
          <w:rFonts w:hint="eastAsia" w:ascii="宋体" w:hAnsi="宋体" w:eastAsia="宋体" w:cs="宋体"/>
          <w:color w:val="000000" w:themeColor="text1"/>
          <w:sz w:val="21"/>
          <w:szCs w:val="21"/>
          <w:highlight w:val="none"/>
          <w14:textFill>
            <w14:solidFill>
              <w14:schemeClr w14:val="tx1"/>
            </w14:solidFill>
          </w14:textFill>
        </w:rPr>
        <w:t>（盖章）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3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p>
    <w:p>
      <w:pPr>
        <w:pStyle w:val="33"/>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pStyle w:val="33"/>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（提醒：如果</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不是残疾人福利性单位，则不需要提供《残疾人福利性单位声明函》。否则，因此导致虚假投标的后果由</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自行承担。）</w:t>
      </w:r>
    </w:p>
    <w:p>
      <w:pPr>
        <w:pStyle w:val="33"/>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《财政部民政部中国残疾人联合会关于促进残疾人就业政府采购政策的通知》（财库（2017〔141〕 号）的规定：</w:t>
      </w:r>
    </w:p>
    <w:p>
      <w:pPr>
        <w:pStyle w:val="33"/>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享受政府采购支持政策的残疾人福利性单位应当同时满足以下条件：</w:t>
      </w:r>
    </w:p>
    <w:p>
      <w:pPr>
        <w:pStyle w:val="33"/>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安置的残疾人占本单位在职职工人数的比例不低于 25%（含 25%），并且安置的残疾人人数不少于 10 人（含 10 人） ；</w:t>
      </w:r>
    </w:p>
    <w:p>
      <w:pPr>
        <w:pStyle w:val="33"/>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依法与安置的每位残疾人签订了一年以上（含一年） 的劳动合同或服务协议；</w:t>
      </w:r>
    </w:p>
    <w:p>
      <w:pPr>
        <w:pStyle w:val="33"/>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为安置的每位残疾人按月足额缴纳了基本养老保险、 基本医疗保险、 失业保险、工伤保险和生育保险等社会保险费；</w:t>
      </w:r>
    </w:p>
    <w:p>
      <w:pPr>
        <w:pStyle w:val="33"/>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通过银行等金融机构向安置的每位残疾人， 按月支付了不低于单位所在区县适用的经省级人民政府批准的月最低工资标准的工资；</w:t>
      </w:r>
    </w:p>
    <w:p>
      <w:pPr>
        <w:pStyle w:val="33"/>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提供本单位制造的货物、 承担的工程或者服务（以下简称产品），或者提供其他残疾人福利性单位制造的货物（不包括使用非残疾人福利性单位注册商标的货物）。</w:t>
      </w:r>
    </w:p>
    <w:p>
      <w:pPr>
        <w:pStyle w:val="33"/>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中标人为残疾人福利性单位的， 招标人或者其委托的招标代理机构应当随中标、 成交结果同时公告其《残疾人福利性单位声明函》 ， 接受社会监督。</w:t>
      </w:r>
    </w:p>
    <w:p/>
    <w:p>
      <w:pPr>
        <w:pStyle w:val="6"/>
      </w:pPr>
    </w:p>
    <w:p>
      <w:pPr>
        <w:rPr>
          <w:rFonts w:ascii="宋体" w:hAnsi="宋体" w:eastAsia="宋体" w:cs="宋体"/>
          <w:b/>
          <w:bCs/>
        </w:rPr>
      </w:pPr>
      <w:bookmarkStart w:id="374" w:name="_Toc109313740"/>
      <w:bookmarkStart w:id="375" w:name="_Toc16631"/>
      <w:r>
        <w:rPr>
          <w:rFonts w:hint="eastAsia" w:ascii="宋体" w:hAnsi="宋体" w:cs="宋体"/>
          <w:b/>
          <w:bCs/>
          <w:sz w:val="32"/>
          <w:szCs w:val="32"/>
        </w:rPr>
        <w:br w:type="page"/>
      </w:r>
    </w:p>
    <w:p>
      <w:pPr>
        <w:pStyle w:val="7"/>
        <w:numPr>
          <w:ilvl w:val="2"/>
          <w:numId w:val="5"/>
        </w:numPr>
        <w:snapToGrid w:val="0"/>
        <w:spacing w:line="360" w:lineRule="auto"/>
        <w:jc w:val="center"/>
        <w:outlineLvl w:val="1"/>
        <w:rPr>
          <w:rFonts w:ascii="宋体" w:hAnsi="宋体" w:eastAsia="宋体" w:cs="宋体"/>
          <w:b/>
          <w:bCs/>
        </w:rPr>
      </w:pPr>
      <w:r>
        <w:rPr>
          <w:rFonts w:hint="eastAsia" w:ascii="宋体" w:hAnsi="宋体" w:cs="宋体"/>
          <w:b/>
          <w:bCs/>
          <w:sz w:val="32"/>
          <w:szCs w:val="32"/>
        </w:rPr>
        <w:t>十、</w:t>
      </w:r>
      <w:bookmarkEnd w:id="374"/>
      <w:r>
        <w:rPr>
          <w:rFonts w:hint="eastAsia" w:ascii="宋体" w:hAnsi="宋体" w:cs="宋体"/>
          <w:b/>
          <w:bCs/>
          <w:sz w:val="32"/>
          <w:szCs w:val="32"/>
        </w:rPr>
        <w:t>其他证明材料</w:t>
      </w:r>
      <w:bookmarkEnd w:id="375"/>
    </w:p>
    <w:sectPr>
      <w:footerReference r:id="rId5" w:type="default"/>
      <w:pgSz w:w="11920" w:h="16840"/>
      <w:pgMar w:top="1418" w:right="1418" w:bottom="1418" w:left="1418" w:header="851" w:footer="964" w:gutter="0"/>
      <w:cols w:space="720" w:num="1"/>
      <w:titlePg/>
      <w:docGrid w:linePitch="306"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nlo">
    <w:altName w:val="Courier New"/>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66</w:t>
    </w:r>
    <w:r>
      <w:rPr>
        <w:lang w:val="zh-CN"/>
      </w:rPr>
      <w:fldChar w:fldCharType="end"/>
    </w:r>
  </w:p>
  <w:p>
    <w:pPr>
      <w:pStyle w:val="27"/>
      <w:tabs>
        <w:tab w:val="left" w:pos="2145"/>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70</w:t>
    </w:r>
    <w:r>
      <w:rPr>
        <w:lang w:val="zh-CN"/>
      </w:rPr>
      <w:fldChar w:fldCharType="end"/>
    </w:r>
  </w:p>
  <w:p>
    <w:pPr>
      <w:pStyle w:val="2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CA453"/>
    <w:multiLevelType w:val="singleLevel"/>
    <w:tmpl w:val="99ECA453"/>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1">
    <w:nsid w:val="FFFFFFFB"/>
    <w:multiLevelType w:val="multilevel"/>
    <w:tmpl w:val="FFFFFFFB"/>
    <w:lvl w:ilvl="0" w:tentative="0">
      <w:start w:val="1"/>
      <w:numFmt w:val="chineseCountingThousand"/>
      <w:lvlText w:val="%1."/>
      <w:legacy w:legacy="1" w:legacySpace="113" w:legacyIndent="425"/>
      <w:lvlJc w:val="left"/>
      <w:pPr>
        <w:ind w:left="425" w:hanging="425"/>
      </w:pPr>
      <w:rPr>
        <w:rFonts w:cs="Times New Roman"/>
      </w:rPr>
    </w:lvl>
    <w:lvl w:ilvl="1" w:tentative="0">
      <w:start w:val="1"/>
      <w:numFmt w:val="decimal"/>
      <w:lvlText w:val="%2."/>
      <w:legacy w:legacy="1" w:legacySpace="0" w:legacyIndent="425"/>
      <w:lvlJc w:val="left"/>
      <w:pPr>
        <w:ind w:left="6237" w:hanging="425"/>
      </w:pPr>
      <w:rPr>
        <w:rFonts w:cs="Times New Roman"/>
      </w:rPr>
    </w:lvl>
    <w:lvl w:ilvl="2" w:tentative="0">
      <w:start w:val="1"/>
      <w:numFmt w:val="none"/>
      <w:suff w:val="nothing"/>
      <w:lvlText w:val=""/>
      <w:lvlJc w:val="left"/>
      <w:pPr>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2">
    <w:nsid w:val="0629096A"/>
    <w:multiLevelType w:val="multilevel"/>
    <w:tmpl w:val="0629096A"/>
    <w:lvl w:ilvl="0" w:tentative="0">
      <w:start w:val="1"/>
      <w:numFmt w:val="decimal"/>
      <w:pStyle w:val="147"/>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07506DC"/>
    <w:multiLevelType w:val="multilevel"/>
    <w:tmpl w:val="107506D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148"/>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535C9C0"/>
    <w:multiLevelType w:val="singleLevel"/>
    <w:tmpl w:val="5535C9C0"/>
    <w:lvl w:ilvl="0" w:tentative="0">
      <w:start w:val="3"/>
      <w:numFmt w:val="chineseCounting"/>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MmY3YmYxOGI5MmExYTRlNTFiNDY0NjE4NWFiNGYifQ=="/>
  </w:docVars>
  <w:rsids>
    <w:rsidRoot w:val="002336C9"/>
    <w:rsid w:val="00000A4F"/>
    <w:rsid w:val="00000F5A"/>
    <w:rsid w:val="0000203D"/>
    <w:rsid w:val="000023FF"/>
    <w:rsid w:val="0000280A"/>
    <w:rsid w:val="000039BA"/>
    <w:rsid w:val="00004BA4"/>
    <w:rsid w:val="00004EF8"/>
    <w:rsid w:val="00004FA9"/>
    <w:rsid w:val="00004FD4"/>
    <w:rsid w:val="0000530E"/>
    <w:rsid w:val="000053AD"/>
    <w:rsid w:val="000062C9"/>
    <w:rsid w:val="000066DF"/>
    <w:rsid w:val="00007580"/>
    <w:rsid w:val="00007741"/>
    <w:rsid w:val="00007951"/>
    <w:rsid w:val="00007BE3"/>
    <w:rsid w:val="000103DD"/>
    <w:rsid w:val="000109CD"/>
    <w:rsid w:val="00010B8F"/>
    <w:rsid w:val="00010C8C"/>
    <w:rsid w:val="00011362"/>
    <w:rsid w:val="00011FC3"/>
    <w:rsid w:val="00012A11"/>
    <w:rsid w:val="000131F0"/>
    <w:rsid w:val="0001393B"/>
    <w:rsid w:val="00013A7B"/>
    <w:rsid w:val="0001433D"/>
    <w:rsid w:val="0001460C"/>
    <w:rsid w:val="00020042"/>
    <w:rsid w:val="00020339"/>
    <w:rsid w:val="0002088C"/>
    <w:rsid w:val="00020CC1"/>
    <w:rsid w:val="00022347"/>
    <w:rsid w:val="00023B93"/>
    <w:rsid w:val="00024A95"/>
    <w:rsid w:val="000250CA"/>
    <w:rsid w:val="00025D5D"/>
    <w:rsid w:val="0002705C"/>
    <w:rsid w:val="00027165"/>
    <w:rsid w:val="000275A2"/>
    <w:rsid w:val="00030687"/>
    <w:rsid w:val="00030E95"/>
    <w:rsid w:val="0003146E"/>
    <w:rsid w:val="00031BB8"/>
    <w:rsid w:val="00032603"/>
    <w:rsid w:val="00032853"/>
    <w:rsid w:val="00032873"/>
    <w:rsid w:val="00032BF9"/>
    <w:rsid w:val="00032E41"/>
    <w:rsid w:val="00034E43"/>
    <w:rsid w:val="000358A1"/>
    <w:rsid w:val="000363C1"/>
    <w:rsid w:val="00036871"/>
    <w:rsid w:val="00037668"/>
    <w:rsid w:val="000379F7"/>
    <w:rsid w:val="00037B79"/>
    <w:rsid w:val="00037CA1"/>
    <w:rsid w:val="000402AF"/>
    <w:rsid w:val="0004067A"/>
    <w:rsid w:val="0004093C"/>
    <w:rsid w:val="00043004"/>
    <w:rsid w:val="00043BCD"/>
    <w:rsid w:val="000443D7"/>
    <w:rsid w:val="000446B0"/>
    <w:rsid w:val="00045AC6"/>
    <w:rsid w:val="00045FEC"/>
    <w:rsid w:val="000502F2"/>
    <w:rsid w:val="00050360"/>
    <w:rsid w:val="000514B7"/>
    <w:rsid w:val="000515C3"/>
    <w:rsid w:val="00051A68"/>
    <w:rsid w:val="00051DBA"/>
    <w:rsid w:val="00052D35"/>
    <w:rsid w:val="000530EC"/>
    <w:rsid w:val="00055778"/>
    <w:rsid w:val="00055A6F"/>
    <w:rsid w:val="00055AE5"/>
    <w:rsid w:val="00055AF8"/>
    <w:rsid w:val="00056B75"/>
    <w:rsid w:val="00056CD1"/>
    <w:rsid w:val="00057498"/>
    <w:rsid w:val="00057C7B"/>
    <w:rsid w:val="0006171E"/>
    <w:rsid w:val="00061E45"/>
    <w:rsid w:val="000623DC"/>
    <w:rsid w:val="00062503"/>
    <w:rsid w:val="00062849"/>
    <w:rsid w:val="00062C73"/>
    <w:rsid w:val="00062EDA"/>
    <w:rsid w:val="00063E01"/>
    <w:rsid w:val="00063EFB"/>
    <w:rsid w:val="00064952"/>
    <w:rsid w:val="00064D7E"/>
    <w:rsid w:val="00065038"/>
    <w:rsid w:val="000652E4"/>
    <w:rsid w:val="000653AE"/>
    <w:rsid w:val="00066550"/>
    <w:rsid w:val="00067660"/>
    <w:rsid w:val="000676BD"/>
    <w:rsid w:val="000677AC"/>
    <w:rsid w:val="000700CB"/>
    <w:rsid w:val="00070545"/>
    <w:rsid w:val="000722E6"/>
    <w:rsid w:val="0007283E"/>
    <w:rsid w:val="00072A0E"/>
    <w:rsid w:val="00073121"/>
    <w:rsid w:val="000731BF"/>
    <w:rsid w:val="00073474"/>
    <w:rsid w:val="000737B1"/>
    <w:rsid w:val="00073A44"/>
    <w:rsid w:val="00073DA6"/>
    <w:rsid w:val="0007446F"/>
    <w:rsid w:val="00074C3C"/>
    <w:rsid w:val="0007536F"/>
    <w:rsid w:val="0007637B"/>
    <w:rsid w:val="00076584"/>
    <w:rsid w:val="0007697F"/>
    <w:rsid w:val="000772DA"/>
    <w:rsid w:val="0007781F"/>
    <w:rsid w:val="00077C10"/>
    <w:rsid w:val="00077F6B"/>
    <w:rsid w:val="000801C7"/>
    <w:rsid w:val="0008038B"/>
    <w:rsid w:val="00080B24"/>
    <w:rsid w:val="00081582"/>
    <w:rsid w:val="000818F1"/>
    <w:rsid w:val="000822B2"/>
    <w:rsid w:val="000823B0"/>
    <w:rsid w:val="00082533"/>
    <w:rsid w:val="00082E50"/>
    <w:rsid w:val="000836E2"/>
    <w:rsid w:val="0008439F"/>
    <w:rsid w:val="000843C6"/>
    <w:rsid w:val="00085B08"/>
    <w:rsid w:val="000873AE"/>
    <w:rsid w:val="0008787B"/>
    <w:rsid w:val="0009018A"/>
    <w:rsid w:val="000908B8"/>
    <w:rsid w:val="00091EE2"/>
    <w:rsid w:val="000929D7"/>
    <w:rsid w:val="00092E3D"/>
    <w:rsid w:val="00093820"/>
    <w:rsid w:val="000938B0"/>
    <w:rsid w:val="000949D8"/>
    <w:rsid w:val="000952C9"/>
    <w:rsid w:val="0009646D"/>
    <w:rsid w:val="00097957"/>
    <w:rsid w:val="000A1396"/>
    <w:rsid w:val="000A1424"/>
    <w:rsid w:val="000A1AD2"/>
    <w:rsid w:val="000A2391"/>
    <w:rsid w:val="000A256B"/>
    <w:rsid w:val="000A2A52"/>
    <w:rsid w:val="000A2E28"/>
    <w:rsid w:val="000A2ECF"/>
    <w:rsid w:val="000A3369"/>
    <w:rsid w:val="000A4455"/>
    <w:rsid w:val="000A5130"/>
    <w:rsid w:val="000A53A5"/>
    <w:rsid w:val="000A68D0"/>
    <w:rsid w:val="000A6E59"/>
    <w:rsid w:val="000A7829"/>
    <w:rsid w:val="000A7EBC"/>
    <w:rsid w:val="000B0301"/>
    <w:rsid w:val="000B066C"/>
    <w:rsid w:val="000B09CF"/>
    <w:rsid w:val="000B0D5A"/>
    <w:rsid w:val="000B0DCF"/>
    <w:rsid w:val="000B20EA"/>
    <w:rsid w:val="000B2978"/>
    <w:rsid w:val="000B2A95"/>
    <w:rsid w:val="000B311E"/>
    <w:rsid w:val="000B40C2"/>
    <w:rsid w:val="000B47A1"/>
    <w:rsid w:val="000B47BC"/>
    <w:rsid w:val="000B4FA4"/>
    <w:rsid w:val="000B57DF"/>
    <w:rsid w:val="000B6153"/>
    <w:rsid w:val="000B6A91"/>
    <w:rsid w:val="000B790C"/>
    <w:rsid w:val="000B7AE8"/>
    <w:rsid w:val="000C118C"/>
    <w:rsid w:val="000C2367"/>
    <w:rsid w:val="000C3888"/>
    <w:rsid w:val="000C3A9F"/>
    <w:rsid w:val="000C3B71"/>
    <w:rsid w:val="000C3F07"/>
    <w:rsid w:val="000C41CF"/>
    <w:rsid w:val="000C4F2C"/>
    <w:rsid w:val="000C57A9"/>
    <w:rsid w:val="000C5C7E"/>
    <w:rsid w:val="000C5D6A"/>
    <w:rsid w:val="000C6523"/>
    <w:rsid w:val="000C69F6"/>
    <w:rsid w:val="000C7125"/>
    <w:rsid w:val="000C72AC"/>
    <w:rsid w:val="000D0F0A"/>
    <w:rsid w:val="000D0F61"/>
    <w:rsid w:val="000D231A"/>
    <w:rsid w:val="000D25E8"/>
    <w:rsid w:val="000D2744"/>
    <w:rsid w:val="000D2A56"/>
    <w:rsid w:val="000D2F8E"/>
    <w:rsid w:val="000D3C8F"/>
    <w:rsid w:val="000D3E16"/>
    <w:rsid w:val="000D3F3A"/>
    <w:rsid w:val="000D46DD"/>
    <w:rsid w:val="000D48B2"/>
    <w:rsid w:val="000D52EE"/>
    <w:rsid w:val="000D5909"/>
    <w:rsid w:val="000D5955"/>
    <w:rsid w:val="000D683D"/>
    <w:rsid w:val="000D6AB5"/>
    <w:rsid w:val="000D6C27"/>
    <w:rsid w:val="000E00C1"/>
    <w:rsid w:val="000E027E"/>
    <w:rsid w:val="000E1449"/>
    <w:rsid w:val="000E17A8"/>
    <w:rsid w:val="000E1D05"/>
    <w:rsid w:val="000E1F0D"/>
    <w:rsid w:val="000E2300"/>
    <w:rsid w:val="000E2C83"/>
    <w:rsid w:val="000E33EC"/>
    <w:rsid w:val="000E3480"/>
    <w:rsid w:val="000E3521"/>
    <w:rsid w:val="000E399F"/>
    <w:rsid w:val="000E469D"/>
    <w:rsid w:val="000E47A9"/>
    <w:rsid w:val="000E4897"/>
    <w:rsid w:val="000E4CD3"/>
    <w:rsid w:val="000E5020"/>
    <w:rsid w:val="000E504D"/>
    <w:rsid w:val="000E6364"/>
    <w:rsid w:val="000E6887"/>
    <w:rsid w:val="000E6F0A"/>
    <w:rsid w:val="000E7917"/>
    <w:rsid w:val="000E7AC6"/>
    <w:rsid w:val="000F0580"/>
    <w:rsid w:val="000F084C"/>
    <w:rsid w:val="000F0F89"/>
    <w:rsid w:val="000F1869"/>
    <w:rsid w:val="000F19E4"/>
    <w:rsid w:val="000F28AD"/>
    <w:rsid w:val="000F3429"/>
    <w:rsid w:val="000F3440"/>
    <w:rsid w:val="000F400B"/>
    <w:rsid w:val="000F4231"/>
    <w:rsid w:val="000F6ACC"/>
    <w:rsid w:val="000F6DD3"/>
    <w:rsid w:val="000F6EC4"/>
    <w:rsid w:val="000F780A"/>
    <w:rsid w:val="000F794A"/>
    <w:rsid w:val="00100929"/>
    <w:rsid w:val="00101848"/>
    <w:rsid w:val="001033BA"/>
    <w:rsid w:val="001034F2"/>
    <w:rsid w:val="001036A7"/>
    <w:rsid w:val="00103897"/>
    <w:rsid w:val="0010481C"/>
    <w:rsid w:val="00104865"/>
    <w:rsid w:val="00105146"/>
    <w:rsid w:val="001051DA"/>
    <w:rsid w:val="00105542"/>
    <w:rsid w:val="00106736"/>
    <w:rsid w:val="001076D2"/>
    <w:rsid w:val="001078F6"/>
    <w:rsid w:val="0011054C"/>
    <w:rsid w:val="00110656"/>
    <w:rsid w:val="00110A94"/>
    <w:rsid w:val="00111A58"/>
    <w:rsid w:val="00112874"/>
    <w:rsid w:val="00112B83"/>
    <w:rsid w:val="00112E76"/>
    <w:rsid w:val="00112F2E"/>
    <w:rsid w:val="00114680"/>
    <w:rsid w:val="00115A4F"/>
    <w:rsid w:val="00115C19"/>
    <w:rsid w:val="00116217"/>
    <w:rsid w:val="00116F7E"/>
    <w:rsid w:val="00117076"/>
    <w:rsid w:val="00117828"/>
    <w:rsid w:val="00117F59"/>
    <w:rsid w:val="00120713"/>
    <w:rsid w:val="00120A12"/>
    <w:rsid w:val="00121339"/>
    <w:rsid w:val="00121452"/>
    <w:rsid w:val="001214B2"/>
    <w:rsid w:val="001219E4"/>
    <w:rsid w:val="00121EBC"/>
    <w:rsid w:val="001232C3"/>
    <w:rsid w:val="001233D3"/>
    <w:rsid w:val="00123939"/>
    <w:rsid w:val="0012420B"/>
    <w:rsid w:val="001242A4"/>
    <w:rsid w:val="00124A55"/>
    <w:rsid w:val="001265D2"/>
    <w:rsid w:val="00126A6F"/>
    <w:rsid w:val="0012717B"/>
    <w:rsid w:val="0012719C"/>
    <w:rsid w:val="00127E59"/>
    <w:rsid w:val="001300A7"/>
    <w:rsid w:val="001306A1"/>
    <w:rsid w:val="00130B3F"/>
    <w:rsid w:val="001311B7"/>
    <w:rsid w:val="00132485"/>
    <w:rsid w:val="0013267A"/>
    <w:rsid w:val="00132BA2"/>
    <w:rsid w:val="001330EB"/>
    <w:rsid w:val="00133C05"/>
    <w:rsid w:val="00133FB1"/>
    <w:rsid w:val="00134FCD"/>
    <w:rsid w:val="00135706"/>
    <w:rsid w:val="00136237"/>
    <w:rsid w:val="001367C0"/>
    <w:rsid w:val="0013745D"/>
    <w:rsid w:val="00137836"/>
    <w:rsid w:val="00137B7C"/>
    <w:rsid w:val="00137CC3"/>
    <w:rsid w:val="001401ED"/>
    <w:rsid w:val="00140210"/>
    <w:rsid w:val="00141A8C"/>
    <w:rsid w:val="00142131"/>
    <w:rsid w:val="00142C28"/>
    <w:rsid w:val="00143716"/>
    <w:rsid w:val="00144D51"/>
    <w:rsid w:val="00144F57"/>
    <w:rsid w:val="001458FE"/>
    <w:rsid w:val="00145FE0"/>
    <w:rsid w:val="00146159"/>
    <w:rsid w:val="00146607"/>
    <w:rsid w:val="0015050D"/>
    <w:rsid w:val="0015058A"/>
    <w:rsid w:val="0015092C"/>
    <w:rsid w:val="001515E0"/>
    <w:rsid w:val="00151780"/>
    <w:rsid w:val="00151EC2"/>
    <w:rsid w:val="00151FC2"/>
    <w:rsid w:val="0015204C"/>
    <w:rsid w:val="001529BC"/>
    <w:rsid w:val="00152BA2"/>
    <w:rsid w:val="001534D8"/>
    <w:rsid w:val="0015377C"/>
    <w:rsid w:val="00153A75"/>
    <w:rsid w:val="00154F04"/>
    <w:rsid w:val="0015546B"/>
    <w:rsid w:val="00155FD8"/>
    <w:rsid w:val="001561EC"/>
    <w:rsid w:val="001565F3"/>
    <w:rsid w:val="00156690"/>
    <w:rsid w:val="00156948"/>
    <w:rsid w:val="00156950"/>
    <w:rsid w:val="00156DDA"/>
    <w:rsid w:val="00156F51"/>
    <w:rsid w:val="001571A4"/>
    <w:rsid w:val="00160D8C"/>
    <w:rsid w:val="0016121F"/>
    <w:rsid w:val="00161562"/>
    <w:rsid w:val="00161684"/>
    <w:rsid w:val="00161A7A"/>
    <w:rsid w:val="001628CC"/>
    <w:rsid w:val="001632FB"/>
    <w:rsid w:val="00163561"/>
    <w:rsid w:val="001637CE"/>
    <w:rsid w:val="001638B9"/>
    <w:rsid w:val="00163976"/>
    <w:rsid w:val="00163E13"/>
    <w:rsid w:val="00164953"/>
    <w:rsid w:val="00164E63"/>
    <w:rsid w:val="00164E91"/>
    <w:rsid w:val="00165407"/>
    <w:rsid w:val="00165487"/>
    <w:rsid w:val="00166619"/>
    <w:rsid w:val="00166C28"/>
    <w:rsid w:val="00166C4F"/>
    <w:rsid w:val="00167192"/>
    <w:rsid w:val="001673F0"/>
    <w:rsid w:val="0016742F"/>
    <w:rsid w:val="00167F3C"/>
    <w:rsid w:val="001704C3"/>
    <w:rsid w:val="001708E1"/>
    <w:rsid w:val="00170D3A"/>
    <w:rsid w:val="00171149"/>
    <w:rsid w:val="00171B27"/>
    <w:rsid w:val="00172095"/>
    <w:rsid w:val="00172D55"/>
    <w:rsid w:val="00173BC3"/>
    <w:rsid w:val="00174763"/>
    <w:rsid w:val="00174EDE"/>
    <w:rsid w:val="001750BB"/>
    <w:rsid w:val="001754DC"/>
    <w:rsid w:val="00175603"/>
    <w:rsid w:val="00175812"/>
    <w:rsid w:val="00175F3B"/>
    <w:rsid w:val="00176153"/>
    <w:rsid w:val="00176830"/>
    <w:rsid w:val="00177648"/>
    <w:rsid w:val="00177936"/>
    <w:rsid w:val="00177BBB"/>
    <w:rsid w:val="00177CE4"/>
    <w:rsid w:val="00181DA8"/>
    <w:rsid w:val="0018246F"/>
    <w:rsid w:val="00182497"/>
    <w:rsid w:val="00183870"/>
    <w:rsid w:val="00184181"/>
    <w:rsid w:val="00184C72"/>
    <w:rsid w:val="00186B99"/>
    <w:rsid w:val="001876BE"/>
    <w:rsid w:val="00190256"/>
    <w:rsid w:val="001903A9"/>
    <w:rsid w:val="001905D2"/>
    <w:rsid w:val="00190B34"/>
    <w:rsid w:val="00190B42"/>
    <w:rsid w:val="00190E78"/>
    <w:rsid w:val="00191A5A"/>
    <w:rsid w:val="00192126"/>
    <w:rsid w:val="0019212C"/>
    <w:rsid w:val="00192594"/>
    <w:rsid w:val="001928F2"/>
    <w:rsid w:val="00192C9A"/>
    <w:rsid w:val="00193887"/>
    <w:rsid w:val="00193A06"/>
    <w:rsid w:val="00195B3A"/>
    <w:rsid w:val="00195BA3"/>
    <w:rsid w:val="00197210"/>
    <w:rsid w:val="00197D9F"/>
    <w:rsid w:val="00197E60"/>
    <w:rsid w:val="001A09BE"/>
    <w:rsid w:val="001A0C3D"/>
    <w:rsid w:val="001A0CA6"/>
    <w:rsid w:val="001A2412"/>
    <w:rsid w:val="001A2F04"/>
    <w:rsid w:val="001A3F3A"/>
    <w:rsid w:val="001A6DEA"/>
    <w:rsid w:val="001A7332"/>
    <w:rsid w:val="001A7411"/>
    <w:rsid w:val="001B00E3"/>
    <w:rsid w:val="001B0D49"/>
    <w:rsid w:val="001B0E8E"/>
    <w:rsid w:val="001B220F"/>
    <w:rsid w:val="001B258F"/>
    <w:rsid w:val="001B2819"/>
    <w:rsid w:val="001B32F4"/>
    <w:rsid w:val="001B3F38"/>
    <w:rsid w:val="001B4199"/>
    <w:rsid w:val="001B5654"/>
    <w:rsid w:val="001B5B0E"/>
    <w:rsid w:val="001B6BD8"/>
    <w:rsid w:val="001B6DE4"/>
    <w:rsid w:val="001B7017"/>
    <w:rsid w:val="001B7336"/>
    <w:rsid w:val="001B7689"/>
    <w:rsid w:val="001C0160"/>
    <w:rsid w:val="001C0258"/>
    <w:rsid w:val="001C084C"/>
    <w:rsid w:val="001C1632"/>
    <w:rsid w:val="001C1A9F"/>
    <w:rsid w:val="001C3AA2"/>
    <w:rsid w:val="001C3E6B"/>
    <w:rsid w:val="001C406D"/>
    <w:rsid w:val="001C43A1"/>
    <w:rsid w:val="001C4C3D"/>
    <w:rsid w:val="001C52B2"/>
    <w:rsid w:val="001C5312"/>
    <w:rsid w:val="001C5556"/>
    <w:rsid w:val="001C57AD"/>
    <w:rsid w:val="001C6599"/>
    <w:rsid w:val="001C6A61"/>
    <w:rsid w:val="001C6B44"/>
    <w:rsid w:val="001C75B2"/>
    <w:rsid w:val="001C7BE6"/>
    <w:rsid w:val="001D0809"/>
    <w:rsid w:val="001D0B10"/>
    <w:rsid w:val="001D2621"/>
    <w:rsid w:val="001D3401"/>
    <w:rsid w:val="001D3893"/>
    <w:rsid w:val="001D3AC7"/>
    <w:rsid w:val="001D3F2E"/>
    <w:rsid w:val="001D4A55"/>
    <w:rsid w:val="001D4B82"/>
    <w:rsid w:val="001D4F9A"/>
    <w:rsid w:val="001D5036"/>
    <w:rsid w:val="001D6224"/>
    <w:rsid w:val="001D6C71"/>
    <w:rsid w:val="001D6DB2"/>
    <w:rsid w:val="001D7138"/>
    <w:rsid w:val="001D7F52"/>
    <w:rsid w:val="001E0571"/>
    <w:rsid w:val="001E083F"/>
    <w:rsid w:val="001E0987"/>
    <w:rsid w:val="001E0E52"/>
    <w:rsid w:val="001E1696"/>
    <w:rsid w:val="001E1743"/>
    <w:rsid w:val="001E1CA8"/>
    <w:rsid w:val="001E1D04"/>
    <w:rsid w:val="001E2217"/>
    <w:rsid w:val="001E29A2"/>
    <w:rsid w:val="001E2B3A"/>
    <w:rsid w:val="001E37DE"/>
    <w:rsid w:val="001E3D50"/>
    <w:rsid w:val="001E45E7"/>
    <w:rsid w:val="001E5090"/>
    <w:rsid w:val="001E5295"/>
    <w:rsid w:val="001E58C1"/>
    <w:rsid w:val="001E5A74"/>
    <w:rsid w:val="001E62F2"/>
    <w:rsid w:val="001E6B9C"/>
    <w:rsid w:val="001E76C3"/>
    <w:rsid w:val="001F0A51"/>
    <w:rsid w:val="001F0AB8"/>
    <w:rsid w:val="001F16BD"/>
    <w:rsid w:val="001F18A3"/>
    <w:rsid w:val="001F285F"/>
    <w:rsid w:val="001F29AF"/>
    <w:rsid w:val="001F2E13"/>
    <w:rsid w:val="001F40FF"/>
    <w:rsid w:val="001F4BD7"/>
    <w:rsid w:val="001F6066"/>
    <w:rsid w:val="001F690A"/>
    <w:rsid w:val="001F6D4D"/>
    <w:rsid w:val="001F7883"/>
    <w:rsid w:val="001F7F5D"/>
    <w:rsid w:val="00200018"/>
    <w:rsid w:val="00200060"/>
    <w:rsid w:val="00200EC8"/>
    <w:rsid w:val="00201E41"/>
    <w:rsid w:val="00202554"/>
    <w:rsid w:val="0020275C"/>
    <w:rsid w:val="00202A17"/>
    <w:rsid w:val="00202D4B"/>
    <w:rsid w:val="00203AC8"/>
    <w:rsid w:val="00204A6A"/>
    <w:rsid w:val="00204C61"/>
    <w:rsid w:val="002054B1"/>
    <w:rsid w:val="002057A5"/>
    <w:rsid w:val="002059A1"/>
    <w:rsid w:val="00205A53"/>
    <w:rsid w:val="00205DE5"/>
    <w:rsid w:val="0020621C"/>
    <w:rsid w:val="0020650B"/>
    <w:rsid w:val="0020660D"/>
    <w:rsid w:val="00206B37"/>
    <w:rsid w:val="00207853"/>
    <w:rsid w:val="00207B9A"/>
    <w:rsid w:val="00210934"/>
    <w:rsid w:val="00211F5C"/>
    <w:rsid w:val="00212305"/>
    <w:rsid w:val="00212EF0"/>
    <w:rsid w:val="00213412"/>
    <w:rsid w:val="002139B2"/>
    <w:rsid w:val="00214138"/>
    <w:rsid w:val="00214ABA"/>
    <w:rsid w:val="002154E6"/>
    <w:rsid w:val="00215CEC"/>
    <w:rsid w:val="00217201"/>
    <w:rsid w:val="00217F52"/>
    <w:rsid w:val="002207CC"/>
    <w:rsid w:val="00220D77"/>
    <w:rsid w:val="00220E50"/>
    <w:rsid w:val="00221E16"/>
    <w:rsid w:val="002246FB"/>
    <w:rsid w:val="002249E4"/>
    <w:rsid w:val="00224D8A"/>
    <w:rsid w:val="00225909"/>
    <w:rsid w:val="00225BD5"/>
    <w:rsid w:val="00225CC0"/>
    <w:rsid w:val="002262F5"/>
    <w:rsid w:val="00226A9B"/>
    <w:rsid w:val="002277E7"/>
    <w:rsid w:val="00227A45"/>
    <w:rsid w:val="00230905"/>
    <w:rsid w:val="00231825"/>
    <w:rsid w:val="00232D6A"/>
    <w:rsid w:val="002336C9"/>
    <w:rsid w:val="0023419B"/>
    <w:rsid w:val="002341E1"/>
    <w:rsid w:val="00235682"/>
    <w:rsid w:val="002361D7"/>
    <w:rsid w:val="002409F9"/>
    <w:rsid w:val="00241625"/>
    <w:rsid w:val="00241717"/>
    <w:rsid w:val="00241759"/>
    <w:rsid w:val="00241ABF"/>
    <w:rsid w:val="00242F81"/>
    <w:rsid w:val="00242FC9"/>
    <w:rsid w:val="002434B4"/>
    <w:rsid w:val="002434DF"/>
    <w:rsid w:val="00243D57"/>
    <w:rsid w:val="0024409B"/>
    <w:rsid w:val="002464FB"/>
    <w:rsid w:val="002468CC"/>
    <w:rsid w:val="002470AE"/>
    <w:rsid w:val="002472A6"/>
    <w:rsid w:val="002479A4"/>
    <w:rsid w:val="002502A0"/>
    <w:rsid w:val="00250736"/>
    <w:rsid w:val="00250DA6"/>
    <w:rsid w:val="00251930"/>
    <w:rsid w:val="00252201"/>
    <w:rsid w:val="00253092"/>
    <w:rsid w:val="00253C8E"/>
    <w:rsid w:val="00253E8B"/>
    <w:rsid w:val="00253F91"/>
    <w:rsid w:val="00255214"/>
    <w:rsid w:val="00256896"/>
    <w:rsid w:val="00256C9B"/>
    <w:rsid w:val="002571C5"/>
    <w:rsid w:val="00257385"/>
    <w:rsid w:val="00257BD9"/>
    <w:rsid w:val="00257C0E"/>
    <w:rsid w:val="002602B3"/>
    <w:rsid w:val="00260412"/>
    <w:rsid w:val="00260E2E"/>
    <w:rsid w:val="002611F6"/>
    <w:rsid w:val="0026145F"/>
    <w:rsid w:val="002619B2"/>
    <w:rsid w:val="00262733"/>
    <w:rsid w:val="00263178"/>
    <w:rsid w:val="0026330A"/>
    <w:rsid w:val="002640DD"/>
    <w:rsid w:val="002650B2"/>
    <w:rsid w:val="002657E0"/>
    <w:rsid w:val="002664FD"/>
    <w:rsid w:val="00267304"/>
    <w:rsid w:val="002702EF"/>
    <w:rsid w:val="00270867"/>
    <w:rsid w:val="002708A5"/>
    <w:rsid w:val="00271DB1"/>
    <w:rsid w:val="00272668"/>
    <w:rsid w:val="00272BA0"/>
    <w:rsid w:val="00273025"/>
    <w:rsid w:val="00273365"/>
    <w:rsid w:val="00273A41"/>
    <w:rsid w:val="00274EEB"/>
    <w:rsid w:val="00274F41"/>
    <w:rsid w:val="002751FE"/>
    <w:rsid w:val="002760EA"/>
    <w:rsid w:val="002766A7"/>
    <w:rsid w:val="00277122"/>
    <w:rsid w:val="0027713D"/>
    <w:rsid w:val="002779FC"/>
    <w:rsid w:val="00277BE5"/>
    <w:rsid w:val="00280158"/>
    <w:rsid w:val="00280177"/>
    <w:rsid w:val="0028021A"/>
    <w:rsid w:val="0028153B"/>
    <w:rsid w:val="00281BF9"/>
    <w:rsid w:val="00281C46"/>
    <w:rsid w:val="002838E2"/>
    <w:rsid w:val="0028394D"/>
    <w:rsid w:val="00285619"/>
    <w:rsid w:val="00285C6F"/>
    <w:rsid w:val="00285EA7"/>
    <w:rsid w:val="00285ED4"/>
    <w:rsid w:val="00286A63"/>
    <w:rsid w:val="0028701B"/>
    <w:rsid w:val="002879CB"/>
    <w:rsid w:val="00287AFD"/>
    <w:rsid w:val="00287FB7"/>
    <w:rsid w:val="002905EC"/>
    <w:rsid w:val="00290C9F"/>
    <w:rsid w:val="0029120E"/>
    <w:rsid w:val="00292B5A"/>
    <w:rsid w:val="002936B5"/>
    <w:rsid w:val="00294A20"/>
    <w:rsid w:val="002952B3"/>
    <w:rsid w:val="00295480"/>
    <w:rsid w:val="00297E5F"/>
    <w:rsid w:val="00297F14"/>
    <w:rsid w:val="002A07E1"/>
    <w:rsid w:val="002A089C"/>
    <w:rsid w:val="002A13EB"/>
    <w:rsid w:val="002A1525"/>
    <w:rsid w:val="002A1FB3"/>
    <w:rsid w:val="002A26B0"/>
    <w:rsid w:val="002A3E4B"/>
    <w:rsid w:val="002A3F08"/>
    <w:rsid w:val="002A4066"/>
    <w:rsid w:val="002A507D"/>
    <w:rsid w:val="002A52D3"/>
    <w:rsid w:val="002A62D9"/>
    <w:rsid w:val="002A6842"/>
    <w:rsid w:val="002A6EB8"/>
    <w:rsid w:val="002B0BDD"/>
    <w:rsid w:val="002B0EC2"/>
    <w:rsid w:val="002B1766"/>
    <w:rsid w:val="002B191F"/>
    <w:rsid w:val="002B1CDD"/>
    <w:rsid w:val="002B259C"/>
    <w:rsid w:val="002B412B"/>
    <w:rsid w:val="002B495B"/>
    <w:rsid w:val="002B4FE4"/>
    <w:rsid w:val="002B594E"/>
    <w:rsid w:val="002B6207"/>
    <w:rsid w:val="002B6581"/>
    <w:rsid w:val="002B666C"/>
    <w:rsid w:val="002B69AA"/>
    <w:rsid w:val="002B7E00"/>
    <w:rsid w:val="002C0CBC"/>
    <w:rsid w:val="002C1BC3"/>
    <w:rsid w:val="002C1C29"/>
    <w:rsid w:val="002C2428"/>
    <w:rsid w:val="002C29F6"/>
    <w:rsid w:val="002C2CB8"/>
    <w:rsid w:val="002C2D59"/>
    <w:rsid w:val="002C3321"/>
    <w:rsid w:val="002C4F72"/>
    <w:rsid w:val="002C6B88"/>
    <w:rsid w:val="002C6EA0"/>
    <w:rsid w:val="002C71C2"/>
    <w:rsid w:val="002D1298"/>
    <w:rsid w:val="002D1C23"/>
    <w:rsid w:val="002D27C1"/>
    <w:rsid w:val="002D2CF9"/>
    <w:rsid w:val="002D2D24"/>
    <w:rsid w:val="002D3B54"/>
    <w:rsid w:val="002D3D9D"/>
    <w:rsid w:val="002D42E0"/>
    <w:rsid w:val="002D42F5"/>
    <w:rsid w:val="002D5C1F"/>
    <w:rsid w:val="002D5D0B"/>
    <w:rsid w:val="002D6829"/>
    <w:rsid w:val="002D73C0"/>
    <w:rsid w:val="002D7841"/>
    <w:rsid w:val="002D79A8"/>
    <w:rsid w:val="002E0041"/>
    <w:rsid w:val="002E1035"/>
    <w:rsid w:val="002E10F4"/>
    <w:rsid w:val="002E12A1"/>
    <w:rsid w:val="002E150B"/>
    <w:rsid w:val="002E169E"/>
    <w:rsid w:val="002E1A0D"/>
    <w:rsid w:val="002E1E9D"/>
    <w:rsid w:val="002E2023"/>
    <w:rsid w:val="002E278D"/>
    <w:rsid w:val="002E2DA4"/>
    <w:rsid w:val="002E3E65"/>
    <w:rsid w:val="002E3F43"/>
    <w:rsid w:val="002E4765"/>
    <w:rsid w:val="002E48FE"/>
    <w:rsid w:val="002E50A5"/>
    <w:rsid w:val="002E5DEA"/>
    <w:rsid w:val="002E7F6E"/>
    <w:rsid w:val="002F0504"/>
    <w:rsid w:val="002F1181"/>
    <w:rsid w:val="002F11EC"/>
    <w:rsid w:val="002F17F5"/>
    <w:rsid w:val="002F1F91"/>
    <w:rsid w:val="002F267B"/>
    <w:rsid w:val="002F2816"/>
    <w:rsid w:val="002F2838"/>
    <w:rsid w:val="002F29E3"/>
    <w:rsid w:val="002F30A3"/>
    <w:rsid w:val="002F505D"/>
    <w:rsid w:val="002F5572"/>
    <w:rsid w:val="002F5ACB"/>
    <w:rsid w:val="002F7540"/>
    <w:rsid w:val="002F78BD"/>
    <w:rsid w:val="00300268"/>
    <w:rsid w:val="0030085F"/>
    <w:rsid w:val="0030118F"/>
    <w:rsid w:val="003012A4"/>
    <w:rsid w:val="0030174C"/>
    <w:rsid w:val="003022E7"/>
    <w:rsid w:val="00303746"/>
    <w:rsid w:val="00304269"/>
    <w:rsid w:val="00304AFD"/>
    <w:rsid w:val="00304B12"/>
    <w:rsid w:val="00304FAE"/>
    <w:rsid w:val="003050D3"/>
    <w:rsid w:val="0030682E"/>
    <w:rsid w:val="00306B15"/>
    <w:rsid w:val="00306CD2"/>
    <w:rsid w:val="00306F8C"/>
    <w:rsid w:val="0030716F"/>
    <w:rsid w:val="00307341"/>
    <w:rsid w:val="00307851"/>
    <w:rsid w:val="003079A4"/>
    <w:rsid w:val="00311207"/>
    <w:rsid w:val="0031133F"/>
    <w:rsid w:val="00312E77"/>
    <w:rsid w:val="00313235"/>
    <w:rsid w:val="00313C78"/>
    <w:rsid w:val="00313FCF"/>
    <w:rsid w:val="00315360"/>
    <w:rsid w:val="00315515"/>
    <w:rsid w:val="00315919"/>
    <w:rsid w:val="0031610B"/>
    <w:rsid w:val="0031631B"/>
    <w:rsid w:val="003166B0"/>
    <w:rsid w:val="00316E57"/>
    <w:rsid w:val="003174F5"/>
    <w:rsid w:val="00317A46"/>
    <w:rsid w:val="00317FB4"/>
    <w:rsid w:val="00320377"/>
    <w:rsid w:val="003203A3"/>
    <w:rsid w:val="00320F55"/>
    <w:rsid w:val="00321528"/>
    <w:rsid w:val="003224F3"/>
    <w:rsid w:val="00322DEF"/>
    <w:rsid w:val="00323B0E"/>
    <w:rsid w:val="00324D71"/>
    <w:rsid w:val="003270E5"/>
    <w:rsid w:val="0032715A"/>
    <w:rsid w:val="0032769D"/>
    <w:rsid w:val="003308F5"/>
    <w:rsid w:val="00331514"/>
    <w:rsid w:val="00331539"/>
    <w:rsid w:val="00332126"/>
    <w:rsid w:val="00332241"/>
    <w:rsid w:val="00332AF3"/>
    <w:rsid w:val="0033305E"/>
    <w:rsid w:val="00333AFA"/>
    <w:rsid w:val="00333BA4"/>
    <w:rsid w:val="00334912"/>
    <w:rsid w:val="00334A2E"/>
    <w:rsid w:val="00336663"/>
    <w:rsid w:val="00336FB4"/>
    <w:rsid w:val="003372C2"/>
    <w:rsid w:val="00337810"/>
    <w:rsid w:val="00337E76"/>
    <w:rsid w:val="00341096"/>
    <w:rsid w:val="003413BA"/>
    <w:rsid w:val="003425CE"/>
    <w:rsid w:val="0034290C"/>
    <w:rsid w:val="00342CE1"/>
    <w:rsid w:val="00342DDE"/>
    <w:rsid w:val="003433FB"/>
    <w:rsid w:val="0034394E"/>
    <w:rsid w:val="00343F83"/>
    <w:rsid w:val="003442B0"/>
    <w:rsid w:val="003449E7"/>
    <w:rsid w:val="00344A6C"/>
    <w:rsid w:val="00344F38"/>
    <w:rsid w:val="00345151"/>
    <w:rsid w:val="003451F4"/>
    <w:rsid w:val="00347E49"/>
    <w:rsid w:val="003505B0"/>
    <w:rsid w:val="0035060E"/>
    <w:rsid w:val="00351343"/>
    <w:rsid w:val="00352283"/>
    <w:rsid w:val="003526C5"/>
    <w:rsid w:val="00352ABD"/>
    <w:rsid w:val="00352B5C"/>
    <w:rsid w:val="003530FE"/>
    <w:rsid w:val="003539FB"/>
    <w:rsid w:val="00353B5A"/>
    <w:rsid w:val="00354362"/>
    <w:rsid w:val="00355E44"/>
    <w:rsid w:val="003567C7"/>
    <w:rsid w:val="00356864"/>
    <w:rsid w:val="0035744E"/>
    <w:rsid w:val="003575D8"/>
    <w:rsid w:val="00357689"/>
    <w:rsid w:val="003607CA"/>
    <w:rsid w:val="00360C48"/>
    <w:rsid w:val="00360C9A"/>
    <w:rsid w:val="00363CFA"/>
    <w:rsid w:val="00363EC2"/>
    <w:rsid w:val="0036415E"/>
    <w:rsid w:val="0036416F"/>
    <w:rsid w:val="00364936"/>
    <w:rsid w:val="00364EC7"/>
    <w:rsid w:val="00365BF8"/>
    <w:rsid w:val="003666F7"/>
    <w:rsid w:val="0036694D"/>
    <w:rsid w:val="00366F01"/>
    <w:rsid w:val="00367402"/>
    <w:rsid w:val="00371187"/>
    <w:rsid w:val="00371B33"/>
    <w:rsid w:val="00372136"/>
    <w:rsid w:val="003721C1"/>
    <w:rsid w:val="00372506"/>
    <w:rsid w:val="00372581"/>
    <w:rsid w:val="00372724"/>
    <w:rsid w:val="00372B89"/>
    <w:rsid w:val="00372CF4"/>
    <w:rsid w:val="003746CD"/>
    <w:rsid w:val="00374EE5"/>
    <w:rsid w:val="00375B22"/>
    <w:rsid w:val="00375F5D"/>
    <w:rsid w:val="00376E2A"/>
    <w:rsid w:val="003800CA"/>
    <w:rsid w:val="003800EF"/>
    <w:rsid w:val="00381A5B"/>
    <w:rsid w:val="00381D2D"/>
    <w:rsid w:val="00381DF4"/>
    <w:rsid w:val="00382350"/>
    <w:rsid w:val="003824BF"/>
    <w:rsid w:val="00382507"/>
    <w:rsid w:val="00382A28"/>
    <w:rsid w:val="00382DEC"/>
    <w:rsid w:val="0038483F"/>
    <w:rsid w:val="00386504"/>
    <w:rsid w:val="003868F1"/>
    <w:rsid w:val="00386F3D"/>
    <w:rsid w:val="00386FCC"/>
    <w:rsid w:val="0039033F"/>
    <w:rsid w:val="003905CC"/>
    <w:rsid w:val="00390CDB"/>
    <w:rsid w:val="00392ECF"/>
    <w:rsid w:val="00393373"/>
    <w:rsid w:val="00394C66"/>
    <w:rsid w:val="00395AE7"/>
    <w:rsid w:val="00395EDF"/>
    <w:rsid w:val="00396877"/>
    <w:rsid w:val="00396A1E"/>
    <w:rsid w:val="00397008"/>
    <w:rsid w:val="00397550"/>
    <w:rsid w:val="0039774F"/>
    <w:rsid w:val="00397C6A"/>
    <w:rsid w:val="00397E44"/>
    <w:rsid w:val="003A00D4"/>
    <w:rsid w:val="003A0BD4"/>
    <w:rsid w:val="003A0C7C"/>
    <w:rsid w:val="003A1F13"/>
    <w:rsid w:val="003A2056"/>
    <w:rsid w:val="003A2A98"/>
    <w:rsid w:val="003A3006"/>
    <w:rsid w:val="003A3116"/>
    <w:rsid w:val="003A32AD"/>
    <w:rsid w:val="003A4763"/>
    <w:rsid w:val="003A5A8C"/>
    <w:rsid w:val="003A5B20"/>
    <w:rsid w:val="003A5E29"/>
    <w:rsid w:val="003A6763"/>
    <w:rsid w:val="003B0114"/>
    <w:rsid w:val="003B0521"/>
    <w:rsid w:val="003B0BBE"/>
    <w:rsid w:val="003B12E1"/>
    <w:rsid w:val="003B19DD"/>
    <w:rsid w:val="003B1F28"/>
    <w:rsid w:val="003B1F6C"/>
    <w:rsid w:val="003B2706"/>
    <w:rsid w:val="003B2F85"/>
    <w:rsid w:val="003B3264"/>
    <w:rsid w:val="003B34E3"/>
    <w:rsid w:val="003B3A25"/>
    <w:rsid w:val="003B436F"/>
    <w:rsid w:val="003B43A4"/>
    <w:rsid w:val="003B46E5"/>
    <w:rsid w:val="003B50BA"/>
    <w:rsid w:val="003B533A"/>
    <w:rsid w:val="003B6519"/>
    <w:rsid w:val="003B67C1"/>
    <w:rsid w:val="003B6F11"/>
    <w:rsid w:val="003C03BB"/>
    <w:rsid w:val="003C0D7E"/>
    <w:rsid w:val="003C0E03"/>
    <w:rsid w:val="003C12C4"/>
    <w:rsid w:val="003C1769"/>
    <w:rsid w:val="003C2149"/>
    <w:rsid w:val="003C23EF"/>
    <w:rsid w:val="003C336A"/>
    <w:rsid w:val="003C3C6F"/>
    <w:rsid w:val="003C4094"/>
    <w:rsid w:val="003C63FF"/>
    <w:rsid w:val="003C648E"/>
    <w:rsid w:val="003C6C62"/>
    <w:rsid w:val="003C7615"/>
    <w:rsid w:val="003C7A2D"/>
    <w:rsid w:val="003C7FB9"/>
    <w:rsid w:val="003D021D"/>
    <w:rsid w:val="003D05D7"/>
    <w:rsid w:val="003D08AA"/>
    <w:rsid w:val="003D0934"/>
    <w:rsid w:val="003D0DEC"/>
    <w:rsid w:val="003D10F8"/>
    <w:rsid w:val="003D157B"/>
    <w:rsid w:val="003D19CB"/>
    <w:rsid w:val="003D1C59"/>
    <w:rsid w:val="003D26BB"/>
    <w:rsid w:val="003D2EB0"/>
    <w:rsid w:val="003D3461"/>
    <w:rsid w:val="003D3F09"/>
    <w:rsid w:val="003D4264"/>
    <w:rsid w:val="003D4B9F"/>
    <w:rsid w:val="003D5714"/>
    <w:rsid w:val="003D67AF"/>
    <w:rsid w:val="003E033F"/>
    <w:rsid w:val="003E2168"/>
    <w:rsid w:val="003E3069"/>
    <w:rsid w:val="003E4813"/>
    <w:rsid w:val="003E4D54"/>
    <w:rsid w:val="003E5C1A"/>
    <w:rsid w:val="003E5CBF"/>
    <w:rsid w:val="003E638D"/>
    <w:rsid w:val="003E69C0"/>
    <w:rsid w:val="003F009D"/>
    <w:rsid w:val="003F023C"/>
    <w:rsid w:val="003F0537"/>
    <w:rsid w:val="003F0619"/>
    <w:rsid w:val="003F0AAF"/>
    <w:rsid w:val="003F0B60"/>
    <w:rsid w:val="003F1DA7"/>
    <w:rsid w:val="003F1F00"/>
    <w:rsid w:val="003F253F"/>
    <w:rsid w:val="003F26EA"/>
    <w:rsid w:val="003F341E"/>
    <w:rsid w:val="003F7631"/>
    <w:rsid w:val="003F7F3E"/>
    <w:rsid w:val="00400543"/>
    <w:rsid w:val="0040080D"/>
    <w:rsid w:val="00400ADB"/>
    <w:rsid w:val="004013C1"/>
    <w:rsid w:val="00401DE8"/>
    <w:rsid w:val="00401F0C"/>
    <w:rsid w:val="004033FD"/>
    <w:rsid w:val="00403987"/>
    <w:rsid w:val="00403B5B"/>
    <w:rsid w:val="0040459F"/>
    <w:rsid w:val="0040496A"/>
    <w:rsid w:val="0040531C"/>
    <w:rsid w:val="00405898"/>
    <w:rsid w:val="004059A4"/>
    <w:rsid w:val="00406A61"/>
    <w:rsid w:val="00406C63"/>
    <w:rsid w:val="004074CB"/>
    <w:rsid w:val="00407F4A"/>
    <w:rsid w:val="00413A6B"/>
    <w:rsid w:val="00413AC7"/>
    <w:rsid w:val="0041482E"/>
    <w:rsid w:val="0041616A"/>
    <w:rsid w:val="004161F4"/>
    <w:rsid w:val="00416354"/>
    <w:rsid w:val="004178BB"/>
    <w:rsid w:val="00417D0D"/>
    <w:rsid w:val="00420118"/>
    <w:rsid w:val="00420184"/>
    <w:rsid w:val="004201AF"/>
    <w:rsid w:val="00420254"/>
    <w:rsid w:val="00420E15"/>
    <w:rsid w:val="00421113"/>
    <w:rsid w:val="00421486"/>
    <w:rsid w:val="00421A2E"/>
    <w:rsid w:val="00422339"/>
    <w:rsid w:val="0042328C"/>
    <w:rsid w:val="00424885"/>
    <w:rsid w:val="00424CF3"/>
    <w:rsid w:val="00424D30"/>
    <w:rsid w:val="0042575C"/>
    <w:rsid w:val="004260DE"/>
    <w:rsid w:val="00426D52"/>
    <w:rsid w:val="00430491"/>
    <w:rsid w:val="00430DAE"/>
    <w:rsid w:val="00431318"/>
    <w:rsid w:val="004315DA"/>
    <w:rsid w:val="00431953"/>
    <w:rsid w:val="0043257A"/>
    <w:rsid w:val="004327CB"/>
    <w:rsid w:val="004334B2"/>
    <w:rsid w:val="00433623"/>
    <w:rsid w:val="00433696"/>
    <w:rsid w:val="00433A8F"/>
    <w:rsid w:val="00433D09"/>
    <w:rsid w:val="004347D5"/>
    <w:rsid w:val="00434955"/>
    <w:rsid w:val="004357BD"/>
    <w:rsid w:val="00435F9D"/>
    <w:rsid w:val="00435FDC"/>
    <w:rsid w:val="004365AE"/>
    <w:rsid w:val="00436746"/>
    <w:rsid w:val="004371CE"/>
    <w:rsid w:val="00437317"/>
    <w:rsid w:val="004406C3"/>
    <w:rsid w:val="00440CA1"/>
    <w:rsid w:val="0044111A"/>
    <w:rsid w:val="00441D33"/>
    <w:rsid w:val="00442500"/>
    <w:rsid w:val="004428C1"/>
    <w:rsid w:val="0044337F"/>
    <w:rsid w:val="00445151"/>
    <w:rsid w:val="0044518E"/>
    <w:rsid w:val="0044584D"/>
    <w:rsid w:val="004464B4"/>
    <w:rsid w:val="00446531"/>
    <w:rsid w:val="00446731"/>
    <w:rsid w:val="00447344"/>
    <w:rsid w:val="0044770D"/>
    <w:rsid w:val="00447DA5"/>
    <w:rsid w:val="00450756"/>
    <w:rsid w:val="004509D1"/>
    <w:rsid w:val="00450B72"/>
    <w:rsid w:val="00450E4F"/>
    <w:rsid w:val="004515EB"/>
    <w:rsid w:val="00451F72"/>
    <w:rsid w:val="0045261E"/>
    <w:rsid w:val="00452DDC"/>
    <w:rsid w:val="00452F40"/>
    <w:rsid w:val="00453416"/>
    <w:rsid w:val="00454EF6"/>
    <w:rsid w:val="0045539C"/>
    <w:rsid w:val="004560BE"/>
    <w:rsid w:val="004564DF"/>
    <w:rsid w:val="00457ACE"/>
    <w:rsid w:val="00457B45"/>
    <w:rsid w:val="0046165D"/>
    <w:rsid w:val="00462AC3"/>
    <w:rsid w:val="00462E4F"/>
    <w:rsid w:val="004631B0"/>
    <w:rsid w:val="004632B8"/>
    <w:rsid w:val="00463A3F"/>
    <w:rsid w:val="00463B5D"/>
    <w:rsid w:val="00463C4E"/>
    <w:rsid w:val="00464063"/>
    <w:rsid w:val="004642B2"/>
    <w:rsid w:val="0046553E"/>
    <w:rsid w:val="0046588B"/>
    <w:rsid w:val="0046595D"/>
    <w:rsid w:val="00467484"/>
    <w:rsid w:val="00467655"/>
    <w:rsid w:val="00467DE9"/>
    <w:rsid w:val="004709B2"/>
    <w:rsid w:val="00470A2E"/>
    <w:rsid w:val="0047125D"/>
    <w:rsid w:val="004716CF"/>
    <w:rsid w:val="00472F8E"/>
    <w:rsid w:val="00473226"/>
    <w:rsid w:val="004749C5"/>
    <w:rsid w:val="00474D58"/>
    <w:rsid w:val="004759AF"/>
    <w:rsid w:val="00475DA4"/>
    <w:rsid w:val="00476136"/>
    <w:rsid w:val="004761C1"/>
    <w:rsid w:val="004766F7"/>
    <w:rsid w:val="00476712"/>
    <w:rsid w:val="00480119"/>
    <w:rsid w:val="004801E9"/>
    <w:rsid w:val="00480481"/>
    <w:rsid w:val="00480F46"/>
    <w:rsid w:val="004810B6"/>
    <w:rsid w:val="004823F0"/>
    <w:rsid w:val="00482505"/>
    <w:rsid w:val="00482964"/>
    <w:rsid w:val="00483F1B"/>
    <w:rsid w:val="00483F45"/>
    <w:rsid w:val="0048454B"/>
    <w:rsid w:val="00484981"/>
    <w:rsid w:val="00484985"/>
    <w:rsid w:val="00485573"/>
    <w:rsid w:val="00485E6B"/>
    <w:rsid w:val="0048616F"/>
    <w:rsid w:val="004871B2"/>
    <w:rsid w:val="004873CC"/>
    <w:rsid w:val="00487BDF"/>
    <w:rsid w:val="0049000B"/>
    <w:rsid w:val="00490706"/>
    <w:rsid w:val="0049070E"/>
    <w:rsid w:val="00490797"/>
    <w:rsid w:val="0049080D"/>
    <w:rsid w:val="00490C62"/>
    <w:rsid w:val="004912BD"/>
    <w:rsid w:val="00491A5A"/>
    <w:rsid w:val="00492A90"/>
    <w:rsid w:val="0049390B"/>
    <w:rsid w:val="00493B2C"/>
    <w:rsid w:val="00493B92"/>
    <w:rsid w:val="00493D93"/>
    <w:rsid w:val="00493FDE"/>
    <w:rsid w:val="004945A5"/>
    <w:rsid w:val="0049493D"/>
    <w:rsid w:val="00494ACF"/>
    <w:rsid w:val="004956CF"/>
    <w:rsid w:val="0049656F"/>
    <w:rsid w:val="0049671C"/>
    <w:rsid w:val="00496A6D"/>
    <w:rsid w:val="00497BC6"/>
    <w:rsid w:val="00497E96"/>
    <w:rsid w:val="004A093C"/>
    <w:rsid w:val="004A1040"/>
    <w:rsid w:val="004A15C6"/>
    <w:rsid w:val="004A1764"/>
    <w:rsid w:val="004A22DA"/>
    <w:rsid w:val="004A4EA8"/>
    <w:rsid w:val="004A5F6A"/>
    <w:rsid w:val="004A66B5"/>
    <w:rsid w:val="004A6F3C"/>
    <w:rsid w:val="004A77E2"/>
    <w:rsid w:val="004A7919"/>
    <w:rsid w:val="004B039D"/>
    <w:rsid w:val="004B1483"/>
    <w:rsid w:val="004B181B"/>
    <w:rsid w:val="004B1FBC"/>
    <w:rsid w:val="004B3D87"/>
    <w:rsid w:val="004B4BEC"/>
    <w:rsid w:val="004B5472"/>
    <w:rsid w:val="004B5669"/>
    <w:rsid w:val="004B5AF6"/>
    <w:rsid w:val="004B6232"/>
    <w:rsid w:val="004B628B"/>
    <w:rsid w:val="004B7326"/>
    <w:rsid w:val="004C05C5"/>
    <w:rsid w:val="004C110C"/>
    <w:rsid w:val="004C1C94"/>
    <w:rsid w:val="004C32F6"/>
    <w:rsid w:val="004C3C2A"/>
    <w:rsid w:val="004C410C"/>
    <w:rsid w:val="004C413B"/>
    <w:rsid w:val="004C5E1A"/>
    <w:rsid w:val="004C6E9D"/>
    <w:rsid w:val="004C7401"/>
    <w:rsid w:val="004C7EAE"/>
    <w:rsid w:val="004D0A7F"/>
    <w:rsid w:val="004D0E85"/>
    <w:rsid w:val="004D1645"/>
    <w:rsid w:val="004D1E96"/>
    <w:rsid w:val="004D3008"/>
    <w:rsid w:val="004D335F"/>
    <w:rsid w:val="004D3F13"/>
    <w:rsid w:val="004D4F57"/>
    <w:rsid w:val="004D6295"/>
    <w:rsid w:val="004D7D57"/>
    <w:rsid w:val="004E11BD"/>
    <w:rsid w:val="004E1F61"/>
    <w:rsid w:val="004E2A7F"/>
    <w:rsid w:val="004E3480"/>
    <w:rsid w:val="004E3B5A"/>
    <w:rsid w:val="004E4846"/>
    <w:rsid w:val="004E5183"/>
    <w:rsid w:val="004E5218"/>
    <w:rsid w:val="004E5497"/>
    <w:rsid w:val="004E563E"/>
    <w:rsid w:val="004E5A9B"/>
    <w:rsid w:val="004E5FBE"/>
    <w:rsid w:val="004E646B"/>
    <w:rsid w:val="004E65D5"/>
    <w:rsid w:val="004E6C53"/>
    <w:rsid w:val="004E6DF9"/>
    <w:rsid w:val="004E6EB1"/>
    <w:rsid w:val="004E76CB"/>
    <w:rsid w:val="004E7A92"/>
    <w:rsid w:val="004F17AC"/>
    <w:rsid w:val="004F234A"/>
    <w:rsid w:val="004F23A9"/>
    <w:rsid w:val="004F294C"/>
    <w:rsid w:val="004F29C7"/>
    <w:rsid w:val="004F2DC8"/>
    <w:rsid w:val="004F3395"/>
    <w:rsid w:val="004F43A9"/>
    <w:rsid w:val="004F4842"/>
    <w:rsid w:val="004F5127"/>
    <w:rsid w:val="004F5220"/>
    <w:rsid w:val="004F5A27"/>
    <w:rsid w:val="004F6134"/>
    <w:rsid w:val="004F6C68"/>
    <w:rsid w:val="004F78EE"/>
    <w:rsid w:val="004F7CF1"/>
    <w:rsid w:val="00500131"/>
    <w:rsid w:val="005016EE"/>
    <w:rsid w:val="00501C29"/>
    <w:rsid w:val="005020DC"/>
    <w:rsid w:val="005021A2"/>
    <w:rsid w:val="005038FD"/>
    <w:rsid w:val="00503F17"/>
    <w:rsid w:val="00504170"/>
    <w:rsid w:val="0050448E"/>
    <w:rsid w:val="0050449E"/>
    <w:rsid w:val="00504734"/>
    <w:rsid w:val="00504E78"/>
    <w:rsid w:val="00505A32"/>
    <w:rsid w:val="00506461"/>
    <w:rsid w:val="005065BC"/>
    <w:rsid w:val="005065FD"/>
    <w:rsid w:val="00506A91"/>
    <w:rsid w:val="005074CB"/>
    <w:rsid w:val="005076AC"/>
    <w:rsid w:val="00507EA8"/>
    <w:rsid w:val="005109AF"/>
    <w:rsid w:val="00510FD2"/>
    <w:rsid w:val="00511060"/>
    <w:rsid w:val="005119DF"/>
    <w:rsid w:val="00511EAE"/>
    <w:rsid w:val="00513019"/>
    <w:rsid w:val="005130AF"/>
    <w:rsid w:val="005138E2"/>
    <w:rsid w:val="00514586"/>
    <w:rsid w:val="00514A05"/>
    <w:rsid w:val="00514ADD"/>
    <w:rsid w:val="0051647E"/>
    <w:rsid w:val="0051672E"/>
    <w:rsid w:val="005171BF"/>
    <w:rsid w:val="005172F0"/>
    <w:rsid w:val="005173D3"/>
    <w:rsid w:val="005175B2"/>
    <w:rsid w:val="00517679"/>
    <w:rsid w:val="00517A10"/>
    <w:rsid w:val="005214FC"/>
    <w:rsid w:val="00521C2B"/>
    <w:rsid w:val="00521E79"/>
    <w:rsid w:val="005233D9"/>
    <w:rsid w:val="00523A53"/>
    <w:rsid w:val="00524BBE"/>
    <w:rsid w:val="00524E0D"/>
    <w:rsid w:val="0052502D"/>
    <w:rsid w:val="00525AF5"/>
    <w:rsid w:val="005267BE"/>
    <w:rsid w:val="00527951"/>
    <w:rsid w:val="005302D2"/>
    <w:rsid w:val="00530A6C"/>
    <w:rsid w:val="00530FC0"/>
    <w:rsid w:val="0053127E"/>
    <w:rsid w:val="0053169D"/>
    <w:rsid w:val="005317AE"/>
    <w:rsid w:val="00532CA3"/>
    <w:rsid w:val="00532D76"/>
    <w:rsid w:val="0053371C"/>
    <w:rsid w:val="005337DE"/>
    <w:rsid w:val="0053443B"/>
    <w:rsid w:val="005349D3"/>
    <w:rsid w:val="00535BF8"/>
    <w:rsid w:val="00535D3F"/>
    <w:rsid w:val="005366FF"/>
    <w:rsid w:val="0053705C"/>
    <w:rsid w:val="00537611"/>
    <w:rsid w:val="00537E85"/>
    <w:rsid w:val="00540ED0"/>
    <w:rsid w:val="005413B5"/>
    <w:rsid w:val="00541AC8"/>
    <w:rsid w:val="00542040"/>
    <w:rsid w:val="0054272A"/>
    <w:rsid w:val="0054305F"/>
    <w:rsid w:val="00543D22"/>
    <w:rsid w:val="005440FB"/>
    <w:rsid w:val="005441D9"/>
    <w:rsid w:val="00544499"/>
    <w:rsid w:val="005455B3"/>
    <w:rsid w:val="005456FA"/>
    <w:rsid w:val="005461DE"/>
    <w:rsid w:val="005467EB"/>
    <w:rsid w:val="00546C15"/>
    <w:rsid w:val="005475A0"/>
    <w:rsid w:val="00547786"/>
    <w:rsid w:val="00547FA2"/>
    <w:rsid w:val="00550D26"/>
    <w:rsid w:val="00550FE5"/>
    <w:rsid w:val="00551608"/>
    <w:rsid w:val="00551FE5"/>
    <w:rsid w:val="00552178"/>
    <w:rsid w:val="00552C0E"/>
    <w:rsid w:val="00552E87"/>
    <w:rsid w:val="005530E9"/>
    <w:rsid w:val="005538C6"/>
    <w:rsid w:val="005538DA"/>
    <w:rsid w:val="005552EB"/>
    <w:rsid w:val="00556614"/>
    <w:rsid w:val="00556CE2"/>
    <w:rsid w:val="005601E4"/>
    <w:rsid w:val="00560430"/>
    <w:rsid w:val="00561FF7"/>
    <w:rsid w:val="00562727"/>
    <w:rsid w:val="00562B01"/>
    <w:rsid w:val="00562E48"/>
    <w:rsid w:val="00563820"/>
    <w:rsid w:val="00564BBE"/>
    <w:rsid w:val="00564E5E"/>
    <w:rsid w:val="00566D7C"/>
    <w:rsid w:val="005672C4"/>
    <w:rsid w:val="005678C1"/>
    <w:rsid w:val="00567B55"/>
    <w:rsid w:val="00570C52"/>
    <w:rsid w:val="00572116"/>
    <w:rsid w:val="00574235"/>
    <w:rsid w:val="0057496A"/>
    <w:rsid w:val="00575B27"/>
    <w:rsid w:val="00576308"/>
    <w:rsid w:val="00576E22"/>
    <w:rsid w:val="005807A6"/>
    <w:rsid w:val="005812D0"/>
    <w:rsid w:val="005812D8"/>
    <w:rsid w:val="00581A0A"/>
    <w:rsid w:val="005826BE"/>
    <w:rsid w:val="00582C59"/>
    <w:rsid w:val="00582ECE"/>
    <w:rsid w:val="00583441"/>
    <w:rsid w:val="00583634"/>
    <w:rsid w:val="00583653"/>
    <w:rsid w:val="005841CF"/>
    <w:rsid w:val="00584247"/>
    <w:rsid w:val="00584649"/>
    <w:rsid w:val="00585A94"/>
    <w:rsid w:val="005864BE"/>
    <w:rsid w:val="0058685E"/>
    <w:rsid w:val="005869AD"/>
    <w:rsid w:val="005870F6"/>
    <w:rsid w:val="005874B8"/>
    <w:rsid w:val="00587935"/>
    <w:rsid w:val="00587DC3"/>
    <w:rsid w:val="005902F4"/>
    <w:rsid w:val="00591563"/>
    <w:rsid w:val="00591B5F"/>
    <w:rsid w:val="00592318"/>
    <w:rsid w:val="0059261B"/>
    <w:rsid w:val="00592A11"/>
    <w:rsid w:val="005940CD"/>
    <w:rsid w:val="00594546"/>
    <w:rsid w:val="00594ABB"/>
    <w:rsid w:val="00594F82"/>
    <w:rsid w:val="00595753"/>
    <w:rsid w:val="00595EDE"/>
    <w:rsid w:val="0059633A"/>
    <w:rsid w:val="00596CFA"/>
    <w:rsid w:val="005973D2"/>
    <w:rsid w:val="005A0AA0"/>
    <w:rsid w:val="005A0DE6"/>
    <w:rsid w:val="005A11B6"/>
    <w:rsid w:val="005A19CC"/>
    <w:rsid w:val="005A2248"/>
    <w:rsid w:val="005A2353"/>
    <w:rsid w:val="005A25D6"/>
    <w:rsid w:val="005A2896"/>
    <w:rsid w:val="005A2EDF"/>
    <w:rsid w:val="005A316B"/>
    <w:rsid w:val="005A350C"/>
    <w:rsid w:val="005A3C95"/>
    <w:rsid w:val="005A45CB"/>
    <w:rsid w:val="005A51DB"/>
    <w:rsid w:val="005A5410"/>
    <w:rsid w:val="005A5486"/>
    <w:rsid w:val="005A6D24"/>
    <w:rsid w:val="005A72CE"/>
    <w:rsid w:val="005A77C2"/>
    <w:rsid w:val="005B015B"/>
    <w:rsid w:val="005B0989"/>
    <w:rsid w:val="005B1146"/>
    <w:rsid w:val="005B1EC5"/>
    <w:rsid w:val="005B236C"/>
    <w:rsid w:val="005B2E39"/>
    <w:rsid w:val="005B3C96"/>
    <w:rsid w:val="005B5AEB"/>
    <w:rsid w:val="005C0179"/>
    <w:rsid w:val="005C1241"/>
    <w:rsid w:val="005C2842"/>
    <w:rsid w:val="005C3054"/>
    <w:rsid w:val="005C433A"/>
    <w:rsid w:val="005C5087"/>
    <w:rsid w:val="005C576F"/>
    <w:rsid w:val="005C5FAD"/>
    <w:rsid w:val="005C6B0D"/>
    <w:rsid w:val="005C6C75"/>
    <w:rsid w:val="005D0141"/>
    <w:rsid w:val="005D0EBA"/>
    <w:rsid w:val="005D1B28"/>
    <w:rsid w:val="005D1D9C"/>
    <w:rsid w:val="005D1FC0"/>
    <w:rsid w:val="005D25BC"/>
    <w:rsid w:val="005D2C9C"/>
    <w:rsid w:val="005D32F7"/>
    <w:rsid w:val="005D3A55"/>
    <w:rsid w:val="005D3A79"/>
    <w:rsid w:val="005D3C05"/>
    <w:rsid w:val="005D3D02"/>
    <w:rsid w:val="005D3E26"/>
    <w:rsid w:val="005D4A07"/>
    <w:rsid w:val="005D4FF4"/>
    <w:rsid w:val="005D50F5"/>
    <w:rsid w:val="005D61E6"/>
    <w:rsid w:val="005D6EE7"/>
    <w:rsid w:val="005D7087"/>
    <w:rsid w:val="005D761A"/>
    <w:rsid w:val="005D76F9"/>
    <w:rsid w:val="005E039F"/>
    <w:rsid w:val="005E1E88"/>
    <w:rsid w:val="005E2440"/>
    <w:rsid w:val="005E2572"/>
    <w:rsid w:val="005E2C96"/>
    <w:rsid w:val="005E30DB"/>
    <w:rsid w:val="005E318A"/>
    <w:rsid w:val="005E327F"/>
    <w:rsid w:val="005E4247"/>
    <w:rsid w:val="005E464F"/>
    <w:rsid w:val="005E5582"/>
    <w:rsid w:val="005E5685"/>
    <w:rsid w:val="005E6135"/>
    <w:rsid w:val="005E6B54"/>
    <w:rsid w:val="005E7698"/>
    <w:rsid w:val="005F0065"/>
    <w:rsid w:val="005F114C"/>
    <w:rsid w:val="005F151E"/>
    <w:rsid w:val="005F1541"/>
    <w:rsid w:val="005F1F11"/>
    <w:rsid w:val="005F21C1"/>
    <w:rsid w:val="005F2C9B"/>
    <w:rsid w:val="005F2EDE"/>
    <w:rsid w:val="005F33B4"/>
    <w:rsid w:val="005F3571"/>
    <w:rsid w:val="005F369D"/>
    <w:rsid w:val="005F50DB"/>
    <w:rsid w:val="005F5686"/>
    <w:rsid w:val="005F5780"/>
    <w:rsid w:val="005F5E13"/>
    <w:rsid w:val="005F5E34"/>
    <w:rsid w:val="005F6CFC"/>
    <w:rsid w:val="005F76A2"/>
    <w:rsid w:val="005F7D46"/>
    <w:rsid w:val="00600808"/>
    <w:rsid w:val="00600B3A"/>
    <w:rsid w:val="00600B55"/>
    <w:rsid w:val="00600CB7"/>
    <w:rsid w:val="00600CF8"/>
    <w:rsid w:val="0060110A"/>
    <w:rsid w:val="00601963"/>
    <w:rsid w:val="006028EF"/>
    <w:rsid w:val="00602CF2"/>
    <w:rsid w:val="00603178"/>
    <w:rsid w:val="00603730"/>
    <w:rsid w:val="00603912"/>
    <w:rsid w:val="00603937"/>
    <w:rsid w:val="0060434E"/>
    <w:rsid w:val="00604802"/>
    <w:rsid w:val="00604BB8"/>
    <w:rsid w:val="0060511A"/>
    <w:rsid w:val="00605288"/>
    <w:rsid w:val="00606055"/>
    <w:rsid w:val="00606276"/>
    <w:rsid w:val="006068B1"/>
    <w:rsid w:val="00606C30"/>
    <w:rsid w:val="00610542"/>
    <w:rsid w:val="00611A13"/>
    <w:rsid w:val="00612CB2"/>
    <w:rsid w:val="00614091"/>
    <w:rsid w:val="0061420D"/>
    <w:rsid w:val="00614355"/>
    <w:rsid w:val="006147AE"/>
    <w:rsid w:val="00616317"/>
    <w:rsid w:val="006164C1"/>
    <w:rsid w:val="00616857"/>
    <w:rsid w:val="00617494"/>
    <w:rsid w:val="00617AAC"/>
    <w:rsid w:val="00617E70"/>
    <w:rsid w:val="0062091F"/>
    <w:rsid w:val="00620CE7"/>
    <w:rsid w:val="006211D3"/>
    <w:rsid w:val="0062174A"/>
    <w:rsid w:val="00621BF7"/>
    <w:rsid w:val="00621F09"/>
    <w:rsid w:val="006228EA"/>
    <w:rsid w:val="00623D2E"/>
    <w:rsid w:val="0062471C"/>
    <w:rsid w:val="00625B59"/>
    <w:rsid w:val="0062725D"/>
    <w:rsid w:val="0062732A"/>
    <w:rsid w:val="0062781E"/>
    <w:rsid w:val="00630102"/>
    <w:rsid w:val="00630E7B"/>
    <w:rsid w:val="00631938"/>
    <w:rsid w:val="00631DDE"/>
    <w:rsid w:val="0063235A"/>
    <w:rsid w:val="0063238A"/>
    <w:rsid w:val="006329EB"/>
    <w:rsid w:val="00633299"/>
    <w:rsid w:val="0063370A"/>
    <w:rsid w:val="006349AA"/>
    <w:rsid w:val="00634AB9"/>
    <w:rsid w:val="00635000"/>
    <w:rsid w:val="0063540B"/>
    <w:rsid w:val="006359FB"/>
    <w:rsid w:val="00635A3F"/>
    <w:rsid w:val="00636112"/>
    <w:rsid w:val="00636979"/>
    <w:rsid w:val="00636BA8"/>
    <w:rsid w:val="00637F8E"/>
    <w:rsid w:val="00640745"/>
    <w:rsid w:val="00641038"/>
    <w:rsid w:val="006410A1"/>
    <w:rsid w:val="006417B0"/>
    <w:rsid w:val="006423B3"/>
    <w:rsid w:val="00642F2D"/>
    <w:rsid w:val="00643537"/>
    <w:rsid w:val="00643936"/>
    <w:rsid w:val="00644430"/>
    <w:rsid w:val="0064449F"/>
    <w:rsid w:val="00644AF3"/>
    <w:rsid w:val="00644DAA"/>
    <w:rsid w:val="00645B3B"/>
    <w:rsid w:val="00645C82"/>
    <w:rsid w:val="006471F1"/>
    <w:rsid w:val="00647570"/>
    <w:rsid w:val="006476C8"/>
    <w:rsid w:val="00647A49"/>
    <w:rsid w:val="0065020B"/>
    <w:rsid w:val="006503EC"/>
    <w:rsid w:val="00650C94"/>
    <w:rsid w:val="006519B9"/>
    <w:rsid w:val="00651ED0"/>
    <w:rsid w:val="006529D6"/>
    <w:rsid w:val="00652D7B"/>
    <w:rsid w:val="00652DDD"/>
    <w:rsid w:val="00654031"/>
    <w:rsid w:val="00655C5C"/>
    <w:rsid w:val="00655ED8"/>
    <w:rsid w:val="00656339"/>
    <w:rsid w:val="00656F40"/>
    <w:rsid w:val="00657A7A"/>
    <w:rsid w:val="00657AE1"/>
    <w:rsid w:val="00657BC6"/>
    <w:rsid w:val="00660B51"/>
    <w:rsid w:val="00660BCE"/>
    <w:rsid w:val="00661435"/>
    <w:rsid w:val="0066308A"/>
    <w:rsid w:val="00663CCE"/>
    <w:rsid w:val="00663E63"/>
    <w:rsid w:val="00664F5C"/>
    <w:rsid w:val="00666537"/>
    <w:rsid w:val="00667F2A"/>
    <w:rsid w:val="00670236"/>
    <w:rsid w:val="006702EB"/>
    <w:rsid w:val="00671933"/>
    <w:rsid w:val="00671A70"/>
    <w:rsid w:val="00672052"/>
    <w:rsid w:val="00672377"/>
    <w:rsid w:val="00674F02"/>
    <w:rsid w:val="00675D93"/>
    <w:rsid w:val="00676E1D"/>
    <w:rsid w:val="006776E0"/>
    <w:rsid w:val="00677890"/>
    <w:rsid w:val="00677AB5"/>
    <w:rsid w:val="00677C1A"/>
    <w:rsid w:val="00677DF1"/>
    <w:rsid w:val="00680F96"/>
    <w:rsid w:val="006819B1"/>
    <w:rsid w:val="006825B6"/>
    <w:rsid w:val="00683F05"/>
    <w:rsid w:val="00684B83"/>
    <w:rsid w:val="00684F9B"/>
    <w:rsid w:val="00685057"/>
    <w:rsid w:val="00685D3F"/>
    <w:rsid w:val="00686DBF"/>
    <w:rsid w:val="006879D7"/>
    <w:rsid w:val="00687B5F"/>
    <w:rsid w:val="00687E0B"/>
    <w:rsid w:val="0069137A"/>
    <w:rsid w:val="00691C46"/>
    <w:rsid w:val="00691F4F"/>
    <w:rsid w:val="00693164"/>
    <w:rsid w:val="00693DF2"/>
    <w:rsid w:val="00694F39"/>
    <w:rsid w:val="006957B1"/>
    <w:rsid w:val="00696700"/>
    <w:rsid w:val="00697FC9"/>
    <w:rsid w:val="006A0E46"/>
    <w:rsid w:val="006A1529"/>
    <w:rsid w:val="006A23F1"/>
    <w:rsid w:val="006A3352"/>
    <w:rsid w:val="006A3D9B"/>
    <w:rsid w:val="006A487F"/>
    <w:rsid w:val="006A48DD"/>
    <w:rsid w:val="006A4A75"/>
    <w:rsid w:val="006A6649"/>
    <w:rsid w:val="006A694B"/>
    <w:rsid w:val="006A6DF2"/>
    <w:rsid w:val="006A77AA"/>
    <w:rsid w:val="006B0E42"/>
    <w:rsid w:val="006B0FD5"/>
    <w:rsid w:val="006B1FB2"/>
    <w:rsid w:val="006B26CD"/>
    <w:rsid w:val="006B32C8"/>
    <w:rsid w:val="006B3310"/>
    <w:rsid w:val="006B35CB"/>
    <w:rsid w:val="006B3D83"/>
    <w:rsid w:val="006B4CB3"/>
    <w:rsid w:val="006B55A9"/>
    <w:rsid w:val="006B5DD1"/>
    <w:rsid w:val="006B72D2"/>
    <w:rsid w:val="006B7F81"/>
    <w:rsid w:val="006C0047"/>
    <w:rsid w:val="006C0080"/>
    <w:rsid w:val="006C0534"/>
    <w:rsid w:val="006C05BD"/>
    <w:rsid w:val="006C0A65"/>
    <w:rsid w:val="006C0FF7"/>
    <w:rsid w:val="006C13F4"/>
    <w:rsid w:val="006C167C"/>
    <w:rsid w:val="006C1F9C"/>
    <w:rsid w:val="006C3792"/>
    <w:rsid w:val="006C45AB"/>
    <w:rsid w:val="006C4DA5"/>
    <w:rsid w:val="006C59DC"/>
    <w:rsid w:val="006C5CC3"/>
    <w:rsid w:val="006C6515"/>
    <w:rsid w:val="006C6541"/>
    <w:rsid w:val="006D0441"/>
    <w:rsid w:val="006D0610"/>
    <w:rsid w:val="006D09E4"/>
    <w:rsid w:val="006D10DC"/>
    <w:rsid w:val="006D1C10"/>
    <w:rsid w:val="006D1E0C"/>
    <w:rsid w:val="006D341A"/>
    <w:rsid w:val="006D366B"/>
    <w:rsid w:val="006D36ED"/>
    <w:rsid w:val="006D3B3C"/>
    <w:rsid w:val="006D50DE"/>
    <w:rsid w:val="006D514F"/>
    <w:rsid w:val="006D5199"/>
    <w:rsid w:val="006D56FC"/>
    <w:rsid w:val="006D5D5D"/>
    <w:rsid w:val="006D5D79"/>
    <w:rsid w:val="006D5F63"/>
    <w:rsid w:val="006D6341"/>
    <w:rsid w:val="006D717A"/>
    <w:rsid w:val="006D71A8"/>
    <w:rsid w:val="006D738E"/>
    <w:rsid w:val="006D7420"/>
    <w:rsid w:val="006E02A1"/>
    <w:rsid w:val="006E20B9"/>
    <w:rsid w:val="006E21B1"/>
    <w:rsid w:val="006E2266"/>
    <w:rsid w:val="006E3734"/>
    <w:rsid w:val="006E42D9"/>
    <w:rsid w:val="006E448A"/>
    <w:rsid w:val="006E614B"/>
    <w:rsid w:val="006F00C6"/>
    <w:rsid w:val="006F05F6"/>
    <w:rsid w:val="006F0B42"/>
    <w:rsid w:val="006F0C66"/>
    <w:rsid w:val="006F1255"/>
    <w:rsid w:val="006F1518"/>
    <w:rsid w:val="006F1C28"/>
    <w:rsid w:val="006F1FB5"/>
    <w:rsid w:val="006F2461"/>
    <w:rsid w:val="006F3556"/>
    <w:rsid w:val="006F37B3"/>
    <w:rsid w:val="006F4576"/>
    <w:rsid w:val="006F4F2E"/>
    <w:rsid w:val="006F523B"/>
    <w:rsid w:val="006F591F"/>
    <w:rsid w:val="006F5CFB"/>
    <w:rsid w:val="006F5E9F"/>
    <w:rsid w:val="006F60E0"/>
    <w:rsid w:val="006F7A7E"/>
    <w:rsid w:val="0070005F"/>
    <w:rsid w:val="00700227"/>
    <w:rsid w:val="00700B9A"/>
    <w:rsid w:val="00700FAF"/>
    <w:rsid w:val="007019C1"/>
    <w:rsid w:val="00701C67"/>
    <w:rsid w:val="00702606"/>
    <w:rsid w:val="007026D3"/>
    <w:rsid w:val="00704036"/>
    <w:rsid w:val="007040A6"/>
    <w:rsid w:val="00705A0D"/>
    <w:rsid w:val="00707103"/>
    <w:rsid w:val="007077DF"/>
    <w:rsid w:val="00710016"/>
    <w:rsid w:val="00710018"/>
    <w:rsid w:val="00710042"/>
    <w:rsid w:val="00710228"/>
    <w:rsid w:val="0071045B"/>
    <w:rsid w:val="0071081B"/>
    <w:rsid w:val="00710CBE"/>
    <w:rsid w:val="00711143"/>
    <w:rsid w:val="007114C7"/>
    <w:rsid w:val="0071346E"/>
    <w:rsid w:val="007137D9"/>
    <w:rsid w:val="0071408F"/>
    <w:rsid w:val="00714A9E"/>
    <w:rsid w:val="00714D84"/>
    <w:rsid w:val="007151C7"/>
    <w:rsid w:val="007157C0"/>
    <w:rsid w:val="00716158"/>
    <w:rsid w:val="00716255"/>
    <w:rsid w:val="00716AFC"/>
    <w:rsid w:val="00717315"/>
    <w:rsid w:val="00717F77"/>
    <w:rsid w:val="007200AE"/>
    <w:rsid w:val="007203B1"/>
    <w:rsid w:val="00720D59"/>
    <w:rsid w:val="0072156B"/>
    <w:rsid w:val="00722C9C"/>
    <w:rsid w:val="00723491"/>
    <w:rsid w:val="00723D9F"/>
    <w:rsid w:val="00724A75"/>
    <w:rsid w:val="00724F0B"/>
    <w:rsid w:val="00725057"/>
    <w:rsid w:val="00725B61"/>
    <w:rsid w:val="00725C8E"/>
    <w:rsid w:val="00725F74"/>
    <w:rsid w:val="00726634"/>
    <w:rsid w:val="007268E8"/>
    <w:rsid w:val="00726F17"/>
    <w:rsid w:val="00727A19"/>
    <w:rsid w:val="0073014E"/>
    <w:rsid w:val="00731097"/>
    <w:rsid w:val="00731162"/>
    <w:rsid w:val="00731DA5"/>
    <w:rsid w:val="007324CF"/>
    <w:rsid w:val="00732900"/>
    <w:rsid w:val="00734C5C"/>
    <w:rsid w:val="00735BE2"/>
    <w:rsid w:val="00736362"/>
    <w:rsid w:val="00736C0E"/>
    <w:rsid w:val="0073746B"/>
    <w:rsid w:val="00737968"/>
    <w:rsid w:val="00737D3B"/>
    <w:rsid w:val="00737FE8"/>
    <w:rsid w:val="007401B2"/>
    <w:rsid w:val="007402AC"/>
    <w:rsid w:val="007404E7"/>
    <w:rsid w:val="00740ED0"/>
    <w:rsid w:val="00742459"/>
    <w:rsid w:val="00742640"/>
    <w:rsid w:val="007427B2"/>
    <w:rsid w:val="00742D21"/>
    <w:rsid w:val="007430B0"/>
    <w:rsid w:val="00743E17"/>
    <w:rsid w:val="007445CB"/>
    <w:rsid w:val="00744AC3"/>
    <w:rsid w:val="007452C9"/>
    <w:rsid w:val="00745C6E"/>
    <w:rsid w:val="00745EA9"/>
    <w:rsid w:val="0074677A"/>
    <w:rsid w:val="007468BB"/>
    <w:rsid w:val="00747017"/>
    <w:rsid w:val="0074733B"/>
    <w:rsid w:val="0074741B"/>
    <w:rsid w:val="00747E74"/>
    <w:rsid w:val="00750240"/>
    <w:rsid w:val="00750489"/>
    <w:rsid w:val="00750888"/>
    <w:rsid w:val="0075103C"/>
    <w:rsid w:val="00751B0E"/>
    <w:rsid w:val="00752DF4"/>
    <w:rsid w:val="00753800"/>
    <w:rsid w:val="0075384C"/>
    <w:rsid w:val="0075645C"/>
    <w:rsid w:val="00756738"/>
    <w:rsid w:val="0075759A"/>
    <w:rsid w:val="00757E06"/>
    <w:rsid w:val="0076005D"/>
    <w:rsid w:val="00760677"/>
    <w:rsid w:val="00760E56"/>
    <w:rsid w:val="007612FF"/>
    <w:rsid w:val="00761319"/>
    <w:rsid w:val="007633F8"/>
    <w:rsid w:val="00763644"/>
    <w:rsid w:val="00763E18"/>
    <w:rsid w:val="00764049"/>
    <w:rsid w:val="00764160"/>
    <w:rsid w:val="00764A3F"/>
    <w:rsid w:val="007657DC"/>
    <w:rsid w:val="0076620C"/>
    <w:rsid w:val="0076631F"/>
    <w:rsid w:val="00767692"/>
    <w:rsid w:val="00767C0D"/>
    <w:rsid w:val="00770A97"/>
    <w:rsid w:val="00770FBB"/>
    <w:rsid w:val="0077145E"/>
    <w:rsid w:val="007715FB"/>
    <w:rsid w:val="00771A97"/>
    <w:rsid w:val="00772CC0"/>
    <w:rsid w:val="00774135"/>
    <w:rsid w:val="00774532"/>
    <w:rsid w:val="00775159"/>
    <w:rsid w:val="0077528B"/>
    <w:rsid w:val="0077555C"/>
    <w:rsid w:val="00775698"/>
    <w:rsid w:val="007756AD"/>
    <w:rsid w:val="007756EB"/>
    <w:rsid w:val="007759FE"/>
    <w:rsid w:val="007768A5"/>
    <w:rsid w:val="00776D8C"/>
    <w:rsid w:val="00777214"/>
    <w:rsid w:val="007801C7"/>
    <w:rsid w:val="007809D2"/>
    <w:rsid w:val="00780AA3"/>
    <w:rsid w:val="00780B5F"/>
    <w:rsid w:val="0078184F"/>
    <w:rsid w:val="00781CB2"/>
    <w:rsid w:val="00782B9F"/>
    <w:rsid w:val="00782FA8"/>
    <w:rsid w:val="00783538"/>
    <w:rsid w:val="007845D8"/>
    <w:rsid w:val="0078561A"/>
    <w:rsid w:val="007857A9"/>
    <w:rsid w:val="00785946"/>
    <w:rsid w:val="0078594E"/>
    <w:rsid w:val="00786384"/>
    <w:rsid w:val="00787F19"/>
    <w:rsid w:val="007912B6"/>
    <w:rsid w:val="00792483"/>
    <w:rsid w:val="00792761"/>
    <w:rsid w:val="00792882"/>
    <w:rsid w:val="0079394D"/>
    <w:rsid w:val="00793E03"/>
    <w:rsid w:val="00794BEF"/>
    <w:rsid w:val="00794C0C"/>
    <w:rsid w:val="00794DBC"/>
    <w:rsid w:val="00794E73"/>
    <w:rsid w:val="00794E95"/>
    <w:rsid w:val="00795A67"/>
    <w:rsid w:val="00796637"/>
    <w:rsid w:val="00796745"/>
    <w:rsid w:val="007973B6"/>
    <w:rsid w:val="007975F4"/>
    <w:rsid w:val="00797622"/>
    <w:rsid w:val="00797E97"/>
    <w:rsid w:val="00797F23"/>
    <w:rsid w:val="007A0574"/>
    <w:rsid w:val="007A1914"/>
    <w:rsid w:val="007A2E46"/>
    <w:rsid w:val="007A3F1D"/>
    <w:rsid w:val="007A3FD4"/>
    <w:rsid w:val="007A4A93"/>
    <w:rsid w:val="007A5A5C"/>
    <w:rsid w:val="007A6C73"/>
    <w:rsid w:val="007A6D91"/>
    <w:rsid w:val="007A71AB"/>
    <w:rsid w:val="007A74B1"/>
    <w:rsid w:val="007A78D8"/>
    <w:rsid w:val="007B0145"/>
    <w:rsid w:val="007B02DF"/>
    <w:rsid w:val="007B0ADC"/>
    <w:rsid w:val="007B109A"/>
    <w:rsid w:val="007B181A"/>
    <w:rsid w:val="007B1C1F"/>
    <w:rsid w:val="007B2822"/>
    <w:rsid w:val="007B3A3F"/>
    <w:rsid w:val="007B3B64"/>
    <w:rsid w:val="007B4407"/>
    <w:rsid w:val="007B5B5F"/>
    <w:rsid w:val="007B6F86"/>
    <w:rsid w:val="007B72A1"/>
    <w:rsid w:val="007C0F93"/>
    <w:rsid w:val="007C1593"/>
    <w:rsid w:val="007C173A"/>
    <w:rsid w:val="007C18A3"/>
    <w:rsid w:val="007C2185"/>
    <w:rsid w:val="007C2E8E"/>
    <w:rsid w:val="007C5A8B"/>
    <w:rsid w:val="007C6F86"/>
    <w:rsid w:val="007C71EA"/>
    <w:rsid w:val="007D13DA"/>
    <w:rsid w:val="007D1F3C"/>
    <w:rsid w:val="007D2123"/>
    <w:rsid w:val="007D22D0"/>
    <w:rsid w:val="007D240B"/>
    <w:rsid w:val="007D2B64"/>
    <w:rsid w:val="007D4452"/>
    <w:rsid w:val="007D4A7D"/>
    <w:rsid w:val="007D530B"/>
    <w:rsid w:val="007D619C"/>
    <w:rsid w:val="007D66D8"/>
    <w:rsid w:val="007D68FB"/>
    <w:rsid w:val="007D6D88"/>
    <w:rsid w:val="007D704F"/>
    <w:rsid w:val="007E0857"/>
    <w:rsid w:val="007E0E72"/>
    <w:rsid w:val="007E0EC4"/>
    <w:rsid w:val="007E1C17"/>
    <w:rsid w:val="007E35EC"/>
    <w:rsid w:val="007E4591"/>
    <w:rsid w:val="007E4900"/>
    <w:rsid w:val="007E4E10"/>
    <w:rsid w:val="007E52C6"/>
    <w:rsid w:val="007E58B3"/>
    <w:rsid w:val="007E592C"/>
    <w:rsid w:val="007E79FD"/>
    <w:rsid w:val="007F0F1E"/>
    <w:rsid w:val="007F18EA"/>
    <w:rsid w:val="007F1DA2"/>
    <w:rsid w:val="007F215F"/>
    <w:rsid w:val="007F2176"/>
    <w:rsid w:val="007F2F9F"/>
    <w:rsid w:val="007F49DC"/>
    <w:rsid w:val="007F4BAF"/>
    <w:rsid w:val="007F5E83"/>
    <w:rsid w:val="007F60A9"/>
    <w:rsid w:val="007F64F0"/>
    <w:rsid w:val="007F667F"/>
    <w:rsid w:val="007F7155"/>
    <w:rsid w:val="007F7684"/>
    <w:rsid w:val="00800007"/>
    <w:rsid w:val="0080013D"/>
    <w:rsid w:val="0080076D"/>
    <w:rsid w:val="008012A6"/>
    <w:rsid w:val="008022A4"/>
    <w:rsid w:val="00802493"/>
    <w:rsid w:val="00802818"/>
    <w:rsid w:val="00804057"/>
    <w:rsid w:val="008042AC"/>
    <w:rsid w:val="0080499D"/>
    <w:rsid w:val="0080521F"/>
    <w:rsid w:val="00805FC3"/>
    <w:rsid w:val="008060FC"/>
    <w:rsid w:val="00811364"/>
    <w:rsid w:val="00811B4B"/>
    <w:rsid w:val="00812728"/>
    <w:rsid w:val="008128FB"/>
    <w:rsid w:val="00812B72"/>
    <w:rsid w:val="00813131"/>
    <w:rsid w:val="008137BB"/>
    <w:rsid w:val="00814776"/>
    <w:rsid w:val="00814C75"/>
    <w:rsid w:val="00814F4F"/>
    <w:rsid w:val="00814F7C"/>
    <w:rsid w:val="0081526D"/>
    <w:rsid w:val="008154AD"/>
    <w:rsid w:val="00817227"/>
    <w:rsid w:val="00820117"/>
    <w:rsid w:val="00821028"/>
    <w:rsid w:val="00821598"/>
    <w:rsid w:val="00821E51"/>
    <w:rsid w:val="008239D6"/>
    <w:rsid w:val="00826187"/>
    <w:rsid w:val="008261DB"/>
    <w:rsid w:val="008266ED"/>
    <w:rsid w:val="00826F58"/>
    <w:rsid w:val="00827234"/>
    <w:rsid w:val="00827F47"/>
    <w:rsid w:val="00831B2B"/>
    <w:rsid w:val="00832662"/>
    <w:rsid w:val="00832E9D"/>
    <w:rsid w:val="00833099"/>
    <w:rsid w:val="00833CD2"/>
    <w:rsid w:val="0083419E"/>
    <w:rsid w:val="008343F9"/>
    <w:rsid w:val="00834CEC"/>
    <w:rsid w:val="00835843"/>
    <w:rsid w:val="008359FF"/>
    <w:rsid w:val="00835B46"/>
    <w:rsid w:val="00836168"/>
    <w:rsid w:val="0083750B"/>
    <w:rsid w:val="00837F86"/>
    <w:rsid w:val="008407FD"/>
    <w:rsid w:val="00840C77"/>
    <w:rsid w:val="0084114C"/>
    <w:rsid w:val="00841168"/>
    <w:rsid w:val="00841540"/>
    <w:rsid w:val="0084267E"/>
    <w:rsid w:val="008426A0"/>
    <w:rsid w:val="008428CF"/>
    <w:rsid w:val="008434BE"/>
    <w:rsid w:val="00845674"/>
    <w:rsid w:val="0084700E"/>
    <w:rsid w:val="008506D3"/>
    <w:rsid w:val="008509DC"/>
    <w:rsid w:val="008519A8"/>
    <w:rsid w:val="00851C75"/>
    <w:rsid w:val="00852C10"/>
    <w:rsid w:val="008531FF"/>
    <w:rsid w:val="0085327E"/>
    <w:rsid w:val="00853779"/>
    <w:rsid w:val="008546FD"/>
    <w:rsid w:val="008555EF"/>
    <w:rsid w:val="00855E70"/>
    <w:rsid w:val="00856927"/>
    <w:rsid w:val="0086012C"/>
    <w:rsid w:val="00860166"/>
    <w:rsid w:val="00860415"/>
    <w:rsid w:val="00860619"/>
    <w:rsid w:val="00860DC7"/>
    <w:rsid w:val="00861B6B"/>
    <w:rsid w:val="00861D99"/>
    <w:rsid w:val="00862155"/>
    <w:rsid w:val="00862FD0"/>
    <w:rsid w:val="00863040"/>
    <w:rsid w:val="00863666"/>
    <w:rsid w:val="00863B76"/>
    <w:rsid w:val="008644BA"/>
    <w:rsid w:val="00864D6F"/>
    <w:rsid w:val="0086510A"/>
    <w:rsid w:val="008652F2"/>
    <w:rsid w:val="00865AF3"/>
    <w:rsid w:val="0086781E"/>
    <w:rsid w:val="00867CC8"/>
    <w:rsid w:val="00867D0C"/>
    <w:rsid w:val="00867EF6"/>
    <w:rsid w:val="00871CA3"/>
    <w:rsid w:val="008723EF"/>
    <w:rsid w:val="00872921"/>
    <w:rsid w:val="0087528D"/>
    <w:rsid w:val="008755FE"/>
    <w:rsid w:val="00875C2D"/>
    <w:rsid w:val="00876087"/>
    <w:rsid w:val="008760F5"/>
    <w:rsid w:val="00876437"/>
    <w:rsid w:val="00876D8D"/>
    <w:rsid w:val="00876E41"/>
    <w:rsid w:val="008775F8"/>
    <w:rsid w:val="0087763C"/>
    <w:rsid w:val="0087768D"/>
    <w:rsid w:val="00880E5C"/>
    <w:rsid w:val="008812FB"/>
    <w:rsid w:val="008829A6"/>
    <w:rsid w:val="00883478"/>
    <w:rsid w:val="00883E57"/>
    <w:rsid w:val="00883EFF"/>
    <w:rsid w:val="00883FF7"/>
    <w:rsid w:val="00884235"/>
    <w:rsid w:val="008844B0"/>
    <w:rsid w:val="008845AC"/>
    <w:rsid w:val="00885AE8"/>
    <w:rsid w:val="00885BCB"/>
    <w:rsid w:val="00885E5F"/>
    <w:rsid w:val="0088650F"/>
    <w:rsid w:val="008904A7"/>
    <w:rsid w:val="008906B5"/>
    <w:rsid w:val="0089073F"/>
    <w:rsid w:val="00890CF3"/>
    <w:rsid w:val="008915E5"/>
    <w:rsid w:val="00891AE7"/>
    <w:rsid w:val="00891E90"/>
    <w:rsid w:val="0089279C"/>
    <w:rsid w:val="0089337D"/>
    <w:rsid w:val="00893EB4"/>
    <w:rsid w:val="008941CA"/>
    <w:rsid w:val="0089424A"/>
    <w:rsid w:val="008946ED"/>
    <w:rsid w:val="008946F9"/>
    <w:rsid w:val="00894A2E"/>
    <w:rsid w:val="00894A5D"/>
    <w:rsid w:val="008958A7"/>
    <w:rsid w:val="008958F9"/>
    <w:rsid w:val="00896FB9"/>
    <w:rsid w:val="00897253"/>
    <w:rsid w:val="00897349"/>
    <w:rsid w:val="008973B4"/>
    <w:rsid w:val="008975F1"/>
    <w:rsid w:val="008978E0"/>
    <w:rsid w:val="00897BDF"/>
    <w:rsid w:val="008A00EB"/>
    <w:rsid w:val="008A13F8"/>
    <w:rsid w:val="008A1A9A"/>
    <w:rsid w:val="008A1C38"/>
    <w:rsid w:val="008A264A"/>
    <w:rsid w:val="008A2737"/>
    <w:rsid w:val="008A3EAE"/>
    <w:rsid w:val="008A4240"/>
    <w:rsid w:val="008A495E"/>
    <w:rsid w:val="008A4C57"/>
    <w:rsid w:val="008A5787"/>
    <w:rsid w:val="008A5E9C"/>
    <w:rsid w:val="008A7225"/>
    <w:rsid w:val="008A7546"/>
    <w:rsid w:val="008B0F55"/>
    <w:rsid w:val="008B179E"/>
    <w:rsid w:val="008B2112"/>
    <w:rsid w:val="008B2385"/>
    <w:rsid w:val="008B29DE"/>
    <w:rsid w:val="008B2B5F"/>
    <w:rsid w:val="008B48DA"/>
    <w:rsid w:val="008B498D"/>
    <w:rsid w:val="008B4EEC"/>
    <w:rsid w:val="008B53B2"/>
    <w:rsid w:val="008B5AC3"/>
    <w:rsid w:val="008B5FB4"/>
    <w:rsid w:val="008B5FEA"/>
    <w:rsid w:val="008B6ED6"/>
    <w:rsid w:val="008B782A"/>
    <w:rsid w:val="008C0072"/>
    <w:rsid w:val="008C04C7"/>
    <w:rsid w:val="008C0D74"/>
    <w:rsid w:val="008C101C"/>
    <w:rsid w:val="008C1812"/>
    <w:rsid w:val="008C37DE"/>
    <w:rsid w:val="008C4815"/>
    <w:rsid w:val="008C5252"/>
    <w:rsid w:val="008C52C0"/>
    <w:rsid w:val="008C55E7"/>
    <w:rsid w:val="008C5718"/>
    <w:rsid w:val="008C716E"/>
    <w:rsid w:val="008C7406"/>
    <w:rsid w:val="008C781C"/>
    <w:rsid w:val="008D0488"/>
    <w:rsid w:val="008D14B1"/>
    <w:rsid w:val="008D1A5A"/>
    <w:rsid w:val="008D1FC5"/>
    <w:rsid w:val="008D23FC"/>
    <w:rsid w:val="008D2ABD"/>
    <w:rsid w:val="008D2F45"/>
    <w:rsid w:val="008D3839"/>
    <w:rsid w:val="008D397B"/>
    <w:rsid w:val="008D3A84"/>
    <w:rsid w:val="008D41DE"/>
    <w:rsid w:val="008D51C5"/>
    <w:rsid w:val="008D6400"/>
    <w:rsid w:val="008D6A2B"/>
    <w:rsid w:val="008D742C"/>
    <w:rsid w:val="008D7850"/>
    <w:rsid w:val="008D7B93"/>
    <w:rsid w:val="008E0D4B"/>
    <w:rsid w:val="008E1168"/>
    <w:rsid w:val="008E2256"/>
    <w:rsid w:val="008E2AA8"/>
    <w:rsid w:val="008E44BF"/>
    <w:rsid w:val="008E57D3"/>
    <w:rsid w:val="008E5D0A"/>
    <w:rsid w:val="008E6DA9"/>
    <w:rsid w:val="008F0449"/>
    <w:rsid w:val="008F1E08"/>
    <w:rsid w:val="008F23DF"/>
    <w:rsid w:val="008F2400"/>
    <w:rsid w:val="008F2960"/>
    <w:rsid w:val="008F4DC5"/>
    <w:rsid w:val="008F4FD1"/>
    <w:rsid w:val="008F5FB4"/>
    <w:rsid w:val="008F6067"/>
    <w:rsid w:val="008F6314"/>
    <w:rsid w:val="008F7ABA"/>
    <w:rsid w:val="008F7D9A"/>
    <w:rsid w:val="009001AA"/>
    <w:rsid w:val="00900E8A"/>
    <w:rsid w:val="00901C3D"/>
    <w:rsid w:val="00903078"/>
    <w:rsid w:val="00903B4A"/>
    <w:rsid w:val="00904C10"/>
    <w:rsid w:val="00904DE3"/>
    <w:rsid w:val="00905B7D"/>
    <w:rsid w:val="00905D24"/>
    <w:rsid w:val="0090701D"/>
    <w:rsid w:val="00907591"/>
    <w:rsid w:val="00907627"/>
    <w:rsid w:val="0091206E"/>
    <w:rsid w:val="0091352B"/>
    <w:rsid w:val="00913D39"/>
    <w:rsid w:val="00915222"/>
    <w:rsid w:val="00915677"/>
    <w:rsid w:val="009165B5"/>
    <w:rsid w:val="009166B2"/>
    <w:rsid w:val="0091759B"/>
    <w:rsid w:val="0091766E"/>
    <w:rsid w:val="0092061F"/>
    <w:rsid w:val="00920960"/>
    <w:rsid w:val="009211F7"/>
    <w:rsid w:val="0092135A"/>
    <w:rsid w:val="00921F8B"/>
    <w:rsid w:val="009223DB"/>
    <w:rsid w:val="00923808"/>
    <w:rsid w:val="00923B9B"/>
    <w:rsid w:val="00923F3B"/>
    <w:rsid w:val="00923F97"/>
    <w:rsid w:val="0092546F"/>
    <w:rsid w:val="00926E62"/>
    <w:rsid w:val="00927453"/>
    <w:rsid w:val="00930022"/>
    <w:rsid w:val="0093055F"/>
    <w:rsid w:val="00930817"/>
    <w:rsid w:val="00930F5F"/>
    <w:rsid w:val="00933707"/>
    <w:rsid w:val="009345B1"/>
    <w:rsid w:val="00935152"/>
    <w:rsid w:val="009351E0"/>
    <w:rsid w:val="00935257"/>
    <w:rsid w:val="00935718"/>
    <w:rsid w:val="00936714"/>
    <w:rsid w:val="00936C9E"/>
    <w:rsid w:val="00937227"/>
    <w:rsid w:val="00937780"/>
    <w:rsid w:val="00937C32"/>
    <w:rsid w:val="00941B35"/>
    <w:rsid w:val="00941F18"/>
    <w:rsid w:val="0094221D"/>
    <w:rsid w:val="00943B9F"/>
    <w:rsid w:val="00944981"/>
    <w:rsid w:val="00945461"/>
    <w:rsid w:val="0094620F"/>
    <w:rsid w:val="0094651D"/>
    <w:rsid w:val="00946ADA"/>
    <w:rsid w:val="00947095"/>
    <w:rsid w:val="00947971"/>
    <w:rsid w:val="009506C0"/>
    <w:rsid w:val="00951027"/>
    <w:rsid w:val="00951797"/>
    <w:rsid w:val="00952609"/>
    <w:rsid w:val="00952E70"/>
    <w:rsid w:val="00953394"/>
    <w:rsid w:val="00953942"/>
    <w:rsid w:val="00953D8C"/>
    <w:rsid w:val="0095400E"/>
    <w:rsid w:val="009540C7"/>
    <w:rsid w:val="0095475E"/>
    <w:rsid w:val="00954BDA"/>
    <w:rsid w:val="0095526E"/>
    <w:rsid w:val="0095598D"/>
    <w:rsid w:val="00955AE0"/>
    <w:rsid w:val="00955E64"/>
    <w:rsid w:val="00957136"/>
    <w:rsid w:val="00957A51"/>
    <w:rsid w:val="00957DE3"/>
    <w:rsid w:val="009619AA"/>
    <w:rsid w:val="00961A21"/>
    <w:rsid w:val="00961B62"/>
    <w:rsid w:val="009621C3"/>
    <w:rsid w:val="0096241E"/>
    <w:rsid w:val="009625BF"/>
    <w:rsid w:val="00962668"/>
    <w:rsid w:val="00962888"/>
    <w:rsid w:val="00962F2B"/>
    <w:rsid w:val="0096318D"/>
    <w:rsid w:val="0096337D"/>
    <w:rsid w:val="00963844"/>
    <w:rsid w:val="00963BC1"/>
    <w:rsid w:val="0096439E"/>
    <w:rsid w:val="00964E61"/>
    <w:rsid w:val="0096588E"/>
    <w:rsid w:val="00965D30"/>
    <w:rsid w:val="009660C0"/>
    <w:rsid w:val="009664DF"/>
    <w:rsid w:val="009670AB"/>
    <w:rsid w:val="009672E1"/>
    <w:rsid w:val="00970A8E"/>
    <w:rsid w:val="009714D2"/>
    <w:rsid w:val="00971651"/>
    <w:rsid w:val="0097203F"/>
    <w:rsid w:val="0097270F"/>
    <w:rsid w:val="00972A5E"/>
    <w:rsid w:val="00972E3A"/>
    <w:rsid w:val="00973285"/>
    <w:rsid w:val="00973423"/>
    <w:rsid w:val="009735AF"/>
    <w:rsid w:val="009735EA"/>
    <w:rsid w:val="00973605"/>
    <w:rsid w:val="00973F17"/>
    <w:rsid w:val="00973F61"/>
    <w:rsid w:val="00974337"/>
    <w:rsid w:val="00974C0F"/>
    <w:rsid w:val="00974DF0"/>
    <w:rsid w:val="00974EA9"/>
    <w:rsid w:val="00975A51"/>
    <w:rsid w:val="009760C1"/>
    <w:rsid w:val="00977875"/>
    <w:rsid w:val="00977BE2"/>
    <w:rsid w:val="00977D5C"/>
    <w:rsid w:val="009803F9"/>
    <w:rsid w:val="00980DC9"/>
    <w:rsid w:val="00980EBC"/>
    <w:rsid w:val="00980EE2"/>
    <w:rsid w:val="0098175A"/>
    <w:rsid w:val="00981CC4"/>
    <w:rsid w:val="00982453"/>
    <w:rsid w:val="009828BD"/>
    <w:rsid w:val="009830E9"/>
    <w:rsid w:val="0098346E"/>
    <w:rsid w:val="00983856"/>
    <w:rsid w:val="00984239"/>
    <w:rsid w:val="00984CFF"/>
    <w:rsid w:val="00984E48"/>
    <w:rsid w:val="00985238"/>
    <w:rsid w:val="009859DB"/>
    <w:rsid w:val="0098665B"/>
    <w:rsid w:val="00986ABD"/>
    <w:rsid w:val="009872DC"/>
    <w:rsid w:val="00990091"/>
    <w:rsid w:val="0099013A"/>
    <w:rsid w:val="009904FB"/>
    <w:rsid w:val="00990FFB"/>
    <w:rsid w:val="0099160D"/>
    <w:rsid w:val="00991A10"/>
    <w:rsid w:val="00992041"/>
    <w:rsid w:val="009920BF"/>
    <w:rsid w:val="009928DA"/>
    <w:rsid w:val="00992D34"/>
    <w:rsid w:val="00992E66"/>
    <w:rsid w:val="00992FF7"/>
    <w:rsid w:val="0099431C"/>
    <w:rsid w:val="0099447F"/>
    <w:rsid w:val="009948D5"/>
    <w:rsid w:val="009960F4"/>
    <w:rsid w:val="0099615E"/>
    <w:rsid w:val="00996BDA"/>
    <w:rsid w:val="00996DAA"/>
    <w:rsid w:val="00996F12"/>
    <w:rsid w:val="0099734B"/>
    <w:rsid w:val="009975E9"/>
    <w:rsid w:val="009A03ED"/>
    <w:rsid w:val="009A0754"/>
    <w:rsid w:val="009A0D7C"/>
    <w:rsid w:val="009A0D91"/>
    <w:rsid w:val="009A11E2"/>
    <w:rsid w:val="009A1326"/>
    <w:rsid w:val="009A13F4"/>
    <w:rsid w:val="009A1641"/>
    <w:rsid w:val="009A2F8E"/>
    <w:rsid w:val="009A3223"/>
    <w:rsid w:val="009A3C10"/>
    <w:rsid w:val="009A6EAD"/>
    <w:rsid w:val="009A72AD"/>
    <w:rsid w:val="009A79AD"/>
    <w:rsid w:val="009A7B86"/>
    <w:rsid w:val="009A7E94"/>
    <w:rsid w:val="009B0FDA"/>
    <w:rsid w:val="009B115B"/>
    <w:rsid w:val="009B1856"/>
    <w:rsid w:val="009B1E09"/>
    <w:rsid w:val="009B21D5"/>
    <w:rsid w:val="009B3B4D"/>
    <w:rsid w:val="009B515D"/>
    <w:rsid w:val="009B55F4"/>
    <w:rsid w:val="009B686B"/>
    <w:rsid w:val="009B7A98"/>
    <w:rsid w:val="009B7B71"/>
    <w:rsid w:val="009B7E50"/>
    <w:rsid w:val="009C0EA9"/>
    <w:rsid w:val="009C1200"/>
    <w:rsid w:val="009C13EA"/>
    <w:rsid w:val="009C14F9"/>
    <w:rsid w:val="009C15D5"/>
    <w:rsid w:val="009C173E"/>
    <w:rsid w:val="009C17EB"/>
    <w:rsid w:val="009C1F90"/>
    <w:rsid w:val="009C2062"/>
    <w:rsid w:val="009C2738"/>
    <w:rsid w:val="009C4193"/>
    <w:rsid w:val="009C491D"/>
    <w:rsid w:val="009D08BD"/>
    <w:rsid w:val="009D12B4"/>
    <w:rsid w:val="009D19B4"/>
    <w:rsid w:val="009D1A50"/>
    <w:rsid w:val="009D27DC"/>
    <w:rsid w:val="009D2EF2"/>
    <w:rsid w:val="009D3231"/>
    <w:rsid w:val="009D3CA9"/>
    <w:rsid w:val="009D422C"/>
    <w:rsid w:val="009D4634"/>
    <w:rsid w:val="009D5082"/>
    <w:rsid w:val="009D53A1"/>
    <w:rsid w:val="009D55E9"/>
    <w:rsid w:val="009D5ECF"/>
    <w:rsid w:val="009D60DC"/>
    <w:rsid w:val="009D6C8F"/>
    <w:rsid w:val="009D7371"/>
    <w:rsid w:val="009D7766"/>
    <w:rsid w:val="009D79EF"/>
    <w:rsid w:val="009E07FA"/>
    <w:rsid w:val="009E1009"/>
    <w:rsid w:val="009E2931"/>
    <w:rsid w:val="009E2E41"/>
    <w:rsid w:val="009E2E82"/>
    <w:rsid w:val="009E3305"/>
    <w:rsid w:val="009E3778"/>
    <w:rsid w:val="009E3DB0"/>
    <w:rsid w:val="009E5BFE"/>
    <w:rsid w:val="009E668C"/>
    <w:rsid w:val="009E6AA2"/>
    <w:rsid w:val="009E6D3E"/>
    <w:rsid w:val="009E7B32"/>
    <w:rsid w:val="009F0515"/>
    <w:rsid w:val="009F06A4"/>
    <w:rsid w:val="009F07B3"/>
    <w:rsid w:val="009F0DA8"/>
    <w:rsid w:val="009F1324"/>
    <w:rsid w:val="009F22EE"/>
    <w:rsid w:val="009F3505"/>
    <w:rsid w:val="009F3776"/>
    <w:rsid w:val="009F44EF"/>
    <w:rsid w:val="009F4702"/>
    <w:rsid w:val="009F5061"/>
    <w:rsid w:val="009F5439"/>
    <w:rsid w:val="009F5DC5"/>
    <w:rsid w:val="009F5E48"/>
    <w:rsid w:val="009F6057"/>
    <w:rsid w:val="009F6BD1"/>
    <w:rsid w:val="009F7592"/>
    <w:rsid w:val="009F7601"/>
    <w:rsid w:val="00A0025B"/>
    <w:rsid w:val="00A00F0A"/>
    <w:rsid w:val="00A01AE5"/>
    <w:rsid w:val="00A01B29"/>
    <w:rsid w:val="00A01B69"/>
    <w:rsid w:val="00A01DDE"/>
    <w:rsid w:val="00A021C7"/>
    <w:rsid w:val="00A024FB"/>
    <w:rsid w:val="00A02CFA"/>
    <w:rsid w:val="00A04CE8"/>
    <w:rsid w:val="00A054AE"/>
    <w:rsid w:val="00A06CB6"/>
    <w:rsid w:val="00A06FF3"/>
    <w:rsid w:val="00A07CC1"/>
    <w:rsid w:val="00A07EA7"/>
    <w:rsid w:val="00A1047A"/>
    <w:rsid w:val="00A10D34"/>
    <w:rsid w:val="00A1109F"/>
    <w:rsid w:val="00A1139C"/>
    <w:rsid w:val="00A12B76"/>
    <w:rsid w:val="00A136DE"/>
    <w:rsid w:val="00A13B2B"/>
    <w:rsid w:val="00A13CA4"/>
    <w:rsid w:val="00A14D6C"/>
    <w:rsid w:val="00A15815"/>
    <w:rsid w:val="00A15FDD"/>
    <w:rsid w:val="00A16723"/>
    <w:rsid w:val="00A1762C"/>
    <w:rsid w:val="00A17835"/>
    <w:rsid w:val="00A212E2"/>
    <w:rsid w:val="00A2137D"/>
    <w:rsid w:val="00A2269B"/>
    <w:rsid w:val="00A24403"/>
    <w:rsid w:val="00A24A11"/>
    <w:rsid w:val="00A24D08"/>
    <w:rsid w:val="00A261CE"/>
    <w:rsid w:val="00A26245"/>
    <w:rsid w:val="00A26601"/>
    <w:rsid w:val="00A26810"/>
    <w:rsid w:val="00A268DE"/>
    <w:rsid w:val="00A270AA"/>
    <w:rsid w:val="00A27422"/>
    <w:rsid w:val="00A27AF3"/>
    <w:rsid w:val="00A30005"/>
    <w:rsid w:val="00A3029E"/>
    <w:rsid w:val="00A31A73"/>
    <w:rsid w:val="00A31AA8"/>
    <w:rsid w:val="00A322BD"/>
    <w:rsid w:val="00A331B2"/>
    <w:rsid w:val="00A34374"/>
    <w:rsid w:val="00A3470F"/>
    <w:rsid w:val="00A34D52"/>
    <w:rsid w:val="00A35DF5"/>
    <w:rsid w:val="00A367B5"/>
    <w:rsid w:val="00A36A22"/>
    <w:rsid w:val="00A36DBF"/>
    <w:rsid w:val="00A36DFA"/>
    <w:rsid w:val="00A40CFF"/>
    <w:rsid w:val="00A40DB6"/>
    <w:rsid w:val="00A4176D"/>
    <w:rsid w:val="00A41B5A"/>
    <w:rsid w:val="00A427BB"/>
    <w:rsid w:val="00A42A3D"/>
    <w:rsid w:val="00A4304C"/>
    <w:rsid w:val="00A43308"/>
    <w:rsid w:val="00A43679"/>
    <w:rsid w:val="00A4371A"/>
    <w:rsid w:val="00A43D76"/>
    <w:rsid w:val="00A43EB7"/>
    <w:rsid w:val="00A44CAB"/>
    <w:rsid w:val="00A44DC6"/>
    <w:rsid w:val="00A45C4F"/>
    <w:rsid w:val="00A46104"/>
    <w:rsid w:val="00A463FD"/>
    <w:rsid w:val="00A469E6"/>
    <w:rsid w:val="00A47989"/>
    <w:rsid w:val="00A50E5B"/>
    <w:rsid w:val="00A50FF0"/>
    <w:rsid w:val="00A51D3F"/>
    <w:rsid w:val="00A51EB9"/>
    <w:rsid w:val="00A51EBA"/>
    <w:rsid w:val="00A526EE"/>
    <w:rsid w:val="00A5308C"/>
    <w:rsid w:val="00A53663"/>
    <w:rsid w:val="00A5388D"/>
    <w:rsid w:val="00A53C1D"/>
    <w:rsid w:val="00A54A3C"/>
    <w:rsid w:val="00A54E1D"/>
    <w:rsid w:val="00A55613"/>
    <w:rsid w:val="00A55B19"/>
    <w:rsid w:val="00A55B47"/>
    <w:rsid w:val="00A5662B"/>
    <w:rsid w:val="00A5738E"/>
    <w:rsid w:val="00A60268"/>
    <w:rsid w:val="00A61AB4"/>
    <w:rsid w:val="00A6207E"/>
    <w:rsid w:val="00A62A1A"/>
    <w:rsid w:val="00A62D1A"/>
    <w:rsid w:val="00A64064"/>
    <w:rsid w:val="00A642DC"/>
    <w:rsid w:val="00A6478A"/>
    <w:rsid w:val="00A64863"/>
    <w:rsid w:val="00A66993"/>
    <w:rsid w:val="00A677FD"/>
    <w:rsid w:val="00A67CD1"/>
    <w:rsid w:val="00A702B4"/>
    <w:rsid w:val="00A70332"/>
    <w:rsid w:val="00A7102E"/>
    <w:rsid w:val="00A711ED"/>
    <w:rsid w:val="00A71971"/>
    <w:rsid w:val="00A71B8A"/>
    <w:rsid w:val="00A72389"/>
    <w:rsid w:val="00A725C7"/>
    <w:rsid w:val="00A72C06"/>
    <w:rsid w:val="00A737BA"/>
    <w:rsid w:val="00A74118"/>
    <w:rsid w:val="00A74362"/>
    <w:rsid w:val="00A747E6"/>
    <w:rsid w:val="00A74873"/>
    <w:rsid w:val="00A748B3"/>
    <w:rsid w:val="00A7503E"/>
    <w:rsid w:val="00A75163"/>
    <w:rsid w:val="00A7574A"/>
    <w:rsid w:val="00A7610D"/>
    <w:rsid w:val="00A7700B"/>
    <w:rsid w:val="00A778FF"/>
    <w:rsid w:val="00A77B91"/>
    <w:rsid w:val="00A8041F"/>
    <w:rsid w:val="00A8070C"/>
    <w:rsid w:val="00A8182F"/>
    <w:rsid w:val="00A82866"/>
    <w:rsid w:val="00A83A52"/>
    <w:rsid w:val="00A83A8B"/>
    <w:rsid w:val="00A84B41"/>
    <w:rsid w:val="00A85004"/>
    <w:rsid w:val="00A851A0"/>
    <w:rsid w:val="00A8599B"/>
    <w:rsid w:val="00A86051"/>
    <w:rsid w:val="00A86277"/>
    <w:rsid w:val="00A86B26"/>
    <w:rsid w:val="00A874DB"/>
    <w:rsid w:val="00A87D3B"/>
    <w:rsid w:val="00A903BD"/>
    <w:rsid w:val="00A904B3"/>
    <w:rsid w:val="00A908D6"/>
    <w:rsid w:val="00A91045"/>
    <w:rsid w:val="00A91D18"/>
    <w:rsid w:val="00A92382"/>
    <w:rsid w:val="00A939C1"/>
    <w:rsid w:val="00A9489C"/>
    <w:rsid w:val="00A9598F"/>
    <w:rsid w:val="00A95FDC"/>
    <w:rsid w:val="00A9665B"/>
    <w:rsid w:val="00A96780"/>
    <w:rsid w:val="00AA0C9B"/>
    <w:rsid w:val="00AA20AA"/>
    <w:rsid w:val="00AA2437"/>
    <w:rsid w:val="00AA3CD2"/>
    <w:rsid w:val="00AA5A40"/>
    <w:rsid w:val="00AA5AB4"/>
    <w:rsid w:val="00AA620C"/>
    <w:rsid w:val="00AA6A23"/>
    <w:rsid w:val="00AA6B30"/>
    <w:rsid w:val="00AB012A"/>
    <w:rsid w:val="00AB06B4"/>
    <w:rsid w:val="00AB1DD3"/>
    <w:rsid w:val="00AB3362"/>
    <w:rsid w:val="00AB3607"/>
    <w:rsid w:val="00AB3E15"/>
    <w:rsid w:val="00AB6598"/>
    <w:rsid w:val="00AB65ED"/>
    <w:rsid w:val="00AB69E1"/>
    <w:rsid w:val="00AB6F85"/>
    <w:rsid w:val="00AB724E"/>
    <w:rsid w:val="00AC00E9"/>
    <w:rsid w:val="00AC0109"/>
    <w:rsid w:val="00AC1345"/>
    <w:rsid w:val="00AC1C40"/>
    <w:rsid w:val="00AC1F50"/>
    <w:rsid w:val="00AC253D"/>
    <w:rsid w:val="00AC25DC"/>
    <w:rsid w:val="00AC2628"/>
    <w:rsid w:val="00AC28CC"/>
    <w:rsid w:val="00AC38CE"/>
    <w:rsid w:val="00AC3C53"/>
    <w:rsid w:val="00AC4437"/>
    <w:rsid w:val="00AC54EF"/>
    <w:rsid w:val="00AC6A2F"/>
    <w:rsid w:val="00AC7257"/>
    <w:rsid w:val="00AC7334"/>
    <w:rsid w:val="00AC7AF7"/>
    <w:rsid w:val="00AD0090"/>
    <w:rsid w:val="00AD08C3"/>
    <w:rsid w:val="00AD0CFB"/>
    <w:rsid w:val="00AD0F4A"/>
    <w:rsid w:val="00AD2C6F"/>
    <w:rsid w:val="00AD3136"/>
    <w:rsid w:val="00AD3DFB"/>
    <w:rsid w:val="00AD40E0"/>
    <w:rsid w:val="00AD4A30"/>
    <w:rsid w:val="00AD5011"/>
    <w:rsid w:val="00AD5D5F"/>
    <w:rsid w:val="00AD7180"/>
    <w:rsid w:val="00AE091C"/>
    <w:rsid w:val="00AE167F"/>
    <w:rsid w:val="00AE1BE6"/>
    <w:rsid w:val="00AE2200"/>
    <w:rsid w:val="00AE2FBB"/>
    <w:rsid w:val="00AE31D4"/>
    <w:rsid w:val="00AE34D4"/>
    <w:rsid w:val="00AE3680"/>
    <w:rsid w:val="00AE3694"/>
    <w:rsid w:val="00AE3988"/>
    <w:rsid w:val="00AE4280"/>
    <w:rsid w:val="00AE46B2"/>
    <w:rsid w:val="00AE499A"/>
    <w:rsid w:val="00AE4F44"/>
    <w:rsid w:val="00AE53A7"/>
    <w:rsid w:val="00AE53CE"/>
    <w:rsid w:val="00AE5CC6"/>
    <w:rsid w:val="00AE7925"/>
    <w:rsid w:val="00AF0B00"/>
    <w:rsid w:val="00AF0BEC"/>
    <w:rsid w:val="00AF1E1E"/>
    <w:rsid w:val="00AF1E5E"/>
    <w:rsid w:val="00AF2215"/>
    <w:rsid w:val="00AF25E0"/>
    <w:rsid w:val="00AF2B30"/>
    <w:rsid w:val="00AF30D2"/>
    <w:rsid w:val="00AF5008"/>
    <w:rsid w:val="00AF58F5"/>
    <w:rsid w:val="00AF5B4A"/>
    <w:rsid w:val="00AF6CD6"/>
    <w:rsid w:val="00AF7193"/>
    <w:rsid w:val="00AF7E71"/>
    <w:rsid w:val="00B004E0"/>
    <w:rsid w:val="00B00BD6"/>
    <w:rsid w:val="00B0166E"/>
    <w:rsid w:val="00B0217D"/>
    <w:rsid w:val="00B02D0B"/>
    <w:rsid w:val="00B03612"/>
    <w:rsid w:val="00B04427"/>
    <w:rsid w:val="00B044A2"/>
    <w:rsid w:val="00B04C2D"/>
    <w:rsid w:val="00B05152"/>
    <w:rsid w:val="00B05813"/>
    <w:rsid w:val="00B058CD"/>
    <w:rsid w:val="00B05EB5"/>
    <w:rsid w:val="00B06D2E"/>
    <w:rsid w:val="00B06F87"/>
    <w:rsid w:val="00B0726A"/>
    <w:rsid w:val="00B0767A"/>
    <w:rsid w:val="00B07D29"/>
    <w:rsid w:val="00B07DDC"/>
    <w:rsid w:val="00B10876"/>
    <w:rsid w:val="00B10C55"/>
    <w:rsid w:val="00B111CD"/>
    <w:rsid w:val="00B11ED7"/>
    <w:rsid w:val="00B13001"/>
    <w:rsid w:val="00B132F5"/>
    <w:rsid w:val="00B147FE"/>
    <w:rsid w:val="00B148EC"/>
    <w:rsid w:val="00B15055"/>
    <w:rsid w:val="00B15779"/>
    <w:rsid w:val="00B15AE9"/>
    <w:rsid w:val="00B1631C"/>
    <w:rsid w:val="00B172B1"/>
    <w:rsid w:val="00B172CB"/>
    <w:rsid w:val="00B17541"/>
    <w:rsid w:val="00B211DF"/>
    <w:rsid w:val="00B21B25"/>
    <w:rsid w:val="00B22A18"/>
    <w:rsid w:val="00B22CA1"/>
    <w:rsid w:val="00B237A4"/>
    <w:rsid w:val="00B2537D"/>
    <w:rsid w:val="00B2693A"/>
    <w:rsid w:val="00B26E83"/>
    <w:rsid w:val="00B30600"/>
    <w:rsid w:val="00B329BF"/>
    <w:rsid w:val="00B33064"/>
    <w:rsid w:val="00B33679"/>
    <w:rsid w:val="00B33775"/>
    <w:rsid w:val="00B33E27"/>
    <w:rsid w:val="00B3474E"/>
    <w:rsid w:val="00B34D16"/>
    <w:rsid w:val="00B34FFC"/>
    <w:rsid w:val="00B353F2"/>
    <w:rsid w:val="00B36C39"/>
    <w:rsid w:val="00B41E56"/>
    <w:rsid w:val="00B420CF"/>
    <w:rsid w:val="00B42536"/>
    <w:rsid w:val="00B432A8"/>
    <w:rsid w:val="00B43754"/>
    <w:rsid w:val="00B43ACF"/>
    <w:rsid w:val="00B44547"/>
    <w:rsid w:val="00B44AB4"/>
    <w:rsid w:val="00B44E76"/>
    <w:rsid w:val="00B45670"/>
    <w:rsid w:val="00B45CC6"/>
    <w:rsid w:val="00B4626E"/>
    <w:rsid w:val="00B470E5"/>
    <w:rsid w:val="00B4769B"/>
    <w:rsid w:val="00B5117D"/>
    <w:rsid w:val="00B516D7"/>
    <w:rsid w:val="00B52BAD"/>
    <w:rsid w:val="00B53C70"/>
    <w:rsid w:val="00B540F9"/>
    <w:rsid w:val="00B55594"/>
    <w:rsid w:val="00B55BA9"/>
    <w:rsid w:val="00B55C80"/>
    <w:rsid w:val="00B55EAD"/>
    <w:rsid w:val="00B55F76"/>
    <w:rsid w:val="00B5643F"/>
    <w:rsid w:val="00B5644D"/>
    <w:rsid w:val="00B56C94"/>
    <w:rsid w:val="00B57551"/>
    <w:rsid w:val="00B57777"/>
    <w:rsid w:val="00B6129E"/>
    <w:rsid w:val="00B621B9"/>
    <w:rsid w:val="00B62C7E"/>
    <w:rsid w:val="00B63B22"/>
    <w:rsid w:val="00B6402D"/>
    <w:rsid w:val="00B640AB"/>
    <w:rsid w:val="00B646F8"/>
    <w:rsid w:val="00B64DB0"/>
    <w:rsid w:val="00B65532"/>
    <w:rsid w:val="00B65AD0"/>
    <w:rsid w:val="00B66A80"/>
    <w:rsid w:val="00B6722A"/>
    <w:rsid w:val="00B67B6F"/>
    <w:rsid w:val="00B67EEB"/>
    <w:rsid w:val="00B70B6C"/>
    <w:rsid w:val="00B70C2F"/>
    <w:rsid w:val="00B70EAC"/>
    <w:rsid w:val="00B713B3"/>
    <w:rsid w:val="00B71666"/>
    <w:rsid w:val="00B71BDA"/>
    <w:rsid w:val="00B73B41"/>
    <w:rsid w:val="00B73D93"/>
    <w:rsid w:val="00B750CB"/>
    <w:rsid w:val="00B76A9A"/>
    <w:rsid w:val="00B830ED"/>
    <w:rsid w:val="00B84209"/>
    <w:rsid w:val="00B8426D"/>
    <w:rsid w:val="00B846F9"/>
    <w:rsid w:val="00B85F54"/>
    <w:rsid w:val="00B8609C"/>
    <w:rsid w:val="00B8625C"/>
    <w:rsid w:val="00B8768B"/>
    <w:rsid w:val="00B90CF8"/>
    <w:rsid w:val="00B90F8A"/>
    <w:rsid w:val="00B91396"/>
    <w:rsid w:val="00B91501"/>
    <w:rsid w:val="00B9155B"/>
    <w:rsid w:val="00B9196A"/>
    <w:rsid w:val="00B91C7A"/>
    <w:rsid w:val="00B922FD"/>
    <w:rsid w:val="00B92FDA"/>
    <w:rsid w:val="00B9315A"/>
    <w:rsid w:val="00B936F1"/>
    <w:rsid w:val="00B9384D"/>
    <w:rsid w:val="00B93E88"/>
    <w:rsid w:val="00B9419F"/>
    <w:rsid w:val="00B951E3"/>
    <w:rsid w:val="00B95D2B"/>
    <w:rsid w:val="00B965E5"/>
    <w:rsid w:val="00B96EDC"/>
    <w:rsid w:val="00B97CA3"/>
    <w:rsid w:val="00B97D7A"/>
    <w:rsid w:val="00B97FE1"/>
    <w:rsid w:val="00BA0E85"/>
    <w:rsid w:val="00BA1A71"/>
    <w:rsid w:val="00BA1B4D"/>
    <w:rsid w:val="00BA38AB"/>
    <w:rsid w:val="00BA38BA"/>
    <w:rsid w:val="00BA3E73"/>
    <w:rsid w:val="00BA4204"/>
    <w:rsid w:val="00BA5260"/>
    <w:rsid w:val="00BA56FE"/>
    <w:rsid w:val="00BA5A2A"/>
    <w:rsid w:val="00BA5A71"/>
    <w:rsid w:val="00BA5DBB"/>
    <w:rsid w:val="00BB0BD4"/>
    <w:rsid w:val="00BB164F"/>
    <w:rsid w:val="00BB1666"/>
    <w:rsid w:val="00BB3A83"/>
    <w:rsid w:val="00BB3DCA"/>
    <w:rsid w:val="00BB41DA"/>
    <w:rsid w:val="00BB44E7"/>
    <w:rsid w:val="00BB5DF5"/>
    <w:rsid w:val="00BB5F4D"/>
    <w:rsid w:val="00BB6108"/>
    <w:rsid w:val="00BB615F"/>
    <w:rsid w:val="00BB6202"/>
    <w:rsid w:val="00BB6EFD"/>
    <w:rsid w:val="00BB7386"/>
    <w:rsid w:val="00BB7E17"/>
    <w:rsid w:val="00BC093C"/>
    <w:rsid w:val="00BC0B65"/>
    <w:rsid w:val="00BC0FDB"/>
    <w:rsid w:val="00BC136D"/>
    <w:rsid w:val="00BC140D"/>
    <w:rsid w:val="00BC1D57"/>
    <w:rsid w:val="00BC1F6B"/>
    <w:rsid w:val="00BC2058"/>
    <w:rsid w:val="00BC22A9"/>
    <w:rsid w:val="00BC3042"/>
    <w:rsid w:val="00BC325A"/>
    <w:rsid w:val="00BC348A"/>
    <w:rsid w:val="00BC34BF"/>
    <w:rsid w:val="00BC3533"/>
    <w:rsid w:val="00BC370B"/>
    <w:rsid w:val="00BC3821"/>
    <w:rsid w:val="00BC3A0A"/>
    <w:rsid w:val="00BC4413"/>
    <w:rsid w:val="00BC484C"/>
    <w:rsid w:val="00BC4E06"/>
    <w:rsid w:val="00BC4FAD"/>
    <w:rsid w:val="00BC5391"/>
    <w:rsid w:val="00BC59CB"/>
    <w:rsid w:val="00BC6076"/>
    <w:rsid w:val="00BC63CB"/>
    <w:rsid w:val="00BC6FFB"/>
    <w:rsid w:val="00BC76AF"/>
    <w:rsid w:val="00BC7D32"/>
    <w:rsid w:val="00BD0298"/>
    <w:rsid w:val="00BD1990"/>
    <w:rsid w:val="00BD1ECF"/>
    <w:rsid w:val="00BD1FE9"/>
    <w:rsid w:val="00BD2845"/>
    <w:rsid w:val="00BD3051"/>
    <w:rsid w:val="00BD30F3"/>
    <w:rsid w:val="00BD3662"/>
    <w:rsid w:val="00BD3E24"/>
    <w:rsid w:val="00BD430A"/>
    <w:rsid w:val="00BD4675"/>
    <w:rsid w:val="00BD5C47"/>
    <w:rsid w:val="00BD703D"/>
    <w:rsid w:val="00BD7571"/>
    <w:rsid w:val="00BE05A4"/>
    <w:rsid w:val="00BE0834"/>
    <w:rsid w:val="00BE104F"/>
    <w:rsid w:val="00BE1206"/>
    <w:rsid w:val="00BE1787"/>
    <w:rsid w:val="00BE185D"/>
    <w:rsid w:val="00BE255A"/>
    <w:rsid w:val="00BE2BB4"/>
    <w:rsid w:val="00BE2BFD"/>
    <w:rsid w:val="00BE3BA9"/>
    <w:rsid w:val="00BE3EC4"/>
    <w:rsid w:val="00BE4003"/>
    <w:rsid w:val="00BE4309"/>
    <w:rsid w:val="00BE49A4"/>
    <w:rsid w:val="00BE58C6"/>
    <w:rsid w:val="00BE5EAC"/>
    <w:rsid w:val="00BE7153"/>
    <w:rsid w:val="00BE71E6"/>
    <w:rsid w:val="00BE794B"/>
    <w:rsid w:val="00BF0631"/>
    <w:rsid w:val="00BF0C7A"/>
    <w:rsid w:val="00BF1818"/>
    <w:rsid w:val="00BF203B"/>
    <w:rsid w:val="00BF307B"/>
    <w:rsid w:val="00BF4267"/>
    <w:rsid w:val="00BF446A"/>
    <w:rsid w:val="00BF5090"/>
    <w:rsid w:val="00BF5286"/>
    <w:rsid w:val="00BF53B6"/>
    <w:rsid w:val="00BF5510"/>
    <w:rsid w:val="00BF5571"/>
    <w:rsid w:val="00BF59D7"/>
    <w:rsid w:val="00BF6524"/>
    <w:rsid w:val="00BF67A0"/>
    <w:rsid w:val="00BF6CE4"/>
    <w:rsid w:val="00BF7103"/>
    <w:rsid w:val="00BF7434"/>
    <w:rsid w:val="00BF7BDC"/>
    <w:rsid w:val="00C00978"/>
    <w:rsid w:val="00C00A1D"/>
    <w:rsid w:val="00C00EA9"/>
    <w:rsid w:val="00C01865"/>
    <w:rsid w:val="00C01BA8"/>
    <w:rsid w:val="00C021AE"/>
    <w:rsid w:val="00C026A2"/>
    <w:rsid w:val="00C0431F"/>
    <w:rsid w:val="00C04E95"/>
    <w:rsid w:val="00C05EE0"/>
    <w:rsid w:val="00C06206"/>
    <w:rsid w:val="00C06B41"/>
    <w:rsid w:val="00C06C90"/>
    <w:rsid w:val="00C079D3"/>
    <w:rsid w:val="00C07FB8"/>
    <w:rsid w:val="00C101FE"/>
    <w:rsid w:val="00C1095E"/>
    <w:rsid w:val="00C10E49"/>
    <w:rsid w:val="00C112C7"/>
    <w:rsid w:val="00C12BC7"/>
    <w:rsid w:val="00C1386E"/>
    <w:rsid w:val="00C13E66"/>
    <w:rsid w:val="00C1456D"/>
    <w:rsid w:val="00C14E92"/>
    <w:rsid w:val="00C1674E"/>
    <w:rsid w:val="00C1681A"/>
    <w:rsid w:val="00C168E1"/>
    <w:rsid w:val="00C16AEB"/>
    <w:rsid w:val="00C17715"/>
    <w:rsid w:val="00C17D17"/>
    <w:rsid w:val="00C17D87"/>
    <w:rsid w:val="00C17E94"/>
    <w:rsid w:val="00C214BB"/>
    <w:rsid w:val="00C22362"/>
    <w:rsid w:val="00C2282C"/>
    <w:rsid w:val="00C23789"/>
    <w:rsid w:val="00C23BB5"/>
    <w:rsid w:val="00C24533"/>
    <w:rsid w:val="00C25045"/>
    <w:rsid w:val="00C25C82"/>
    <w:rsid w:val="00C265A2"/>
    <w:rsid w:val="00C26ED6"/>
    <w:rsid w:val="00C27302"/>
    <w:rsid w:val="00C278FB"/>
    <w:rsid w:val="00C27F10"/>
    <w:rsid w:val="00C31D10"/>
    <w:rsid w:val="00C32305"/>
    <w:rsid w:val="00C32465"/>
    <w:rsid w:val="00C333CD"/>
    <w:rsid w:val="00C3363B"/>
    <w:rsid w:val="00C336C4"/>
    <w:rsid w:val="00C33772"/>
    <w:rsid w:val="00C33BA9"/>
    <w:rsid w:val="00C33CC5"/>
    <w:rsid w:val="00C341F7"/>
    <w:rsid w:val="00C3450E"/>
    <w:rsid w:val="00C35730"/>
    <w:rsid w:val="00C35BED"/>
    <w:rsid w:val="00C35E8E"/>
    <w:rsid w:val="00C36236"/>
    <w:rsid w:val="00C36276"/>
    <w:rsid w:val="00C4022C"/>
    <w:rsid w:val="00C40912"/>
    <w:rsid w:val="00C41727"/>
    <w:rsid w:val="00C417A0"/>
    <w:rsid w:val="00C4180B"/>
    <w:rsid w:val="00C42DD3"/>
    <w:rsid w:val="00C4305F"/>
    <w:rsid w:val="00C43097"/>
    <w:rsid w:val="00C43C8D"/>
    <w:rsid w:val="00C44AC2"/>
    <w:rsid w:val="00C4520A"/>
    <w:rsid w:val="00C458A2"/>
    <w:rsid w:val="00C46088"/>
    <w:rsid w:val="00C46A6A"/>
    <w:rsid w:val="00C47B68"/>
    <w:rsid w:val="00C50893"/>
    <w:rsid w:val="00C51433"/>
    <w:rsid w:val="00C51995"/>
    <w:rsid w:val="00C51A4F"/>
    <w:rsid w:val="00C52103"/>
    <w:rsid w:val="00C53D0E"/>
    <w:rsid w:val="00C56870"/>
    <w:rsid w:val="00C5705F"/>
    <w:rsid w:val="00C57661"/>
    <w:rsid w:val="00C579A7"/>
    <w:rsid w:val="00C600E2"/>
    <w:rsid w:val="00C61163"/>
    <w:rsid w:val="00C62441"/>
    <w:rsid w:val="00C633BA"/>
    <w:rsid w:val="00C6371A"/>
    <w:rsid w:val="00C63B71"/>
    <w:rsid w:val="00C63F25"/>
    <w:rsid w:val="00C6600D"/>
    <w:rsid w:val="00C66B66"/>
    <w:rsid w:val="00C70875"/>
    <w:rsid w:val="00C70CDA"/>
    <w:rsid w:val="00C7102C"/>
    <w:rsid w:val="00C71670"/>
    <w:rsid w:val="00C71B7E"/>
    <w:rsid w:val="00C72279"/>
    <w:rsid w:val="00C735A0"/>
    <w:rsid w:val="00C74E0C"/>
    <w:rsid w:val="00C765EB"/>
    <w:rsid w:val="00C77E7B"/>
    <w:rsid w:val="00C80673"/>
    <w:rsid w:val="00C80A80"/>
    <w:rsid w:val="00C80A91"/>
    <w:rsid w:val="00C810DB"/>
    <w:rsid w:val="00C81FAE"/>
    <w:rsid w:val="00C8345F"/>
    <w:rsid w:val="00C83FC9"/>
    <w:rsid w:val="00C8594F"/>
    <w:rsid w:val="00C8616C"/>
    <w:rsid w:val="00C8678B"/>
    <w:rsid w:val="00C9030E"/>
    <w:rsid w:val="00C9161A"/>
    <w:rsid w:val="00C922F1"/>
    <w:rsid w:val="00C92872"/>
    <w:rsid w:val="00C94064"/>
    <w:rsid w:val="00C94D4E"/>
    <w:rsid w:val="00C9509A"/>
    <w:rsid w:val="00C95103"/>
    <w:rsid w:val="00C958A6"/>
    <w:rsid w:val="00C958F5"/>
    <w:rsid w:val="00CA0202"/>
    <w:rsid w:val="00CA0A23"/>
    <w:rsid w:val="00CA2AEA"/>
    <w:rsid w:val="00CA2C00"/>
    <w:rsid w:val="00CA36EF"/>
    <w:rsid w:val="00CA435A"/>
    <w:rsid w:val="00CA50D6"/>
    <w:rsid w:val="00CA592A"/>
    <w:rsid w:val="00CA5A51"/>
    <w:rsid w:val="00CA61D2"/>
    <w:rsid w:val="00CA6F8E"/>
    <w:rsid w:val="00CA701C"/>
    <w:rsid w:val="00CA7FBA"/>
    <w:rsid w:val="00CB0560"/>
    <w:rsid w:val="00CB0623"/>
    <w:rsid w:val="00CB1EC1"/>
    <w:rsid w:val="00CB2DCF"/>
    <w:rsid w:val="00CB3D35"/>
    <w:rsid w:val="00CB403C"/>
    <w:rsid w:val="00CB4BC3"/>
    <w:rsid w:val="00CB4C78"/>
    <w:rsid w:val="00CB5D80"/>
    <w:rsid w:val="00CB61B0"/>
    <w:rsid w:val="00CB748D"/>
    <w:rsid w:val="00CC100C"/>
    <w:rsid w:val="00CC1493"/>
    <w:rsid w:val="00CC2C3E"/>
    <w:rsid w:val="00CC34CF"/>
    <w:rsid w:val="00CC3E56"/>
    <w:rsid w:val="00CC519B"/>
    <w:rsid w:val="00CC6DF6"/>
    <w:rsid w:val="00CC6F9E"/>
    <w:rsid w:val="00CC7B77"/>
    <w:rsid w:val="00CD0B96"/>
    <w:rsid w:val="00CD1719"/>
    <w:rsid w:val="00CD1C38"/>
    <w:rsid w:val="00CD2D95"/>
    <w:rsid w:val="00CD369B"/>
    <w:rsid w:val="00CD49D2"/>
    <w:rsid w:val="00CD562E"/>
    <w:rsid w:val="00CD5DB0"/>
    <w:rsid w:val="00CD63FF"/>
    <w:rsid w:val="00CD64C4"/>
    <w:rsid w:val="00CD72D4"/>
    <w:rsid w:val="00CD75E8"/>
    <w:rsid w:val="00CD7DCE"/>
    <w:rsid w:val="00CE0C2B"/>
    <w:rsid w:val="00CE12ED"/>
    <w:rsid w:val="00CE232D"/>
    <w:rsid w:val="00CE2FFE"/>
    <w:rsid w:val="00CE3FAA"/>
    <w:rsid w:val="00CE4A64"/>
    <w:rsid w:val="00CE4D39"/>
    <w:rsid w:val="00CE5290"/>
    <w:rsid w:val="00CE7509"/>
    <w:rsid w:val="00CF1292"/>
    <w:rsid w:val="00CF1355"/>
    <w:rsid w:val="00CF1992"/>
    <w:rsid w:val="00CF2731"/>
    <w:rsid w:val="00CF29B6"/>
    <w:rsid w:val="00CF2A1B"/>
    <w:rsid w:val="00CF33AA"/>
    <w:rsid w:val="00CF35F3"/>
    <w:rsid w:val="00CF3FE9"/>
    <w:rsid w:val="00CF4C2C"/>
    <w:rsid w:val="00CF4EE9"/>
    <w:rsid w:val="00CF53EF"/>
    <w:rsid w:val="00CF5908"/>
    <w:rsid w:val="00CF5BCE"/>
    <w:rsid w:val="00CF64E2"/>
    <w:rsid w:val="00CF6D8D"/>
    <w:rsid w:val="00CF6F76"/>
    <w:rsid w:val="00CF7062"/>
    <w:rsid w:val="00CF7276"/>
    <w:rsid w:val="00CF7422"/>
    <w:rsid w:val="00CF7955"/>
    <w:rsid w:val="00D003B4"/>
    <w:rsid w:val="00D00809"/>
    <w:rsid w:val="00D00AF7"/>
    <w:rsid w:val="00D00D8F"/>
    <w:rsid w:val="00D00EAF"/>
    <w:rsid w:val="00D030BD"/>
    <w:rsid w:val="00D046D8"/>
    <w:rsid w:val="00D04F38"/>
    <w:rsid w:val="00D05170"/>
    <w:rsid w:val="00D05365"/>
    <w:rsid w:val="00D05683"/>
    <w:rsid w:val="00D057AB"/>
    <w:rsid w:val="00D0586C"/>
    <w:rsid w:val="00D06B5B"/>
    <w:rsid w:val="00D1101E"/>
    <w:rsid w:val="00D11178"/>
    <w:rsid w:val="00D12A32"/>
    <w:rsid w:val="00D12ADB"/>
    <w:rsid w:val="00D13DBD"/>
    <w:rsid w:val="00D14D09"/>
    <w:rsid w:val="00D15018"/>
    <w:rsid w:val="00D16785"/>
    <w:rsid w:val="00D16BA9"/>
    <w:rsid w:val="00D17FCB"/>
    <w:rsid w:val="00D20F51"/>
    <w:rsid w:val="00D20FCF"/>
    <w:rsid w:val="00D2112D"/>
    <w:rsid w:val="00D21BD6"/>
    <w:rsid w:val="00D21C6D"/>
    <w:rsid w:val="00D21E18"/>
    <w:rsid w:val="00D22EE5"/>
    <w:rsid w:val="00D23AE0"/>
    <w:rsid w:val="00D24802"/>
    <w:rsid w:val="00D25104"/>
    <w:rsid w:val="00D2541C"/>
    <w:rsid w:val="00D25FED"/>
    <w:rsid w:val="00D26184"/>
    <w:rsid w:val="00D2676A"/>
    <w:rsid w:val="00D273F1"/>
    <w:rsid w:val="00D30205"/>
    <w:rsid w:val="00D308D0"/>
    <w:rsid w:val="00D31AC0"/>
    <w:rsid w:val="00D31CBD"/>
    <w:rsid w:val="00D31E1D"/>
    <w:rsid w:val="00D32BBF"/>
    <w:rsid w:val="00D32E77"/>
    <w:rsid w:val="00D340EF"/>
    <w:rsid w:val="00D34100"/>
    <w:rsid w:val="00D34261"/>
    <w:rsid w:val="00D34A7F"/>
    <w:rsid w:val="00D34CA1"/>
    <w:rsid w:val="00D35BE1"/>
    <w:rsid w:val="00D35C4B"/>
    <w:rsid w:val="00D3660A"/>
    <w:rsid w:val="00D370A5"/>
    <w:rsid w:val="00D378AF"/>
    <w:rsid w:val="00D37ABB"/>
    <w:rsid w:val="00D40F01"/>
    <w:rsid w:val="00D412CD"/>
    <w:rsid w:val="00D415B1"/>
    <w:rsid w:val="00D41950"/>
    <w:rsid w:val="00D41D3F"/>
    <w:rsid w:val="00D41FFD"/>
    <w:rsid w:val="00D42D9C"/>
    <w:rsid w:val="00D438B3"/>
    <w:rsid w:val="00D438BA"/>
    <w:rsid w:val="00D453D5"/>
    <w:rsid w:val="00D45FE1"/>
    <w:rsid w:val="00D46AF9"/>
    <w:rsid w:val="00D47CF0"/>
    <w:rsid w:val="00D50141"/>
    <w:rsid w:val="00D510A2"/>
    <w:rsid w:val="00D51F42"/>
    <w:rsid w:val="00D524CC"/>
    <w:rsid w:val="00D52DE8"/>
    <w:rsid w:val="00D53418"/>
    <w:rsid w:val="00D53782"/>
    <w:rsid w:val="00D53EBA"/>
    <w:rsid w:val="00D54279"/>
    <w:rsid w:val="00D54B5E"/>
    <w:rsid w:val="00D54FD3"/>
    <w:rsid w:val="00D56A07"/>
    <w:rsid w:val="00D56BF6"/>
    <w:rsid w:val="00D57D6B"/>
    <w:rsid w:val="00D60088"/>
    <w:rsid w:val="00D62669"/>
    <w:rsid w:val="00D62731"/>
    <w:rsid w:val="00D627BC"/>
    <w:rsid w:val="00D62B0B"/>
    <w:rsid w:val="00D630A2"/>
    <w:rsid w:val="00D643FD"/>
    <w:rsid w:val="00D64BB0"/>
    <w:rsid w:val="00D65560"/>
    <w:rsid w:val="00D65987"/>
    <w:rsid w:val="00D65B85"/>
    <w:rsid w:val="00D66054"/>
    <w:rsid w:val="00D666BB"/>
    <w:rsid w:val="00D673EE"/>
    <w:rsid w:val="00D677C8"/>
    <w:rsid w:val="00D678BF"/>
    <w:rsid w:val="00D67FDA"/>
    <w:rsid w:val="00D70AB7"/>
    <w:rsid w:val="00D71504"/>
    <w:rsid w:val="00D72BC5"/>
    <w:rsid w:val="00D737CD"/>
    <w:rsid w:val="00D7384B"/>
    <w:rsid w:val="00D74930"/>
    <w:rsid w:val="00D74AC4"/>
    <w:rsid w:val="00D74DBC"/>
    <w:rsid w:val="00D758C3"/>
    <w:rsid w:val="00D766F7"/>
    <w:rsid w:val="00D7699C"/>
    <w:rsid w:val="00D76D97"/>
    <w:rsid w:val="00D77269"/>
    <w:rsid w:val="00D776EE"/>
    <w:rsid w:val="00D7799F"/>
    <w:rsid w:val="00D779D3"/>
    <w:rsid w:val="00D77A15"/>
    <w:rsid w:val="00D802CF"/>
    <w:rsid w:val="00D809DD"/>
    <w:rsid w:val="00D815F5"/>
    <w:rsid w:val="00D8160C"/>
    <w:rsid w:val="00D81726"/>
    <w:rsid w:val="00D81CD7"/>
    <w:rsid w:val="00D81E59"/>
    <w:rsid w:val="00D81ECB"/>
    <w:rsid w:val="00D821FB"/>
    <w:rsid w:val="00D822D9"/>
    <w:rsid w:val="00D82B9B"/>
    <w:rsid w:val="00D83709"/>
    <w:rsid w:val="00D84303"/>
    <w:rsid w:val="00D853CA"/>
    <w:rsid w:val="00D85AC9"/>
    <w:rsid w:val="00D85B3E"/>
    <w:rsid w:val="00D85EF4"/>
    <w:rsid w:val="00D900E3"/>
    <w:rsid w:val="00D91272"/>
    <w:rsid w:val="00D9154D"/>
    <w:rsid w:val="00D91864"/>
    <w:rsid w:val="00D91AC7"/>
    <w:rsid w:val="00D93690"/>
    <w:rsid w:val="00D937AC"/>
    <w:rsid w:val="00D94248"/>
    <w:rsid w:val="00D95DEC"/>
    <w:rsid w:val="00D95FAB"/>
    <w:rsid w:val="00D96109"/>
    <w:rsid w:val="00D962DC"/>
    <w:rsid w:val="00D96545"/>
    <w:rsid w:val="00D96B7A"/>
    <w:rsid w:val="00D97500"/>
    <w:rsid w:val="00D97798"/>
    <w:rsid w:val="00D97DB4"/>
    <w:rsid w:val="00D97FDE"/>
    <w:rsid w:val="00DA12DA"/>
    <w:rsid w:val="00DA29CF"/>
    <w:rsid w:val="00DA4603"/>
    <w:rsid w:val="00DA4665"/>
    <w:rsid w:val="00DA4A68"/>
    <w:rsid w:val="00DA5FED"/>
    <w:rsid w:val="00DA6B4A"/>
    <w:rsid w:val="00DB09A6"/>
    <w:rsid w:val="00DB14F9"/>
    <w:rsid w:val="00DB19A6"/>
    <w:rsid w:val="00DB1A33"/>
    <w:rsid w:val="00DB2BA5"/>
    <w:rsid w:val="00DB4B59"/>
    <w:rsid w:val="00DB4EB9"/>
    <w:rsid w:val="00DB56CA"/>
    <w:rsid w:val="00DB6C54"/>
    <w:rsid w:val="00DB7465"/>
    <w:rsid w:val="00DB7E2A"/>
    <w:rsid w:val="00DC0A44"/>
    <w:rsid w:val="00DC1162"/>
    <w:rsid w:val="00DC32A5"/>
    <w:rsid w:val="00DC350D"/>
    <w:rsid w:val="00DC38A5"/>
    <w:rsid w:val="00DC496C"/>
    <w:rsid w:val="00DC4D25"/>
    <w:rsid w:val="00DC4F19"/>
    <w:rsid w:val="00DC59C9"/>
    <w:rsid w:val="00DC5A2F"/>
    <w:rsid w:val="00DC73AD"/>
    <w:rsid w:val="00DC7F0B"/>
    <w:rsid w:val="00DC7FB1"/>
    <w:rsid w:val="00DD0426"/>
    <w:rsid w:val="00DD0F26"/>
    <w:rsid w:val="00DD1345"/>
    <w:rsid w:val="00DD1B6F"/>
    <w:rsid w:val="00DD3823"/>
    <w:rsid w:val="00DD3896"/>
    <w:rsid w:val="00DD3C3A"/>
    <w:rsid w:val="00DD3DBB"/>
    <w:rsid w:val="00DD3FB8"/>
    <w:rsid w:val="00DD3FC3"/>
    <w:rsid w:val="00DD4D11"/>
    <w:rsid w:val="00DD4F29"/>
    <w:rsid w:val="00DD4F8F"/>
    <w:rsid w:val="00DD5EFF"/>
    <w:rsid w:val="00DD622F"/>
    <w:rsid w:val="00DD6454"/>
    <w:rsid w:val="00DD6600"/>
    <w:rsid w:val="00DD7101"/>
    <w:rsid w:val="00DD7ABC"/>
    <w:rsid w:val="00DE0DAD"/>
    <w:rsid w:val="00DE0DE1"/>
    <w:rsid w:val="00DE1388"/>
    <w:rsid w:val="00DE17D4"/>
    <w:rsid w:val="00DE224C"/>
    <w:rsid w:val="00DE47F0"/>
    <w:rsid w:val="00DE501D"/>
    <w:rsid w:val="00DE595B"/>
    <w:rsid w:val="00DE5AA6"/>
    <w:rsid w:val="00DE6057"/>
    <w:rsid w:val="00DE683C"/>
    <w:rsid w:val="00DE70C7"/>
    <w:rsid w:val="00DE7554"/>
    <w:rsid w:val="00DF0A11"/>
    <w:rsid w:val="00DF175B"/>
    <w:rsid w:val="00DF19E2"/>
    <w:rsid w:val="00DF1F92"/>
    <w:rsid w:val="00DF20F5"/>
    <w:rsid w:val="00DF2B66"/>
    <w:rsid w:val="00DF2D4C"/>
    <w:rsid w:val="00DF318A"/>
    <w:rsid w:val="00DF32A1"/>
    <w:rsid w:val="00DF3386"/>
    <w:rsid w:val="00DF3827"/>
    <w:rsid w:val="00DF3E89"/>
    <w:rsid w:val="00DF45A7"/>
    <w:rsid w:val="00DF4AE2"/>
    <w:rsid w:val="00DF6206"/>
    <w:rsid w:val="00DF7863"/>
    <w:rsid w:val="00E00E12"/>
    <w:rsid w:val="00E00E53"/>
    <w:rsid w:val="00E03C72"/>
    <w:rsid w:val="00E03EE3"/>
    <w:rsid w:val="00E049D3"/>
    <w:rsid w:val="00E0513A"/>
    <w:rsid w:val="00E05CB2"/>
    <w:rsid w:val="00E07F19"/>
    <w:rsid w:val="00E117C6"/>
    <w:rsid w:val="00E11BC4"/>
    <w:rsid w:val="00E11BE6"/>
    <w:rsid w:val="00E12374"/>
    <w:rsid w:val="00E12A4B"/>
    <w:rsid w:val="00E13308"/>
    <w:rsid w:val="00E14863"/>
    <w:rsid w:val="00E149A1"/>
    <w:rsid w:val="00E15FEF"/>
    <w:rsid w:val="00E1622E"/>
    <w:rsid w:val="00E16393"/>
    <w:rsid w:val="00E170CE"/>
    <w:rsid w:val="00E17C6C"/>
    <w:rsid w:val="00E20490"/>
    <w:rsid w:val="00E20503"/>
    <w:rsid w:val="00E20631"/>
    <w:rsid w:val="00E2085F"/>
    <w:rsid w:val="00E2108C"/>
    <w:rsid w:val="00E214CD"/>
    <w:rsid w:val="00E2190D"/>
    <w:rsid w:val="00E21C61"/>
    <w:rsid w:val="00E2271F"/>
    <w:rsid w:val="00E22C3D"/>
    <w:rsid w:val="00E22E7F"/>
    <w:rsid w:val="00E2355C"/>
    <w:rsid w:val="00E240D0"/>
    <w:rsid w:val="00E24281"/>
    <w:rsid w:val="00E24878"/>
    <w:rsid w:val="00E24CAB"/>
    <w:rsid w:val="00E252D4"/>
    <w:rsid w:val="00E257E6"/>
    <w:rsid w:val="00E27D49"/>
    <w:rsid w:val="00E3025F"/>
    <w:rsid w:val="00E307A3"/>
    <w:rsid w:val="00E30B33"/>
    <w:rsid w:val="00E30D44"/>
    <w:rsid w:val="00E31E6E"/>
    <w:rsid w:val="00E31FE4"/>
    <w:rsid w:val="00E32C36"/>
    <w:rsid w:val="00E3409C"/>
    <w:rsid w:val="00E345F7"/>
    <w:rsid w:val="00E34BE6"/>
    <w:rsid w:val="00E36265"/>
    <w:rsid w:val="00E369D9"/>
    <w:rsid w:val="00E37B25"/>
    <w:rsid w:val="00E404EC"/>
    <w:rsid w:val="00E40A6F"/>
    <w:rsid w:val="00E42730"/>
    <w:rsid w:val="00E438EE"/>
    <w:rsid w:val="00E447A4"/>
    <w:rsid w:val="00E448C4"/>
    <w:rsid w:val="00E44AE1"/>
    <w:rsid w:val="00E45E01"/>
    <w:rsid w:val="00E466B6"/>
    <w:rsid w:val="00E46F97"/>
    <w:rsid w:val="00E4752F"/>
    <w:rsid w:val="00E479FD"/>
    <w:rsid w:val="00E47C4E"/>
    <w:rsid w:val="00E50CC0"/>
    <w:rsid w:val="00E50CF1"/>
    <w:rsid w:val="00E515C0"/>
    <w:rsid w:val="00E517DA"/>
    <w:rsid w:val="00E51A2A"/>
    <w:rsid w:val="00E51B93"/>
    <w:rsid w:val="00E52B58"/>
    <w:rsid w:val="00E53B8B"/>
    <w:rsid w:val="00E5420E"/>
    <w:rsid w:val="00E543FE"/>
    <w:rsid w:val="00E54F35"/>
    <w:rsid w:val="00E56061"/>
    <w:rsid w:val="00E563A4"/>
    <w:rsid w:val="00E5647B"/>
    <w:rsid w:val="00E566EB"/>
    <w:rsid w:val="00E569C4"/>
    <w:rsid w:val="00E56F7D"/>
    <w:rsid w:val="00E60AE6"/>
    <w:rsid w:val="00E61272"/>
    <w:rsid w:val="00E61D6F"/>
    <w:rsid w:val="00E61E6D"/>
    <w:rsid w:val="00E62D01"/>
    <w:rsid w:val="00E63550"/>
    <w:rsid w:val="00E638B9"/>
    <w:rsid w:val="00E63944"/>
    <w:rsid w:val="00E64A10"/>
    <w:rsid w:val="00E67071"/>
    <w:rsid w:val="00E67EB8"/>
    <w:rsid w:val="00E7016C"/>
    <w:rsid w:val="00E70580"/>
    <w:rsid w:val="00E71B48"/>
    <w:rsid w:val="00E72976"/>
    <w:rsid w:val="00E74511"/>
    <w:rsid w:val="00E75266"/>
    <w:rsid w:val="00E7528D"/>
    <w:rsid w:val="00E75A5E"/>
    <w:rsid w:val="00E75F6A"/>
    <w:rsid w:val="00E7697B"/>
    <w:rsid w:val="00E76E97"/>
    <w:rsid w:val="00E7738C"/>
    <w:rsid w:val="00E77FDC"/>
    <w:rsid w:val="00E803E8"/>
    <w:rsid w:val="00E80EC7"/>
    <w:rsid w:val="00E81AD8"/>
    <w:rsid w:val="00E8257A"/>
    <w:rsid w:val="00E82A78"/>
    <w:rsid w:val="00E832B0"/>
    <w:rsid w:val="00E83585"/>
    <w:rsid w:val="00E83F90"/>
    <w:rsid w:val="00E841E4"/>
    <w:rsid w:val="00E84B7E"/>
    <w:rsid w:val="00E8628A"/>
    <w:rsid w:val="00E87BE7"/>
    <w:rsid w:val="00E90448"/>
    <w:rsid w:val="00E908F6"/>
    <w:rsid w:val="00E90F14"/>
    <w:rsid w:val="00E91204"/>
    <w:rsid w:val="00E92569"/>
    <w:rsid w:val="00E92B5E"/>
    <w:rsid w:val="00E92EC6"/>
    <w:rsid w:val="00E94559"/>
    <w:rsid w:val="00E9461A"/>
    <w:rsid w:val="00E9485B"/>
    <w:rsid w:val="00E94B11"/>
    <w:rsid w:val="00E95283"/>
    <w:rsid w:val="00E95702"/>
    <w:rsid w:val="00EA03A1"/>
    <w:rsid w:val="00EA047C"/>
    <w:rsid w:val="00EA072B"/>
    <w:rsid w:val="00EA0F12"/>
    <w:rsid w:val="00EA10D5"/>
    <w:rsid w:val="00EA1786"/>
    <w:rsid w:val="00EA24A6"/>
    <w:rsid w:val="00EA2C69"/>
    <w:rsid w:val="00EA37FD"/>
    <w:rsid w:val="00EA3C2F"/>
    <w:rsid w:val="00EA41D6"/>
    <w:rsid w:val="00EA50E9"/>
    <w:rsid w:val="00EA6265"/>
    <w:rsid w:val="00EA6277"/>
    <w:rsid w:val="00EA76FA"/>
    <w:rsid w:val="00EA7746"/>
    <w:rsid w:val="00EA7C68"/>
    <w:rsid w:val="00EA7F07"/>
    <w:rsid w:val="00EA7F68"/>
    <w:rsid w:val="00EB15BE"/>
    <w:rsid w:val="00EB1DA0"/>
    <w:rsid w:val="00EB2769"/>
    <w:rsid w:val="00EB2C25"/>
    <w:rsid w:val="00EB3495"/>
    <w:rsid w:val="00EB3A7B"/>
    <w:rsid w:val="00EB4374"/>
    <w:rsid w:val="00EB4C27"/>
    <w:rsid w:val="00EB5318"/>
    <w:rsid w:val="00EB5A11"/>
    <w:rsid w:val="00EB5A77"/>
    <w:rsid w:val="00EB6229"/>
    <w:rsid w:val="00EB6652"/>
    <w:rsid w:val="00EB6764"/>
    <w:rsid w:val="00EB679A"/>
    <w:rsid w:val="00EB6DEE"/>
    <w:rsid w:val="00EB77E1"/>
    <w:rsid w:val="00EC001C"/>
    <w:rsid w:val="00EC00F1"/>
    <w:rsid w:val="00EC037C"/>
    <w:rsid w:val="00EC0437"/>
    <w:rsid w:val="00EC052C"/>
    <w:rsid w:val="00EC08D1"/>
    <w:rsid w:val="00EC094A"/>
    <w:rsid w:val="00EC0D97"/>
    <w:rsid w:val="00EC1FE9"/>
    <w:rsid w:val="00EC2280"/>
    <w:rsid w:val="00EC2526"/>
    <w:rsid w:val="00EC27AB"/>
    <w:rsid w:val="00EC2E88"/>
    <w:rsid w:val="00EC33D3"/>
    <w:rsid w:val="00EC3C14"/>
    <w:rsid w:val="00EC4184"/>
    <w:rsid w:val="00EC4CB4"/>
    <w:rsid w:val="00EC5C11"/>
    <w:rsid w:val="00EC6478"/>
    <w:rsid w:val="00EC6E02"/>
    <w:rsid w:val="00EC7AEC"/>
    <w:rsid w:val="00EC7C46"/>
    <w:rsid w:val="00ED1FD5"/>
    <w:rsid w:val="00ED264A"/>
    <w:rsid w:val="00ED315B"/>
    <w:rsid w:val="00ED3DFF"/>
    <w:rsid w:val="00ED4220"/>
    <w:rsid w:val="00ED43C5"/>
    <w:rsid w:val="00ED5079"/>
    <w:rsid w:val="00ED546B"/>
    <w:rsid w:val="00ED60AE"/>
    <w:rsid w:val="00ED6F63"/>
    <w:rsid w:val="00ED7BC1"/>
    <w:rsid w:val="00ED7F48"/>
    <w:rsid w:val="00EE0A0A"/>
    <w:rsid w:val="00EE1519"/>
    <w:rsid w:val="00EE1665"/>
    <w:rsid w:val="00EE2101"/>
    <w:rsid w:val="00EE254F"/>
    <w:rsid w:val="00EE2DAD"/>
    <w:rsid w:val="00EE32C0"/>
    <w:rsid w:val="00EE42C0"/>
    <w:rsid w:val="00EE4F23"/>
    <w:rsid w:val="00EE51D7"/>
    <w:rsid w:val="00EE56C9"/>
    <w:rsid w:val="00EE56D2"/>
    <w:rsid w:val="00EE57B1"/>
    <w:rsid w:val="00EF08BB"/>
    <w:rsid w:val="00EF0B6A"/>
    <w:rsid w:val="00EF0E3B"/>
    <w:rsid w:val="00EF0FBB"/>
    <w:rsid w:val="00EF1164"/>
    <w:rsid w:val="00EF1291"/>
    <w:rsid w:val="00EF25D4"/>
    <w:rsid w:val="00EF34D3"/>
    <w:rsid w:val="00EF3A06"/>
    <w:rsid w:val="00EF3F65"/>
    <w:rsid w:val="00EF48E8"/>
    <w:rsid w:val="00EF4E62"/>
    <w:rsid w:val="00EF50EA"/>
    <w:rsid w:val="00EF5505"/>
    <w:rsid w:val="00EF6B3F"/>
    <w:rsid w:val="00EF6CE3"/>
    <w:rsid w:val="00EF70A2"/>
    <w:rsid w:val="00EF7E28"/>
    <w:rsid w:val="00F00583"/>
    <w:rsid w:val="00F00A68"/>
    <w:rsid w:val="00F015A8"/>
    <w:rsid w:val="00F021FB"/>
    <w:rsid w:val="00F022DB"/>
    <w:rsid w:val="00F02811"/>
    <w:rsid w:val="00F0312B"/>
    <w:rsid w:val="00F0407E"/>
    <w:rsid w:val="00F04674"/>
    <w:rsid w:val="00F061EC"/>
    <w:rsid w:val="00F06518"/>
    <w:rsid w:val="00F065E4"/>
    <w:rsid w:val="00F06D72"/>
    <w:rsid w:val="00F06E13"/>
    <w:rsid w:val="00F0763E"/>
    <w:rsid w:val="00F07C7D"/>
    <w:rsid w:val="00F07DD7"/>
    <w:rsid w:val="00F10155"/>
    <w:rsid w:val="00F10946"/>
    <w:rsid w:val="00F10FE0"/>
    <w:rsid w:val="00F12729"/>
    <w:rsid w:val="00F12BB7"/>
    <w:rsid w:val="00F13C51"/>
    <w:rsid w:val="00F141FC"/>
    <w:rsid w:val="00F14B4D"/>
    <w:rsid w:val="00F14CE7"/>
    <w:rsid w:val="00F1567F"/>
    <w:rsid w:val="00F16916"/>
    <w:rsid w:val="00F170BC"/>
    <w:rsid w:val="00F174BC"/>
    <w:rsid w:val="00F17817"/>
    <w:rsid w:val="00F20620"/>
    <w:rsid w:val="00F2115D"/>
    <w:rsid w:val="00F211D6"/>
    <w:rsid w:val="00F21583"/>
    <w:rsid w:val="00F22214"/>
    <w:rsid w:val="00F22C55"/>
    <w:rsid w:val="00F232EE"/>
    <w:rsid w:val="00F23CDE"/>
    <w:rsid w:val="00F248EF"/>
    <w:rsid w:val="00F24AD9"/>
    <w:rsid w:val="00F27270"/>
    <w:rsid w:val="00F275A8"/>
    <w:rsid w:val="00F30435"/>
    <w:rsid w:val="00F30513"/>
    <w:rsid w:val="00F3070B"/>
    <w:rsid w:val="00F30AEC"/>
    <w:rsid w:val="00F318B1"/>
    <w:rsid w:val="00F31E02"/>
    <w:rsid w:val="00F3306C"/>
    <w:rsid w:val="00F336B1"/>
    <w:rsid w:val="00F34173"/>
    <w:rsid w:val="00F34D5C"/>
    <w:rsid w:val="00F354FE"/>
    <w:rsid w:val="00F35814"/>
    <w:rsid w:val="00F359A2"/>
    <w:rsid w:val="00F4061F"/>
    <w:rsid w:val="00F40694"/>
    <w:rsid w:val="00F408C7"/>
    <w:rsid w:val="00F41E5A"/>
    <w:rsid w:val="00F42600"/>
    <w:rsid w:val="00F4303F"/>
    <w:rsid w:val="00F43825"/>
    <w:rsid w:val="00F43B9D"/>
    <w:rsid w:val="00F43FE0"/>
    <w:rsid w:val="00F44C0C"/>
    <w:rsid w:val="00F4563C"/>
    <w:rsid w:val="00F4573A"/>
    <w:rsid w:val="00F45F6F"/>
    <w:rsid w:val="00F46011"/>
    <w:rsid w:val="00F4643F"/>
    <w:rsid w:val="00F46BE7"/>
    <w:rsid w:val="00F4754E"/>
    <w:rsid w:val="00F50D01"/>
    <w:rsid w:val="00F50FBE"/>
    <w:rsid w:val="00F51B98"/>
    <w:rsid w:val="00F51D6B"/>
    <w:rsid w:val="00F51E79"/>
    <w:rsid w:val="00F52380"/>
    <w:rsid w:val="00F5297A"/>
    <w:rsid w:val="00F54033"/>
    <w:rsid w:val="00F5443D"/>
    <w:rsid w:val="00F544EE"/>
    <w:rsid w:val="00F54EE3"/>
    <w:rsid w:val="00F55038"/>
    <w:rsid w:val="00F55151"/>
    <w:rsid w:val="00F55523"/>
    <w:rsid w:val="00F55D35"/>
    <w:rsid w:val="00F56027"/>
    <w:rsid w:val="00F5644D"/>
    <w:rsid w:val="00F56A6A"/>
    <w:rsid w:val="00F56E08"/>
    <w:rsid w:val="00F5732E"/>
    <w:rsid w:val="00F57B4F"/>
    <w:rsid w:val="00F57F36"/>
    <w:rsid w:val="00F6001B"/>
    <w:rsid w:val="00F6081F"/>
    <w:rsid w:val="00F62000"/>
    <w:rsid w:val="00F634AC"/>
    <w:rsid w:val="00F63F90"/>
    <w:rsid w:val="00F64B95"/>
    <w:rsid w:val="00F64EEE"/>
    <w:rsid w:val="00F655E8"/>
    <w:rsid w:val="00F656AC"/>
    <w:rsid w:val="00F66296"/>
    <w:rsid w:val="00F671C2"/>
    <w:rsid w:val="00F674AA"/>
    <w:rsid w:val="00F67FEA"/>
    <w:rsid w:val="00F70AAA"/>
    <w:rsid w:val="00F70BB3"/>
    <w:rsid w:val="00F70D85"/>
    <w:rsid w:val="00F712ED"/>
    <w:rsid w:val="00F72DFF"/>
    <w:rsid w:val="00F732A9"/>
    <w:rsid w:val="00F73949"/>
    <w:rsid w:val="00F739F2"/>
    <w:rsid w:val="00F75230"/>
    <w:rsid w:val="00F753A0"/>
    <w:rsid w:val="00F75827"/>
    <w:rsid w:val="00F75FF4"/>
    <w:rsid w:val="00F761F8"/>
    <w:rsid w:val="00F768FC"/>
    <w:rsid w:val="00F76B91"/>
    <w:rsid w:val="00F7783B"/>
    <w:rsid w:val="00F77CF0"/>
    <w:rsid w:val="00F807C0"/>
    <w:rsid w:val="00F8214A"/>
    <w:rsid w:val="00F82367"/>
    <w:rsid w:val="00F828D9"/>
    <w:rsid w:val="00F835C7"/>
    <w:rsid w:val="00F83D8C"/>
    <w:rsid w:val="00F83E9F"/>
    <w:rsid w:val="00F841A7"/>
    <w:rsid w:val="00F8453D"/>
    <w:rsid w:val="00F845C5"/>
    <w:rsid w:val="00F8490B"/>
    <w:rsid w:val="00F85023"/>
    <w:rsid w:val="00F853EC"/>
    <w:rsid w:val="00F8543B"/>
    <w:rsid w:val="00F85E90"/>
    <w:rsid w:val="00F865AD"/>
    <w:rsid w:val="00F86725"/>
    <w:rsid w:val="00F868DD"/>
    <w:rsid w:val="00F87128"/>
    <w:rsid w:val="00F8715F"/>
    <w:rsid w:val="00F90836"/>
    <w:rsid w:val="00F90D87"/>
    <w:rsid w:val="00F91007"/>
    <w:rsid w:val="00F916F6"/>
    <w:rsid w:val="00F92302"/>
    <w:rsid w:val="00F9253C"/>
    <w:rsid w:val="00F93922"/>
    <w:rsid w:val="00F93948"/>
    <w:rsid w:val="00F93E5E"/>
    <w:rsid w:val="00F945E7"/>
    <w:rsid w:val="00F948B3"/>
    <w:rsid w:val="00F953CD"/>
    <w:rsid w:val="00F95963"/>
    <w:rsid w:val="00F95B13"/>
    <w:rsid w:val="00F96672"/>
    <w:rsid w:val="00F97043"/>
    <w:rsid w:val="00F97519"/>
    <w:rsid w:val="00F9796B"/>
    <w:rsid w:val="00FA1670"/>
    <w:rsid w:val="00FA1765"/>
    <w:rsid w:val="00FA1FAC"/>
    <w:rsid w:val="00FA210F"/>
    <w:rsid w:val="00FA2333"/>
    <w:rsid w:val="00FA311E"/>
    <w:rsid w:val="00FA3D35"/>
    <w:rsid w:val="00FA598E"/>
    <w:rsid w:val="00FA670C"/>
    <w:rsid w:val="00FA6B04"/>
    <w:rsid w:val="00FA6C89"/>
    <w:rsid w:val="00FA784E"/>
    <w:rsid w:val="00FB001A"/>
    <w:rsid w:val="00FB02A7"/>
    <w:rsid w:val="00FB03E0"/>
    <w:rsid w:val="00FB050E"/>
    <w:rsid w:val="00FB0D08"/>
    <w:rsid w:val="00FB111D"/>
    <w:rsid w:val="00FB1169"/>
    <w:rsid w:val="00FB17A2"/>
    <w:rsid w:val="00FB1818"/>
    <w:rsid w:val="00FB1A3B"/>
    <w:rsid w:val="00FB1F97"/>
    <w:rsid w:val="00FB254A"/>
    <w:rsid w:val="00FB275E"/>
    <w:rsid w:val="00FB2978"/>
    <w:rsid w:val="00FB3D6D"/>
    <w:rsid w:val="00FB3FA4"/>
    <w:rsid w:val="00FB3FD8"/>
    <w:rsid w:val="00FB4CEA"/>
    <w:rsid w:val="00FB4DCE"/>
    <w:rsid w:val="00FB51E7"/>
    <w:rsid w:val="00FB56A9"/>
    <w:rsid w:val="00FB595A"/>
    <w:rsid w:val="00FB5989"/>
    <w:rsid w:val="00FB6053"/>
    <w:rsid w:val="00FB6112"/>
    <w:rsid w:val="00FB6343"/>
    <w:rsid w:val="00FB6B7C"/>
    <w:rsid w:val="00FB7C99"/>
    <w:rsid w:val="00FC0253"/>
    <w:rsid w:val="00FC0727"/>
    <w:rsid w:val="00FC113C"/>
    <w:rsid w:val="00FC12C6"/>
    <w:rsid w:val="00FC1E63"/>
    <w:rsid w:val="00FC2EE2"/>
    <w:rsid w:val="00FC31D4"/>
    <w:rsid w:val="00FC31F1"/>
    <w:rsid w:val="00FC3987"/>
    <w:rsid w:val="00FC452B"/>
    <w:rsid w:val="00FC4FE1"/>
    <w:rsid w:val="00FC5691"/>
    <w:rsid w:val="00FC5A17"/>
    <w:rsid w:val="00FC5C24"/>
    <w:rsid w:val="00FC60F1"/>
    <w:rsid w:val="00FC65C9"/>
    <w:rsid w:val="00FC6AA9"/>
    <w:rsid w:val="00FC7B8E"/>
    <w:rsid w:val="00FD02D5"/>
    <w:rsid w:val="00FD211C"/>
    <w:rsid w:val="00FD3079"/>
    <w:rsid w:val="00FD3347"/>
    <w:rsid w:val="00FD3D8A"/>
    <w:rsid w:val="00FD4E6C"/>
    <w:rsid w:val="00FD7F13"/>
    <w:rsid w:val="00FE0897"/>
    <w:rsid w:val="00FE136E"/>
    <w:rsid w:val="00FE1588"/>
    <w:rsid w:val="00FE1A29"/>
    <w:rsid w:val="00FE265D"/>
    <w:rsid w:val="00FE3518"/>
    <w:rsid w:val="00FE3E8A"/>
    <w:rsid w:val="00FE4262"/>
    <w:rsid w:val="00FE4EC8"/>
    <w:rsid w:val="00FE7453"/>
    <w:rsid w:val="00FE79BD"/>
    <w:rsid w:val="00FE7AA4"/>
    <w:rsid w:val="00FF1C6D"/>
    <w:rsid w:val="00FF332B"/>
    <w:rsid w:val="00FF3930"/>
    <w:rsid w:val="00FF44CE"/>
    <w:rsid w:val="00FF4966"/>
    <w:rsid w:val="00FF5131"/>
    <w:rsid w:val="00FF5EDF"/>
    <w:rsid w:val="00FF752D"/>
    <w:rsid w:val="00FF7EE9"/>
    <w:rsid w:val="010D6029"/>
    <w:rsid w:val="011250C4"/>
    <w:rsid w:val="01157246"/>
    <w:rsid w:val="013E100C"/>
    <w:rsid w:val="01516AF1"/>
    <w:rsid w:val="01615AEC"/>
    <w:rsid w:val="01883901"/>
    <w:rsid w:val="019655EC"/>
    <w:rsid w:val="01C74429"/>
    <w:rsid w:val="01C95F3B"/>
    <w:rsid w:val="01F64D0F"/>
    <w:rsid w:val="020A16FC"/>
    <w:rsid w:val="02647ECA"/>
    <w:rsid w:val="028E7F20"/>
    <w:rsid w:val="02BE5665"/>
    <w:rsid w:val="03012D45"/>
    <w:rsid w:val="03086AA8"/>
    <w:rsid w:val="03142F7A"/>
    <w:rsid w:val="033E3DD5"/>
    <w:rsid w:val="03863E70"/>
    <w:rsid w:val="038A1BB2"/>
    <w:rsid w:val="03AC1B29"/>
    <w:rsid w:val="03E203E5"/>
    <w:rsid w:val="03EA43FF"/>
    <w:rsid w:val="04044322"/>
    <w:rsid w:val="040C0C52"/>
    <w:rsid w:val="04414519"/>
    <w:rsid w:val="045F12D7"/>
    <w:rsid w:val="046027B8"/>
    <w:rsid w:val="04701C8A"/>
    <w:rsid w:val="047735D7"/>
    <w:rsid w:val="04981D95"/>
    <w:rsid w:val="04B36240"/>
    <w:rsid w:val="04E2130A"/>
    <w:rsid w:val="04EA2ED4"/>
    <w:rsid w:val="05110E13"/>
    <w:rsid w:val="05137986"/>
    <w:rsid w:val="05277BF9"/>
    <w:rsid w:val="055D4AC6"/>
    <w:rsid w:val="057A17B3"/>
    <w:rsid w:val="059344F2"/>
    <w:rsid w:val="05B747B5"/>
    <w:rsid w:val="05CD30C1"/>
    <w:rsid w:val="05DD06BF"/>
    <w:rsid w:val="05FA298B"/>
    <w:rsid w:val="060A7345"/>
    <w:rsid w:val="061439B5"/>
    <w:rsid w:val="06173E41"/>
    <w:rsid w:val="065E2E82"/>
    <w:rsid w:val="06CE51A1"/>
    <w:rsid w:val="06F061D0"/>
    <w:rsid w:val="06F51ED4"/>
    <w:rsid w:val="06FB20DD"/>
    <w:rsid w:val="06FC7A75"/>
    <w:rsid w:val="070C0D15"/>
    <w:rsid w:val="0713725C"/>
    <w:rsid w:val="07141089"/>
    <w:rsid w:val="077A22C1"/>
    <w:rsid w:val="07883EAD"/>
    <w:rsid w:val="07B20DA1"/>
    <w:rsid w:val="07D71E7F"/>
    <w:rsid w:val="07E86EA8"/>
    <w:rsid w:val="08133677"/>
    <w:rsid w:val="081B5204"/>
    <w:rsid w:val="085E75C3"/>
    <w:rsid w:val="08626C5A"/>
    <w:rsid w:val="088850BC"/>
    <w:rsid w:val="089022CD"/>
    <w:rsid w:val="08926FA8"/>
    <w:rsid w:val="08AF737E"/>
    <w:rsid w:val="08BA0157"/>
    <w:rsid w:val="08C315D5"/>
    <w:rsid w:val="08C571E9"/>
    <w:rsid w:val="08DF732E"/>
    <w:rsid w:val="08FD4BD5"/>
    <w:rsid w:val="09051653"/>
    <w:rsid w:val="0916214C"/>
    <w:rsid w:val="09290535"/>
    <w:rsid w:val="09372CF3"/>
    <w:rsid w:val="09502F56"/>
    <w:rsid w:val="09656D73"/>
    <w:rsid w:val="097410F6"/>
    <w:rsid w:val="097E132D"/>
    <w:rsid w:val="09AE3855"/>
    <w:rsid w:val="09CB5F11"/>
    <w:rsid w:val="0A50388B"/>
    <w:rsid w:val="0A7B04A7"/>
    <w:rsid w:val="0A932403"/>
    <w:rsid w:val="0ADB7197"/>
    <w:rsid w:val="0B353646"/>
    <w:rsid w:val="0B3F46FB"/>
    <w:rsid w:val="0B7076D6"/>
    <w:rsid w:val="0B933B98"/>
    <w:rsid w:val="0B977888"/>
    <w:rsid w:val="0BEA028F"/>
    <w:rsid w:val="0BFE4EEC"/>
    <w:rsid w:val="0C003951"/>
    <w:rsid w:val="0C25691C"/>
    <w:rsid w:val="0C281F69"/>
    <w:rsid w:val="0C6D5583"/>
    <w:rsid w:val="0C7156BE"/>
    <w:rsid w:val="0C7321D9"/>
    <w:rsid w:val="0CB13950"/>
    <w:rsid w:val="0CCC2C0C"/>
    <w:rsid w:val="0CE21D5F"/>
    <w:rsid w:val="0CEE4F60"/>
    <w:rsid w:val="0D4A5F0F"/>
    <w:rsid w:val="0DBC2D0A"/>
    <w:rsid w:val="0DF6400E"/>
    <w:rsid w:val="0DFE2C69"/>
    <w:rsid w:val="0E287E81"/>
    <w:rsid w:val="0E36597C"/>
    <w:rsid w:val="0E39045D"/>
    <w:rsid w:val="0E395C2A"/>
    <w:rsid w:val="0E8C64B8"/>
    <w:rsid w:val="0E9F02E8"/>
    <w:rsid w:val="0EB22A21"/>
    <w:rsid w:val="0EBB2DAD"/>
    <w:rsid w:val="0EBB4197"/>
    <w:rsid w:val="0EC53215"/>
    <w:rsid w:val="0ED32660"/>
    <w:rsid w:val="0ED834D0"/>
    <w:rsid w:val="0F0414AA"/>
    <w:rsid w:val="0F087088"/>
    <w:rsid w:val="0F087E2F"/>
    <w:rsid w:val="0F3132CA"/>
    <w:rsid w:val="0F423864"/>
    <w:rsid w:val="0F7268D9"/>
    <w:rsid w:val="0F727843"/>
    <w:rsid w:val="0F786C55"/>
    <w:rsid w:val="0F8A3D63"/>
    <w:rsid w:val="0FC37C32"/>
    <w:rsid w:val="0FCE3539"/>
    <w:rsid w:val="0FD83CA6"/>
    <w:rsid w:val="0FF936B2"/>
    <w:rsid w:val="0FFA00C0"/>
    <w:rsid w:val="0FFA3C1C"/>
    <w:rsid w:val="1006628E"/>
    <w:rsid w:val="100C4433"/>
    <w:rsid w:val="101B6D2D"/>
    <w:rsid w:val="102A406A"/>
    <w:rsid w:val="102B3D34"/>
    <w:rsid w:val="107E7531"/>
    <w:rsid w:val="111B6540"/>
    <w:rsid w:val="113969C6"/>
    <w:rsid w:val="11410DA0"/>
    <w:rsid w:val="114111EA"/>
    <w:rsid w:val="11776CE5"/>
    <w:rsid w:val="118051FF"/>
    <w:rsid w:val="118752D5"/>
    <w:rsid w:val="118B1951"/>
    <w:rsid w:val="119E63DB"/>
    <w:rsid w:val="11FE4ED0"/>
    <w:rsid w:val="12061E74"/>
    <w:rsid w:val="12081D22"/>
    <w:rsid w:val="12301B77"/>
    <w:rsid w:val="12302F1B"/>
    <w:rsid w:val="12412E41"/>
    <w:rsid w:val="125C79F6"/>
    <w:rsid w:val="126637EB"/>
    <w:rsid w:val="128679E9"/>
    <w:rsid w:val="12917D4E"/>
    <w:rsid w:val="12A22D2B"/>
    <w:rsid w:val="12D26CF5"/>
    <w:rsid w:val="12E93599"/>
    <w:rsid w:val="130F3E7C"/>
    <w:rsid w:val="13485FF9"/>
    <w:rsid w:val="134F427F"/>
    <w:rsid w:val="135301BF"/>
    <w:rsid w:val="13655850"/>
    <w:rsid w:val="13774F53"/>
    <w:rsid w:val="137C2F22"/>
    <w:rsid w:val="13BB4EA5"/>
    <w:rsid w:val="13EA4290"/>
    <w:rsid w:val="13EF2C8E"/>
    <w:rsid w:val="143769B4"/>
    <w:rsid w:val="14404FDF"/>
    <w:rsid w:val="14466D27"/>
    <w:rsid w:val="144D5038"/>
    <w:rsid w:val="14566C47"/>
    <w:rsid w:val="14571F68"/>
    <w:rsid w:val="14644FC2"/>
    <w:rsid w:val="14716E07"/>
    <w:rsid w:val="147C72F5"/>
    <w:rsid w:val="14947A6C"/>
    <w:rsid w:val="14A055E4"/>
    <w:rsid w:val="14A16E87"/>
    <w:rsid w:val="14B44C7B"/>
    <w:rsid w:val="14E46C49"/>
    <w:rsid w:val="150A2B53"/>
    <w:rsid w:val="15127A34"/>
    <w:rsid w:val="15385DE1"/>
    <w:rsid w:val="156F0C08"/>
    <w:rsid w:val="15892C5B"/>
    <w:rsid w:val="158C17BA"/>
    <w:rsid w:val="15996646"/>
    <w:rsid w:val="15BE7ED4"/>
    <w:rsid w:val="15CD37F7"/>
    <w:rsid w:val="15E05662"/>
    <w:rsid w:val="163B48E6"/>
    <w:rsid w:val="164801EF"/>
    <w:rsid w:val="16493207"/>
    <w:rsid w:val="164C3E62"/>
    <w:rsid w:val="1658169C"/>
    <w:rsid w:val="16857815"/>
    <w:rsid w:val="16A44B2E"/>
    <w:rsid w:val="16BC78C2"/>
    <w:rsid w:val="16C60EE2"/>
    <w:rsid w:val="16CB4952"/>
    <w:rsid w:val="16EB320F"/>
    <w:rsid w:val="17143815"/>
    <w:rsid w:val="171E6442"/>
    <w:rsid w:val="17240FA8"/>
    <w:rsid w:val="17440C1F"/>
    <w:rsid w:val="17BE19D3"/>
    <w:rsid w:val="17E01949"/>
    <w:rsid w:val="17F00488"/>
    <w:rsid w:val="1810200B"/>
    <w:rsid w:val="18133ACD"/>
    <w:rsid w:val="18261384"/>
    <w:rsid w:val="18565B6F"/>
    <w:rsid w:val="18803B7E"/>
    <w:rsid w:val="18934AC4"/>
    <w:rsid w:val="189C3693"/>
    <w:rsid w:val="18C43019"/>
    <w:rsid w:val="18C56DFC"/>
    <w:rsid w:val="18CF5827"/>
    <w:rsid w:val="18D7631C"/>
    <w:rsid w:val="18E3583E"/>
    <w:rsid w:val="18F942EB"/>
    <w:rsid w:val="1901601B"/>
    <w:rsid w:val="19047ED3"/>
    <w:rsid w:val="19176137"/>
    <w:rsid w:val="1925302A"/>
    <w:rsid w:val="19405400"/>
    <w:rsid w:val="195C5947"/>
    <w:rsid w:val="19614284"/>
    <w:rsid w:val="19936C6F"/>
    <w:rsid w:val="199E712F"/>
    <w:rsid w:val="19B02EDC"/>
    <w:rsid w:val="19B50DF5"/>
    <w:rsid w:val="19BA5A77"/>
    <w:rsid w:val="19EC2827"/>
    <w:rsid w:val="1A0538E9"/>
    <w:rsid w:val="1A12069C"/>
    <w:rsid w:val="1A323D50"/>
    <w:rsid w:val="1A34644B"/>
    <w:rsid w:val="1A402B73"/>
    <w:rsid w:val="1A4A6D40"/>
    <w:rsid w:val="1A4C706D"/>
    <w:rsid w:val="1A7B1124"/>
    <w:rsid w:val="1A7B25AD"/>
    <w:rsid w:val="1A81432C"/>
    <w:rsid w:val="1A875717"/>
    <w:rsid w:val="1A8B633C"/>
    <w:rsid w:val="1A907885"/>
    <w:rsid w:val="1AA5207C"/>
    <w:rsid w:val="1AD220A5"/>
    <w:rsid w:val="1AD26F0C"/>
    <w:rsid w:val="1B0D0CA7"/>
    <w:rsid w:val="1B1A1A3C"/>
    <w:rsid w:val="1B2908F8"/>
    <w:rsid w:val="1B2A4C83"/>
    <w:rsid w:val="1B5F27AF"/>
    <w:rsid w:val="1B6223A2"/>
    <w:rsid w:val="1B742AD4"/>
    <w:rsid w:val="1BA72FA5"/>
    <w:rsid w:val="1BE06296"/>
    <w:rsid w:val="1BEF1647"/>
    <w:rsid w:val="1C052CFB"/>
    <w:rsid w:val="1C0D0A2F"/>
    <w:rsid w:val="1C0E3771"/>
    <w:rsid w:val="1C115BFA"/>
    <w:rsid w:val="1C441CF7"/>
    <w:rsid w:val="1C8523D0"/>
    <w:rsid w:val="1C9D233B"/>
    <w:rsid w:val="1CB03FE0"/>
    <w:rsid w:val="1CF32134"/>
    <w:rsid w:val="1D0B56BA"/>
    <w:rsid w:val="1D1030F7"/>
    <w:rsid w:val="1D290346"/>
    <w:rsid w:val="1D5A2F80"/>
    <w:rsid w:val="1D71668A"/>
    <w:rsid w:val="1D7549B3"/>
    <w:rsid w:val="1DA13929"/>
    <w:rsid w:val="1E0D20B0"/>
    <w:rsid w:val="1E3370FF"/>
    <w:rsid w:val="1E3A00E3"/>
    <w:rsid w:val="1E4333FE"/>
    <w:rsid w:val="1E736F97"/>
    <w:rsid w:val="1E81772A"/>
    <w:rsid w:val="1E887FAF"/>
    <w:rsid w:val="1EA96AB4"/>
    <w:rsid w:val="1EB63404"/>
    <w:rsid w:val="1EE339F2"/>
    <w:rsid w:val="1EE84A9F"/>
    <w:rsid w:val="1F0E30F1"/>
    <w:rsid w:val="1F401FA0"/>
    <w:rsid w:val="1F505606"/>
    <w:rsid w:val="1F882FF2"/>
    <w:rsid w:val="1FB04DE4"/>
    <w:rsid w:val="1FD06747"/>
    <w:rsid w:val="1FE50A64"/>
    <w:rsid w:val="1FEA15B7"/>
    <w:rsid w:val="1FEB7133"/>
    <w:rsid w:val="201012D0"/>
    <w:rsid w:val="201557E0"/>
    <w:rsid w:val="201E5705"/>
    <w:rsid w:val="203532AC"/>
    <w:rsid w:val="2043516B"/>
    <w:rsid w:val="20484530"/>
    <w:rsid w:val="2085336E"/>
    <w:rsid w:val="2086469E"/>
    <w:rsid w:val="20A0611A"/>
    <w:rsid w:val="20AC5D54"/>
    <w:rsid w:val="20C74AAD"/>
    <w:rsid w:val="21033A8D"/>
    <w:rsid w:val="21076690"/>
    <w:rsid w:val="213F1DD6"/>
    <w:rsid w:val="2164006A"/>
    <w:rsid w:val="2164489C"/>
    <w:rsid w:val="21666831"/>
    <w:rsid w:val="217F0302"/>
    <w:rsid w:val="2196789E"/>
    <w:rsid w:val="219C3E2C"/>
    <w:rsid w:val="21C558E3"/>
    <w:rsid w:val="21DB48C2"/>
    <w:rsid w:val="21E6768C"/>
    <w:rsid w:val="21EA081F"/>
    <w:rsid w:val="21F923B3"/>
    <w:rsid w:val="22074A88"/>
    <w:rsid w:val="220F79FB"/>
    <w:rsid w:val="221A19F9"/>
    <w:rsid w:val="225B6AAE"/>
    <w:rsid w:val="22627DAF"/>
    <w:rsid w:val="2276647F"/>
    <w:rsid w:val="22791318"/>
    <w:rsid w:val="22905D9B"/>
    <w:rsid w:val="2294222A"/>
    <w:rsid w:val="229B63B1"/>
    <w:rsid w:val="22CC72E6"/>
    <w:rsid w:val="22D610E8"/>
    <w:rsid w:val="230811E8"/>
    <w:rsid w:val="232610EA"/>
    <w:rsid w:val="234E4553"/>
    <w:rsid w:val="23714F10"/>
    <w:rsid w:val="239F090A"/>
    <w:rsid w:val="23AE0B4E"/>
    <w:rsid w:val="23D23D66"/>
    <w:rsid w:val="23FF2673"/>
    <w:rsid w:val="24156E1F"/>
    <w:rsid w:val="2471230B"/>
    <w:rsid w:val="24727475"/>
    <w:rsid w:val="24986B8E"/>
    <w:rsid w:val="24A00DDE"/>
    <w:rsid w:val="24B56E59"/>
    <w:rsid w:val="24CC572F"/>
    <w:rsid w:val="24E4763F"/>
    <w:rsid w:val="24E67FBB"/>
    <w:rsid w:val="24F904EE"/>
    <w:rsid w:val="2589209A"/>
    <w:rsid w:val="259141EB"/>
    <w:rsid w:val="25A55F80"/>
    <w:rsid w:val="25AC5561"/>
    <w:rsid w:val="25E5280B"/>
    <w:rsid w:val="25FF1B34"/>
    <w:rsid w:val="263854D5"/>
    <w:rsid w:val="26487037"/>
    <w:rsid w:val="26531167"/>
    <w:rsid w:val="2685203A"/>
    <w:rsid w:val="2686271F"/>
    <w:rsid w:val="268D254F"/>
    <w:rsid w:val="26B17510"/>
    <w:rsid w:val="26C863CA"/>
    <w:rsid w:val="26E6729A"/>
    <w:rsid w:val="26EF72E9"/>
    <w:rsid w:val="27715545"/>
    <w:rsid w:val="27906F22"/>
    <w:rsid w:val="279F35CF"/>
    <w:rsid w:val="27BA6635"/>
    <w:rsid w:val="27BD5803"/>
    <w:rsid w:val="27DA63B5"/>
    <w:rsid w:val="27DC4EE2"/>
    <w:rsid w:val="27EC145A"/>
    <w:rsid w:val="27F006E6"/>
    <w:rsid w:val="27FB24D3"/>
    <w:rsid w:val="27FC632B"/>
    <w:rsid w:val="28001DD6"/>
    <w:rsid w:val="280264DB"/>
    <w:rsid w:val="28131C63"/>
    <w:rsid w:val="28266E62"/>
    <w:rsid w:val="282E4925"/>
    <w:rsid w:val="28596E35"/>
    <w:rsid w:val="28695795"/>
    <w:rsid w:val="28A41CA5"/>
    <w:rsid w:val="28AF339E"/>
    <w:rsid w:val="28EA7987"/>
    <w:rsid w:val="29007F85"/>
    <w:rsid w:val="29022A8F"/>
    <w:rsid w:val="2912392D"/>
    <w:rsid w:val="292968BC"/>
    <w:rsid w:val="292C4768"/>
    <w:rsid w:val="294E0E09"/>
    <w:rsid w:val="294E5C89"/>
    <w:rsid w:val="296B2FD0"/>
    <w:rsid w:val="298A7967"/>
    <w:rsid w:val="299023C6"/>
    <w:rsid w:val="29E40CC4"/>
    <w:rsid w:val="2A015918"/>
    <w:rsid w:val="2A2953D2"/>
    <w:rsid w:val="2A4777BB"/>
    <w:rsid w:val="2A655038"/>
    <w:rsid w:val="2AE97121"/>
    <w:rsid w:val="2AEA0162"/>
    <w:rsid w:val="2B125E66"/>
    <w:rsid w:val="2B12637D"/>
    <w:rsid w:val="2B1A76A5"/>
    <w:rsid w:val="2B3C074F"/>
    <w:rsid w:val="2B3F2533"/>
    <w:rsid w:val="2B440AF1"/>
    <w:rsid w:val="2B4522EB"/>
    <w:rsid w:val="2B646D17"/>
    <w:rsid w:val="2B801021"/>
    <w:rsid w:val="2BAA7930"/>
    <w:rsid w:val="2BB62F23"/>
    <w:rsid w:val="2BE07D12"/>
    <w:rsid w:val="2BEE6B2A"/>
    <w:rsid w:val="2C0C35A6"/>
    <w:rsid w:val="2C130E28"/>
    <w:rsid w:val="2C15311B"/>
    <w:rsid w:val="2C164325"/>
    <w:rsid w:val="2C1D248D"/>
    <w:rsid w:val="2C271489"/>
    <w:rsid w:val="2C5300CA"/>
    <w:rsid w:val="2C6B38FB"/>
    <w:rsid w:val="2C701096"/>
    <w:rsid w:val="2C7106C1"/>
    <w:rsid w:val="2C767464"/>
    <w:rsid w:val="2C7858A3"/>
    <w:rsid w:val="2C840957"/>
    <w:rsid w:val="2CC66039"/>
    <w:rsid w:val="2CE11F94"/>
    <w:rsid w:val="2CE6042B"/>
    <w:rsid w:val="2CFC6DCE"/>
    <w:rsid w:val="2D2A6FE9"/>
    <w:rsid w:val="2D8633EE"/>
    <w:rsid w:val="2D882BF4"/>
    <w:rsid w:val="2DCF6290"/>
    <w:rsid w:val="2DEE172B"/>
    <w:rsid w:val="2E215446"/>
    <w:rsid w:val="2E3C1B78"/>
    <w:rsid w:val="2E434462"/>
    <w:rsid w:val="2E626CA9"/>
    <w:rsid w:val="2E6D19FA"/>
    <w:rsid w:val="2E6F0090"/>
    <w:rsid w:val="2E9B73E8"/>
    <w:rsid w:val="2EA9088F"/>
    <w:rsid w:val="2EAF4B30"/>
    <w:rsid w:val="2EB41500"/>
    <w:rsid w:val="2ED47FE0"/>
    <w:rsid w:val="2EE47B19"/>
    <w:rsid w:val="2F161998"/>
    <w:rsid w:val="2F21064F"/>
    <w:rsid w:val="2F5C2851"/>
    <w:rsid w:val="2F6C438E"/>
    <w:rsid w:val="2FA06136"/>
    <w:rsid w:val="2FCE5AD9"/>
    <w:rsid w:val="2FD71295"/>
    <w:rsid w:val="2FE45384"/>
    <w:rsid w:val="2FED1604"/>
    <w:rsid w:val="2FFD70E5"/>
    <w:rsid w:val="300A5E80"/>
    <w:rsid w:val="30180515"/>
    <w:rsid w:val="303643A5"/>
    <w:rsid w:val="309C2BF5"/>
    <w:rsid w:val="30AC0634"/>
    <w:rsid w:val="30B33999"/>
    <w:rsid w:val="30C93453"/>
    <w:rsid w:val="30F44BED"/>
    <w:rsid w:val="312A390D"/>
    <w:rsid w:val="314239BA"/>
    <w:rsid w:val="3144095F"/>
    <w:rsid w:val="31615451"/>
    <w:rsid w:val="31896558"/>
    <w:rsid w:val="318B6972"/>
    <w:rsid w:val="31A47A09"/>
    <w:rsid w:val="31B02B5B"/>
    <w:rsid w:val="31B45EC9"/>
    <w:rsid w:val="31BD2FCF"/>
    <w:rsid w:val="31BD7E9E"/>
    <w:rsid w:val="31DD3A51"/>
    <w:rsid w:val="31DF5E01"/>
    <w:rsid w:val="3227669B"/>
    <w:rsid w:val="3265562E"/>
    <w:rsid w:val="3270120B"/>
    <w:rsid w:val="327E509C"/>
    <w:rsid w:val="328B2B45"/>
    <w:rsid w:val="32A979E5"/>
    <w:rsid w:val="32AB5749"/>
    <w:rsid w:val="32DB54F9"/>
    <w:rsid w:val="32E14A9C"/>
    <w:rsid w:val="32E81D33"/>
    <w:rsid w:val="32F44F26"/>
    <w:rsid w:val="33154D2A"/>
    <w:rsid w:val="33661445"/>
    <w:rsid w:val="33B026C0"/>
    <w:rsid w:val="33D60464"/>
    <w:rsid w:val="33E863E3"/>
    <w:rsid w:val="33F86541"/>
    <w:rsid w:val="34650140"/>
    <w:rsid w:val="346C4969"/>
    <w:rsid w:val="34722828"/>
    <w:rsid w:val="34831B82"/>
    <w:rsid w:val="34833D46"/>
    <w:rsid w:val="349F55D5"/>
    <w:rsid w:val="34AA01D3"/>
    <w:rsid w:val="34BF6BAC"/>
    <w:rsid w:val="34CA61CD"/>
    <w:rsid w:val="350E4899"/>
    <w:rsid w:val="352073D1"/>
    <w:rsid w:val="352B0250"/>
    <w:rsid w:val="3534415A"/>
    <w:rsid w:val="35887450"/>
    <w:rsid w:val="358E07DF"/>
    <w:rsid w:val="359A6967"/>
    <w:rsid w:val="35C13B28"/>
    <w:rsid w:val="35C56393"/>
    <w:rsid w:val="35D62BE8"/>
    <w:rsid w:val="35E85052"/>
    <w:rsid w:val="35E9518C"/>
    <w:rsid w:val="35F40B99"/>
    <w:rsid w:val="361814ED"/>
    <w:rsid w:val="361E1B63"/>
    <w:rsid w:val="36321E6C"/>
    <w:rsid w:val="367C4ADB"/>
    <w:rsid w:val="368E4832"/>
    <w:rsid w:val="36962041"/>
    <w:rsid w:val="36C73C14"/>
    <w:rsid w:val="36CD632E"/>
    <w:rsid w:val="36E927D1"/>
    <w:rsid w:val="37183DA0"/>
    <w:rsid w:val="371A057C"/>
    <w:rsid w:val="371A7742"/>
    <w:rsid w:val="371F5B92"/>
    <w:rsid w:val="373B2E48"/>
    <w:rsid w:val="3776777C"/>
    <w:rsid w:val="37814CAA"/>
    <w:rsid w:val="378B4569"/>
    <w:rsid w:val="37A5239D"/>
    <w:rsid w:val="37C070CE"/>
    <w:rsid w:val="37C76BF5"/>
    <w:rsid w:val="37DB25B5"/>
    <w:rsid w:val="37E868CC"/>
    <w:rsid w:val="38124286"/>
    <w:rsid w:val="38291CAF"/>
    <w:rsid w:val="38507965"/>
    <w:rsid w:val="3863439A"/>
    <w:rsid w:val="38767A34"/>
    <w:rsid w:val="38785724"/>
    <w:rsid w:val="387E68E3"/>
    <w:rsid w:val="38845DE2"/>
    <w:rsid w:val="3888244C"/>
    <w:rsid w:val="389050ED"/>
    <w:rsid w:val="38A02D03"/>
    <w:rsid w:val="38A02DA2"/>
    <w:rsid w:val="38BB29C4"/>
    <w:rsid w:val="38D200E2"/>
    <w:rsid w:val="38EC35F2"/>
    <w:rsid w:val="38EC419A"/>
    <w:rsid w:val="38F617DA"/>
    <w:rsid w:val="38FE5C7B"/>
    <w:rsid w:val="3908115D"/>
    <w:rsid w:val="395D4AD6"/>
    <w:rsid w:val="39884DB4"/>
    <w:rsid w:val="399C7F79"/>
    <w:rsid w:val="399F66C1"/>
    <w:rsid w:val="39B710FD"/>
    <w:rsid w:val="39C90037"/>
    <w:rsid w:val="39D5743E"/>
    <w:rsid w:val="39D92600"/>
    <w:rsid w:val="39F9108B"/>
    <w:rsid w:val="3A176FF5"/>
    <w:rsid w:val="3A262D74"/>
    <w:rsid w:val="3A476BD4"/>
    <w:rsid w:val="3A537871"/>
    <w:rsid w:val="3A930424"/>
    <w:rsid w:val="3A956264"/>
    <w:rsid w:val="3AB12997"/>
    <w:rsid w:val="3AC357E9"/>
    <w:rsid w:val="3ADB5DB8"/>
    <w:rsid w:val="3AEA64EE"/>
    <w:rsid w:val="3B187DD0"/>
    <w:rsid w:val="3B203902"/>
    <w:rsid w:val="3B225C51"/>
    <w:rsid w:val="3B317DFE"/>
    <w:rsid w:val="3B336101"/>
    <w:rsid w:val="3B770704"/>
    <w:rsid w:val="3B8A0F3F"/>
    <w:rsid w:val="3BC4535D"/>
    <w:rsid w:val="3BCB0097"/>
    <w:rsid w:val="3BDD426E"/>
    <w:rsid w:val="3BF857DC"/>
    <w:rsid w:val="3BFA794D"/>
    <w:rsid w:val="3C320116"/>
    <w:rsid w:val="3C65673D"/>
    <w:rsid w:val="3C72165D"/>
    <w:rsid w:val="3C8A357A"/>
    <w:rsid w:val="3C8D17F0"/>
    <w:rsid w:val="3C8D5DB0"/>
    <w:rsid w:val="3CAF2AF9"/>
    <w:rsid w:val="3CF27B70"/>
    <w:rsid w:val="3CFE1CCD"/>
    <w:rsid w:val="3D5747FA"/>
    <w:rsid w:val="3D5D41B6"/>
    <w:rsid w:val="3D857397"/>
    <w:rsid w:val="3D8A33D7"/>
    <w:rsid w:val="3D8D3871"/>
    <w:rsid w:val="3DAA30BB"/>
    <w:rsid w:val="3DAF196C"/>
    <w:rsid w:val="3DB42DAD"/>
    <w:rsid w:val="3DBE66A3"/>
    <w:rsid w:val="3DD87950"/>
    <w:rsid w:val="3DD9365F"/>
    <w:rsid w:val="3DF336D9"/>
    <w:rsid w:val="3DF45EF9"/>
    <w:rsid w:val="3E114DB6"/>
    <w:rsid w:val="3E391C30"/>
    <w:rsid w:val="3E3E7246"/>
    <w:rsid w:val="3E3F2FBE"/>
    <w:rsid w:val="3E4C7AD3"/>
    <w:rsid w:val="3E7A1D13"/>
    <w:rsid w:val="3E7A3FA3"/>
    <w:rsid w:val="3EB476AE"/>
    <w:rsid w:val="3EE61FEE"/>
    <w:rsid w:val="3EF125B9"/>
    <w:rsid w:val="3EFC5326"/>
    <w:rsid w:val="3F0D09C6"/>
    <w:rsid w:val="3F19736B"/>
    <w:rsid w:val="3F214472"/>
    <w:rsid w:val="3F4E170B"/>
    <w:rsid w:val="3F4E2475"/>
    <w:rsid w:val="3F5C0DB0"/>
    <w:rsid w:val="3F676329"/>
    <w:rsid w:val="3FF55410"/>
    <w:rsid w:val="3FFF0D79"/>
    <w:rsid w:val="401C0079"/>
    <w:rsid w:val="402A0E1D"/>
    <w:rsid w:val="404843AC"/>
    <w:rsid w:val="40570E41"/>
    <w:rsid w:val="405F5252"/>
    <w:rsid w:val="406960D0"/>
    <w:rsid w:val="407D21DB"/>
    <w:rsid w:val="408A49C4"/>
    <w:rsid w:val="40A33655"/>
    <w:rsid w:val="40ED78A4"/>
    <w:rsid w:val="40F7383E"/>
    <w:rsid w:val="41263FC1"/>
    <w:rsid w:val="4157693E"/>
    <w:rsid w:val="4168282C"/>
    <w:rsid w:val="41703E68"/>
    <w:rsid w:val="417761DE"/>
    <w:rsid w:val="419636B6"/>
    <w:rsid w:val="41A30819"/>
    <w:rsid w:val="41C90D85"/>
    <w:rsid w:val="41D32CD2"/>
    <w:rsid w:val="42040327"/>
    <w:rsid w:val="42187DAE"/>
    <w:rsid w:val="425D06B7"/>
    <w:rsid w:val="4269120F"/>
    <w:rsid w:val="42702EAE"/>
    <w:rsid w:val="428471F1"/>
    <w:rsid w:val="42DC0DDB"/>
    <w:rsid w:val="43320BC1"/>
    <w:rsid w:val="43383E64"/>
    <w:rsid w:val="43411A74"/>
    <w:rsid w:val="43464485"/>
    <w:rsid w:val="43497968"/>
    <w:rsid w:val="435D4BFB"/>
    <w:rsid w:val="43657023"/>
    <w:rsid w:val="437142E7"/>
    <w:rsid w:val="43994109"/>
    <w:rsid w:val="43A129AF"/>
    <w:rsid w:val="43A733EA"/>
    <w:rsid w:val="43B753A5"/>
    <w:rsid w:val="43C71285"/>
    <w:rsid w:val="43DA7891"/>
    <w:rsid w:val="43E57446"/>
    <w:rsid w:val="43FD1525"/>
    <w:rsid w:val="442260DF"/>
    <w:rsid w:val="442319AB"/>
    <w:rsid w:val="44680921"/>
    <w:rsid w:val="447758D2"/>
    <w:rsid w:val="44816692"/>
    <w:rsid w:val="44BC2C73"/>
    <w:rsid w:val="44DB0CD8"/>
    <w:rsid w:val="44E4317D"/>
    <w:rsid w:val="45244066"/>
    <w:rsid w:val="4533063C"/>
    <w:rsid w:val="45424959"/>
    <w:rsid w:val="455462A3"/>
    <w:rsid w:val="455C2EF9"/>
    <w:rsid w:val="45691DCE"/>
    <w:rsid w:val="45961716"/>
    <w:rsid w:val="45A81449"/>
    <w:rsid w:val="45B537DF"/>
    <w:rsid w:val="45CB74E6"/>
    <w:rsid w:val="462E53E3"/>
    <w:rsid w:val="462F5814"/>
    <w:rsid w:val="464F5D68"/>
    <w:rsid w:val="46563E38"/>
    <w:rsid w:val="466F1F67"/>
    <w:rsid w:val="4679399D"/>
    <w:rsid w:val="467F239E"/>
    <w:rsid w:val="46BC65AC"/>
    <w:rsid w:val="46D019C5"/>
    <w:rsid w:val="46D53973"/>
    <w:rsid w:val="46D67A4E"/>
    <w:rsid w:val="46D70B69"/>
    <w:rsid w:val="46D732B5"/>
    <w:rsid w:val="46F11562"/>
    <w:rsid w:val="46F6576A"/>
    <w:rsid w:val="47321912"/>
    <w:rsid w:val="47453F2F"/>
    <w:rsid w:val="474A0C45"/>
    <w:rsid w:val="47705DAA"/>
    <w:rsid w:val="47967757"/>
    <w:rsid w:val="47A45C40"/>
    <w:rsid w:val="47AA14A8"/>
    <w:rsid w:val="47C56F66"/>
    <w:rsid w:val="47CB141F"/>
    <w:rsid w:val="47F7644B"/>
    <w:rsid w:val="48027296"/>
    <w:rsid w:val="480B2BA2"/>
    <w:rsid w:val="482D4495"/>
    <w:rsid w:val="483732B8"/>
    <w:rsid w:val="48467D38"/>
    <w:rsid w:val="48846163"/>
    <w:rsid w:val="488F069E"/>
    <w:rsid w:val="488F4501"/>
    <w:rsid w:val="4891026D"/>
    <w:rsid w:val="48B1612E"/>
    <w:rsid w:val="48B73F9E"/>
    <w:rsid w:val="48BC7CA6"/>
    <w:rsid w:val="48BF61EF"/>
    <w:rsid w:val="48E135A9"/>
    <w:rsid w:val="49030251"/>
    <w:rsid w:val="492E435B"/>
    <w:rsid w:val="49332FD1"/>
    <w:rsid w:val="49417BEA"/>
    <w:rsid w:val="494B2817"/>
    <w:rsid w:val="49507939"/>
    <w:rsid w:val="496D45F2"/>
    <w:rsid w:val="49973E32"/>
    <w:rsid w:val="49A07007"/>
    <w:rsid w:val="49C449CF"/>
    <w:rsid w:val="49D26487"/>
    <w:rsid w:val="49E30CA1"/>
    <w:rsid w:val="49E334F6"/>
    <w:rsid w:val="49F9541A"/>
    <w:rsid w:val="4A2B43F6"/>
    <w:rsid w:val="4A3414FD"/>
    <w:rsid w:val="4A3E69F6"/>
    <w:rsid w:val="4A5F69CD"/>
    <w:rsid w:val="4A704E76"/>
    <w:rsid w:val="4A841018"/>
    <w:rsid w:val="4AAA3670"/>
    <w:rsid w:val="4AF52211"/>
    <w:rsid w:val="4B2E1723"/>
    <w:rsid w:val="4B3317B5"/>
    <w:rsid w:val="4B736055"/>
    <w:rsid w:val="4BA24BCE"/>
    <w:rsid w:val="4BD53DCA"/>
    <w:rsid w:val="4C1E76E8"/>
    <w:rsid w:val="4C2C3609"/>
    <w:rsid w:val="4C4F783F"/>
    <w:rsid w:val="4C645F69"/>
    <w:rsid w:val="4C737947"/>
    <w:rsid w:val="4C83051A"/>
    <w:rsid w:val="4CAA019C"/>
    <w:rsid w:val="4CE22D08"/>
    <w:rsid w:val="4CF26EA6"/>
    <w:rsid w:val="4D185106"/>
    <w:rsid w:val="4D653DE7"/>
    <w:rsid w:val="4D8D0F34"/>
    <w:rsid w:val="4DFC67D6"/>
    <w:rsid w:val="4E217FEA"/>
    <w:rsid w:val="4E487C6D"/>
    <w:rsid w:val="4E634473"/>
    <w:rsid w:val="4E6A2477"/>
    <w:rsid w:val="4EB175C0"/>
    <w:rsid w:val="4EC76DE4"/>
    <w:rsid w:val="4ECA2430"/>
    <w:rsid w:val="4ECC0AA2"/>
    <w:rsid w:val="4EF31987"/>
    <w:rsid w:val="4F0A0A7E"/>
    <w:rsid w:val="4F0F42E7"/>
    <w:rsid w:val="4F476F17"/>
    <w:rsid w:val="4F575655"/>
    <w:rsid w:val="4F71212E"/>
    <w:rsid w:val="4F753303"/>
    <w:rsid w:val="4F88737B"/>
    <w:rsid w:val="4F8C0CFC"/>
    <w:rsid w:val="4FA60778"/>
    <w:rsid w:val="4FAA688E"/>
    <w:rsid w:val="4FDA258B"/>
    <w:rsid w:val="4FF0315E"/>
    <w:rsid w:val="502168D9"/>
    <w:rsid w:val="502319ED"/>
    <w:rsid w:val="503B2427"/>
    <w:rsid w:val="506863A4"/>
    <w:rsid w:val="506E19EA"/>
    <w:rsid w:val="5080549C"/>
    <w:rsid w:val="50A6338E"/>
    <w:rsid w:val="50E13A61"/>
    <w:rsid w:val="50F97C39"/>
    <w:rsid w:val="511C538C"/>
    <w:rsid w:val="51361FFF"/>
    <w:rsid w:val="514F23C4"/>
    <w:rsid w:val="5177761F"/>
    <w:rsid w:val="51826FF2"/>
    <w:rsid w:val="51854035"/>
    <w:rsid w:val="51873567"/>
    <w:rsid w:val="519710C6"/>
    <w:rsid w:val="52143401"/>
    <w:rsid w:val="522E15F2"/>
    <w:rsid w:val="52384230"/>
    <w:rsid w:val="52402C4D"/>
    <w:rsid w:val="52441CF1"/>
    <w:rsid w:val="52666F05"/>
    <w:rsid w:val="52826068"/>
    <w:rsid w:val="529076FF"/>
    <w:rsid w:val="52A336C4"/>
    <w:rsid w:val="52B62E12"/>
    <w:rsid w:val="52E2243E"/>
    <w:rsid w:val="53320BFF"/>
    <w:rsid w:val="533277D9"/>
    <w:rsid w:val="534108A2"/>
    <w:rsid w:val="53B028CA"/>
    <w:rsid w:val="53B92A73"/>
    <w:rsid w:val="53C659D2"/>
    <w:rsid w:val="53DA5AE3"/>
    <w:rsid w:val="53EB0351"/>
    <w:rsid w:val="54780205"/>
    <w:rsid w:val="54B13175"/>
    <w:rsid w:val="54E80C8B"/>
    <w:rsid w:val="5533246F"/>
    <w:rsid w:val="553B222B"/>
    <w:rsid w:val="553B7BE4"/>
    <w:rsid w:val="553D3E45"/>
    <w:rsid w:val="55401A18"/>
    <w:rsid w:val="556E4889"/>
    <w:rsid w:val="5589655A"/>
    <w:rsid w:val="55AB470A"/>
    <w:rsid w:val="55C6671C"/>
    <w:rsid w:val="55CF7A88"/>
    <w:rsid w:val="55DE0ADD"/>
    <w:rsid w:val="55E456EB"/>
    <w:rsid w:val="55E6232B"/>
    <w:rsid w:val="560603B0"/>
    <w:rsid w:val="56135425"/>
    <w:rsid w:val="563471F2"/>
    <w:rsid w:val="566008D9"/>
    <w:rsid w:val="566414E0"/>
    <w:rsid w:val="56695CF2"/>
    <w:rsid w:val="566F76A8"/>
    <w:rsid w:val="56B159C7"/>
    <w:rsid w:val="56B47664"/>
    <w:rsid w:val="56C35D1E"/>
    <w:rsid w:val="56ED3826"/>
    <w:rsid w:val="56F37C7C"/>
    <w:rsid w:val="5700685E"/>
    <w:rsid w:val="57044457"/>
    <w:rsid w:val="571F28C8"/>
    <w:rsid w:val="572C4AF7"/>
    <w:rsid w:val="574F5BC8"/>
    <w:rsid w:val="57995AFE"/>
    <w:rsid w:val="57A01012"/>
    <w:rsid w:val="57B446CA"/>
    <w:rsid w:val="57B95737"/>
    <w:rsid w:val="57BC56B4"/>
    <w:rsid w:val="57FD0CC5"/>
    <w:rsid w:val="580C25A4"/>
    <w:rsid w:val="58144220"/>
    <w:rsid w:val="5874165E"/>
    <w:rsid w:val="58874971"/>
    <w:rsid w:val="588C341E"/>
    <w:rsid w:val="58976DAB"/>
    <w:rsid w:val="58B54151"/>
    <w:rsid w:val="58BD6B62"/>
    <w:rsid w:val="58CE1135"/>
    <w:rsid w:val="58EA204C"/>
    <w:rsid w:val="59036F06"/>
    <w:rsid w:val="590736DD"/>
    <w:rsid w:val="592554A0"/>
    <w:rsid w:val="593F03CB"/>
    <w:rsid w:val="59520210"/>
    <w:rsid w:val="59734756"/>
    <w:rsid w:val="59B027C1"/>
    <w:rsid w:val="59DA3CE5"/>
    <w:rsid w:val="59EC688D"/>
    <w:rsid w:val="59FB74E2"/>
    <w:rsid w:val="59FF3F68"/>
    <w:rsid w:val="5A504131"/>
    <w:rsid w:val="5A657F6D"/>
    <w:rsid w:val="5A814053"/>
    <w:rsid w:val="5A8F0C9F"/>
    <w:rsid w:val="5A9164F8"/>
    <w:rsid w:val="5A925937"/>
    <w:rsid w:val="5AD7139D"/>
    <w:rsid w:val="5B167F2E"/>
    <w:rsid w:val="5B1C4013"/>
    <w:rsid w:val="5B461090"/>
    <w:rsid w:val="5B5639C9"/>
    <w:rsid w:val="5BB6522B"/>
    <w:rsid w:val="5BD5754C"/>
    <w:rsid w:val="5BF54AF3"/>
    <w:rsid w:val="5C262C5A"/>
    <w:rsid w:val="5C2D0BD5"/>
    <w:rsid w:val="5C35788D"/>
    <w:rsid w:val="5C53326A"/>
    <w:rsid w:val="5C735EB5"/>
    <w:rsid w:val="5C746AEA"/>
    <w:rsid w:val="5C7B0F69"/>
    <w:rsid w:val="5C955093"/>
    <w:rsid w:val="5CAD7C85"/>
    <w:rsid w:val="5CCD510D"/>
    <w:rsid w:val="5D2803AC"/>
    <w:rsid w:val="5D28720A"/>
    <w:rsid w:val="5D2F352B"/>
    <w:rsid w:val="5D3212CA"/>
    <w:rsid w:val="5D590234"/>
    <w:rsid w:val="5D5E0913"/>
    <w:rsid w:val="5D6561A3"/>
    <w:rsid w:val="5D755C5D"/>
    <w:rsid w:val="5D9C58DF"/>
    <w:rsid w:val="5DB25642"/>
    <w:rsid w:val="5DB51D2B"/>
    <w:rsid w:val="5DC718C6"/>
    <w:rsid w:val="5E035BBC"/>
    <w:rsid w:val="5E2F1BCD"/>
    <w:rsid w:val="5E3B1C05"/>
    <w:rsid w:val="5E541D16"/>
    <w:rsid w:val="5E62489B"/>
    <w:rsid w:val="5E7A6FE5"/>
    <w:rsid w:val="5E8E3BE5"/>
    <w:rsid w:val="5EA6337F"/>
    <w:rsid w:val="5EC923B0"/>
    <w:rsid w:val="5EE6799B"/>
    <w:rsid w:val="5EEA4B11"/>
    <w:rsid w:val="5F0B6879"/>
    <w:rsid w:val="5F2478D3"/>
    <w:rsid w:val="5F272EDF"/>
    <w:rsid w:val="5F2E2567"/>
    <w:rsid w:val="5F3E36BB"/>
    <w:rsid w:val="5F9A40D0"/>
    <w:rsid w:val="5FB24F46"/>
    <w:rsid w:val="5FDA449D"/>
    <w:rsid w:val="5FF32C4E"/>
    <w:rsid w:val="603627D3"/>
    <w:rsid w:val="60363DC9"/>
    <w:rsid w:val="6047179E"/>
    <w:rsid w:val="60650CF0"/>
    <w:rsid w:val="6070038B"/>
    <w:rsid w:val="60803296"/>
    <w:rsid w:val="60A24FBB"/>
    <w:rsid w:val="60A70823"/>
    <w:rsid w:val="60B77468"/>
    <w:rsid w:val="6154646B"/>
    <w:rsid w:val="6180497D"/>
    <w:rsid w:val="61837653"/>
    <w:rsid w:val="619B07E9"/>
    <w:rsid w:val="61A60ADB"/>
    <w:rsid w:val="61B87D5D"/>
    <w:rsid w:val="61E66B60"/>
    <w:rsid w:val="61E81DB4"/>
    <w:rsid w:val="62004A70"/>
    <w:rsid w:val="620C3034"/>
    <w:rsid w:val="621207A5"/>
    <w:rsid w:val="623C0A7E"/>
    <w:rsid w:val="623E51B7"/>
    <w:rsid w:val="62616695"/>
    <w:rsid w:val="62862B05"/>
    <w:rsid w:val="6287260A"/>
    <w:rsid w:val="629903FE"/>
    <w:rsid w:val="629F6AD7"/>
    <w:rsid w:val="62D21DAE"/>
    <w:rsid w:val="62D75B18"/>
    <w:rsid w:val="62F3698C"/>
    <w:rsid w:val="631664FF"/>
    <w:rsid w:val="631A4191"/>
    <w:rsid w:val="634C0311"/>
    <w:rsid w:val="637E560A"/>
    <w:rsid w:val="63A31776"/>
    <w:rsid w:val="64337C0D"/>
    <w:rsid w:val="644E22D7"/>
    <w:rsid w:val="64661366"/>
    <w:rsid w:val="647F5659"/>
    <w:rsid w:val="64836065"/>
    <w:rsid w:val="64955A81"/>
    <w:rsid w:val="64BD76BB"/>
    <w:rsid w:val="64BD7736"/>
    <w:rsid w:val="64BF3940"/>
    <w:rsid w:val="64CC1427"/>
    <w:rsid w:val="64D67DED"/>
    <w:rsid w:val="64E8140A"/>
    <w:rsid w:val="64E831B8"/>
    <w:rsid w:val="64F13D73"/>
    <w:rsid w:val="64F348C0"/>
    <w:rsid w:val="653F727C"/>
    <w:rsid w:val="655A5110"/>
    <w:rsid w:val="659931F0"/>
    <w:rsid w:val="65A31ABA"/>
    <w:rsid w:val="65BF5410"/>
    <w:rsid w:val="65E10333"/>
    <w:rsid w:val="65F6081A"/>
    <w:rsid w:val="65F9646B"/>
    <w:rsid w:val="65FD5571"/>
    <w:rsid w:val="66080D5A"/>
    <w:rsid w:val="66177E70"/>
    <w:rsid w:val="66240FBA"/>
    <w:rsid w:val="66304E17"/>
    <w:rsid w:val="66571395"/>
    <w:rsid w:val="666765A2"/>
    <w:rsid w:val="667967BE"/>
    <w:rsid w:val="667A5D65"/>
    <w:rsid w:val="66B073A3"/>
    <w:rsid w:val="66BB0745"/>
    <w:rsid w:val="66CB4350"/>
    <w:rsid w:val="66EF082E"/>
    <w:rsid w:val="67112BB5"/>
    <w:rsid w:val="672A6A77"/>
    <w:rsid w:val="672F1572"/>
    <w:rsid w:val="673A26FC"/>
    <w:rsid w:val="673B7407"/>
    <w:rsid w:val="679858A8"/>
    <w:rsid w:val="67A332F7"/>
    <w:rsid w:val="67AB3778"/>
    <w:rsid w:val="67B478DF"/>
    <w:rsid w:val="67D11030"/>
    <w:rsid w:val="67F3434E"/>
    <w:rsid w:val="67F52245"/>
    <w:rsid w:val="681057E7"/>
    <w:rsid w:val="682A731F"/>
    <w:rsid w:val="68345D9E"/>
    <w:rsid w:val="687610DA"/>
    <w:rsid w:val="68947BBB"/>
    <w:rsid w:val="68C0708A"/>
    <w:rsid w:val="69821E2D"/>
    <w:rsid w:val="698C70E7"/>
    <w:rsid w:val="69D70524"/>
    <w:rsid w:val="69DB759A"/>
    <w:rsid w:val="69F20C6A"/>
    <w:rsid w:val="6A096366"/>
    <w:rsid w:val="6A1D6369"/>
    <w:rsid w:val="6A256D95"/>
    <w:rsid w:val="6A74501F"/>
    <w:rsid w:val="6A815C41"/>
    <w:rsid w:val="6AA93899"/>
    <w:rsid w:val="6AAA163C"/>
    <w:rsid w:val="6AD679B9"/>
    <w:rsid w:val="6AED4E60"/>
    <w:rsid w:val="6B19010B"/>
    <w:rsid w:val="6B340F05"/>
    <w:rsid w:val="6B3A4646"/>
    <w:rsid w:val="6B431148"/>
    <w:rsid w:val="6B513865"/>
    <w:rsid w:val="6B87197D"/>
    <w:rsid w:val="6BB5763F"/>
    <w:rsid w:val="6BBE4C73"/>
    <w:rsid w:val="6BDA7CFF"/>
    <w:rsid w:val="6BFF7765"/>
    <w:rsid w:val="6C78246D"/>
    <w:rsid w:val="6C893AD6"/>
    <w:rsid w:val="6C9E0AF5"/>
    <w:rsid w:val="6CDA788A"/>
    <w:rsid w:val="6CE70B3A"/>
    <w:rsid w:val="6D2A0812"/>
    <w:rsid w:val="6D522B45"/>
    <w:rsid w:val="6D8875D3"/>
    <w:rsid w:val="6D9D4671"/>
    <w:rsid w:val="6DE54D9C"/>
    <w:rsid w:val="6DE65782"/>
    <w:rsid w:val="6DE9247B"/>
    <w:rsid w:val="6E2C1870"/>
    <w:rsid w:val="6E3A24BE"/>
    <w:rsid w:val="6E790002"/>
    <w:rsid w:val="6E7F4B8D"/>
    <w:rsid w:val="6E867CCA"/>
    <w:rsid w:val="6E9D3AD7"/>
    <w:rsid w:val="6EBB7471"/>
    <w:rsid w:val="6ED76777"/>
    <w:rsid w:val="6EEF1D13"/>
    <w:rsid w:val="6F050935"/>
    <w:rsid w:val="6F751AEC"/>
    <w:rsid w:val="6F7C4A5B"/>
    <w:rsid w:val="6F917629"/>
    <w:rsid w:val="6F946416"/>
    <w:rsid w:val="6F97758A"/>
    <w:rsid w:val="6F99526E"/>
    <w:rsid w:val="6FDD53E4"/>
    <w:rsid w:val="70227B18"/>
    <w:rsid w:val="70402A36"/>
    <w:rsid w:val="70455F8B"/>
    <w:rsid w:val="704767B4"/>
    <w:rsid w:val="706B17BD"/>
    <w:rsid w:val="706D5EE6"/>
    <w:rsid w:val="708E10B8"/>
    <w:rsid w:val="708E38A8"/>
    <w:rsid w:val="709D12FB"/>
    <w:rsid w:val="70A42689"/>
    <w:rsid w:val="70B40FA2"/>
    <w:rsid w:val="70D50A94"/>
    <w:rsid w:val="70F906A6"/>
    <w:rsid w:val="70FF0333"/>
    <w:rsid w:val="71292264"/>
    <w:rsid w:val="71353C29"/>
    <w:rsid w:val="71467C69"/>
    <w:rsid w:val="71671FDC"/>
    <w:rsid w:val="716862C6"/>
    <w:rsid w:val="716B17E6"/>
    <w:rsid w:val="717644FC"/>
    <w:rsid w:val="71B87DBB"/>
    <w:rsid w:val="721455EC"/>
    <w:rsid w:val="7218066B"/>
    <w:rsid w:val="723F2110"/>
    <w:rsid w:val="72BC48F7"/>
    <w:rsid w:val="72D27981"/>
    <w:rsid w:val="72F05CD2"/>
    <w:rsid w:val="731A18CF"/>
    <w:rsid w:val="732E4BF6"/>
    <w:rsid w:val="734573AD"/>
    <w:rsid w:val="73A473AC"/>
    <w:rsid w:val="73B81106"/>
    <w:rsid w:val="73EE1D78"/>
    <w:rsid w:val="7414442E"/>
    <w:rsid w:val="741C2B72"/>
    <w:rsid w:val="743D0F08"/>
    <w:rsid w:val="74446F14"/>
    <w:rsid w:val="744D007F"/>
    <w:rsid w:val="745148D6"/>
    <w:rsid w:val="748906F3"/>
    <w:rsid w:val="74A51A70"/>
    <w:rsid w:val="74B530B7"/>
    <w:rsid w:val="74B722F9"/>
    <w:rsid w:val="74DC4291"/>
    <w:rsid w:val="74DE3D4C"/>
    <w:rsid w:val="74DE67B5"/>
    <w:rsid w:val="74E92D60"/>
    <w:rsid w:val="74F37A82"/>
    <w:rsid w:val="752A69CA"/>
    <w:rsid w:val="756664D1"/>
    <w:rsid w:val="7573395A"/>
    <w:rsid w:val="758C3636"/>
    <w:rsid w:val="75A373B3"/>
    <w:rsid w:val="75BC6F7F"/>
    <w:rsid w:val="75CC4F39"/>
    <w:rsid w:val="75E41838"/>
    <w:rsid w:val="75E863CD"/>
    <w:rsid w:val="75EE15B5"/>
    <w:rsid w:val="76360227"/>
    <w:rsid w:val="763E70DC"/>
    <w:rsid w:val="766052A4"/>
    <w:rsid w:val="766D2E94"/>
    <w:rsid w:val="76A3286D"/>
    <w:rsid w:val="76AD0779"/>
    <w:rsid w:val="76D12109"/>
    <w:rsid w:val="76DB2892"/>
    <w:rsid w:val="76E568A0"/>
    <w:rsid w:val="772207AC"/>
    <w:rsid w:val="772A77B8"/>
    <w:rsid w:val="772E087E"/>
    <w:rsid w:val="772F5A11"/>
    <w:rsid w:val="773951E6"/>
    <w:rsid w:val="774C189B"/>
    <w:rsid w:val="775B6449"/>
    <w:rsid w:val="77626DFA"/>
    <w:rsid w:val="776620AA"/>
    <w:rsid w:val="776722CF"/>
    <w:rsid w:val="777B7D4D"/>
    <w:rsid w:val="77900B63"/>
    <w:rsid w:val="77976324"/>
    <w:rsid w:val="779A2A38"/>
    <w:rsid w:val="77B74946"/>
    <w:rsid w:val="77BC0F9D"/>
    <w:rsid w:val="77D9530E"/>
    <w:rsid w:val="77F05F07"/>
    <w:rsid w:val="77FC2DAB"/>
    <w:rsid w:val="784604CA"/>
    <w:rsid w:val="7854627C"/>
    <w:rsid w:val="787C6509"/>
    <w:rsid w:val="789E28B2"/>
    <w:rsid w:val="78A83DBD"/>
    <w:rsid w:val="78B501FF"/>
    <w:rsid w:val="78BE62B2"/>
    <w:rsid w:val="78C55892"/>
    <w:rsid w:val="78FD16EE"/>
    <w:rsid w:val="78FD66B5"/>
    <w:rsid w:val="78FF0DA4"/>
    <w:rsid w:val="79160915"/>
    <w:rsid w:val="79162389"/>
    <w:rsid w:val="79960FDD"/>
    <w:rsid w:val="799B65F3"/>
    <w:rsid w:val="79C142AC"/>
    <w:rsid w:val="79C9091F"/>
    <w:rsid w:val="7A2D36EF"/>
    <w:rsid w:val="7A694A0C"/>
    <w:rsid w:val="7A78017A"/>
    <w:rsid w:val="7A8A4B01"/>
    <w:rsid w:val="7AB160CE"/>
    <w:rsid w:val="7AC06311"/>
    <w:rsid w:val="7AC54F33"/>
    <w:rsid w:val="7AE86D81"/>
    <w:rsid w:val="7AF0480B"/>
    <w:rsid w:val="7B0055DB"/>
    <w:rsid w:val="7B0146C4"/>
    <w:rsid w:val="7B035408"/>
    <w:rsid w:val="7B3373DF"/>
    <w:rsid w:val="7B5E58B7"/>
    <w:rsid w:val="7BAB3B54"/>
    <w:rsid w:val="7BF25C82"/>
    <w:rsid w:val="7BF50642"/>
    <w:rsid w:val="7C224353"/>
    <w:rsid w:val="7C2726BD"/>
    <w:rsid w:val="7C4B2EE1"/>
    <w:rsid w:val="7C5C1D8C"/>
    <w:rsid w:val="7C610461"/>
    <w:rsid w:val="7C920324"/>
    <w:rsid w:val="7C975798"/>
    <w:rsid w:val="7C9E6B26"/>
    <w:rsid w:val="7CD179A7"/>
    <w:rsid w:val="7D104E72"/>
    <w:rsid w:val="7D172435"/>
    <w:rsid w:val="7D1C48EA"/>
    <w:rsid w:val="7D294552"/>
    <w:rsid w:val="7D2A0BF7"/>
    <w:rsid w:val="7D2D050E"/>
    <w:rsid w:val="7D324E61"/>
    <w:rsid w:val="7D6D416D"/>
    <w:rsid w:val="7D8E108D"/>
    <w:rsid w:val="7D9E0A80"/>
    <w:rsid w:val="7DA500C0"/>
    <w:rsid w:val="7DFB58B2"/>
    <w:rsid w:val="7E0B3D48"/>
    <w:rsid w:val="7E156306"/>
    <w:rsid w:val="7E194BF6"/>
    <w:rsid w:val="7E274F03"/>
    <w:rsid w:val="7E395D6F"/>
    <w:rsid w:val="7E420D47"/>
    <w:rsid w:val="7E67326D"/>
    <w:rsid w:val="7E9A331D"/>
    <w:rsid w:val="7E9B156F"/>
    <w:rsid w:val="7EBE0DBA"/>
    <w:rsid w:val="7ECE1699"/>
    <w:rsid w:val="7EF72BF2"/>
    <w:rsid w:val="7F281DCD"/>
    <w:rsid w:val="7F363AD7"/>
    <w:rsid w:val="7F3F0F48"/>
    <w:rsid w:val="7F4202D4"/>
    <w:rsid w:val="7F630D7E"/>
    <w:rsid w:val="7F9478D2"/>
    <w:rsid w:val="7FA94A6E"/>
    <w:rsid w:val="7FBD5E08"/>
    <w:rsid w:val="7FC56178"/>
    <w:rsid w:val="7FFA40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qFormat="1" w:unhideWhenUsed="0" w:uiPriority="0" w:semiHidden="0"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ocked="1"/>
    <w:lsdException w:uiPriority="99" w:name="List Number" w:locked="1"/>
    <w:lsdException w:qFormat="1" w:uiPriority="99" w:semiHidden="0" w:name="List 2" w:locked="1"/>
    <w:lsdException w:uiPriority="99" w:name="List 3" w:locked="1"/>
    <w:lsdException w:qFormat="1" w:unhideWhenUsed="0" w:uiPriority="99" w:semiHidden="0" w:name="List 4"/>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ocked="1"/>
    <w:lsdException w:qFormat="1" w:uiPriority="99" w:name="HTML Acronym" w:locked="1"/>
    <w:lsdException w:uiPriority="99" w:name="HTML Address" w:locked="1"/>
    <w:lsdException w:qFormat="1" w:uiPriority="99" w:name="HTML Cite" w:locked="1"/>
    <w:lsdException w:qFormat="1" w:unhideWhenUsed="0" w:uiPriority="99" w:name="HTML Code" w:locked="1"/>
    <w:lsdException w:qFormat="1" w:unhideWhenUsed="0" w:uiPriority="99" w:name="HTML Definition" w:locked="1"/>
    <w:lsdException w:qFormat="1" w:unhideWhenUsed="0" w:uiPriority="99" w:name="HTML Keyboard" w:locked="1"/>
    <w:lsdException w:uiPriority="99" w:name="HTML Preformatted" w:locked="1"/>
    <w:lsdException w:qFormat="1" w:unhideWhenUsed="0" w:uiPriority="99" w:name="HTML Sample" w:locked="1"/>
    <w:lsdException w:qFormat="1" w:uiPriority="99" w:name="HTML Typewriter" w:locked="1"/>
    <w:lsdException w:qFormat="1"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6"/>
    <w:link w:val="56"/>
    <w:qFormat/>
    <w:uiPriority w:val="9"/>
    <w:pPr>
      <w:keepNext/>
      <w:keepLines/>
      <w:adjustRightInd w:val="0"/>
      <w:spacing w:before="160" w:after="160" w:line="160" w:lineRule="atLeast"/>
      <w:ind w:left="425" w:hanging="425"/>
      <w:textAlignment w:val="baseline"/>
      <w:outlineLvl w:val="0"/>
    </w:pPr>
    <w:rPr>
      <w:rFonts w:ascii="黑体" w:eastAsia="黑体"/>
      <w:kern w:val="44"/>
      <w:sz w:val="32"/>
      <w:szCs w:val="32"/>
    </w:rPr>
  </w:style>
  <w:style w:type="paragraph" w:styleId="7">
    <w:name w:val="heading 2"/>
    <w:basedOn w:val="1"/>
    <w:next w:val="1"/>
    <w:link w:val="57"/>
    <w:qFormat/>
    <w:uiPriority w:val="9"/>
    <w:pPr>
      <w:keepNext/>
      <w:keepLines/>
      <w:adjustRightInd w:val="0"/>
      <w:spacing w:before="160" w:after="160" w:line="160" w:lineRule="atLeast"/>
      <w:ind w:left="6237" w:hanging="425"/>
      <w:textAlignment w:val="baseline"/>
      <w:outlineLvl w:val="1"/>
    </w:pPr>
    <w:rPr>
      <w:rFonts w:ascii="黑体" w:hAnsi="Arial" w:eastAsia="黑体"/>
      <w:kern w:val="0"/>
      <w:sz w:val="28"/>
      <w:szCs w:val="28"/>
    </w:rPr>
  </w:style>
  <w:style w:type="paragraph" w:styleId="8">
    <w:name w:val="heading 3"/>
    <w:basedOn w:val="1"/>
    <w:next w:val="6"/>
    <w:link w:val="58"/>
    <w:qFormat/>
    <w:uiPriority w:val="0"/>
    <w:pPr>
      <w:keepNext/>
      <w:keepLines/>
      <w:adjustRightInd w:val="0"/>
      <w:spacing w:before="160" w:after="160" w:line="160" w:lineRule="atLeast"/>
      <w:ind w:left="851" w:hanging="425"/>
      <w:textAlignment w:val="baseline"/>
      <w:outlineLvl w:val="2"/>
    </w:pPr>
    <w:rPr>
      <w:rFonts w:ascii="黑体" w:eastAsia="黑体"/>
      <w:kern w:val="0"/>
      <w:sz w:val="28"/>
      <w:szCs w:val="28"/>
    </w:rPr>
  </w:style>
  <w:style w:type="paragraph" w:styleId="9">
    <w:name w:val="heading 4"/>
    <w:basedOn w:val="1"/>
    <w:next w:val="1"/>
    <w:link w:val="59"/>
    <w:qFormat/>
    <w:uiPriority w:val="0"/>
    <w:pPr>
      <w:keepNext/>
      <w:keepLines/>
      <w:adjustRightInd w:val="0"/>
      <w:spacing w:before="280" w:after="290" w:line="376" w:lineRule="atLeast"/>
      <w:ind w:left="1700" w:hanging="425"/>
      <w:textAlignment w:val="baseline"/>
      <w:outlineLvl w:val="3"/>
    </w:pPr>
    <w:rPr>
      <w:rFonts w:ascii="Cambria" w:hAnsi="Cambria"/>
      <w:b/>
      <w:bCs/>
      <w:kern w:val="0"/>
      <w:sz w:val="28"/>
      <w:szCs w:val="28"/>
    </w:rPr>
  </w:style>
  <w:style w:type="paragraph" w:styleId="10">
    <w:name w:val="heading 5"/>
    <w:basedOn w:val="1"/>
    <w:next w:val="1"/>
    <w:link w:val="60"/>
    <w:qFormat/>
    <w:uiPriority w:val="0"/>
    <w:pPr>
      <w:keepNext/>
      <w:keepLines/>
      <w:adjustRightInd w:val="0"/>
      <w:spacing w:before="280" w:after="290" w:line="376" w:lineRule="atLeast"/>
      <w:ind w:left="2125" w:hanging="425"/>
      <w:textAlignment w:val="baseline"/>
      <w:outlineLvl w:val="4"/>
    </w:pPr>
    <w:rPr>
      <w:b/>
      <w:bCs/>
      <w:kern w:val="0"/>
      <w:sz w:val="28"/>
      <w:szCs w:val="28"/>
    </w:rPr>
  </w:style>
  <w:style w:type="paragraph" w:styleId="11">
    <w:name w:val="heading 6"/>
    <w:basedOn w:val="1"/>
    <w:next w:val="1"/>
    <w:link w:val="61"/>
    <w:qFormat/>
    <w:uiPriority w:val="0"/>
    <w:pPr>
      <w:keepNext/>
      <w:keepLines/>
      <w:adjustRightInd w:val="0"/>
      <w:spacing w:before="240" w:after="64" w:line="320" w:lineRule="atLeast"/>
      <w:ind w:left="2550" w:hanging="425"/>
      <w:textAlignment w:val="baseline"/>
      <w:outlineLvl w:val="5"/>
    </w:pPr>
    <w:rPr>
      <w:rFonts w:ascii="Cambria" w:hAnsi="Cambria"/>
      <w:b/>
      <w:bCs/>
      <w:kern w:val="0"/>
      <w:sz w:val="24"/>
      <w:szCs w:val="24"/>
    </w:rPr>
  </w:style>
  <w:style w:type="paragraph" w:styleId="12">
    <w:name w:val="heading 7"/>
    <w:basedOn w:val="1"/>
    <w:next w:val="1"/>
    <w:link w:val="62"/>
    <w:qFormat/>
    <w:uiPriority w:val="0"/>
    <w:pPr>
      <w:keepNext/>
      <w:keepLines/>
      <w:adjustRightInd w:val="0"/>
      <w:spacing w:before="240" w:after="64" w:line="320" w:lineRule="atLeast"/>
      <w:ind w:left="2975" w:hanging="425"/>
      <w:textAlignment w:val="baseline"/>
      <w:outlineLvl w:val="6"/>
    </w:pPr>
    <w:rPr>
      <w:b/>
      <w:bCs/>
      <w:kern w:val="0"/>
      <w:sz w:val="24"/>
      <w:szCs w:val="24"/>
    </w:rPr>
  </w:style>
  <w:style w:type="paragraph" w:styleId="13">
    <w:name w:val="heading 8"/>
    <w:basedOn w:val="1"/>
    <w:next w:val="1"/>
    <w:link w:val="63"/>
    <w:qFormat/>
    <w:uiPriority w:val="0"/>
    <w:pPr>
      <w:keepNext/>
      <w:keepLines/>
      <w:adjustRightInd w:val="0"/>
      <w:spacing w:before="240" w:after="64" w:line="320" w:lineRule="atLeast"/>
      <w:ind w:left="3400" w:hanging="425"/>
      <w:textAlignment w:val="baseline"/>
      <w:outlineLvl w:val="7"/>
    </w:pPr>
    <w:rPr>
      <w:rFonts w:ascii="Cambria" w:hAnsi="Cambria"/>
      <w:kern w:val="0"/>
      <w:sz w:val="24"/>
      <w:szCs w:val="24"/>
    </w:rPr>
  </w:style>
  <w:style w:type="paragraph" w:styleId="14">
    <w:name w:val="heading 9"/>
    <w:basedOn w:val="1"/>
    <w:next w:val="1"/>
    <w:link w:val="64"/>
    <w:qFormat/>
    <w:uiPriority w:val="0"/>
    <w:pPr>
      <w:keepNext/>
      <w:keepLines/>
      <w:adjustRightInd w:val="0"/>
      <w:spacing w:before="240" w:after="64" w:line="320" w:lineRule="atLeast"/>
      <w:ind w:left="3825" w:hanging="425"/>
      <w:textAlignment w:val="baseline"/>
      <w:outlineLvl w:val="8"/>
    </w:pPr>
    <w:rPr>
      <w:rFonts w:ascii="Cambria" w:hAnsi="Cambria"/>
      <w:kern w:val="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7"/>
    <w:qFormat/>
    <w:uiPriority w:val="99"/>
    <w:pPr>
      <w:spacing w:line="480" w:lineRule="exact"/>
    </w:pPr>
    <w:rPr>
      <w:kern w:val="0"/>
      <w:sz w:val="24"/>
      <w:szCs w:val="24"/>
    </w:rPr>
  </w:style>
  <w:style w:type="paragraph" w:customStyle="1" w:styleId="3">
    <w:name w:val="Default"/>
    <w:next w:val="4"/>
    <w:link w:val="93"/>
    <w:qFormat/>
    <w:uiPriority w:val="99"/>
    <w:pPr>
      <w:widowControl w:val="0"/>
      <w:autoSpaceDE w:val="0"/>
      <w:autoSpaceDN w:val="0"/>
      <w:adjustRightInd w:val="0"/>
    </w:pPr>
    <w:rPr>
      <w:rFonts w:ascii="宋体" w:hAnsi="Times New Roman" w:eastAsia="宋体" w:cs="Times New Roman"/>
      <w:color w:val="000000"/>
      <w:sz w:val="22"/>
      <w:szCs w:val="22"/>
      <w:lang w:val="en-US" w:eastAsia="zh-CN" w:bidi="ar-SA"/>
    </w:rPr>
  </w:style>
  <w:style w:type="paragraph" w:customStyle="1" w:styleId="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styleId="15">
    <w:name w:val="Normal Indent"/>
    <w:basedOn w:val="1"/>
    <w:qFormat/>
    <w:uiPriority w:val="99"/>
    <w:pPr>
      <w:ind w:firstLine="420"/>
    </w:pPr>
  </w:style>
  <w:style w:type="paragraph" w:styleId="16">
    <w:name w:val="List Bullet"/>
    <w:basedOn w:val="1"/>
    <w:qFormat/>
    <w:locked/>
    <w:uiPriority w:val="99"/>
    <w:pPr>
      <w:numPr>
        <w:ilvl w:val="0"/>
        <w:numId w:val="1"/>
      </w:numPr>
    </w:pPr>
    <w:rPr>
      <w:rFonts w:ascii="Calibri" w:hAnsi="Calibri"/>
      <w:szCs w:val="24"/>
    </w:rPr>
  </w:style>
  <w:style w:type="paragraph" w:styleId="17">
    <w:name w:val="Document Map"/>
    <w:basedOn w:val="1"/>
    <w:link w:val="65"/>
    <w:semiHidden/>
    <w:qFormat/>
    <w:uiPriority w:val="99"/>
    <w:pPr>
      <w:shd w:val="clear" w:color="auto" w:fill="000080"/>
    </w:pPr>
    <w:rPr>
      <w:kern w:val="0"/>
      <w:sz w:val="2"/>
      <w:szCs w:val="2"/>
    </w:rPr>
  </w:style>
  <w:style w:type="paragraph" w:styleId="18">
    <w:name w:val="annotation text"/>
    <w:basedOn w:val="1"/>
    <w:link w:val="66"/>
    <w:qFormat/>
    <w:locked/>
    <w:uiPriority w:val="99"/>
    <w:pPr>
      <w:jc w:val="left"/>
    </w:pPr>
    <w:rPr>
      <w:sz w:val="24"/>
      <w:szCs w:val="24"/>
    </w:rPr>
  </w:style>
  <w:style w:type="paragraph" w:styleId="19">
    <w:name w:val="Body Text Indent"/>
    <w:basedOn w:val="1"/>
    <w:next w:val="20"/>
    <w:link w:val="68"/>
    <w:qFormat/>
    <w:uiPriority w:val="99"/>
    <w:pPr>
      <w:tabs>
        <w:tab w:val="left" w:pos="945"/>
        <w:tab w:val="left" w:pos="1155"/>
      </w:tabs>
      <w:ind w:firstLine="435"/>
    </w:pPr>
    <w:rPr>
      <w:kern w:val="0"/>
      <w:sz w:val="24"/>
      <w:szCs w:val="24"/>
    </w:rPr>
  </w:style>
  <w:style w:type="paragraph" w:styleId="20">
    <w:name w:val="envelope return"/>
    <w:basedOn w:val="1"/>
    <w:qFormat/>
    <w:locked/>
    <w:uiPriority w:val="0"/>
    <w:pPr>
      <w:snapToGrid w:val="0"/>
    </w:pPr>
    <w:rPr>
      <w:rFonts w:ascii="Arial" w:hAnsi="Arial"/>
    </w:rPr>
  </w:style>
  <w:style w:type="paragraph" w:styleId="21">
    <w:name w:val="List 2"/>
    <w:basedOn w:val="1"/>
    <w:unhideWhenUsed/>
    <w:qFormat/>
    <w:locked/>
    <w:uiPriority w:val="99"/>
    <w:pPr>
      <w:ind w:left="100" w:leftChars="200" w:hanging="200" w:hangingChars="200"/>
      <w:contextualSpacing/>
    </w:pPr>
    <w:rPr>
      <w:rFonts w:ascii="Calibri" w:hAnsi="Calibri"/>
      <w:szCs w:val="22"/>
    </w:rPr>
  </w:style>
  <w:style w:type="paragraph" w:styleId="22">
    <w:name w:val="toc 3"/>
    <w:basedOn w:val="1"/>
    <w:next w:val="1"/>
    <w:qFormat/>
    <w:uiPriority w:val="39"/>
    <w:pPr>
      <w:ind w:left="840" w:leftChars="400"/>
    </w:pPr>
  </w:style>
  <w:style w:type="paragraph" w:styleId="23">
    <w:name w:val="Plain Text"/>
    <w:basedOn w:val="1"/>
    <w:link w:val="69"/>
    <w:qFormat/>
    <w:uiPriority w:val="99"/>
    <w:rPr>
      <w:rFonts w:ascii="宋体" w:hAnsi="Courier New"/>
      <w:kern w:val="0"/>
    </w:rPr>
  </w:style>
  <w:style w:type="paragraph" w:styleId="24">
    <w:name w:val="Date"/>
    <w:basedOn w:val="1"/>
    <w:next w:val="1"/>
    <w:link w:val="70"/>
    <w:qFormat/>
    <w:uiPriority w:val="99"/>
    <w:rPr>
      <w:kern w:val="0"/>
      <w:sz w:val="24"/>
      <w:szCs w:val="24"/>
    </w:rPr>
  </w:style>
  <w:style w:type="paragraph" w:styleId="25">
    <w:name w:val="Body Text Indent 2"/>
    <w:basedOn w:val="1"/>
    <w:link w:val="71"/>
    <w:qFormat/>
    <w:uiPriority w:val="99"/>
    <w:pPr>
      <w:ind w:firstLine="630"/>
    </w:pPr>
    <w:rPr>
      <w:kern w:val="0"/>
      <w:sz w:val="24"/>
      <w:szCs w:val="24"/>
    </w:rPr>
  </w:style>
  <w:style w:type="paragraph" w:styleId="26">
    <w:name w:val="Balloon Text"/>
    <w:basedOn w:val="1"/>
    <w:link w:val="72"/>
    <w:semiHidden/>
    <w:qFormat/>
    <w:uiPriority w:val="99"/>
    <w:rPr>
      <w:kern w:val="0"/>
      <w:sz w:val="2"/>
      <w:szCs w:val="2"/>
    </w:rPr>
  </w:style>
  <w:style w:type="paragraph" w:styleId="27">
    <w:name w:val="footer"/>
    <w:basedOn w:val="1"/>
    <w:link w:val="73"/>
    <w:qFormat/>
    <w:uiPriority w:val="99"/>
    <w:pPr>
      <w:tabs>
        <w:tab w:val="center" w:pos="4153"/>
        <w:tab w:val="right" w:pos="8306"/>
      </w:tabs>
      <w:snapToGrid w:val="0"/>
      <w:jc w:val="left"/>
    </w:pPr>
    <w:rPr>
      <w:sz w:val="18"/>
      <w:szCs w:val="18"/>
    </w:rPr>
  </w:style>
  <w:style w:type="paragraph" w:styleId="28">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footnote text"/>
    <w:basedOn w:val="1"/>
    <w:qFormat/>
    <w:locked/>
    <w:uiPriority w:val="0"/>
    <w:pPr>
      <w:snapToGrid w:val="0"/>
      <w:jc w:val="left"/>
    </w:pPr>
    <w:rPr>
      <w:sz w:val="18"/>
    </w:rPr>
  </w:style>
  <w:style w:type="paragraph" w:styleId="31">
    <w:name w:val="Body Text Indent 3"/>
    <w:basedOn w:val="1"/>
    <w:link w:val="75"/>
    <w:qFormat/>
    <w:uiPriority w:val="99"/>
    <w:pPr>
      <w:spacing w:line="400" w:lineRule="exact"/>
      <w:ind w:firstLine="480" w:firstLineChars="200"/>
    </w:pPr>
    <w:rPr>
      <w:kern w:val="0"/>
      <w:sz w:val="16"/>
      <w:szCs w:val="16"/>
    </w:rPr>
  </w:style>
  <w:style w:type="paragraph" w:styleId="32">
    <w:name w:val="toc 2"/>
    <w:basedOn w:val="1"/>
    <w:next w:val="1"/>
    <w:qFormat/>
    <w:uiPriority w:val="39"/>
    <w:pPr>
      <w:ind w:left="420" w:leftChars="200"/>
    </w:pPr>
  </w:style>
  <w:style w:type="paragraph" w:styleId="33">
    <w:name w:val="Body Text 2"/>
    <w:basedOn w:val="1"/>
    <w:next w:val="2"/>
    <w:link w:val="76"/>
    <w:qFormat/>
    <w:uiPriority w:val="99"/>
    <w:pPr>
      <w:autoSpaceDE w:val="0"/>
      <w:autoSpaceDN w:val="0"/>
      <w:adjustRightInd w:val="0"/>
      <w:spacing w:line="480" w:lineRule="exact"/>
      <w:jc w:val="left"/>
    </w:pPr>
    <w:rPr>
      <w:kern w:val="0"/>
      <w:sz w:val="24"/>
      <w:szCs w:val="24"/>
    </w:rPr>
  </w:style>
  <w:style w:type="paragraph" w:styleId="34">
    <w:name w:val="List 4"/>
    <w:basedOn w:val="1"/>
    <w:qFormat/>
    <w:uiPriority w:val="99"/>
    <w:pPr>
      <w:ind w:left="1680" w:hanging="420"/>
    </w:pPr>
    <w:rPr>
      <w:rFonts w:eastAsia="楷体_GB2312"/>
      <w:sz w:val="32"/>
      <w:szCs w:val="32"/>
    </w:rPr>
  </w:style>
  <w:style w:type="paragraph" w:styleId="35">
    <w:name w:val="Normal (Web)"/>
    <w:basedOn w:val="1"/>
    <w:link w:val="149"/>
    <w:qFormat/>
    <w:locked/>
    <w:uiPriority w:val="99"/>
    <w:pPr>
      <w:spacing w:beforeAutospacing="1" w:afterAutospacing="1"/>
      <w:jc w:val="left"/>
    </w:pPr>
    <w:rPr>
      <w:kern w:val="0"/>
      <w:sz w:val="24"/>
      <w:szCs w:val="24"/>
    </w:rPr>
  </w:style>
  <w:style w:type="paragraph" w:styleId="36">
    <w:name w:val="annotation subject"/>
    <w:basedOn w:val="18"/>
    <w:next w:val="18"/>
    <w:link w:val="77"/>
    <w:semiHidden/>
    <w:qFormat/>
    <w:locked/>
    <w:uiPriority w:val="99"/>
    <w:rPr>
      <w:b/>
      <w:bCs/>
    </w:rPr>
  </w:style>
  <w:style w:type="paragraph" w:styleId="37">
    <w:name w:val="Body Text First Indent"/>
    <w:basedOn w:val="2"/>
    <w:next w:val="38"/>
    <w:link w:val="78"/>
    <w:qFormat/>
    <w:locked/>
    <w:uiPriority w:val="99"/>
    <w:pPr>
      <w:spacing w:after="120" w:line="240" w:lineRule="auto"/>
      <w:ind w:firstLine="420" w:firstLineChars="100"/>
    </w:pPr>
  </w:style>
  <w:style w:type="paragraph" w:styleId="38">
    <w:name w:val="Body Text First Indent 2"/>
    <w:basedOn w:val="19"/>
    <w:next w:val="1"/>
    <w:link w:val="136"/>
    <w:unhideWhenUsed/>
    <w:qFormat/>
    <w:locked/>
    <w:uiPriority w:val="99"/>
    <w:pPr>
      <w:tabs>
        <w:tab w:val="clear" w:pos="945"/>
        <w:tab w:val="clear" w:pos="1155"/>
      </w:tabs>
      <w:spacing w:after="120"/>
      <w:ind w:left="420" w:leftChars="200" w:firstLine="420" w:firstLineChars="200"/>
    </w:pPr>
    <w:rPr>
      <w:rFonts w:ascii="Calibri" w:hAnsi="Calibri"/>
      <w:kern w:val="2"/>
      <w:sz w:val="21"/>
      <w:szCs w:val="22"/>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99"/>
    <w:rPr>
      <w:rFonts w:cs="Times New Roman"/>
      <w:b/>
    </w:rPr>
  </w:style>
  <w:style w:type="character" w:styleId="43">
    <w:name w:val="page number"/>
    <w:basedOn w:val="41"/>
    <w:qFormat/>
    <w:uiPriority w:val="99"/>
    <w:rPr>
      <w:rFonts w:cs="Times New Roman"/>
    </w:rPr>
  </w:style>
  <w:style w:type="character" w:styleId="44">
    <w:name w:val="FollowedHyperlink"/>
    <w:basedOn w:val="41"/>
    <w:qFormat/>
    <w:locked/>
    <w:uiPriority w:val="99"/>
    <w:rPr>
      <w:rFonts w:cs="Times New Roman"/>
      <w:color w:val="333333"/>
      <w:u w:val="none"/>
    </w:rPr>
  </w:style>
  <w:style w:type="character" w:styleId="45">
    <w:name w:val="Emphasis"/>
    <w:basedOn w:val="41"/>
    <w:qFormat/>
    <w:uiPriority w:val="0"/>
    <w:rPr>
      <w:b/>
      <w:bCs/>
    </w:rPr>
  </w:style>
  <w:style w:type="character" w:styleId="46">
    <w:name w:val="HTML Definition"/>
    <w:basedOn w:val="41"/>
    <w:semiHidden/>
    <w:qFormat/>
    <w:locked/>
    <w:uiPriority w:val="99"/>
    <w:rPr>
      <w:rFonts w:cs="Times New Roman"/>
      <w:i/>
    </w:rPr>
  </w:style>
  <w:style w:type="character" w:styleId="47">
    <w:name w:val="HTML Typewriter"/>
    <w:basedOn w:val="41"/>
    <w:semiHidden/>
    <w:unhideWhenUsed/>
    <w:qFormat/>
    <w:locked/>
    <w:uiPriority w:val="99"/>
    <w:rPr>
      <w:rFonts w:hint="default" w:ascii="monospace" w:hAnsi="monospace" w:eastAsia="monospace" w:cs="monospace"/>
      <w:sz w:val="20"/>
    </w:rPr>
  </w:style>
  <w:style w:type="character" w:styleId="48">
    <w:name w:val="HTML Acronym"/>
    <w:basedOn w:val="41"/>
    <w:semiHidden/>
    <w:unhideWhenUsed/>
    <w:qFormat/>
    <w:locked/>
    <w:uiPriority w:val="99"/>
  </w:style>
  <w:style w:type="character" w:styleId="49">
    <w:name w:val="HTML Variable"/>
    <w:basedOn w:val="41"/>
    <w:semiHidden/>
    <w:unhideWhenUsed/>
    <w:qFormat/>
    <w:locked/>
    <w:uiPriority w:val="99"/>
  </w:style>
  <w:style w:type="character" w:styleId="50">
    <w:name w:val="Hyperlink"/>
    <w:basedOn w:val="41"/>
    <w:qFormat/>
    <w:uiPriority w:val="99"/>
    <w:rPr>
      <w:rFonts w:cs="Times New Roman"/>
      <w:color w:val="0000FF"/>
      <w:u w:val="single"/>
    </w:rPr>
  </w:style>
  <w:style w:type="character" w:styleId="51">
    <w:name w:val="HTML Code"/>
    <w:basedOn w:val="41"/>
    <w:semiHidden/>
    <w:qFormat/>
    <w:locked/>
    <w:uiPriority w:val="99"/>
    <w:rPr>
      <w:rFonts w:ascii="Menlo" w:hAnsi="Menlo" w:cs="Times New Roman"/>
      <w:color w:val="auto"/>
      <w:sz w:val="21"/>
      <w:shd w:val="clear" w:color="auto" w:fill="auto"/>
    </w:rPr>
  </w:style>
  <w:style w:type="character" w:styleId="52">
    <w:name w:val="annotation reference"/>
    <w:basedOn w:val="41"/>
    <w:qFormat/>
    <w:locked/>
    <w:uiPriority w:val="99"/>
    <w:rPr>
      <w:rFonts w:cs="Times New Roman"/>
      <w:sz w:val="21"/>
    </w:rPr>
  </w:style>
  <w:style w:type="character" w:styleId="53">
    <w:name w:val="HTML Cite"/>
    <w:basedOn w:val="41"/>
    <w:semiHidden/>
    <w:unhideWhenUsed/>
    <w:qFormat/>
    <w:locked/>
    <w:uiPriority w:val="99"/>
  </w:style>
  <w:style w:type="character" w:styleId="54">
    <w:name w:val="HTML Keyboard"/>
    <w:basedOn w:val="41"/>
    <w:semiHidden/>
    <w:qFormat/>
    <w:locked/>
    <w:uiPriority w:val="99"/>
    <w:rPr>
      <w:rFonts w:ascii="Menlo" w:hAnsi="Menlo" w:cs="Times New Roman"/>
      <w:color w:val="FFFFFF"/>
      <w:sz w:val="21"/>
      <w:shd w:val="clear" w:color="auto" w:fill="333333"/>
    </w:rPr>
  </w:style>
  <w:style w:type="character" w:styleId="55">
    <w:name w:val="HTML Sample"/>
    <w:basedOn w:val="41"/>
    <w:semiHidden/>
    <w:qFormat/>
    <w:locked/>
    <w:uiPriority w:val="99"/>
    <w:rPr>
      <w:rFonts w:ascii="Menlo" w:hAnsi="Menlo" w:cs="Times New Roman"/>
      <w:sz w:val="21"/>
    </w:rPr>
  </w:style>
  <w:style w:type="character" w:customStyle="1" w:styleId="56">
    <w:name w:val="标题 1 字符"/>
    <w:basedOn w:val="41"/>
    <w:link w:val="5"/>
    <w:qFormat/>
    <w:locked/>
    <w:uiPriority w:val="9"/>
    <w:rPr>
      <w:rFonts w:ascii="黑体" w:eastAsia="黑体"/>
      <w:kern w:val="44"/>
      <w:sz w:val="32"/>
      <w:szCs w:val="32"/>
    </w:rPr>
  </w:style>
  <w:style w:type="character" w:customStyle="1" w:styleId="57">
    <w:name w:val="标题 2 字符"/>
    <w:basedOn w:val="41"/>
    <w:link w:val="7"/>
    <w:qFormat/>
    <w:locked/>
    <w:uiPriority w:val="0"/>
    <w:rPr>
      <w:rFonts w:ascii="黑体" w:hAnsi="Arial" w:eastAsia="黑体"/>
      <w:kern w:val="0"/>
      <w:sz w:val="28"/>
      <w:szCs w:val="28"/>
    </w:rPr>
  </w:style>
  <w:style w:type="character" w:customStyle="1" w:styleId="58">
    <w:name w:val="标题 3 字符"/>
    <w:basedOn w:val="41"/>
    <w:link w:val="8"/>
    <w:qFormat/>
    <w:locked/>
    <w:uiPriority w:val="0"/>
    <w:rPr>
      <w:rFonts w:ascii="黑体" w:eastAsia="黑体"/>
      <w:kern w:val="0"/>
      <w:sz w:val="28"/>
      <w:szCs w:val="28"/>
    </w:rPr>
  </w:style>
  <w:style w:type="character" w:customStyle="1" w:styleId="59">
    <w:name w:val="标题 4 字符"/>
    <w:basedOn w:val="41"/>
    <w:link w:val="9"/>
    <w:qFormat/>
    <w:locked/>
    <w:uiPriority w:val="0"/>
    <w:rPr>
      <w:rFonts w:ascii="Cambria" w:hAnsi="Cambria"/>
      <w:b/>
      <w:bCs/>
      <w:kern w:val="0"/>
      <w:sz w:val="28"/>
      <w:szCs w:val="28"/>
    </w:rPr>
  </w:style>
  <w:style w:type="character" w:customStyle="1" w:styleId="60">
    <w:name w:val="标题 5 字符"/>
    <w:basedOn w:val="41"/>
    <w:link w:val="10"/>
    <w:qFormat/>
    <w:locked/>
    <w:uiPriority w:val="0"/>
    <w:rPr>
      <w:b/>
      <w:bCs/>
      <w:kern w:val="0"/>
      <w:sz w:val="28"/>
      <w:szCs w:val="28"/>
    </w:rPr>
  </w:style>
  <w:style w:type="character" w:customStyle="1" w:styleId="61">
    <w:name w:val="标题 6 字符"/>
    <w:basedOn w:val="41"/>
    <w:link w:val="11"/>
    <w:qFormat/>
    <w:locked/>
    <w:uiPriority w:val="0"/>
    <w:rPr>
      <w:rFonts w:ascii="Cambria" w:hAnsi="Cambria"/>
      <w:b/>
      <w:bCs/>
      <w:kern w:val="0"/>
      <w:sz w:val="24"/>
      <w:szCs w:val="24"/>
    </w:rPr>
  </w:style>
  <w:style w:type="character" w:customStyle="1" w:styleId="62">
    <w:name w:val="标题 7 字符"/>
    <w:basedOn w:val="41"/>
    <w:link w:val="12"/>
    <w:qFormat/>
    <w:locked/>
    <w:uiPriority w:val="0"/>
    <w:rPr>
      <w:b/>
      <w:bCs/>
      <w:kern w:val="0"/>
      <w:sz w:val="24"/>
      <w:szCs w:val="24"/>
    </w:rPr>
  </w:style>
  <w:style w:type="character" w:customStyle="1" w:styleId="63">
    <w:name w:val="标题 8 字符"/>
    <w:basedOn w:val="41"/>
    <w:link w:val="13"/>
    <w:qFormat/>
    <w:locked/>
    <w:uiPriority w:val="0"/>
    <w:rPr>
      <w:rFonts w:ascii="Cambria" w:hAnsi="Cambria"/>
      <w:kern w:val="0"/>
      <w:sz w:val="24"/>
      <w:szCs w:val="24"/>
    </w:rPr>
  </w:style>
  <w:style w:type="character" w:customStyle="1" w:styleId="64">
    <w:name w:val="标题 9 字符"/>
    <w:basedOn w:val="41"/>
    <w:link w:val="14"/>
    <w:qFormat/>
    <w:locked/>
    <w:uiPriority w:val="0"/>
    <w:rPr>
      <w:rFonts w:ascii="Cambria" w:hAnsi="Cambria"/>
      <w:kern w:val="0"/>
      <w:szCs w:val="21"/>
    </w:rPr>
  </w:style>
  <w:style w:type="character" w:customStyle="1" w:styleId="65">
    <w:name w:val="文档结构图 字符"/>
    <w:basedOn w:val="41"/>
    <w:link w:val="17"/>
    <w:semiHidden/>
    <w:qFormat/>
    <w:locked/>
    <w:uiPriority w:val="99"/>
    <w:rPr>
      <w:rFonts w:cs="Times New Roman"/>
      <w:sz w:val="2"/>
    </w:rPr>
  </w:style>
  <w:style w:type="character" w:customStyle="1" w:styleId="66">
    <w:name w:val="批注文字 字符"/>
    <w:basedOn w:val="41"/>
    <w:link w:val="18"/>
    <w:qFormat/>
    <w:locked/>
    <w:uiPriority w:val="99"/>
    <w:rPr>
      <w:rFonts w:cs="Times New Roman"/>
      <w:kern w:val="2"/>
      <w:sz w:val="24"/>
    </w:rPr>
  </w:style>
  <w:style w:type="character" w:customStyle="1" w:styleId="67">
    <w:name w:val="正文文本 字符"/>
    <w:basedOn w:val="41"/>
    <w:link w:val="2"/>
    <w:qFormat/>
    <w:locked/>
    <w:uiPriority w:val="99"/>
    <w:rPr>
      <w:rFonts w:cs="Times New Roman"/>
      <w:sz w:val="24"/>
    </w:rPr>
  </w:style>
  <w:style w:type="character" w:customStyle="1" w:styleId="68">
    <w:name w:val="正文文本缩进 字符"/>
    <w:basedOn w:val="41"/>
    <w:link w:val="19"/>
    <w:semiHidden/>
    <w:qFormat/>
    <w:locked/>
    <w:uiPriority w:val="99"/>
    <w:rPr>
      <w:rFonts w:cs="Times New Roman"/>
      <w:sz w:val="24"/>
    </w:rPr>
  </w:style>
  <w:style w:type="character" w:customStyle="1" w:styleId="69">
    <w:name w:val="纯文本 字符"/>
    <w:basedOn w:val="41"/>
    <w:link w:val="23"/>
    <w:semiHidden/>
    <w:qFormat/>
    <w:locked/>
    <w:uiPriority w:val="99"/>
    <w:rPr>
      <w:rFonts w:ascii="宋体" w:hAnsi="Courier New" w:cs="Times New Roman"/>
      <w:sz w:val="21"/>
    </w:rPr>
  </w:style>
  <w:style w:type="character" w:customStyle="1" w:styleId="70">
    <w:name w:val="日期 字符"/>
    <w:basedOn w:val="41"/>
    <w:link w:val="24"/>
    <w:semiHidden/>
    <w:qFormat/>
    <w:locked/>
    <w:uiPriority w:val="99"/>
    <w:rPr>
      <w:rFonts w:cs="Times New Roman"/>
      <w:sz w:val="24"/>
    </w:rPr>
  </w:style>
  <w:style w:type="character" w:customStyle="1" w:styleId="71">
    <w:name w:val="正文文本缩进 2 字符"/>
    <w:basedOn w:val="41"/>
    <w:link w:val="25"/>
    <w:semiHidden/>
    <w:qFormat/>
    <w:locked/>
    <w:uiPriority w:val="99"/>
    <w:rPr>
      <w:rFonts w:cs="Times New Roman"/>
      <w:sz w:val="24"/>
    </w:rPr>
  </w:style>
  <w:style w:type="character" w:customStyle="1" w:styleId="72">
    <w:name w:val="批注框文本 字符"/>
    <w:basedOn w:val="41"/>
    <w:link w:val="26"/>
    <w:semiHidden/>
    <w:qFormat/>
    <w:locked/>
    <w:uiPriority w:val="99"/>
    <w:rPr>
      <w:rFonts w:cs="Times New Roman"/>
      <w:sz w:val="2"/>
    </w:rPr>
  </w:style>
  <w:style w:type="character" w:customStyle="1" w:styleId="73">
    <w:name w:val="页脚 字符"/>
    <w:basedOn w:val="41"/>
    <w:link w:val="27"/>
    <w:qFormat/>
    <w:locked/>
    <w:uiPriority w:val="99"/>
    <w:rPr>
      <w:rFonts w:eastAsia="宋体" w:cs="Times New Roman"/>
      <w:kern w:val="2"/>
      <w:sz w:val="18"/>
      <w:lang w:val="en-US" w:eastAsia="zh-CN"/>
    </w:rPr>
  </w:style>
  <w:style w:type="character" w:customStyle="1" w:styleId="74">
    <w:name w:val="页眉 字符"/>
    <w:basedOn w:val="41"/>
    <w:link w:val="28"/>
    <w:qFormat/>
    <w:locked/>
    <w:uiPriority w:val="99"/>
    <w:rPr>
      <w:rFonts w:cs="Times New Roman"/>
      <w:kern w:val="2"/>
      <w:sz w:val="18"/>
    </w:rPr>
  </w:style>
  <w:style w:type="character" w:customStyle="1" w:styleId="75">
    <w:name w:val="正文文本缩进 3 字符"/>
    <w:basedOn w:val="41"/>
    <w:link w:val="31"/>
    <w:semiHidden/>
    <w:qFormat/>
    <w:locked/>
    <w:uiPriority w:val="99"/>
    <w:rPr>
      <w:rFonts w:cs="Times New Roman"/>
      <w:sz w:val="16"/>
    </w:rPr>
  </w:style>
  <w:style w:type="character" w:customStyle="1" w:styleId="76">
    <w:name w:val="正文文本 2 字符"/>
    <w:basedOn w:val="41"/>
    <w:link w:val="33"/>
    <w:semiHidden/>
    <w:qFormat/>
    <w:locked/>
    <w:uiPriority w:val="99"/>
    <w:rPr>
      <w:rFonts w:cs="Times New Roman"/>
      <w:sz w:val="24"/>
    </w:rPr>
  </w:style>
  <w:style w:type="character" w:customStyle="1" w:styleId="77">
    <w:name w:val="批注主题 字符"/>
    <w:basedOn w:val="66"/>
    <w:link w:val="36"/>
    <w:semiHidden/>
    <w:qFormat/>
    <w:locked/>
    <w:uiPriority w:val="99"/>
    <w:rPr>
      <w:rFonts w:cs="Times New Roman"/>
      <w:b/>
      <w:kern w:val="2"/>
      <w:sz w:val="24"/>
    </w:rPr>
  </w:style>
  <w:style w:type="character" w:customStyle="1" w:styleId="78">
    <w:name w:val="正文文本首行缩进 字符"/>
    <w:basedOn w:val="67"/>
    <w:link w:val="37"/>
    <w:qFormat/>
    <w:locked/>
    <w:uiPriority w:val="99"/>
    <w:rPr>
      <w:rFonts w:cs="Times New Roman"/>
      <w:kern w:val="2"/>
      <w:sz w:val="24"/>
    </w:rPr>
  </w:style>
  <w:style w:type="character" w:customStyle="1" w:styleId="79">
    <w:name w:val="样式 标书正文 + 下划线 Char"/>
    <w:qFormat/>
    <w:uiPriority w:val="99"/>
    <w:rPr>
      <w:rFonts w:eastAsia="楷体_GB2312"/>
      <w:kern w:val="2"/>
      <w:sz w:val="28"/>
      <w:u w:val="single"/>
      <w:lang w:val="en-US" w:eastAsia="zh-CN"/>
    </w:rPr>
  </w:style>
  <w:style w:type="paragraph" w:customStyle="1" w:styleId="80">
    <w:name w:val="1.1.1.1"/>
    <w:basedOn w:val="1"/>
    <w:qFormat/>
    <w:uiPriority w:val="99"/>
    <w:pPr>
      <w:tabs>
        <w:tab w:val="left" w:pos="26875"/>
      </w:tabs>
      <w:autoSpaceDE w:val="0"/>
      <w:autoSpaceDN w:val="0"/>
      <w:adjustRightInd w:val="0"/>
      <w:spacing w:before="60" w:after="60" w:line="360" w:lineRule="atLeast"/>
      <w:ind w:left="1134" w:hanging="1134"/>
    </w:pPr>
    <w:rPr>
      <w:rFonts w:ascii="宋体" w:cs="宋体"/>
      <w:kern w:val="0"/>
      <w:sz w:val="24"/>
      <w:szCs w:val="24"/>
    </w:rPr>
  </w:style>
  <w:style w:type="paragraph" w:customStyle="1" w:styleId="81">
    <w:name w:val="Char Char Char Char"/>
    <w:basedOn w:val="1"/>
    <w:qFormat/>
    <w:uiPriority w:val="99"/>
    <w:rPr>
      <w:rFonts w:ascii="Tahoma" w:hAnsi="Tahoma" w:cs="Tahoma"/>
      <w:sz w:val="24"/>
      <w:szCs w:val="24"/>
    </w:rPr>
  </w:style>
  <w:style w:type="paragraph" w:customStyle="1" w:styleId="82">
    <w:name w:val="item1.1"/>
    <w:basedOn w:val="1"/>
    <w:qFormat/>
    <w:uiPriority w:val="99"/>
    <w:pPr>
      <w:adjustRightInd w:val="0"/>
      <w:spacing w:line="480" w:lineRule="exact"/>
      <w:textAlignment w:val="baseline"/>
    </w:pPr>
    <w:rPr>
      <w:rFonts w:ascii="宋体" w:cs="宋体"/>
      <w:sz w:val="28"/>
      <w:szCs w:val="28"/>
    </w:rPr>
  </w:style>
  <w:style w:type="paragraph" w:customStyle="1" w:styleId="83">
    <w:name w:val="Char Char1 Char"/>
    <w:basedOn w:val="1"/>
    <w:qFormat/>
    <w:uiPriority w:val="99"/>
    <w:rPr>
      <w:rFonts w:ascii="Tahoma" w:hAnsi="Tahoma" w:cs="Tahoma"/>
      <w:sz w:val="24"/>
      <w:szCs w:val="24"/>
    </w:rPr>
  </w:style>
  <w:style w:type="paragraph" w:customStyle="1" w:styleId="84">
    <w:name w:val="样式 标题 2 + Times New Roman 四号 非加粗 段前: 5 磅 段后: 0 磅 行距: 固定值 20..."/>
    <w:basedOn w:val="7"/>
    <w:qFormat/>
    <w:uiPriority w:val="99"/>
    <w:pPr>
      <w:adjustRightInd/>
      <w:spacing w:before="100" w:after="0" w:line="400" w:lineRule="exact"/>
      <w:ind w:left="0" w:firstLine="0"/>
      <w:textAlignment w:val="auto"/>
    </w:pPr>
    <w:rPr>
      <w:rFonts w:ascii="Times New Roman" w:hAnsi="Times New Roman"/>
      <w:kern w:val="2"/>
    </w:rPr>
  </w:style>
  <w:style w:type="paragraph" w:customStyle="1" w:styleId="85">
    <w:name w:val="Char"/>
    <w:basedOn w:val="1"/>
    <w:semiHidden/>
    <w:qFormat/>
    <w:uiPriority w:val="99"/>
    <w:pPr>
      <w:widowControl/>
      <w:spacing w:after="160" w:line="240" w:lineRule="exact"/>
      <w:jc w:val="left"/>
    </w:pPr>
    <w:rPr>
      <w:rFonts w:ascii="Arial" w:hAnsi="Arial" w:cs="Arial"/>
      <w:kern w:val="0"/>
      <w:sz w:val="22"/>
      <w:szCs w:val="22"/>
      <w:lang w:eastAsia="en-US"/>
    </w:rPr>
  </w:style>
  <w:style w:type="paragraph" w:customStyle="1" w:styleId="86">
    <w:name w:val="1.1.1.1A-1"/>
    <w:basedOn w:val="87"/>
    <w:qFormat/>
    <w:uiPriority w:val="99"/>
    <w:pPr>
      <w:tabs>
        <w:tab w:val="left" w:pos="1843"/>
        <w:tab w:val="left" w:pos="1985"/>
      </w:tabs>
      <w:ind w:left="1985" w:hanging="425"/>
    </w:pPr>
  </w:style>
  <w:style w:type="paragraph" w:customStyle="1" w:styleId="87">
    <w:name w:val="1.1.1.1A"/>
    <w:basedOn w:val="80"/>
    <w:qFormat/>
    <w:uiPriority w:val="99"/>
    <w:pPr>
      <w:tabs>
        <w:tab w:val="left" w:pos="1843"/>
        <w:tab w:val="clear" w:pos="26875"/>
      </w:tabs>
      <w:ind w:left="1560" w:hanging="426"/>
    </w:pPr>
  </w:style>
  <w:style w:type="paragraph" w:customStyle="1" w:styleId="88">
    <w:name w:val="标书正文"/>
    <w:basedOn w:val="1"/>
    <w:qFormat/>
    <w:uiPriority w:val="99"/>
    <w:pPr>
      <w:tabs>
        <w:tab w:val="left" w:pos="600"/>
      </w:tabs>
      <w:snapToGrid w:val="0"/>
      <w:spacing w:line="480" w:lineRule="atLeast"/>
      <w:ind w:firstLine="480" w:firstLineChars="200"/>
    </w:pPr>
    <w:rPr>
      <w:color w:val="000000"/>
      <w:sz w:val="24"/>
      <w:szCs w:val="24"/>
    </w:rPr>
  </w:style>
  <w:style w:type="paragraph" w:customStyle="1" w:styleId="89">
    <w:name w:val="Char1"/>
    <w:basedOn w:val="1"/>
    <w:qFormat/>
    <w:uiPriority w:val="99"/>
    <w:rPr>
      <w:rFonts w:ascii="Tahoma" w:hAnsi="Tahoma" w:cs="Tahoma"/>
      <w:sz w:val="24"/>
      <w:szCs w:val="24"/>
    </w:rPr>
  </w:style>
  <w:style w:type="paragraph" w:customStyle="1" w:styleId="90">
    <w:name w:val="样式3"/>
    <w:basedOn w:val="23"/>
    <w:qFormat/>
    <w:uiPriority w:val="99"/>
    <w:pPr>
      <w:adjustRightInd w:val="0"/>
      <w:spacing w:line="240" w:lineRule="atLeast"/>
      <w:textAlignment w:val="baseline"/>
      <w:outlineLvl w:val="0"/>
    </w:pPr>
    <w:rPr>
      <w:sz w:val="28"/>
      <w:szCs w:val="28"/>
    </w:rPr>
  </w:style>
  <w:style w:type="paragraph" w:customStyle="1" w:styleId="91">
    <w:name w:val="默认段落字体 Para Char Char Char Char"/>
    <w:basedOn w:val="1"/>
    <w:qFormat/>
    <w:uiPriority w:val="99"/>
    <w:pPr>
      <w:snapToGrid w:val="0"/>
      <w:spacing w:line="360" w:lineRule="auto"/>
      <w:ind w:firstLine="200" w:firstLineChars="200"/>
    </w:pPr>
  </w:style>
  <w:style w:type="paragraph" w:customStyle="1" w:styleId="92">
    <w:name w:val="cntrt"/>
    <w:basedOn w:val="1"/>
    <w:qFormat/>
    <w:uiPriority w:val="99"/>
    <w:pPr>
      <w:widowControl/>
      <w:jc w:val="left"/>
    </w:pPr>
    <w:rPr>
      <w:rFonts w:ascii="Arial" w:hAnsi="Arial" w:cs="Arial"/>
      <w:kern w:val="0"/>
      <w:sz w:val="20"/>
      <w:szCs w:val="20"/>
      <w:lang w:val="en-AU"/>
    </w:rPr>
  </w:style>
  <w:style w:type="character" w:customStyle="1" w:styleId="93">
    <w:name w:val="Default Char Char"/>
    <w:link w:val="3"/>
    <w:qFormat/>
    <w:locked/>
    <w:uiPriority w:val="99"/>
    <w:rPr>
      <w:rFonts w:ascii="宋体"/>
      <w:color w:val="000000"/>
      <w:sz w:val="22"/>
      <w:szCs w:val="22"/>
      <w:lang w:val="en-US" w:eastAsia="zh-CN" w:bidi="ar-SA"/>
    </w:rPr>
  </w:style>
  <w:style w:type="paragraph" w:customStyle="1" w:styleId="94">
    <w:name w:val="列出段落1"/>
    <w:basedOn w:val="1"/>
    <w:qFormat/>
    <w:uiPriority w:val="99"/>
    <w:pPr>
      <w:ind w:firstLine="420" w:firstLineChars="200"/>
    </w:pPr>
  </w:style>
  <w:style w:type="paragraph" w:customStyle="1" w:styleId="95">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styleId="96">
    <w:name w:val="List Paragraph"/>
    <w:basedOn w:val="1"/>
    <w:qFormat/>
    <w:uiPriority w:val="34"/>
    <w:pPr>
      <w:ind w:firstLine="420" w:firstLineChars="200"/>
    </w:pPr>
  </w:style>
  <w:style w:type="table" w:customStyle="1" w:styleId="97">
    <w:name w:val="Table Normal1"/>
    <w:qFormat/>
    <w:uiPriority w:val="99"/>
    <w:pPr>
      <w:widowControl w:val="0"/>
      <w:autoSpaceDE w:val="0"/>
      <w:autoSpaceDN w:val="0"/>
    </w:pPr>
    <w:rPr>
      <w:rFonts w:cs="Calibri"/>
      <w:sz w:val="22"/>
      <w:szCs w:val="22"/>
      <w:lang w:eastAsia="en-US"/>
    </w:rPr>
    <w:tblPr>
      <w:tblCellMar>
        <w:top w:w="0" w:type="dxa"/>
        <w:left w:w="0" w:type="dxa"/>
        <w:bottom w:w="0" w:type="dxa"/>
        <w:right w:w="0" w:type="dxa"/>
      </w:tblCellMar>
    </w:tblPr>
  </w:style>
  <w:style w:type="paragraph" w:customStyle="1" w:styleId="98">
    <w:name w:val="Table Paragraph"/>
    <w:basedOn w:val="1"/>
    <w:qFormat/>
    <w:uiPriority w:val="99"/>
    <w:pPr>
      <w:autoSpaceDE w:val="0"/>
      <w:autoSpaceDN w:val="0"/>
      <w:jc w:val="left"/>
    </w:pPr>
    <w:rPr>
      <w:rFonts w:ascii="宋体" w:hAnsi="宋体" w:cs="宋体"/>
      <w:kern w:val="0"/>
      <w:sz w:val="22"/>
      <w:szCs w:val="22"/>
      <w:lang w:eastAsia="en-US"/>
    </w:rPr>
  </w:style>
  <w:style w:type="character" w:customStyle="1" w:styleId="99">
    <w:name w:val="t-tree-icon"/>
    <w:basedOn w:val="41"/>
    <w:qFormat/>
    <w:uiPriority w:val="99"/>
    <w:rPr>
      <w:rFonts w:cs="Times New Roman"/>
    </w:rPr>
  </w:style>
  <w:style w:type="character" w:customStyle="1" w:styleId="100">
    <w:name w:val="t-tree-expanded"/>
    <w:basedOn w:val="41"/>
    <w:qFormat/>
    <w:uiPriority w:val="99"/>
    <w:rPr>
      <w:rFonts w:cs="Times New Roman"/>
    </w:rPr>
  </w:style>
  <w:style w:type="character" w:customStyle="1" w:styleId="101">
    <w:name w:val="t-exception-class-name"/>
    <w:qFormat/>
    <w:uiPriority w:val="99"/>
    <w:rPr>
      <w:b/>
      <w:color w:val="0000FF"/>
      <w:sz w:val="24"/>
      <w:shd w:val="clear" w:color="auto" w:fill="auto"/>
    </w:rPr>
  </w:style>
  <w:style w:type="character" w:customStyle="1" w:styleId="102">
    <w:name w:val="t-exception-stack-controls"/>
    <w:basedOn w:val="41"/>
    <w:qFormat/>
    <w:uiPriority w:val="99"/>
    <w:rPr>
      <w:rFonts w:cs="Times New Roman"/>
    </w:rPr>
  </w:style>
  <w:style w:type="character" w:customStyle="1" w:styleId="103">
    <w:name w:val="current"/>
    <w:qFormat/>
    <w:uiPriority w:val="99"/>
    <w:rPr>
      <w:color w:val="FFFFFF"/>
      <w:sz w:val="27"/>
      <w:u w:val="none"/>
      <w:bdr w:val="single" w:color="C0C0C0" w:sz="6" w:space="0"/>
      <w:shd w:val="clear" w:color="auto" w:fill="auto"/>
    </w:rPr>
  </w:style>
  <w:style w:type="character" w:customStyle="1" w:styleId="104">
    <w:name w:val="t-render-object-error"/>
    <w:qFormat/>
    <w:uiPriority w:val="99"/>
    <w:rPr>
      <w:b/>
      <w:i/>
      <w:color w:val="FF0000"/>
    </w:rPr>
  </w:style>
  <w:style w:type="character" w:customStyle="1" w:styleId="105">
    <w:name w:val="t-ajax-wait"/>
    <w:basedOn w:val="41"/>
    <w:qFormat/>
    <w:uiPriority w:val="99"/>
    <w:rPr>
      <w:rFonts w:cs="Times New Roman"/>
    </w:rPr>
  </w:style>
  <w:style w:type="character" w:customStyle="1" w:styleId="106">
    <w:name w:val="hover13"/>
    <w:qFormat/>
    <w:uiPriority w:val="99"/>
    <w:rPr>
      <w:sz w:val="21"/>
    </w:rPr>
  </w:style>
  <w:style w:type="character" w:customStyle="1" w:styleId="107">
    <w:name w:val="hover14"/>
    <w:qFormat/>
    <w:uiPriority w:val="99"/>
    <w:rPr>
      <w:color w:val="FFFFFF"/>
      <w:shd w:val="clear" w:color="auto" w:fill="auto"/>
    </w:rPr>
  </w:style>
  <w:style w:type="character" w:customStyle="1" w:styleId="108">
    <w:name w:val="hover15"/>
    <w:qFormat/>
    <w:uiPriority w:val="99"/>
    <w:rPr>
      <w:color w:val="FFFFFF"/>
      <w:shd w:val="clear" w:color="auto" w:fill="auto"/>
    </w:rPr>
  </w:style>
  <w:style w:type="character" w:customStyle="1" w:styleId="109">
    <w:name w:val="mark"/>
    <w:basedOn w:val="41"/>
    <w:qFormat/>
    <w:uiPriority w:val="99"/>
    <w:rPr>
      <w:rFonts w:cs="Times New Roman"/>
    </w:rPr>
  </w:style>
  <w:style w:type="paragraph" w:customStyle="1" w:styleId="110">
    <w:name w:val="font5"/>
    <w:basedOn w:val="1"/>
    <w:qFormat/>
    <w:uiPriority w:val="99"/>
    <w:pPr>
      <w:widowControl/>
      <w:spacing w:before="100" w:beforeAutospacing="1" w:after="100" w:afterAutospacing="1"/>
      <w:jc w:val="left"/>
    </w:pPr>
    <w:rPr>
      <w:rFonts w:ascii="微软雅黑" w:hAnsi="微软雅黑" w:eastAsia="微软雅黑" w:cs="微软雅黑"/>
      <w:color w:val="000000"/>
      <w:kern w:val="0"/>
      <w:sz w:val="24"/>
      <w:szCs w:val="24"/>
    </w:rPr>
  </w:style>
  <w:style w:type="paragraph" w:customStyle="1" w:styleId="111">
    <w:name w:val="font6"/>
    <w:basedOn w:val="1"/>
    <w:qFormat/>
    <w:uiPriority w:val="99"/>
    <w:pPr>
      <w:widowControl/>
      <w:spacing w:before="100" w:beforeAutospacing="1" w:after="100" w:afterAutospacing="1"/>
      <w:jc w:val="left"/>
    </w:pPr>
    <w:rPr>
      <w:rFonts w:ascii="微软雅黑" w:hAnsi="微软雅黑" w:eastAsia="微软雅黑" w:cs="微软雅黑"/>
      <w:color w:val="000000"/>
      <w:kern w:val="0"/>
      <w:sz w:val="24"/>
      <w:szCs w:val="24"/>
    </w:rPr>
  </w:style>
  <w:style w:type="paragraph" w:customStyle="1" w:styleId="112">
    <w:name w:val="font7"/>
    <w:basedOn w:val="1"/>
    <w:qFormat/>
    <w:uiPriority w:val="99"/>
    <w:pPr>
      <w:widowControl/>
      <w:spacing w:before="100" w:beforeAutospacing="1" w:after="100" w:afterAutospacing="1"/>
      <w:jc w:val="left"/>
    </w:pPr>
    <w:rPr>
      <w:rFonts w:ascii="Arial" w:hAnsi="Arial" w:cs="Arial"/>
      <w:color w:val="000000"/>
      <w:kern w:val="0"/>
    </w:rPr>
  </w:style>
  <w:style w:type="paragraph" w:customStyle="1" w:styleId="113">
    <w:name w:val="font8"/>
    <w:basedOn w:val="1"/>
    <w:qFormat/>
    <w:uiPriority w:val="99"/>
    <w:pPr>
      <w:widowControl/>
      <w:spacing w:before="100" w:beforeAutospacing="1" w:after="100" w:afterAutospacing="1"/>
      <w:jc w:val="left"/>
    </w:pPr>
    <w:rPr>
      <w:rFonts w:ascii="宋体" w:hAnsi="宋体" w:cs="宋体"/>
      <w:color w:val="000000"/>
      <w:kern w:val="0"/>
    </w:rPr>
  </w:style>
  <w:style w:type="paragraph" w:customStyle="1" w:styleId="114">
    <w:name w:val="font9"/>
    <w:basedOn w:val="1"/>
    <w:qFormat/>
    <w:uiPriority w:val="99"/>
    <w:pPr>
      <w:widowControl/>
      <w:spacing w:before="100" w:beforeAutospacing="1" w:after="100" w:afterAutospacing="1"/>
      <w:jc w:val="left"/>
    </w:pPr>
    <w:rPr>
      <w:rFonts w:ascii="Arial" w:hAnsi="Arial" w:cs="Arial"/>
      <w:color w:val="000000"/>
      <w:kern w:val="0"/>
    </w:rPr>
  </w:style>
  <w:style w:type="paragraph" w:customStyle="1" w:styleId="115">
    <w:name w:val="font10"/>
    <w:basedOn w:val="1"/>
    <w:qFormat/>
    <w:uiPriority w:val="99"/>
    <w:pPr>
      <w:widowControl/>
      <w:spacing w:before="100" w:beforeAutospacing="1" w:after="100" w:afterAutospacing="1"/>
      <w:jc w:val="left"/>
    </w:pPr>
    <w:rPr>
      <w:rFonts w:ascii="微软雅黑" w:hAnsi="微软雅黑" w:eastAsia="微软雅黑" w:cs="微软雅黑"/>
      <w:color w:val="000000"/>
      <w:kern w:val="0"/>
      <w:sz w:val="22"/>
      <w:szCs w:val="22"/>
    </w:rPr>
  </w:style>
  <w:style w:type="paragraph" w:customStyle="1" w:styleId="116">
    <w:name w:val="font11"/>
    <w:basedOn w:val="1"/>
    <w:qFormat/>
    <w:uiPriority w:val="99"/>
    <w:pPr>
      <w:widowControl/>
      <w:spacing w:before="100" w:beforeAutospacing="1" w:after="100" w:afterAutospacing="1"/>
      <w:jc w:val="left"/>
    </w:pPr>
    <w:rPr>
      <w:rFonts w:ascii="微软雅黑" w:hAnsi="微软雅黑" w:eastAsia="微软雅黑" w:cs="微软雅黑"/>
      <w:color w:val="000000"/>
      <w:kern w:val="0"/>
      <w:sz w:val="20"/>
      <w:szCs w:val="20"/>
    </w:rPr>
  </w:style>
  <w:style w:type="paragraph" w:customStyle="1" w:styleId="117">
    <w:name w:val="xl66"/>
    <w:basedOn w:val="1"/>
    <w:qFormat/>
    <w:uiPriority w:val="99"/>
    <w:pPr>
      <w:widowControl/>
      <w:spacing w:before="100" w:beforeAutospacing="1" w:after="100" w:afterAutospacing="1"/>
      <w:jc w:val="center"/>
      <w:textAlignment w:val="center"/>
    </w:pPr>
    <w:rPr>
      <w:rFonts w:ascii="微软雅黑" w:hAnsi="微软雅黑" w:eastAsia="微软雅黑" w:cs="微软雅黑"/>
      <w:color w:val="000000"/>
      <w:kern w:val="0"/>
      <w:sz w:val="24"/>
      <w:szCs w:val="24"/>
    </w:rPr>
  </w:style>
  <w:style w:type="paragraph" w:customStyle="1" w:styleId="118">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color w:val="000000"/>
      <w:kern w:val="0"/>
      <w:sz w:val="24"/>
      <w:szCs w:val="24"/>
    </w:rPr>
  </w:style>
  <w:style w:type="paragraph" w:customStyle="1" w:styleId="11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b/>
      <w:bCs/>
      <w:kern w:val="0"/>
      <w:sz w:val="24"/>
      <w:szCs w:val="24"/>
    </w:rPr>
  </w:style>
  <w:style w:type="paragraph" w:customStyle="1" w:styleId="120">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color w:val="000000"/>
      <w:kern w:val="0"/>
      <w:sz w:val="24"/>
      <w:szCs w:val="24"/>
    </w:rPr>
  </w:style>
  <w:style w:type="paragraph" w:customStyle="1" w:styleId="12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2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color w:val="000000"/>
      <w:kern w:val="0"/>
      <w:sz w:val="24"/>
      <w:szCs w:val="24"/>
    </w:rPr>
  </w:style>
  <w:style w:type="paragraph" w:customStyle="1" w:styleId="12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微软雅黑"/>
      <w:kern w:val="0"/>
      <w:sz w:val="22"/>
      <w:szCs w:val="22"/>
    </w:rPr>
  </w:style>
  <w:style w:type="paragraph" w:customStyle="1" w:styleId="124">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color w:val="000000"/>
      <w:kern w:val="0"/>
      <w:sz w:val="24"/>
      <w:szCs w:val="24"/>
    </w:rPr>
  </w:style>
  <w:style w:type="paragraph" w:customStyle="1" w:styleId="125">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color w:val="000000"/>
      <w:kern w:val="0"/>
      <w:sz w:val="24"/>
      <w:szCs w:val="24"/>
    </w:rPr>
  </w:style>
  <w:style w:type="paragraph" w:customStyle="1" w:styleId="12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kern w:val="0"/>
      <w:sz w:val="24"/>
      <w:szCs w:val="24"/>
    </w:rPr>
  </w:style>
  <w:style w:type="paragraph" w:customStyle="1" w:styleId="127">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b/>
      <w:bCs/>
      <w:color w:val="FF0000"/>
      <w:kern w:val="0"/>
      <w:sz w:val="24"/>
      <w:szCs w:val="24"/>
    </w:rPr>
  </w:style>
  <w:style w:type="paragraph" w:customStyle="1" w:styleId="128">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color w:val="000000"/>
      <w:kern w:val="0"/>
      <w:sz w:val="24"/>
      <w:szCs w:val="24"/>
    </w:rPr>
  </w:style>
  <w:style w:type="paragraph" w:customStyle="1" w:styleId="129">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3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kern w:val="0"/>
      <w:sz w:val="22"/>
      <w:szCs w:val="22"/>
    </w:rPr>
  </w:style>
  <w:style w:type="paragraph" w:customStyle="1" w:styleId="131">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b/>
      <w:bCs/>
      <w:color w:val="000000"/>
      <w:kern w:val="0"/>
      <w:sz w:val="24"/>
      <w:szCs w:val="24"/>
    </w:rPr>
  </w:style>
  <w:style w:type="paragraph" w:customStyle="1" w:styleId="132">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微软雅黑"/>
      <w:color w:val="000000"/>
      <w:kern w:val="0"/>
      <w:sz w:val="28"/>
      <w:szCs w:val="28"/>
    </w:rPr>
  </w:style>
  <w:style w:type="paragraph" w:customStyle="1" w:styleId="133">
    <w:name w:val="List Paragraph1"/>
    <w:basedOn w:val="1"/>
    <w:qFormat/>
    <w:uiPriority w:val="99"/>
    <w:pPr>
      <w:ind w:firstLine="420" w:firstLineChars="200"/>
    </w:pPr>
    <w:rPr>
      <w:rFonts w:ascii="Calibri" w:hAnsi="Calibri" w:cs="Calibri"/>
    </w:rPr>
  </w:style>
  <w:style w:type="character" w:customStyle="1" w:styleId="134">
    <w:name w:val="NormalCharacter"/>
    <w:qFormat/>
    <w:uiPriority w:val="99"/>
    <w:rPr>
      <w:rFonts w:ascii="Times New Roman" w:hAnsi="Times New Roman"/>
    </w:rPr>
  </w:style>
  <w:style w:type="character" w:customStyle="1" w:styleId="135">
    <w:name w:val="Anrede1IhrZeichen"/>
    <w:basedOn w:val="41"/>
    <w:qFormat/>
    <w:uiPriority w:val="99"/>
    <w:rPr>
      <w:rFonts w:ascii="Arial" w:hAnsi="Arial" w:cs="Arial"/>
      <w:sz w:val="20"/>
      <w:szCs w:val="20"/>
    </w:rPr>
  </w:style>
  <w:style w:type="character" w:customStyle="1" w:styleId="136">
    <w:name w:val="正文文本首行缩进 2 字符"/>
    <w:basedOn w:val="68"/>
    <w:link w:val="38"/>
    <w:qFormat/>
    <w:uiPriority w:val="99"/>
    <w:rPr>
      <w:rFonts w:ascii="Calibri" w:hAnsi="Calibri" w:cs="Times New Roman"/>
      <w:kern w:val="2"/>
      <w:sz w:val="21"/>
      <w:szCs w:val="22"/>
    </w:rPr>
  </w:style>
  <w:style w:type="table" w:customStyle="1" w:styleId="137">
    <w:name w:val="网格型1"/>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8">
    <w:name w:val="洛阳正骨正文YG 字符"/>
    <w:link w:val="139"/>
    <w:qFormat/>
    <w:uiPriority w:val="0"/>
    <w:rPr>
      <w:rFonts w:ascii="宋体" w:hAnsi="宋体"/>
      <w:sz w:val="24"/>
      <w:szCs w:val="24"/>
    </w:rPr>
  </w:style>
  <w:style w:type="paragraph" w:customStyle="1" w:styleId="139">
    <w:name w:val="洛阳正骨正文YG"/>
    <w:basedOn w:val="1"/>
    <w:link w:val="138"/>
    <w:qFormat/>
    <w:uiPriority w:val="0"/>
    <w:pPr>
      <w:spacing w:beforeLines="15" w:afterLines="15" w:line="360" w:lineRule="auto"/>
      <w:ind w:firstLine="200" w:firstLineChars="200"/>
    </w:pPr>
    <w:rPr>
      <w:rFonts w:ascii="宋体" w:hAnsi="宋体"/>
      <w:kern w:val="0"/>
      <w:sz w:val="24"/>
      <w:szCs w:val="24"/>
    </w:rPr>
  </w:style>
  <w:style w:type="character" w:customStyle="1" w:styleId="140">
    <w:name w:val="标题 1 Char1"/>
    <w:basedOn w:val="41"/>
    <w:qFormat/>
    <w:uiPriority w:val="0"/>
    <w:rPr>
      <w:b/>
      <w:bCs/>
      <w:kern w:val="44"/>
      <w:sz w:val="44"/>
      <w:szCs w:val="44"/>
    </w:rPr>
  </w:style>
  <w:style w:type="character" w:customStyle="1" w:styleId="141">
    <w:name w:val="_正文段落 Char"/>
    <w:link w:val="142"/>
    <w:qFormat/>
    <w:uiPriority w:val="0"/>
    <w:rPr>
      <w:rFonts w:ascii="宋体" w:hAnsi="Courier New"/>
      <w:sz w:val="24"/>
      <w:szCs w:val="32"/>
    </w:rPr>
  </w:style>
  <w:style w:type="paragraph" w:customStyle="1" w:styleId="142">
    <w:name w:val="_正文段落"/>
    <w:basedOn w:val="1"/>
    <w:next w:val="1"/>
    <w:link w:val="141"/>
    <w:qFormat/>
    <w:uiPriority w:val="0"/>
    <w:pPr>
      <w:widowControl/>
      <w:spacing w:beforeLines="15" w:afterLines="30" w:line="360" w:lineRule="auto"/>
      <w:ind w:firstLine="200" w:firstLineChars="200"/>
    </w:pPr>
    <w:rPr>
      <w:rFonts w:ascii="宋体" w:hAnsi="Courier New"/>
      <w:kern w:val="0"/>
      <w:sz w:val="24"/>
      <w:szCs w:val="32"/>
    </w:rPr>
  </w:style>
  <w:style w:type="character" w:customStyle="1" w:styleId="143">
    <w:name w:val="标题 3 Char1"/>
    <w:qFormat/>
    <w:uiPriority w:val="0"/>
    <w:rPr>
      <w:rFonts w:ascii="Calibri" w:hAnsi="Calibri" w:eastAsia="宋体" w:cs="Times New Roman"/>
      <w:b/>
      <w:bCs/>
      <w:kern w:val="2"/>
      <w:sz w:val="32"/>
      <w:szCs w:val="32"/>
    </w:rPr>
  </w:style>
  <w:style w:type="character" w:customStyle="1" w:styleId="144">
    <w:name w:val="标题 2 Char2"/>
    <w:basedOn w:val="41"/>
    <w:qFormat/>
    <w:uiPriority w:val="0"/>
    <w:rPr>
      <w:rFonts w:ascii="Cambria" w:hAnsi="Cambria" w:eastAsia="宋体" w:cs="Times New Roman"/>
      <w:b/>
      <w:bCs/>
      <w:kern w:val="2"/>
      <w:sz w:val="32"/>
      <w:szCs w:val="32"/>
    </w:rPr>
  </w:style>
  <w:style w:type="paragraph" w:customStyle="1" w:styleId="145">
    <w:name w:val="_Style 2155"/>
    <w:basedOn w:val="2"/>
    <w:next w:val="38"/>
    <w:qFormat/>
    <w:uiPriority w:val="0"/>
    <w:pPr>
      <w:widowControl/>
      <w:spacing w:line="360" w:lineRule="auto"/>
      <w:ind w:firstLine="200" w:firstLineChars="200"/>
      <w:jc w:val="left"/>
    </w:pPr>
    <w:rPr>
      <w:kern w:val="2"/>
      <w:szCs w:val="20"/>
    </w:rPr>
  </w:style>
  <w:style w:type="paragraph" w:customStyle="1" w:styleId="146">
    <w:name w:val="表格段落"/>
    <w:basedOn w:val="1"/>
    <w:next w:val="96"/>
    <w:qFormat/>
    <w:uiPriority w:val="99"/>
    <w:pPr>
      <w:widowControl/>
      <w:ind w:firstLine="420" w:firstLineChars="200"/>
      <w:jc w:val="left"/>
    </w:pPr>
    <w:rPr>
      <w:rFonts w:ascii="Calibri" w:hAnsi="Calibri" w:cs="宋体"/>
      <w:kern w:val="0"/>
      <w:sz w:val="24"/>
      <w:szCs w:val="22"/>
    </w:rPr>
  </w:style>
  <w:style w:type="paragraph" w:customStyle="1" w:styleId="147">
    <w:name w:val="自定义项目编号1"/>
    <w:basedOn w:val="1"/>
    <w:qFormat/>
    <w:uiPriority w:val="0"/>
    <w:pPr>
      <w:numPr>
        <w:ilvl w:val="0"/>
        <w:numId w:val="2"/>
      </w:numPr>
      <w:tabs>
        <w:tab w:val="left" w:pos="420"/>
      </w:tabs>
      <w:spacing w:after="156"/>
    </w:pPr>
    <w:rPr>
      <w:rFonts w:ascii="Arial" w:hAnsi="Arial"/>
      <w:sz w:val="24"/>
      <w:szCs w:val="20"/>
    </w:rPr>
  </w:style>
  <w:style w:type="paragraph" w:customStyle="1" w:styleId="148">
    <w:name w:val="样式 标题 5 + (中文) 宋体"/>
    <w:basedOn w:val="10"/>
    <w:qFormat/>
    <w:uiPriority w:val="0"/>
    <w:pPr>
      <w:keepNext w:val="0"/>
      <w:keepLines w:val="0"/>
      <w:widowControl/>
      <w:numPr>
        <w:ilvl w:val="4"/>
        <w:numId w:val="3"/>
      </w:numPr>
      <w:tabs>
        <w:tab w:val="left" w:pos="1008"/>
      </w:tabs>
      <w:adjustRightInd/>
      <w:spacing w:before="240" w:after="60" w:line="240" w:lineRule="auto"/>
      <w:textAlignment w:val="auto"/>
    </w:pPr>
    <w:rPr>
      <w:rFonts w:ascii="Arial" w:hAnsi="Arial"/>
      <w:bCs w:val="0"/>
      <w:sz w:val="21"/>
      <w:szCs w:val="21"/>
      <w:lang w:val="en-GB" w:eastAsia="en-US"/>
    </w:rPr>
  </w:style>
  <w:style w:type="character" w:customStyle="1" w:styleId="149">
    <w:name w:val="普通(网站) 字符"/>
    <w:basedOn w:val="41"/>
    <w:link w:val="35"/>
    <w:qFormat/>
    <w:uiPriority w:val="99"/>
    <w:rPr>
      <w:sz w:val="24"/>
      <w:szCs w:val="24"/>
    </w:rPr>
  </w:style>
  <w:style w:type="paragraph" w:customStyle="1" w:styleId="150">
    <w:name w:val="标准正文样式"/>
    <w:basedOn w:val="1"/>
    <w:link w:val="151"/>
    <w:qFormat/>
    <w:uiPriority w:val="0"/>
    <w:pPr>
      <w:widowControl/>
      <w:spacing w:line="360" w:lineRule="auto"/>
      <w:ind w:firstLine="200" w:firstLineChars="200"/>
      <w:jc w:val="left"/>
    </w:pPr>
    <w:rPr>
      <w:sz w:val="24"/>
      <w:szCs w:val="20"/>
    </w:rPr>
  </w:style>
  <w:style w:type="character" w:customStyle="1" w:styleId="151">
    <w:name w:val="标准正文样式 Char"/>
    <w:basedOn w:val="41"/>
    <w:link w:val="150"/>
    <w:qFormat/>
    <w:uiPriority w:val="0"/>
    <w:rPr>
      <w:kern w:val="2"/>
      <w:sz w:val="24"/>
    </w:rPr>
  </w:style>
  <w:style w:type="paragraph" w:customStyle="1" w:styleId="152">
    <w:name w:val="TOC 标题1"/>
    <w:basedOn w:val="5"/>
    <w:next w:val="1"/>
    <w:semiHidden/>
    <w:unhideWhenUsed/>
    <w:qFormat/>
    <w:uiPriority w:val="39"/>
    <w:pPr>
      <w:widowControl/>
      <w:adjustRightInd/>
      <w:spacing w:before="480" w:after="0" w:line="276" w:lineRule="auto"/>
      <w:ind w:left="0" w:firstLine="0"/>
      <w:jc w:val="left"/>
      <w:textAlignment w:val="auto"/>
      <w:outlineLvl w:val="9"/>
    </w:pPr>
    <w:rPr>
      <w:rFonts w:ascii="Cambria" w:hAnsi="Cambria" w:eastAsia="宋体"/>
      <w:b/>
      <w:bCs/>
      <w:color w:val="365F91"/>
      <w:kern w:val="0"/>
      <w:sz w:val="28"/>
      <w:szCs w:val="28"/>
    </w:rPr>
  </w:style>
  <w:style w:type="character" w:customStyle="1" w:styleId="153">
    <w:name w:val="font41"/>
    <w:basedOn w:val="41"/>
    <w:qFormat/>
    <w:uiPriority w:val="0"/>
    <w:rPr>
      <w:rFonts w:hint="eastAsia" w:ascii="宋体" w:hAnsi="宋体" w:eastAsia="宋体" w:cs="宋体"/>
      <w:color w:val="000000"/>
      <w:sz w:val="24"/>
      <w:szCs w:val="24"/>
      <w:u w:val="none"/>
    </w:rPr>
  </w:style>
  <w:style w:type="character" w:customStyle="1" w:styleId="154">
    <w:name w:val="font51"/>
    <w:basedOn w:val="41"/>
    <w:qFormat/>
    <w:uiPriority w:val="0"/>
    <w:rPr>
      <w:rFonts w:hint="eastAsia" w:ascii="宋体" w:hAnsi="宋体" w:eastAsia="宋体" w:cs="宋体"/>
      <w:color w:val="000000"/>
      <w:sz w:val="21"/>
      <w:szCs w:val="21"/>
      <w:u w:val="none"/>
    </w:rPr>
  </w:style>
  <w:style w:type="paragraph" w:customStyle="1" w:styleId="155">
    <w:name w:val="修订1"/>
    <w:hidden/>
    <w:unhideWhenUsed/>
    <w:qFormat/>
    <w:uiPriority w:val="99"/>
    <w:rPr>
      <w:rFonts w:ascii="Times New Roman" w:hAnsi="Times New Roman" w:eastAsia="宋体" w:cs="Times New Roman"/>
      <w:kern w:val="2"/>
      <w:sz w:val="21"/>
      <w:szCs w:val="21"/>
      <w:lang w:val="en-US" w:eastAsia="zh-CN" w:bidi="ar-SA"/>
    </w:rPr>
  </w:style>
  <w:style w:type="character" w:customStyle="1" w:styleId="156">
    <w:name w:val="hover"/>
    <w:basedOn w:val="41"/>
    <w:qFormat/>
    <w:uiPriority w:val="0"/>
  </w:style>
  <w:style w:type="character" w:customStyle="1" w:styleId="157">
    <w:name w:val="hover1"/>
    <w:basedOn w:val="41"/>
    <w:qFormat/>
    <w:uiPriority w:val="0"/>
    <w:rPr>
      <w:color w:val="2590EB"/>
    </w:rPr>
  </w:style>
  <w:style w:type="character" w:customStyle="1" w:styleId="158">
    <w:name w:val="hover2"/>
    <w:basedOn w:val="41"/>
    <w:qFormat/>
    <w:uiPriority w:val="0"/>
    <w:rPr>
      <w:color w:val="2590EB"/>
    </w:rPr>
  </w:style>
  <w:style w:type="character" w:customStyle="1" w:styleId="159">
    <w:name w:val="hover3"/>
    <w:basedOn w:val="41"/>
    <w:qFormat/>
    <w:uiPriority w:val="0"/>
    <w:rPr>
      <w:color w:val="2590EB"/>
      <w:shd w:val="clear" w:color="auto" w:fill="E9F4FD"/>
    </w:rPr>
  </w:style>
  <w:style w:type="character" w:customStyle="1" w:styleId="160">
    <w:name w:val="批注文字 字符1"/>
    <w:basedOn w:val="41"/>
    <w:qFormat/>
    <w:uiPriority w:val="99"/>
    <w:rPr>
      <w:rFonts w:asciiTheme="minorHAnsi" w:hAnsiTheme="minorHAnsi" w:eastAsiaTheme="minorEastAsia" w:cstheme="minorBidi"/>
      <w:kern w:val="2"/>
      <w:sz w:val="21"/>
      <w:szCs w:val="22"/>
    </w:rPr>
  </w:style>
  <w:style w:type="paragraph" w:customStyle="1" w:styleId="161">
    <w:name w:val="修订2"/>
    <w:hidden/>
    <w:unhideWhenUsed/>
    <w:qFormat/>
    <w:uiPriority w:val="99"/>
    <w:rPr>
      <w:rFonts w:ascii="Times New Roman" w:hAnsi="Times New Roman" w:eastAsia="宋体" w:cs="Times New Roman"/>
      <w:kern w:val="2"/>
      <w:sz w:val="21"/>
      <w:szCs w:val="21"/>
      <w:lang w:val="en-US" w:eastAsia="zh-CN" w:bidi="ar-SA"/>
    </w:rPr>
  </w:style>
  <w:style w:type="character" w:customStyle="1" w:styleId="162">
    <w:name w:val="hover4"/>
    <w:basedOn w:val="41"/>
    <w:qFormat/>
    <w:uiPriority w:val="0"/>
    <w:rPr>
      <w:color w:val="2590EB"/>
    </w:rPr>
  </w:style>
  <w:style w:type="character" w:customStyle="1" w:styleId="163">
    <w:name w:val="nth-child(3)"/>
    <w:basedOn w:val="41"/>
    <w:qFormat/>
    <w:uiPriority w:val="0"/>
  </w:style>
  <w:style w:type="character" w:customStyle="1" w:styleId="164">
    <w:name w:val="layui-layer-tabnow"/>
    <w:basedOn w:val="41"/>
    <w:qFormat/>
    <w:uiPriority w:val="0"/>
    <w:rPr>
      <w:bdr w:val="single" w:color="CCCCCC" w:sz="6" w:space="0"/>
      <w:shd w:val="clear" w:fill="FFFFFF"/>
    </w:rPr>
  </w:style>
  <w:style w:type="character" w:customStyle="1" w:styleId="165">
    <w:name w:val="nth-child(2)"/>
    <w:basedOn w:val="41"/>
    <w:qFormat/>
    <w:uiPriority w:val="0"/>
  </w:style>
  <w:style w:type="character" w:customStyle="1" w:styleId="166">
    <w:name w:val="first-child"/>
    <w:basedOn w:val="41"/>
    <w:qFormat/>
    <w:uiPriority w:val="0"/>
  </w:style>
  <w:style w:type="character" w:customStyle="1" w:styleId="167">
    <w:name w:val="标题 2 Char Char"/>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6AB1-E516-493F-99EA-52752CAC6D60}">
  <ds:schemaRefs/>
</ds:datastoreItem>
</file>

<file path=docProps/app.xml><?xml version="1.0" encoding="utf-8"?>
<Properties xmlns="http://schemas.openxmlformats.org/officeDocument/2006/extended-properties" xmlns:vt="http://schemas.openxmlformats.org/officeDocument/2006/docPropsVTypes">
  <Template>Normal.dotm</Template>
  <Company>c</Company>
  <Pages>63</Pages>
  <Words>24662</Words>
  <Characters>27517</Characters>
  <Lines>215</Lines>
  <Paragraphs>60</Paragraphs>
  <TotalTime>6</TotalTime>
  <ScaleCrop>false</ScaleCrop>
  <LinksUpToDate>false</LinksUpToDate>
  <CharactersWithSpaces>28424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2022-07-21T08:35:00Z</dcterms:created>
  <dc:creator>20100314/sun</dc:creator>
  <cp:lastModifiedBy>艺术人生</cp:lastModifiedBy>
  <cp:lastPrinted>2020-07-03T02:27:00Z</cp:lastPrinted>
  <dcterms:modified xsi:type="dcterms:W3CDTF">2022-12-06T08:16:39Z</dcterms:modified>
  <dc:title>信息广场电梯</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95C3FCF314FB44E7B2473021C428A109</vt:lpwstr>
  </property>
</Properties>
</file>