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A72A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2024年4月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平顶山市湛河区政务服务和大数据管理局湛河区“互 联网</w:t>
      </w:r>
      <w:r>
        <w:rPr>
          <w:rFonts w:ascii="Calibri" w:hAnsi="Calibri" w:eastAsia="宋体" w:cs="Calibri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+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政务服务”平台功能模块建设项目运维服务项目</w:t>
      </w:r>
    </w:p>
    <w:p w14:paraId="7C6B4941"/>
    <w:p w14:paraId="6C5F69EC">
      <w:bookmarkStart w:id="0" w:name="_GoBack"/>
      <w:bookmarkEnd w:id="0"/>
    </w:p>
    <w:p w14:paraId="5796A95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2023年11月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1"/>
          <w:szCs w:val="31"/>
          <w:lang w:val="en-US" w:eastAsia="zh-CN" w:bidi="ar"/>
        </w:rPr>
        <w:t>平顶山市湛河区政务服务和大数据管理局数字湛河(二期)数字孪生城市建设项目</w:t>
      </w:r>
    </w:p>
    <w:p w14:paraId="0798C7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821D4"/>
    <w:rsid w:val="5B0B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2025-10-20T07:32:12Z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