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0463">
      <w:pPr>
        <w:jc w:val="center"/>
      </w:pPr>
      <w:bookmarkStart w:id="0" w:name="_GoBack"/>
      <w:r>
        <w:drawing>
          <wp:inline distT="0" distB="0" distL="114300" distR="114300">
            <wp:extent cx="4572000" cy="4105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13E669C9"/>
    <w:rsid w:val="176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2025-10-15T02:45:51Z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1BEDA4DB1BA14098913BBC5F00E7CACB_12</vt:lpwstr>
  </property>
</Properties>
</file>