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5030A5">
      <w:pPr>
        <w:spacing w:line="360" w:lineRule="auto"/>
        <w:rPr>
          <w:rFonts w:ascii="宋体" w:hAnsi="宋体"/>
          <w:b/>
          <w:color w:val="auto"/>
          <w:sz w:val="22"/>
          <w:szCs w:val="22"/>
          <w:highlight w:val="none"/>
        </w:rPr>
      </w:pPr>
    </w:p>
    <w:p w14:paraId="348BD812">
      <w:pPr>
        <w:spacing w:line="360" w:lineRule="auto"/>
        <w:jc w:val="center"/>
        <w:rPr>
          <w:rFonts w:ascii="宋体" w:hAnsi="宋体"/>
          <w:color w:val="auto"/>
          <w:spacing w:val="20"/>
          <w:sz w:val="2"/>
          <w:highlight w:val="none"/>
        </w:rPr>
      </w:pPr>
      <w:r>
        <w:rPr>
          <w:rFonts w:hint="eastAsia" w:hAnsi="宋体" w:cs="宋体"/>
          <w:b/>
          <w:bCs/>
          <w:color w:val="auto"/>
          <w:spacing w:val="0"/>
          <w:w w:val="100"/>
          <w:position w:val="0"/>
          <w:sz w:val="40"/>
          <w:szCs w:val="40"/>
          <w:highlight w:val="none"/>
          <w:shd w:val="clear" w:color="auto" w:fill="auto"/>
          <w:vertAlign w:val="baseline"/>
          <w:lang w:val="en-US" w:eastAsia="zh-CN" w:bidi="en-US"/>
        </w:rPr>
        <w:t>睢县妇幼保健院营养餐厅运营管理项目（三次）</w:t>
      </w:r>
    </w:p>
    <w:p w14:paraId="7DD27854">
      <w:pPr>
        <w:spacing w:line="360" w:lineRule="auto"/>
        <w:jc w:val="center"/>
        <w:rPr>
          <w:rFonts w:hint="eastAsia" w:ascii="宋体" w:hAnsi="宋体"/>
          <w:b/>
          <w:bCs/>
          <w:color w:val="auto"/>
          <w:spacing w:val="120"/>
          <w:sz w:val="84"/>
          <w:szCs w:val="84"/>
          <w:highlight w:val="none"/>
        </w:rPr>
      </w:pPr>
    </w:p>
    <w:p w14:paraId="16A9A692">
      <w:pPr>
        <w:spacing w:line="360" w:lineRule="auto"/>
        <w:jc w:val="center"/>
        <w:rPr>
          <w:rFonts w:ascii="宋体" w:hAnsi="宋体"/>
          <w:color w:val="auto"/>
          <w:spacing w:val="120"/>
          <w:sz w:val="84"/>
          <w:szCs w:val="84"/>
          <w:highlight w:val="none"/>
        </w:rPr>
      </w:pPr>
      <w:r>
        <w:rPr>
          <w:rFonts w:hint="eastAsia" w:ascii="宋体" w:hAnsi="宋体"/>
          <w:b/>
          <w:bCs/>
          <w:color w:val="auto"/>
          <w:spacing w:val="120"/>
          <w:sz w:val="84"/>
          <w:szCs w:val="84"/>
          <w:highlight w:val="none"/>
        </w:rPr>
        <w:t>磋商文件</w:t>
      </w:r>
    </w:p>
    <w:p w14:paraId="56A8F374">
      <w:pPr>
        <w:spacing w:line="360" w:lineRule="auto"/>
        <w:jc w:val="center"/>
        <w:rPr>
          <w:rFonts w:hint="eastAsia" w:ascii="宋体" w:hAnsi="宋体"/>
          <w:b/>
          <w:bCs/>
          <w:color w:val="auto"/>
          <w:sz w:val="28"/>
          <w:szCs w:val="18"/>
          <w:highlight w:val="none"/>
          <w:lang w:eastAsia="zh-CN"/>
        </w:rPr>
      </w:pPr>
    </w:p>
    <w:p w14:paraId="1DB2A78A">
      <w:pPr>
        <w:spacing w:line="360" w:lineRule="auto"/>
        <w:jc w:val="center"/>
        <w:rPr>
          <w:rFonts w:ascii="宋体" w:hAnsi="宋体"/>
          <w:color w:val="auto"/>
          <w:sz w:val="44"/>
          <w:highlight w:val="none"/>
        </w:rPr>
      </w:pPr>
      <w:r>
        <w:rPr>
          <w:rFonts w:hint="eastAsia" w:ascii="宋体" w:hAnsi="宋体"/>
          <w:b/>
          <w:bCs/>
          <w:color w:val="auto"/>
          <w:sz w:val="28"/>
          <w:szCs w:val="18"/>
          <w:highlight w:val="none"/>
          <w:lang w:eastAsia="zh-CN"/>
        </w:rPr>
        <w:t>采购项目编号：睢县财采磋-2025-57</w:t>
      </w:r>
    </w:p>
    <w:p w14:paraId="2EC5BB41">
      <w:pPr>
        <w:tabs>
          <w:tab w:val="left" w:pos="2835"/>
        </w:tabs>
        <w:spacing w:line="360" w:lineRule="auto"/>
        <w:jc w:val="center"/>
        <w:rPr>
          <w:rFonts w:ascii="宋体" w:hAnsi="宋体"/>
          <w:color w:val="auto"/>
          <w:sz w:val="28"/>
          <w:highlight w:val="none"/>
        </w:rPr>
      </w:pPr>
      <w:r>
        <w:rPr>
          <w:rFonts w:hint="eastAsia" w:ascii="宋体" w:hAnsi="宋体"/>
          <w:color w:val="auto"/>
          <w:sz w:val="44"/>
          <w:highlight w:val="none"/>
        </w:rPr>
        <w:drawing>
          <wp:anchor distT="0" distB="0" distL="114300" distR="114300" simplePos="0" relativeHeight="251659264" behindDoc="0" locked="0" layoutInCell="1" allowOverlap="1">
            <wp:simplePos x="0" y="0"/>
            <wp:positionH relativeFrom="column">
              <wp:posOffset>1122045</wp:posOffset>
            </wp:positionH>
            <wp:positionV relativeFrom="paragraph">
              <wp:posOffset>211455</wp:posOffset>
            </wp:positionV>
            <wp:extent cx="2973705" cy="2137410"/>
            <wp:effectExtent l="19050" t="0" r="0" b="0"/>
            <wp:wrapNone/>
            <wp:docPr id="2" name="Picture 2" descr="河南联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河南联达"/>
                    <pic:cNvPicPr>
                      <a:picLocks noChangeAspect="1" noChangeArrowheads="1"/>
                    </pic:cNvPicPr>
                  </pic:nvPicPr>
                  <pic:blipFill>
                    <a:blip r:embed="rId13" cstate="print"/>
                    <a:stretch>
                      <a:fillRect/>
                    </a:stretch>
                  </pic:blipFill>
                  <pic:spPr>
                    <a:xfrm>
                      <a:off x="0" y="0"/>
                      <a:ext cx="2977369" cy="2138289"/>
                    </a:xfrm>
                    <a:prstGeom prst="rect">
                      <a:avLst/>
                    </a:prstGeom>
                    <a:noFill/>
                    <a:ln w="9525">
                      <a:noFill/>
                      <a:miter lim="800000"/>
                      <a:headEnd/>
                      <a:tailEnd/>
                    </a:ln>
                  </pic:spPr>
                </pic:pic>
              </a:graphicData>
            </a:graphic>
          </wp:anchor>
        </w:drawing>
      </w:r>
    </w:p>
    <w:p w14:paraId="6BC28247">
      <w:pPr>
        <w:tabs>
          <w:tab w:val="left" w:pos="2835"/>
        </w:tabs>
        <w:spacing w:line="360" w:lineRule="auto"/>
        <w:jc w:val="center"/>
        <w:rPr>
          <w:rFonts w:ascii="宋体" w:hAnsi="宋体"/>
          <w:color w:val="auto"/>
          <w:sz w:val="28"/>
          <w:highlight w:val="none"/>
        </w:rPr>
      </w:pPr>
    </w:p>
    <w:p w14:paraId="661DE0BC">
      <w:pPr>
        <w:spacing w:line="360" w:lineRule="auto"/>
        <w:ind w:firstLine="1120" w:firstLineChars="350"/>
        <w:rPr>
          <w:rFonts w:ascii="宋体" w:hAnsi="宋体"/>
          <w:color w:val="auto"/>
          <w:sz w:val="32"/>
          <w:szCs w:val="36"/>
          <w:highlight w:val="none"/>
        </w:rPr>
      </w:pPr>
    </w:p>
    <w:p w14:paraId="022E73B1">
      <w:pPr>
        <w:spacing w:line="360" w:lineRule="auto"/>
        <w:ind w:firstLine="1120" w:firstLineChars="350"/>
        <w:rPr>
          <w:rFonts w:ascii="宋体" w:hAnsi="宋体"/>
          <w:color w:val="auto"/>
          <w:sz w:val="32"/>
          <w:szCs w:val="36"/>
          <w:highlight w:val="none"/>
        </w:rPr>
      </w:pPr>
    </w:p>
    <w:p w14:paraId="1C59F734">
      <w:pPr>
        <w:spacing w:line="360" w:lineRule="auto"/>
        <w:ind w:firstLine="1120" w:firstLineChars="350"/>
        <w:rPr>
          <w:rFonts w:ascii="宋体" w:hAnsi="宋体"/>
          <w:color w:val="auto"/>
          <w:sz w:val="32"/>
          <w:szCs w:val="36"/>
          <w:highlight w:val="none"/>
        </w:rPr>
      </w:pPr>
    </w:p>
    <w:p w14:paraId="4E34ACBA">
      <w:pPr>
        <w:spacing w:line="360" w:lineRule="auto"/>
        <w:ind w:firstLine="1124" w:firstLineChars="350"/>
        <w:rPr>
          <w:rFonts w:ascii="宋体" w:hAnsi="宋体"/>
          <w:b/>
          <w:color w:val="auto"/>
          <w:sz w:val="32"/>
          <w:szCs w:val="36"/>
          <w:highlight w:val="none"/>
        </w:rPr>
      </w:pPr>
    </w:p>
    <w:p w14:paraId="60295F61">
      <w:pPr>
        <w:spacing w:line="360" w:lineRule="auto"/>
        <w:rPr>
          <w:rFonts w:ascii="宋体" w:hAnsi="宋体"/>
          <w:b/>
          <w:color w:val="auto"/>
          <w:sz w:val="32"/>
          <w:szCs w:val="36"/>
          <w:highlight w:val="none"/>
        </w:rPr>
      </w:pPr>
    </w:p>
    <w:p w14:paraId="4DF91BEC">
      <w:pPr>
        <w:pStyle w:val="8"/>
        <w:rPr>
          <w:rFonts w:ascii="宋体" w:hAnsi="宋体"/>
          <w:b/>
          <w:color w:val="auto"/>
          <w:sz w:val="32"/>
          <w:szCs w:val="36"/>
          <w:highlight w:val="none"/>
        </w:rPr>
      </w:pPr>
    </w:p>
    <w:p w14:paraId="4400C79D">
      <w:pPr>
        <w:rPr>
          <w:color w:val="auto"/>
        </w:rPr>
      </w:pPr>
    </w:p>
    <w:p w14:paraId="77E60B5E">
      <w:pPr>
        <w:spacing w:line="360" w:lineRule="auto"/>
        <w:ind w:firstLine="1124" w:firstLineChars="350"/>
        <w:rPr>
          <w:rFonts w:ascii="宋体" w:hAnsi="宋体"/>
          <w:b/>
          <w:color w:val="auto"/>
          <w:sz w:val="32"/>
          <w:szCs w:val="36"/>
          <w:highlight w:val="none"/>
        </w:rPr>
      </w:pPr>
    </w:p>
    <w:p w14:paraId="09DF47C0">
      <w:pPr>
        <w:spacing w:line="360" w:lineRule="auto"/>
        <w:ind w:firstLine="1222" w:firstLineChars="350"/>
        <w:rPr>
          <w:rFonts w:ascii="宋体" w:hAnsi="宋体"/>
          <w:b/>
          <w:color w:val="auto"/>
          <w:spacing w:val="14"/>
          <w:sz w:val="32"/>
          <w:szCs w:val="36"/>
          <w:highlight w:val="none"/>
        </w:rPr>
      </w:pPr>
      <w:r>
        <w:rPr>
          <w:rFonts w:hint="eastAsia" w:ascii="宋体" w:hAnsi="宋体"/>
          <w:b/>
          <w:color w:val="auto"/>
          <w:spacing w:val="14"/>
          <w:sz w:val="32"/>
          <w:szCs w:val="36"/>
          <w:highlight w:val="none"/>
          <w:lang w:eastAsia="zh-CN"/>
        </w:rPr>
        <w:t>采</w:t>
      </w:r>
      <w:r>
        <w:rPr>
          <w:rFonts w:hint="eastAsia" w:ascii="宋体" w:hAnsi="宋体"/>
          <w:b/>
          <w:color w:val="auto"/>
          <w:spacing w:val="14"/>
          <w:sz w:val="32"/>
          <w:szCs w:val="36"/>
          <w:highlight w:val="none"/>
          <w:lang w:val="en-US" w:eastAsia="zh-CN"/>
        </w:rPr>
        <w:t xml:space="preserve"> </w:t>
      </w:r>
      <w:r>
        <w:rPr>
          <w:rFonts w:hint="eastAsia" w:ascii="宋体" w:hAnsi="宋体"/>
          <w:b/>
          <w:color w:val="auto"/>
          <w:spacing w:val="14"/>
          <w:sz w:val="32"/>
          <w:szCs w:val="36"/>
          <w:highlight w:val="none"/>
          <w:lang w:eastAsia="zh-CN"/>
        </w:rPr>
        <w:t>购</w:t>
      </w:r>
      <w:r>
        <w:rPr>
          <w:rFonts w:hint="eastAsia" w:ascii="宋体" w:hAnsi="宋体"/>
          <w:b/>
          <w:color w:val="auto"/>
          <w:spacing w:val="14"/>
          <w:sz w:val="32"/>
          <w:szCs w:val="36"/>
          <w:highlight w:val="none"/>
        </w:rPr>
        <w:t xml:space="preserve"> 人：</w:t>
      </w:r>
      <w:r>
        <w:rPr>
          <w:rFonts w:hint="eastAsia" w:ascii="宋体" w:hAnsi="宋体" w:cs="宋体"/>
          <w:b/>
          <w:color w:val="auto"/>
          <w:spacing w:val="14"/>
          <w:kern w:val="0"/>
          <w:sz w:val="32"/>
          <w:szCs w:val="32"/>
          <w:highlight w:val="none"/>
          <w:lang w:val="en-US" w:eastAsia="zh-CN" w:bidi="ar-SA"/>
        </w:rPr>
        <w:t>睢县妇幼保健院</w:t>
      </w:r>
    </w:p>
    <w:p w14:paraId="345CB0BE">
      <w:pPr>
        <w:spacing w:line="360" w:lineRule="auto"/>
        <w:ind w:firstLine="1205" w:firstLineChars="345"/>
        <w:rPr>
          <w:rFonts w:ascii="宋体" w:hAnsi="宋体" w:cs="宋体"/>
          <w:color w:val="auto"/>
          <w:spacing w:val="14"/>
          <w:kern w:val="0"/>
          <w:sz w:val="32"/>
          <w:szCs w:val="28"/>
          <w:highlight w:val="none"/>
        </w:rPr>
      </w:pPr>
      <w:r>
        <w:rPr>
          <w:rFonts w:hint="eastAsia" w:ascii="宋体" w:hAnsi="宋体"/>
          <w:b/>
          <w:color w:val="auto"/>
          <w:spacing w:val="14"/>
          <w:sz w:val="32"/>
          <w:szCs w:val="32"/>
          <w:highlight w:val="none"/>
        </w:rPr>
        <w:t>代理</w:t>
      </w:r>
      <w:r>
        <w:rPr>
          <w:rFonts w:hint="eastAsia" w:ascii="宋体" w:hAnsi="宋体"/>
          <w:b/>
          <w:color w:val="auto"/>
          <w:spacing w:val="14"/>
          <w:sz w:val="32"/>
          <w:szCs w:val="32"/>
          <w:highlight w:val="none"/>
          <w:lang w:eastAsia="zh-CN"/>
        </w:rPr>
        <w:t>机构</w:t>
      </w:r>
      <w:r>
        <w:rPr>
          <w:rFonts w:hint="eastAsia" w:ascii="宋体" w:hAnsi="宋体"/>
          <w:b/>
          <w:color w:val="auto"/>
          <w:spacing w:val="14"/>
          <w:sz w:val="32"/>
          <w:szCs w:val="32"/>
          <w:highlight w:val="none"/>
        </w:rPr>
        <w:t>：河南联达工程管理有限公司</w:t>
      </w:r>
    </w:p>
    <w:p w14:paraId="0E765538">
      <w:pPr>
        <w:spacing w:line="360" w:lineRule="auto"/>
        <w:ind w:firstLine="1205" w:firstLineChars="345"/>
        <w:rPr>
          <w:rFonts w:ascii="宋体" w:hAnsi="宋体" w:cs="黑体"/>
          <w:b/>
          <w:bCs/>
          <w:color w:val="auto"/>
          <w:sz w:val="30"/>
          <w:szCs w:val="30"/>
          <w:highlight w:val="none"/>
        </w:rPr>
      </w:pPr>
      <w:r>
        <w:rPr>
          <w:rFonts w:hint="eastAsia" w:ascii="宋体" w:hAnsi="宋体"/>
          <w:b/>
          <w:color w:val="auto"/>
          <w:spacing w:val="14"/>
          <w:sz w:val="32"/>
          <w:szCs w:val="32"/>
          <w:highlight w:val="none"/>
        </w:rPr>
        <w:t>时    间：</w:t>
      </w:r>
      <w:r>
        <w:rPr>
          <w:rFonts w:hint="eastAsia" w:ascii="宋体" w:hAnsi="宋体"/>
          <w:b/>
          <w:color w:val="auto"/>
          <w:spacing w:val="14"/>
          <w:sz w:val="32"/>
          <w:szCs w:val="32"/>
          <w:highlight w:val="none"/>
          <w:lang w:eastAsia="zh-CN"/>
        </w:rPr>
        <w:t>二〇二</w:t>
      </w:r>
      <w:r>
        <w:rPr>
          <w:rFonts w:hint="eastAsia" w:ascii="宋体" w:hAnsi="宋体"/>
          <w:b/>
          <w:color w:val="auto"/>
          <w:spacing w:val="14"/>
          <w:sz w:val="32"/>
          <w:szCs w:val="32"/>
          <w:highlight w:val="none"/>
          <w:lang w:val="en-US" w:eastAsia="zh-CN"/>
        </w:rPr>
        <w:t xml:space="preserve">五 </w:t>
      </w:r>
      <w:r>
        <w:rPr>
          <w:rFonts w:hint="eastAsia" w:ascii="宋体" w:hAnsi="宋体"/>
          <w:b/>
          <w:color w:val="auto"/>
          <w:spacing w:val="14"/>
          <w:sz w:val="32"/>
          <w:szCs w:val="32"/>
          <w:highlight w:val="none"/>
          <w:lang w:eastAsia="zh-CN"/>
        </w:rPr>
        <w:t>年</w:t>
      </w:r>
      <w:r>
        <w:rPr>
          <w:rFonts w:hint="eastAsia" w:ascii="宋体" w:hAnsi="宋体"/>
          <w:b/>
          <w:color w:val="auto"/>
          <w:spacing w:val="14"/>
          <w:sz w:val="32"/>
          <w:szCs w:val="32"/>
          <w:highlight w:val="none"/>
          <w:lang w:val="en-US" w:eastAsia="zh-CN"/>
        </w:rPr>
        <w:t xml:space="preserve"> 九 </w:t>
      </w:r>
      <w:r>
        <w:rPr>
          <w:rFonts w:hint="eastAsia" w:ascii="宋体" w:hAnsi="宋体"/>
          <w:b/>
          <w:color w:val="auto"/>
          <w:spacing w:val="14"/>
          <w:sz w:val="32"/>
          <w:szCs w:val="32"/>
          <w:highlight w:val="none"/>
          <w:lang w:eastAsia="zh-CN"/>
        </w:rPr>
        <w:t>月</w:t>
      </w:r>
      <w:r>
        <w:rPr>
          <w:rFonts w:hint="eastAsia" w:ascii="宋体" w:hAnsi="宋体"/>
          <w:b/>
          <w:color w:val="auto"/>
          <w:spacing w:val="14"/>
          <w:sz w:val="32"/>
          <w:szCs w:val="32"/>
          <w:highlight w:val="none"/>
        </w:rPr>
        <w:t xml:space="preserve"> </w:t>
      </w:r>
    </w:p>
    <w:p w14:paraId="2681AFB7">
      <w:pPr>
        <w:rPr>
          <w:rFonts w:ascii="宋体" w:hAnsi="宋体"/>
          <w:color w:val="auto"/>
          <w:highlight w:val="none"/>
        </w:rPr>
      </w:pPr>
    </w:p>
    <w:p w14:paraId="7C2ACEA0">
      <w:pPr>
        <w:pStyle w:val="8"/>
        <w:rPr>
          <w:color w:val="auto"/>
        </w:rPr>
      </w:pPr>
    </w:p>
    <w:p w14:paraId="2A4B7993">
      <w:pPr>
        <w:jc w:val="center"/>
        <w:rPr>
          <w:rFonts w:hint="eastAsia" w:ascii="宋体" w:hAnsi="宋体"/>
          <w:b/>
          <w:color w:val="auto"/>
          <w:sz w:val="36"/>
          <w:szCs w:val="36"/>
          <w:highlight w:val="none"/>
        </w:rPr>
        <w:sectPr>
          <w:footerReference r:id="rId5" w:type="first"/>
          <w:headerReference r:id="rId3" w:type="default"/>
          <w:footerReference r:id="rId4"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pPr>
    </w:p>
    <w:p w14:paraId="5AD552BF">
      <w:pPr>
        <w:pStyle w:val="8"/>
        <w:rPr>
          <w:rFonts w:hint="eastAsia"/>
          <w:color w:val="auto"/>
        </w:rPr>
      </w:pPr>
    </w:p>
    <w:p w14:paraId="650448E1">
      <w:pPr>
        <w:jc w:val="center"/>
        <w:rPr>
          <w:rFonts w:hint="eastAsia" w:ascii="宋体" w:hAnsi="宋体"/>
          <w:b/>
          <w:color w:val="auto"/>
          <w:sz w:val="36"/>
          <w:szCs w:val="36"/>
          <w:highlight w:val="none"/>
        </w:rPr>
      </w:pPr>
      <w:r>
        <w:rPr>
          <w:rFonts w:hint="eastAsia" w:ascii="宋体" w:hAnsi="宋体"/>
          <w:b/>
          <w:color w:val="auto"/>
          <w:sz w:val="36"/>
          <w:szCs w:val="36"/>
          <w:highlight w:val="none"/>
        </w:rPr>
        <w:t xml:space="preserve"> 目  录</w:t>
      </w:r>
    </w:p>
    <w:p w14:paraId="666C7EAC">
      <w:pPr>
        <w:pStyle w:val="29"/>
        <w:rPr>
          <w:color w:val="auto"/>
        </w:rPr>
      </w:pPr>
    </w:p>
    <w:p w14:paraId="3D0B1E49">
      <w:pPr>
        <w:pStyle w:val="19"/>
        <w:tabs>
          <w:tab w:val="right" w:leader="dot" w:pos="8787"/>
        </w:tabs>
        <w:rPr>
          <w:b/>
          <w:bCs/>
          <w:sz w:val="28"/>
          <w:szCs w:val="36"/>
        </w:rPr>
      </w:pPr>
      <w:bookmarkStart w:id="0" w:name="_Toc277235214"/>
      <w:r>
        <w:rPr>
          <w:rFonts w:hint="eastAsia" w:asciiTheme="minorEastAsia" w:hAnsiTheme="minorEastAsia" w:eastAsiaTheme="minorEastAsia" w:cstheme="minorEastAsia"/>
          <w:color w:val="auto"/>
          <w:sz w:val="40"/>
          <w:szCs w:val="40"/>
          <w:highlight w:val="none"/>
        </w:rPr>
        <w:fldChar w:fldCharType="begin"/>
      </w:r>
      <w:r>
        <w:rPr>
          <w:rFonts w:hint="eastAsia" w:asciiTheme="minorEastAsia" w:hAnsiTheme="minorEastAsia" w:eastAsiaTheme="minorEastAsia" w:cstheme="minorEastAsia"/>
          <w:color w:val="auto"/>
          <w:sz w:val="40"/>
          <w:szCs w:val="40"/>
          <w:highlight w:val="none"/>
        </w:rPr>
        <w:instrText xml:space="preserve">TOC \o "1-1" \h \z</w:instrText>
      </w:r>
      <w:r>
        <w:rPr>
          <w:rFonts w:hint="eastAsia" w:asciiTheme="minorEastAsia" w:hAnsiTheme="minorEastAsia" w:eastAsiaTheme="minorEastAsia" w:cstheme="minorEastAsia"/>
          <w:color w:val="auto"/>
          <w:sz w:val="40"/>
          <w:szCs w:val="40"/>
          <w:highlight w:val="none"/>
        </w:rPr>
        <w:fldChar w:fldCharType="separate"/>
      </w:r>
      <w:r>
        <w:rPr>
          <w:rFonts w:hint="eastAsia" w:asciiTheme="minorEastAsia" w:hAnsiTheme="minorEastAsia" w:eastAsiaTheme="minorEastAsia" w:cstheme="minorEastAsia"/>
          <w:b/>
          <w:bCs/>
          <w:color w:val="auto"/>
          <w:sz w:val="28"/>
          <w:szCs w:val="52"/>
          <w:highlight w:val="none"/>
        </w:rPr>
        <w:fldChar w:fldCharType="begin"/>
      </w:r>
      <w:r>
        <w:rPr>
          <w:rFonts w:hint="eastAsia" w:asciiTheme="minorEastAsia" w:hAnsiTheme="minorEastAsia" w:eastAsiaTheme="minorEastAsia" w:cstheme="minorEastAsia"/>
          <w:b/>
          <w:bCs/>
          <w:sz w:val="28"/>
          <w:szCs w:val="52"/>
          <w:highlight w:val="none"/>
        </w:rPr>
        <w:instrText xml:space="preserve"> HYPERLINK \l _Toc691 </w:instrText>
      </w:r>
      <w:r>
        <w:rPr>
          <w:rFonts w:hint="eastAsia" w:asciiTheme="minorEastAsia" w:hAnsiTheme="minorEastAsia" w:eastAsiaTheme="minorEastAsia" w:cstheme="minorEastAsia"/>
          <w:b/>
          <w:bCs/>
          <w:sz w:val="28"/>
          <w:szCs w:val="52"/>
          <w:highlight w:val="none"/>
        </w:rPr>
        <w:fldChar w:fldCharType="separate"/>
      </w:r>
      <w:r>
        <w:rPr>
          <w:rFonts w:hint="eastAsia" w:ascii="宋体" w:hAnsi="宋体" w:eastAsia="宋体" w:cs="Times New Roman"/>
          <w:b/>
          <w:bCs/>
          <w:sz w:val="28"/>
          <w:szCs w:val="48"/>
          <w:highlight w:val="none"/>
        </w:rPr>
        <w:t>第一章  竞争性磋商公告</w:t>
      </w:r>
      <w:r>
        <w:rPr>
          <w:b/>
          <w:bCs/>
          <w:sz w:val="28"/>
          <w:szCs w:val="36"/>
        </w:rPr>
        <w:tab/>
      </w:r>
      <w:r>
        <w:rPr>
          <w:b/>
          <w:bCs/>
          <w:sz w:val="28"/>
          <w:szCs w:val="36"/>
        </w:rPr>
        <w:fldChar w:fldCharType="begin"/>
      </w:r>
      <w:r>
        <w:rPr>
          <w:b/>
          <w:bCs/>
          <w:sz w:val="28"/>
          <w:szCs w:val="36"/>
        </w:rPr>
        <w:instrText xml:space="preserve"> PAGEREF _Toc691 \h </w:instrText>
      </w:r>
      <w:r>
        <w:rPr>
          <w:b/>
          <w:bCs/>
          <w:sz w:val="28"/>
          <w:szCs w:val="36"/>
        </w:rPr>
        <w:fldChar w:fldCharType="separate"/>
      </w:r>
      <w:r>
        <w:rPr>
          <w:b/>
          <w:bCs/>
          <w:sz w:val="28"/>
          <w:szCs w:val="36"/>
        </w:rPr>
        <w:t>1</w:t>
      </w:r>
      <w:r>
        <w:rPr>
          <w:b/>
          <w:bCs/>
          <w:sz w:val="28"/>
          <w:szCs w:val="36"/>
        </w:rPr>
        <w:fldChar w:fldCharType="end"/>
      </w:r>
      <w:r>
        <w:rPr>
          <w:rFonts w:hint="eastAsia" w:asciiTheme="minorEastAsia" w:hAnsiTheme="minorEastAsia" w:eastAsiaTheme="minorEastAsia" w:cstheme="minorEastAsia"/>
          <w:b/>
          <w:bCs/>
          <w:color w:val="auto"/>
          <w:sz w:val="28"/>
          <w:szCs w:val="52"/>
          <w:highlight w:val="none"/>
        </w:rPr>
        <w:fldChar w:fldCharType="end"/>
      </w:r>
    </w:p>
    <w:p w14:paraId="4246B0C5">
      <w:pPr>
        <w:pStyle w:val="19"/>
        <w:tabs>
          <w:tab w:val="right" w:leader="dot" w:pos="8787"/>
        </w:tabs>
        <w:rPr>
          <w:b/>
          <w:bCs/>
          <w:sz w:val="28"/>
          <w:szCs w:val="36"/>
        </w:rPr>
      </w:pPr>
      <w:r>
        <w:rPr>
          <w:rFonts w:hint="eastAsia" w:asciiTheme="minorEastAsia" w:hAnsiTheme="minorEastAsia" w:eastAsiaTheme="minorEastAsia" w:cstheme="minorEastAsia"/>
          <w:b/>
          <w:bCs/>
          <w:color w:val="auto"/>
          <w:sz w:val="28"/>
          <w:szCs w:val="52"/>
          <w:highlight w:val="none"/>
        </w:rPr>
        <w:fldChar w:fldCharType="begin"/>
      </w:r>
      <w:r>
        <w:rPr>
          <w:rFonts w:hint="eastAsia" w:asciiTheme="minorEastAsia" w:hAnsiTheme="minorEastAsia" w:eastAsiaTheme="minorEastAsia" w:cstheme="minorEastAsia"/>
          <w:b/>
          <w:bCs/>
          <w:sz w:val="28"/>
          <w:szCs w:val="52"/>
          <w:highlight w:val="none"/>
        </w:rPr>
        <w:instrText xml:space="preserve"> HYPERLINK \l _Toc6141 </w:instrText>
      </w:r>
      <w:r>
        <w:rPr>
          <w:rFonts w:hint="eastAsia" w:asciiTheme="minorEastAsia" w:hAnsiTheme="minorEastAsia" w:eastAsiaTheme="minorEastAsia" w:cstheme="minorEastAsia"/>
          <w:b/>
          <w:bCs/>
          <w:sz w:val="28"/>
          <w:szCs w:val="52"/>
          <w:highlight w:val="none"/>
        </w:rPr>
        <w:fldChar w:fldCharType="separate"/>
      </w:r>
      <w:r>
        <w:rPr>
          <w:rFonts w:hint="eastAsia" w:ascii="宋体" w:hAnsi="宋体"/>
          <w:b/>
          <w:bCs/>
          <w:sz w:val="28"/>
          <w:szCs w:val="48"/>
          <w:highlight w:val="none"/>
        </w:rPr>
        <w:t xml:space="preserve">第二章 </w:t>
      </w:r>
      <w:r>
        <w:rPr>
          <w:rFonts w:hint="eastAsia" w:ascii="宋体" w:hAnsi="宋体"/>
          <w:b/>
          <w:bCs/>
          <w:sz w:val="28"/>
          <w:szCs w:val="48"/>
          <w:highlight w:val="none"/>
          <w:lang w:val="en-US" w:eastAsia="zh-CN"/>
        </w:rPr>
        <w:t xml:space="preserve"> </w:t>
      </w:r>
      <w:r>
        <w:rPr>
          <w:rFonts w:hint="eastAsia" w:ascii="宋体" w:hAnsi="宋体"/>
          <w:b/>
          <w:bCs/>
          <w:sz w:val="28"/>
          <w:szCs w:val="48"/>
          <w:highlight w:val="none"/>
          <w:lang w:eastAsia="zh-CN"/>
        </w:rPr>
        <w:t>供应商</w:t>
      </w:r>
      <w:r>
        <w:rPr>
          <w:rFonts w:hint="eastAsia" w:ascii="宋体" w:hAnsi="宋体"/>
          <w:b/>
          <w:bCs/>
          <w:sz w:val="28"/>
          <w:szCs w:val="48"/>
          <w:highlight w:val="none"/>
        </w:rPr>
        <w:t>须知</w:t>
      </w:r>
      <w:r>
        <w:rPr>
          <w:b/>
          <w:bCs/>
          <w:sz w:val="28"/>
          <w:szCs w:val="36"/>
        </w:rPr>
        <w:tab/>
      </w:r>
      <w:r>
        <w:rPr>
          <w:b/>
          <w:bCs/>
          <w:sz w:val="28"/>
          <w:szCs w:val="36"/>
        </w:rPr>
        <w:fldChar w:fldCharType="begin"/>
      </w:r>
      <w:r>
        <w:rPr>
          <w:b/>
          <w:bCs/>
          <w:sz w:val="28"/>
          <w:szCs w:val="36"/>
        </w:rPr>
        <w:instrText xml:space="preserve"> PAGEREF _Toc6141 \h </w:instrText>
      </w:r>
      <w:r>
        <w:rPr>
          <w:b/>
          <w:bCs/>
          <w:sz w:val="28"/>
          <w:szCs w:val="36"/>
        </w:rPr>
        <w:fldChar w:fldCharType="separate"/>
      </w:r>
      <w:r>
        <w:rPr>
          <w:b/>
          <w:bCs/>
          <w:sz w:val="28"/>
          <w:szCs w:val="36"/>
        </w:rPr>
        <w:t>4</w:t>
      </w:r>
      <w:r>
        <w:rPr>
          <w:b/>
          <w:bCs/>
          <w:sz w:val="28"/>
          <w:szCs w:val="36"/>
        </w:rPr>
        <w:fldChar w:fldCharType="end"/>
      </w:r>
      <w:r>
        <w:rPr>
          <w:rFonts w:hint="eastAsia" w:asciiTheme="minorEastAsia" w:hAnsiTheme="minorEastAsia" w:eastAsiaTheme="minorEastAsia" w:cstheme="minorEastAsia"/>
          <w:b/>
          <w:bCs/>
          <w:color w:val="auto"/>
          <w:sz w:val="28"/>
          <w:szCs w:val="52"/>
          <w:highlight w:val="none"/>
        </w:rPr>
        <w:fldChar w:fldCharType="end"/>
      </w:r>
    </w:p>
    <w:p w14:paraId="6FBB76AF">
      <w:pPr>
        <w:pStyle w:val="19"/>
        <w:tabs>
          <w:tab w:val="right" w:leader="dot" w:pos="8787"/>
        </w:tabs>
        <w:rPr>
          <w:b/>
          <w:bCs/>
          <w:sz w:val="28"/>
          <w:szCs w:val="36"/>
        </w:rPr>
      </w:pPr>
      <w:r>
        <w:rPr>
          <w:rFonts w:hint="eastAsia" w:asciiTheme="minorEastAsia" w:hAnsiTheme="minorEastAsia" w:eastAsiaTheme="minorEastAsia" w:cstheme="minorEastAsia"/>
          <w:b/>
          <w:bCs/>
          <w:color w:val="auto"/>
          <w:sz w:val="28"/>
          <w:szCs w:val="52"/>
          <w:highlight w:val="none"/>
        </w:rPr>
        <w:fldChar w:fldCharType="begin"/>
      </w:r>
      <w:r>
        <w:rPr>
          <w:rFonts w:hint="eastAsia" w:asciiTheme="minorEastAsia" w:hAnsiTheme="minorEastAsia" w:eastAsiaTheme="minorEastAsia" w:cstheme="minorEastAsia"/>
          <w:b/>
          <w:bCs/>
          <w:sz w:val="28"/>
          <w:szCs w:val="52"/>
          <w:highlight w:val="none"/>
        </w:rPr>
        <w:instrText xml:space="preserve"> HYPERLINK \l _Toc26095 </w:instrText>
      </w:r>
      <w:r>
        <w:rPr>
          <w:rFonts w:hint="eastAsia" w:asciiTheme="minorEastAsia" w:hAnsiTheme="minorEastAsia" w:eastAsiaTheme="minorEastAsia" w:cstheme="minorEastAsia"/>
          <w:b/>
          <w:bCs/>
          <w:sz w:val="28"/>
          <w:szCs w:val="52"/>
          <w:highlight w:val="none"/>
        </w:rPr>
        <w:fldChar w:fldCharType="separate"/>
      </w:r>
      <w:r>
        <w:rPr>
          <w:rFonts w:hint="eastAsia" w:ascii="宋体" w:hAnsi="宋体" w:eastAsia="宋体" w:cs="Times New Roman"/>
          <w:b/>
          <w:bCs/>
          <w:sz w:val="28"/>
          <w:szCs w:val="48"/>
          <w:highlight w:val="none"/>
        </w:rPr>
        <w:t xml:space="preserve">第三章  </w:t>
      </w:r>
      <w:r>
        <w:rPr>
          <w:rFonts w:hint="eastAsia" w:ascii="宋体" w:hAnsi="宋体" w:cs="Times New Roman"/>
          <w:b/>
          <w:bCs/>
          <w:sz w:val="28"/>
          <w:szCs w:val="48"/>
          <w:highlight w:val="none"/>
          <w:lang w:eastAsia="zh-CN"/>
        </w:rPr>
        <w:t>评审</w:t>
      </w:r>
      <w:r>
        <w:rPr>
          <w:rFonts w:hint="eastAsia" w:ascii="宋体" w:hAnsi="宋体" w:eastAsia="宋体" w:cs="Times New Roman"/>
          <w:b/>
          <w:bCs/>
          <w:sz w:val="28"/>
          <w:szCs w:val="48"/>
          <w:highlight w:val="none"/>
        </w:rPr>
        <w:t>办法</w:t>
      </w:r>
      <w:r>
        <w:rPr>
          <w:b/>
          <w:bCs/>
          <w:sz w:val="28"/>
          <w:szCs w:val="36"/>
        </w:rPr>
        <w:tab/>
      </w:r>
      <w:r>
        <w:rPr>
          <w:b/>
          <w:bCs/>
          <w:sz w:val="28"/>
          <w:szCs w:val="36"/>
        </w:rPr>
        <w:fldChar w:fldCharType="begin"/>
      </w:r>
      <w:r>
        <w:rPr>
          <w:b/>
          <w:bCs/>
          <w:sz w:val="28"/>
          <w:szCs w:val="36"/>
        </w:rPr>
        <w:instrText xml:space="preserve"> PAGEREF _Toc26095 \h </w:instrText>
      </w:r>
      <w:r>
        <w:rPr>
          <w:b/>
          <w:bCs/>
          <w:sz w:val="28"/>
          <w:szCs w:val="36"/>
        </w:rPr>
        <w:fldChar w:fldCharType="separate"/>
      </w:r>
      <w:r>
        <w:rPr>
          <w:b/>
          <w:bCs/>
          <w:sz w:val="28"/>
          <w:szCs w:val="36"/>
        </w:rPr>
        <w:t>19</w:t>
      </w:r>
      <w:r>
        <w:rPr>
          <w:b/>
          <w:bCs/>
          <w:sz w:val="28"/>
          <w:szCs w:val="36"/>
        </w:rPr>
        <w:fldChar w:fldCharType="end"/>
      </w:r>
      <w:r>
        <w:rPr>
          <w:rFonts w:hint="eastAsia" w:asciiTheme="minorEastAsia" w:hAnsiTheme="minorEastAsia" w:eastAsiaTheme="minorEastAsia" w:cstheme="minorEastAsia"/>
          <w:b/>
          <w:bCs/>
          <w:color w:val="auto"/>
          <w:sz w:val="28"/>
          <w:szCs w:val="52"/>
          <w:highlight w:val="none"/>
        </w:rPr>
        <w:fldChar w:fldCharType="end"/>
      </w:r>
    </w:p>
    <w:p w14:paraId="2FB5466E">
      <w:pPr>
        <w:pStyle w:val="19"/>
        <w:tabs>
          <w:tab w:val="right" w:leader="dot" w:pos="8787"/>
        </w:tabs>
        <w:rPr>
          <w:b/>
          <w:bCs/>
          <w:sz w:val="28"/>
          <w:szCs w:val="36"/>
        </w:rPr>
      </w:pPr>
      <w:r>
        <w:rPr>
          <w:rFonts w:hint="eastAsia" w:asciiTheme="minorEastAsia" w:hAnsiTheme="minorEastAsia" w:eastAsiaTheme="minorEastAsia" w:cstheme="minorEastAsia"/>
          <w:b/>
          <w:bCs/>
          <w:color w:val="auto"/>
          <w:sz w:val="28"/>
          <w:szCs w:val="52"/>
          <w:highlight w:val="none"/>
        </w:rPr>
        <w:fldChar w:fldCharType="begin"/>
      </w:r>
      <w:r>
        <w:rPr>
          <w:rFonts w:hint="eastAsia" w:asciiTheme="minorEastAsia" w:hAnsiTheme="minorEastAsia" w:eastAsiaTheme="minorEastAsia" w:cstheme="minorEastAsia"/>
          <w:b/>
          <w:bCs/>
          <w:sz w:val="28"/>
          <w:szCs w:val="52"/>
          <w:highlight w:val="none"/>
        </w:rPr>
        <w:instrText xml:space="preserve"> HYPERLINK \l _Toc90 </w:instrText>
      </w:r>
      <w:r>
        <w:rPr>
          <w:rFonts w:hint="eastAsia" w:asciiTheme="minorEastAsia" w:hAnsiTheme="minorEastAsia" w:eastAsiaTheme="minorEastAsia" w:cstheme="minorEastAsia"/>
          <w:b/>
          <w:bCs/>
          <w:sz w:val="28"/>
          <w:szCs w:val="52"/>
          <w:highlight w:val="none"/>
        </w:rPr>
        <w:fldChar w:fldCharType="separate"/>
      </w:r>
      <w:r>
        <w:rPr>
          <w:rFonts w:hint="eastAsia" w:ascii="宋体" w:hAnsi="宋体" w:eastAsia="宋体" w:cs="Times New Roman"/>
          <w:b/>
          <w:bCs/>
          <w:sz w:val="28"/>
          <w:szCs w:val="48"/>
          <w:lang w:val="en-US" w:eastAsia="zh-CN"/>
        </w:rPr>
        <w:t xml:space="preserve">第四章 </w:t>
      </w:r>
      <w:r>
        <w:rPr>
          <w:rFonts w:hint="eastAsia" w:ascii="宋体" w:hAnsi="宋体" w:cs="Times New Roman"/>
          <w:b/>
          <w:bCs/>
          <w:sz w:val="28"/>
          <w:szCs w:val="48"/>
          <w:lang w:val="en-US" w:eastAsia="zh-CN"/>
        </w:rPr>
        <w:t xml:space="preserve"> </w:t>
      </w:r>
      <w:r>
        <w:rPr>
          <w:rFonts w:hint="eastAsia" w:ascii="宋体" w:hAnsi="宋体" w:eastAsia="宋体" w:cs="Times New Roman"/>
          <w:b/>
          <w:bCs/>
          <w:sz w:val="28"/>
          <w:szCs w:val="48"/>
          <w:highlight w:val="none"/>
          <w:lang w:val="en-US" w:eastAsia="zh-CN"/>
        </w:rPr>
        <w:t>合同条款及格式</w:t>
      </w:r>
      <w:r>
        <w:rPr>
          <w:b/>
          <w:bCs/>
          <w:sz w:val="28"/>
          <w:szCs w:val="36"/>
        </w:rPr>
        <w:tab/>
      </w:r>
      <w:r>
        <w:rPr>
          <w:b/>
          <w:bCs/>
          <w:sz w:val="28"/>
          <w:szCs w:val="36"/>
        </w:rPr>
        <w:fldChar w:fldCharType="begin"/>
      </w:r>
      <w:r>
        <w:rPr>
          <w:b/>
          <w:bCs/>
          <w:sz w:val="28"/>
          <w:szCs w:val="36"/>
        </w:rPr>
        <w:instrText xml:space="preserve"> PAGEREF _Toc90 \h </w:instrText>
      </w:r>
      <w:r>
        <w:rPr>
          <w:b/>
          <w:bCs/>
          <w:sz w:val="28"/>
          <w:szCs w:val="36"/>
        </w:rPr>
        <w:fldChar w:fldCharType="separate"/>
      </w:r>
      <w:r>
        <w:rPr>
          <w:b/>
          <w:bCs/>
          <w:sz w:val="28"/>
          <w:szCs w:val="36"/>
        </w:rPr>
        <w:t>27</w:t>
      </w:r>
      <w:r>
        <w:rPr>
          <w:b/>
          <w:bCs/>
          <w:sz w:val="28"/>
          <w:szCs w:val="36"/>
        </w:rPr>
        <w:fldChar w:fldCharType="end"/>
      </w:r>
      <w:r>
        <w:rPr>
          <w:rFonts w:hint="eastAsia" w:asciiTheme="minorEastAsia" w:hAnsiTheme="minorEastAsia" w:eastAsiaTheme="minorEastAsia" w:cstheme="minorEastAsia"/>
          <w:b/>
          <w:bCs/>
          <w:color w:val="auto"/>
          <w:sz w:val="28"/>
          <w:szCs w:val="52"/>
          <w:highlight w:val="none"/>
        </w:rPr>
        <w:fldChar w:fldCharType="end"/>
      </w:r>
    </w:p>
    <w:p w14:paraId="11704AC8">
      <w:pPr>
        <w:pStyle w:val="19"/>
        <w:tabs>
          <w:tab w:val="right" w:leader="dot" w:pos="8787"/>
        </w:tabs>
        <w:rPr>
          <w:b/>
          <w:bCs/>
          <w:sz w:val="28"/>
          <w:szCs w:val="36"/>
        </w:rPr>
      </w:pPr>
      <w:r>
        <w:rPr>
          <w:rFonts w:hint="eastAsia" w:asciiTheme="minorEastAsia" w:hAnsiTheme="minorEastAsia" w:eastAsiaTheme="minorEastAsia" w:cstheme="minorEastAsia"/>
          <w:b/>
          <w:bCs/>
          <w:color w:val="auto"/>
          <w:sz w:val="28"/>
          <w:szCs w:val="52"/>
          <w:highlight w:val="none"/>
        </w:rPr>
        <w:fldChar w:fldCharType="begin"/>
      </w:r>
      <w:r>
        <w:rPr>
          <w:rFonts w:hint="eastAsia" w:asciiTheme="minorEastAsia" w:hAnsiTheme="minorEastAsia" w:eastAsiaTheme="minorEastAsia" w:cstheme="minorEastAsia"/>
          <w:b/>
          <w:bCs/>
          <w:sz w:val="28"/>
          <w:szCs w:val="52"/>
          <w:highlight w:val="none"/>
        </w:rPr>
        <w:instrText xml:space="preserve"> HYPERLINK \l _Toc23364 </w:instrText>
      </w:r>
      <w:r>
        <w:rPr>
          <w:rFonts w:hint="eastAsia" w:asciiTheme="minorEastAsia" w:hAnsiTheme="minorEastAsia" w:eastAsiaTheme="minorEastAsia" w:cstheme="minorEastAsia"/>
          <w:b/>
          <w:bCs/>
          <w:sz w:val="28"/>
          <w:szCs w:val="52"/>
          <w:highlight w:val="none"/>
        </w:rPr>
        <w:fldChar w:fldCharType="separate"/>
      </w:r>
      <w:r>
        <w:rPr>
          <w:rFonts w:hint="eastAsia"/>
          <w:b/>
          <w:bCs/>
          <w:sz w:val="28"/>
          <w:szCs w:val="36"/>
          <w:lang w:val="en-US" w:eastAsia="zh-CN"/>
        </w:rPr>
        <w:t>第五章</w:t>
      </w:r>
      <w:r>
        <w:rPr>
          <w:rFonts w:hint="eastAsia"/>
          <w:b/>
          <w:bCs/>
          <w:sz w:val="28"/>
          <w:szCs w:val="36"/>
          <w:highlight w:val="none"/>
          <w:lang w:val="en-US" w:eastAsia="zh-CN"/>
        </w:rPr>
        <w:t xml:space="preserve">  采购需求</w:t>
      </w:r>
      <w:r>
        <w:rPr>
          <w:b/>
          <w:bCs/>
          <w:sz w:val="28"/>
          <w:szCs w:val="36"/>
        </w:rPr>
        <w:tab/>
      </w:r>
      <w:r>
        <w:rPr>
          <w:b/>
          <w:bCs/>
          <w:sz w:val="28"/>
          <w:szCs w:val="36"/>
        </w:rPr>
        <w:fldChar w:fldCharType="begin"/>
      </w:r>
      <w:r>
        <w:rPr>
          <w:b/>
          <w:bCs/>
          <w:sz w:val="28"/>
          <w:szCs w:val="36"/>
        </w:rPr>
        <w:instrText xml:space="preserve"> PAGEREF _Toc23364 \h </w:instrText>
      </w:r>
      <w:r>
        <w:rPr>
          <w:b/>
          <w:bCs/>
          <w:sz w:val="28"/>
          <w:szCs w:val="36"/>
        </w:rPr>
        <w:fldChar w:fldCharType="separate"/>
      </w:r>
      <w:r>
        <w:rPr>
          <w:b/>
          <w:bCs/>
          <w:sz w:val="28"/>
          <w:szCs w:val="36"/>
        </w:rPr>
        <w:t>33</w:t>
      </w:r>
      <w:r>
        <w:rPr>
          <w:b/>
          <w:bCs/>
          <w:sz w:val="28"/>
          <w:szCs w:val="36"/>
        </w:rPr>
        <w:fldChar w:fldCharType="end"/>
      </w:r>
      <w:r>
        <w:rPr>
          <w:rFonts w:hint="eastAsia" w:asciiTheme="minorEastAsia" w:hAnsiTheme="minorEastAsia" w:eastAsiaTheme="minorEastAsia" w:cstheme="minorEastAsia"/>
          <w:b/>
          <w:bCs/>
          <w:color w:val="auto"/>
          <w:sz w:val="28"/>
          <w:szCs w:val="52"/>
          <w:highlight w:val="none"/>
        </w:rPr>
        <w:fldChar w:fldCharType="end"/>
      </w:r>
    </w:p>
    <w:p w14:paraId="0B81D5F8">
      <w:pPr>
        <w:pStyle w:val="19"/>
        <w:tabs>
          <w:tab w:val="right" w:leader="dot" w:pos="8787"/>
        </w:tabs>
      </w:pPr>
      <w:r>
        <w:rPr>
          <w:rFonts w:hint="eastAsia" w:asciiTheme="minorEastAsia" w:hAnsiTheme="minorEastAsia" w:eastAsiaTheme="minorEastAsia" w:cstheme="minorEastAsia"/>
          <w:b/>
          <w:bCs/>
          <w:color w:val="auto"/>
          <w:sz w:val="28"/>
          <w:szCs w:val="52"/>
          <w:highlight w:val="none"/>
        </w:rPr>
        <w:fldChar w:fldCharType="begin"/>
      </w:r>
      <w:r>
        <w:rPr>
          <w:rFonts w:hint="eastAsia" w:asciiTheme="minorEastAsia" w:hAnsiTheme="minorEastAsia" w:eastAsiaTheme="minorEastAsia" w:cstheme="minorEastAsia"/>
          <w:b/>
          <w:bCs/>
          <w:sz w:val="28"/>
          <w:szCs w:val="52"/>
          <w:highlight w:val="none"/>
        </w:rPr>
        <w:instrText xml:space="preserve"> HYPERLINK \l _Toc26415 </w:instrText>
      </w:r>
      <w:r>
        <w:rPr>
          <w:rFonts w:hint="eastAsia" w:asciiTheme="minorEastAsia" w:hAnsiTheme="minorEastAsia" w:eastAsiaTheme="minorEastAsia" w:cstheme="minorEastAsia"/>
          <w:b/>
          <w:bCs/>
          <w:sz w:val="28"/>
          <w:szCs w:val="52"/>
          <w:highlight w:val="none"/>
        </w:rPr>
        <w:fldChar w:fldCharType="separate"/>
      </w:r>
      <w:r>
        <w:rPr>
          <w:rFonts w:hint="eastAsia" w:ascii="宋体" w:hAnsi="宋体" w:eastAsia="宋体" w:cs="Times New Roman"/>
          <w:b/>
          <w:bCs/>
          <w:sz w:val="28"/>
          <w:szCs w:val="48"/>
          <w:highlight w:val="none"/>
          <w:lang w:val="en-US" w:eastAsia="zh-CN"/>
        </w:rPr>
        <w:t>第六章  响应文件格式</w:t>
      </w:r>
      <w:r>
        <w:rPr>
          <w:b/>
          <w:bCs/>
          <w:sz w:val="28"/>
          <w:szCs w:val="36"/>
        </w:rPr>
        <w:tab/>
      </w:r>
      <w:r>
        <w:rPr>
          <w:b/>
          <w:bCs/>
          <w:sz w:val="28"/>
          <w:szCs w:val="36"/>
        </w:rPr>
        <w:fldChar w:fldCharType="begin"/>
      </w:r>
      <w:r>
        <w:rPr>
          <w:b/>
          <w:bCs/>
          <w:sz w:val="28"/>
          <w:szCs w:val="36"/>
        </w:rPr>
        <w:instrText xml:space="preserve"> PAGEREF _Toc26415 \h </w:instrText>
      </w:r>
      <w:r>
        <w:rPr>
          <w:b/>
          <w:bCs/>
          <w:sz w:val="28"/>
          <w:szCs w:val="36"/>
        </w:rPr>
        <w:fldChar w:fldCharType="separate"/>
      </w:r>
      <w:r>
        <w:rPr>
          <w:b/>
          <w:bCs/>
          <w:sz w:val="28"/>
          <w:szCs w:val="36"/>
        </w:rPr>
        <w:t>36</w:t>
      </w:r>
      <w:r>
        <w:rPr>
          <w:b/>
          <w:bCs/>
          <w:sz w:val="28"/>
          <w:szCs w:val="36"/>
        </w:rPr>
        <w:fldChar w:fldCharType="end"/>
      </w:r>
      <w:r>
        <w:rPr>
          <w:rFonts w:hint="eastAsia" w:asciiTheme="minorEastAsia" w:hAnsiTheme="minorEastAsia" w:eastAsiaTheme="minorEastAsia" w:cstheme="minorEastAsia"/>
          <w:b/>
          <w:bCs/>
          <w:color w:val="auto"/>
          <w:sz w:val="28"/>
          <w:szCs w:val="52"/>
          <w:highlight w:val="none"/>
        </w:rPr>
        <w:fldChar w:fldCharType="end"/>
      </w:r>
    </w:p>
    <w:p w14:paraId="0C3EE42E">
      <w:pPr>
        <w:autoSpaceDE w:val="0"/>
        <w:autoSpaceDN w:val="0"/>
        <w:adjustRightInd w:val="0"/>
        <w:spacing w:line="480" w:lineRule="auto"/>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Cs w:val="40"/>
          <w:highlight w:val="none"/>
        </w:rPr>
        <w:fldChar w:fldCharType="end"/>
      </w:r>
    </w:p>
    <w:p w14:paraId="561F48E9">
      <w:pPr>
        <w:autoSpaceDE w:val="0"/>
        <w:autoSpaceDN w:val="0"/>
        <w:adjustRightInd w:val="0"/>
        <w:spacing w:line="360" w:lineRule="auto"/>
        <w:rPr>
          <w:rFonts w:ascii="宋体" w:hAnsi="宋体" w:cs="宋体"/>
          <w:color w:val="auto"/>
          <w:sz w:val="24"/>
          <w:highlight w:val="none"/>
        </w:rPr>
      </w:pPr>
    </w:p>
    <w:p w14:paraId="58C8241F">
      <w:pPr>
        <w:autoSpaceDE w:val="0"/>
        <w:autoSpaceDN w:val="0"/>
        <w:adjustRightInd w:val="0"/>
        <w:spacing w:line="360" w:lineRule="auto"/>
        <w:rPr>
          <w:rFonts w:ascii="宋体" w:hAnsi="宋体" w:cs="宋体"/>
          <w:color w:val="auto"/>
          <w:sz w:val="24"/>
          <w:highlight w:val="none"/>
        </w:rPr>
      </w:pPr>
    </w:p>
    <w:p w14:paraId="31AB081C">
      <w:pPr>
        <w:tabs>
          <w:tab w:val="left" w:pos="1658"/>
        </w:tabs>
        <w:autoSpaceDE w:val="0"/>
        <w:autoSpaceDN w:val="0"/>
        <w:adjustRightIn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ab/>
      </w:r>
    </w:p>
    <w:p w14:paraId="573ED1D6">
      <w:pPr>
        <w:autoSpaceDE w:val="0"/>
        <w:autoSpaceDN w:val="0"/>
        <w:adjustRightInd w:val="0"/>
        <w:spacing w:line="360" w:lineRule="auto"/>
        <w:rPr>
          <w:rFonts w:ascii="宋体" w:hAnsi="宋体" w:cs="宋体"/>
          <w:color w:val="auto"/>
          <w:sz w:val="24"/>
          <w:highlight w:val="none"/>
        </w:rPr>
      </w:pPr>
    </w:p>
    <w:p w14:paraId="6E41D551">
      <w:pPr>
        <w:autoSpaceDE w:val="0"/>
        <w:autoSpaceDN w:val="0"/>
        <w:adjustRightInd w:val="0"/>
        <w:spacing w:line="360" w:lineRule="auto"/>
        <w:rPr>
          <w:rFonts w:ascii="宋体" w:hAnsi="宋体" w:cs="宋体"/>
          <w:color w:val="auto"/>
          <w:sz w:val="24"/>
          <w:highlight w:val="none"/>
        </w:rPr>
      </w:pPr>
    </w:p>
    <w:p w14:paraId="3F0F8163">
      <w:pPr>
        <w:autoSpaceDE w:val="0"/>
        <w:autoSpaceDN w:val="0"/>
        <w:adjustRightInd w:val="0"/>
        <w:spacing w:line="360" w:lineRule="auto"/>
        <w:rPr>
          <w:rFonts w:ascii="宋体" w:hAnsi="宋体" w:cs="宋体"/>
          <w:color w:val="auto"/>
          <w:sz w:val="24"/>
          <w:highlight w:val="none"/>
        </w:rPr>
      </w:pPr>
    </w:p>
    <w:p w14:paraId="7AFBEA1C">
      <w:pPr>
        <w:autoSpaceDE w:val="0"/>
        <w:autoSpaceDN w:val="0"/>
        <w:adjustRightInd w:val="0"/>
        <w:spacing w:line="360" w:lineRule="auto"/>
        <w:rPr>
          <w:rFonts w:ascii="宋体" w:hAnsi="宋体" w:cs="宋体"/>
          <w:color w:val="auto"/>
          <w:sz w:val="24"/>
          <w:highlight w:val="none"/>
        </w:rPr>
      </w:pPr>
    </w:p>
    <w:p w14:paraId="520FA6E3">
      <w:pPr>
        <w:autoSpaceDE w:val="0"/>
        <w:autoSpaceDN w:val="0"/>
        <w:adjustRightInd w:val="0"/>
        <w:spacing w:line="360" w:lineRule="auto"/>
        <w:rPr>
          <w:rFonts w:ascii="宋体" w:hAnsi="宋体" w:cs="宋体"/>
          <w:color w:val="auto"/>
          <w:sz w:val="24"/>
          <w:highlight w:val="none"/>
        </w:rPr>
      </w:pPr>
    </w:p>
    <w:p w14:paraId="79D72525">
      <w:pPr>
        <w:autoSpaceDE w:val="0"/>
        <w:autoSpaceDN w:val="0"/>
        <w:adjustRightInd w:val="0"/>
        <w:spacing w:line="360" w:lineRule="auto"/>
        <w:rPr>
          <w:rFonts w:ascii="宋体" w:hAnsi="宋体" w:cs="宋体"/>
          <w:color w:val="auto"/>
          <w:sz w:val="24"/>
          <w:highlight w:val="none"/>
        </w:rPr>
      </w:pPr>
    </w:p>
    <w:p w14:paraId="39A0AD01">
      <w:pPr>
        <w:autoSpaceDE w:val="0"/>
        <w:autoSpaceDN w:val="0"/>
        <w:adjustRightInd w:val="0"/>
        <w:spacing w:line="360" w:lineRule="auto"/>
        <w:rPr>
          <w:rFonts w:ascii="宋体" w:hAnsi="宋体" w:cs="宋体"/>
          <w:color w:val="auto"/>
          <w:sz w:val="24"/>
          <w:highlight w:val="none"/>
        </w:rPr>
      </w:pPr>
    </w:p>
    <w:p w14:paraId="09531584">
      <w:pPr>
        <w:autoSpaceDE w:val="0"/>
        <w:autoSpaceDN w:val="0"/>
        <w:adjustRightInd w:val="0"/>
        <w:spacing w:line="360" w:lineRule="auto"/>
        <w:rPr>
          <w:rFonts w:ascii="宋体" w:hAnsi="宋体" w:cs="宋体"/>
          <w:color w:val="auto"/>
          <w:sz w:val="24"/>
          <w:highlight w:val="none"/>
        </w:rPr>
      </w:pPr>
    </w:p>
    <w:p w14:paraId="04610127">
      <w:pPr>
        <w:autoSpaceDE w:val="0"/>
        <w:autoSpaceDN w:val="0"/>
        <w:adjustRightInd w:val="0"/>
        <w:spacing w:line="360" w:lineRule="auto"/>
        <w:rPr>
          <w:rFonts w:ascii="宋体" w:hAnsi="宋体" w:cs="宋体"/>
          <w:color w:val="auto"/>
          <w:sz w:val="24"/>
          <w:highlight w:val="none"/>
        </w:rPr>
      </w:pPr>
    </w:p>
    <w:p w14:paraId="6C4321DF">
      <w:pPr>
        <w:autoSpaceDE w:val="0"/>
        <w:autoSpaceDN w:val="0"/>
        <w:adjustRightInd w:val="0"/>
        <w:spacing w:line="360" w:lineRule="auto"/>
        <w:rPr>
          <w:rFonts w:ascii="宋体" w:hAnsi="宋体" w:cs="宋体"/>
          <w:color w:val="auto"/>
          <w:sz w:val="24"/>
          <w:highlight w:val="none"/>
        </w:rPr>
      </w:pPr>
    </w:p>
    <w:p w14:paraId="6CE94EEA">
      <w:pPr>
        <w:autoSpaceDE w:val="0"/>
        <w:autoSpaceDN w:val="0"/>
        <w:adjustRightInd w:val="0"/>
        <w:spacing w:line="360" w:lineRule="auto"/>
        <w:rPr>
          <w:rFonts w:ascii="宋体" w:hAnsi="宋体" w:cs="宋体"/>
          <w:color w:val="auto"/>
          <w:sz w:val="24"/>
          <w:highlight w:val="none"/>
        </w:rPr>
      </w:pPr>
    </w:p>
    <w:p w14:paraId="40FAE3EE">
      <w:pPr>
        <w:autoSpaceDE w:val="0"/>
        <w:autoSpaceDN w:val="0"/>
        <w:adjustRightInd w:val="0"/>
        <w:spacing w:line="360" w:lineRule="auto"/>
        <w:rPr>
          <w:rFonts w:ascii="宋体" w:hAnsi="宋体" w:cs="宋体"/>
          <w:color w:val="auto"/>
          <w:sz w:val="24"/>
          <w:highlight w:val="none"/>
        </w:rPr>
      </w:pPr>
    </w:p>
    <w:p w14:paraId="770D6DC8">
      <w:pPr>
        <w:autoSpaceDE w:val="0"/>
        <w:autoSpaceDN w:val="0"/>
        <w:adjustRightInd w:val="0"/>
        <w:spacing w:line="360" w:lineRule="auto"/>
        <w:rPr>
          <w:rFonts w:ascii="宋体" w:hAnsi="宋体" w:cs="宋体"/>
          <w:color w:val="auto"/>
          <w:sz w:val="24"/>
          <w:highlight w:val="none"/>
        </w:rPr>
      </w:pPr>
    </w:p>
    <w:p w14:paraId="09DAD6C2">
      <w:pPr>
        <w:pStyle w:val="5"/>
        <w:rPr>
          <w:color w:val="auto"/>
        </w:rPr>
        <w:sectPr>
          <w:footerReference r:id="rId9" w:type="first"/>
          <w:headerReference r:id="rId6" w:type="default"/>
          <w:footerReference r:id="rId7" w:type="default"/>
          <w:footerReference r:id="rId8" w:type="even"/>
          <w:pgSz w:w="11906" w:h="16838"/>
          <w:pgMar w:top="1440" w:right="1531" w:bottom="1440" w:left="1588"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22241BAF">
      <w:pPr>
        <w:rPr>
          <w:color w:val="auto"/>
        </w:rPr>
      </w:pPr>
    </w:p>
    <w:p w14:paraId="1AB4AADF">
      <w:pPr>
        <w:pStyle w:val="3"/>
        <w:spacing w:line="440" w:lineRule="exact"/>
        <w:jc w:val="center"/>
        <w:rPr>
          <w:rFonts w:hint="eastAsia" w:ascii="宋体" w:hAnsi="宋体" w:eastAsia="宋体" w:cs="Times New Roman"/>
          <w:bCs/>
          <w:color w:val="auto"/>
          <w:sz w:val="36"/>
          <w:szCs w:val="36"/>
          <w:highlight w:val="none"/>
        </w:rPr>
      </w:pPr>
      <w:bookmarkStart w:id="1" w:name="_Toc691"/>
      <w:bookmarkStart w:id="2" w:name="_Toc23662"/>
      <w:r>
        <w:rPr>
          <w:rFonts w:hint="eastAsia" w:ascii="宋体" w:hAnsi="宋体" w:eastAsia="宋体" w:cs="Times New Roman"/>
          <w:bCs/>
          <w:color w:val="auto"/>
          <w:sz w:val="36"/>
          <w:szCs w:val="36"/>
          <w:highlight w:val="none"/>
        </w:rPr>
        <w:t>第一章  竞争性磋商公告</w:t>
      </w:r>
      <w:bookmarkEnd w:id="1"/>
      <w:bookmarkEnd w:id="2"/>
    </w:p>
    <w:p w14:paraId="4370BE05">
      <w:pPr>
        <w:rPr>
          <w:rFonts w:hint="eastAsia"/>
          <w:color w:val="auto"/>
        </w:rPr>
      </w:pPr>
    </w:p>
    <w:bookmarkEnd w:id="0"/>
    <w:p w14:paraId="6C022E40">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 xml:space="preserve">一、项目基本情况 </w:t>
      </w:r>
    </w:p>
    <w:p w14:paraId="26FE44C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采购项目编号：</w:t>
      </w:r>
      <w:r>
        <w:rPr>
          <w:rFonts w:hint="eastAsia" w:ascii="宋体" w:hAnsi="宋体" w:cs="宋体"/>
          <w:color w:val="auto"/>
          <w:sz w:val="24"/>
          <w:szCs w:val="24"/>
          <w:highlight w:val="none"/>
          <w:lang w:eastAsia="zh-CN"/>
        </w:rPr>
        <w:t>睢县财采磋-2025-57</w:t>
      </w:r>
    </w:p>
    <w:p w14:paraId="63FCCAF9">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采购项目名</w:t>
      </w:r>
      <w:r>
        <w:rPr>
          <w:rFonts w:hint="eastAsia" w:ascii="宋体" w:hAnsi="宋体" w:eastAsia="宋体" w:cs="宋体"/>
          <w:color w:val="auto"/>
          <w:sz w:val="24"/>
          <w:szCs w:val="24"/>
          <w:highlight w:val="none"/>
          <w:lang w:val="en-US" w:eastAsia="zh-CN"/>
        </w:rPr>
        <w:t>称：</w:t>
      </w:r>
      <w:r>
        <w:rPr>
          <w:rFonts w:hint="eastAsia" w:ascii="宋体" w:hAnsi="宋体" w:cs="宋体"/>
          <w:color w:val="auto"/>
          <w:sz w:val="24"/>
          <w:szCs w:val="24"/>
          <w:highlight w:val="none"/>
          <w:lang w:val="en-US" w:eastAsia="zh-CN"/>
        </w:rPr>
        <w:t>睢县妇幼保健院营养餐厅运营管理项目（三次）</w:t>
      </w:r>
    </w:p>
    <w:p w14:paraId="46873623">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采购方式：竞争性磋商</w:t>
      </w:r>
    </w:p>
    <w:p w14:paraId="5FA61F3C">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预算金额：</w:t>
      </w:r>
      <w:r>
        <w:rPr>
          <w:rFonts w:hint="eastAsia" w:ascii="宋体" w:hAnsi="宋体" w:cs="宋体"/>
          <w:color w:val="auto"/>
          <w:sz w:val="24"/>
          <w:szCs w:val="24"/>
          <w:highlight w:val="none"/>
          <w:lang w:val="en-US" w:eastAsia="zh-CN"/>
        </w:rPr>
        <w:t>489600.00元</w:t>
      </w:r>
    </w:p>
    <w:p w14:paraId="1CF40642">
      <w:pPr>
        <w:keepNext w:val="0"/>
        <w:keepLines w:val="0"/>
        <w:pageBreakBefore w:val="0"/>
        <w:widowControl w:val="0"/>
        <w:kinsoku/>
        <w:wordWrap/>
        <w:overflowPunct/>
        <w:topLinePunct w:val="0"/>
        <w:autoSpaceDE/>
        <w:autoSpaceDN/>
        <w:bidi w:val="0"/>
        <w:adjustRightInd w:val="0"/>
        <w:snapToGrid w:val="0"/>
        <w:spacing w:after="0" w:line="440" w:lineRule="exact"/>
        <w:ind w:firstLine="720" w:firstLineChars="3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最高限价：489600.00元</w:t>
      </w:r>
    </w:p>
    <w:p w14:paraId="7D1437FE">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采购需求（包括但不限于标的的名称、数量、简要技术需求或服务要求等） </w:t>
      </w:r>
    </w:p>
    <w:p w14:paraId="1AF2EFE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1采购</w:t>
      </w:r>
      <w:r>
        <w:rPr>
          <w:rFonts w:hint="eastAsia" w:ascii="宋体" w:hAnsi="宋体" w:cs="宋体"/>
          <w:color w:val="auto"/>
          <w:sz w:val="24"/>
          <w:szCs w:val="24"/>
          <w:highlight w:val="none"/>
          <w:lang w:eastAsia="zh-CN"/>
        </w:rPr>
        <w:t>内容</w:t>
      </w:r>
      <w:r>
        <w:rPr>
          <w:rFonts w:hint="eastAsia" w:ascii="宋体" w:hAnsi="宋体" w:eastAsia="宋体" w:cs="宋体"/>
          <w:color w:val="auto"/>
          <w:sz w:val="24"/>
          <w:szCs w:val="24"/>
          <w:highlight w:val="none"/>
          <w:lang w:eastAsia="zh-CN"/>
        </w:rPr>
        <w:t>：睢县妇幼保健院营养餐厅</w:t>
      </w:r>
      <w:r>
        <w:rPr>
          <w:rFonts w:hint="eastAsia" w:ascii="宋体" w:hAnsi="宋体" w:eastAsia="宋体" w:cs="宋体"/>
          <w:color w:val="auto"/>
          <w:sz w:val="24"/>
          <w:szCs w:val="24"/>
          <w:highlight w:val="none"/>
          <w:lang w:val="en-US" w:eastAsia="zh-CN"/>
        </w:rPr>
        <w:t>使用面积约680㎡</w:t>
      </w:r>
      <w:r>
        <w:rPr>
          <w:rFonts w:hint="eastAsia" w:ascii="宋体" w:hAnsi="宋体" w:eastAsia="宋体" w:cs="宋体"/>
          <w:color w:val="auto"/>
          <w:sz w:val="24"/>
          <w:szCs w:val="24"/>
          <w:highlight w:val="none"/>
          <w:lang w:eastAsia="zh-CN"/>
        </w:rPr>
        <w:t>，承担病患及其家属用餐、职工用餐、重点科室送餐、会议和加班用餐，拥有一定的应急储备能力应对突发事件</w:t>
      </w:r>
      <w:r>
        <w:rPr>
          <w:rFonts w:hint="eastAsia" w:ascii="宋体" w:hAnsi="宋体" w:cs="宋体"/>
          <w:color w:val="auto"/>
          <w:kern w:val="0"/>
          <w:sz w:val="24"/>
          <w:szCs w:val="24"/>
          <w:highlight w:val="none"/>
          <w:lang w:eastAsia="zh-CN"/>
        </w:rPr>
        <w:t>，详见第五章采购需求。</w:t>
      </w:r>
    </w:p>
    <w:p w14:paraId="568859D0">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val="en-US" w:eastAsia="zh-CN"/>
        </w:rPr>
        <w:t>服务期限</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rPr>
        <w:t>2年</w:t>
      </w:r>
    </w:p>
    <w:p w14:paraId="20F5797E">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b w:val="0"/>
          <w:bCs w:val="0"/>
          <w:color w:val="auto"/>
          <w:sz w:val="24"/>
          <w:szCs w:val="24"/>
          <w:highlight w:val="none"/>
          <w:u w:val="none"/>
          <w:lang w:val="en-US" w:eastAsia="zh-CN"/>
        </w:rPr>
        <w:t>5.3</w:t>
      </w:r>
      <w:r>
        <w:rPr>
          <w:rFonts w:hint="eastAsia" w:ascii="宋体" w:hAnsi="宋体" w:eastAsia="宋体" w:cs="宋体"/>
          <w:color w:val="auto"/>
          <w:sz w:val="24"/>
          <w:szCs w:val="24"/>
          <w:highlight w:val="none"/>
          <w:lang w:eastAsia="zh-CN"/>
        </w:rPr>
        <w:t>质量要求：</w:t>
      </w:r>
      <w:r>
        <w:rPr>
          <w:rFonts w:hint="eastAsia" w:ascii="宋体" w:hAnsi="宋体" w:cs="宋体"/>
          <w:color w:val="auto"/>
          <w:sz w:val="24"/>
          <w:szCs w:val="24"/>
          <w:highlight w:val="none"/>
          <w:lang w:eastAsia="zh-CN"/>
        </w:rPr>
        <w:t>合格，满足采购人需求</w:t>
      </w:r>
    </w:p>
    <w:p w14:paraId="6C6689A3">
      <w:pPr>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cs="宋体"/>
          <w:b w:val="0"/>
          <w:bCs w:val="0"/>
          <w:color w:val="auto"/>
          <w:sz w:val="24"/>
          <w:szCs w:val="24"/>
          <w:u w:val="none"/>
          <w:lang w:val="en-US" w:eastAsia="zh-CN"/>
        </w:rPr>
      </w:pPr>
      <w:r>
        <w:rPr>
          <w:rFonts w:hint="eastAsia" w:ascii="宋体" w:hAnsi="宋体" w:eastAsia="宋体" w:cs="宋体"/>
          <w:b w:val="0"/>
          <w:bCs w:val="0"/>
          <w:color w:val="auto"/>
          <w:kern w:val="2"/>
          <w:sz w:val="24"/>
          <w:szCs w:val="24"/>
          <w:lang w:val="en-US" w:eastAsia="zh-CN" w:bidi="ar-SA"/>
        </w:rPr>
        <w:t>6.</w:t>
      </w:r>
      <w:r>
        <w:rPr>
          <w:rFonts w:hint="eastAsia" w:ascii="宋体" w:hAnsi="宋体" w:eastAsia="宋体" w:cs="宋体"/>
          <w:color w:val="auto"/>
          <w:sz w:val="24"/>
          <w:szCs w:val="24"/>
          <w:highlight w:val="none"/>
          <w:lang w:eastAsia="zh-CN"/>
        </w:rPr>
        <w:t>合同履行期限：</w:t>
      </w:r>
      <w:r>
        <w:rPr>
          <w:rFonts w:hint="eastAsia" w:ascii="宋体" w:hAnsi="宋体" w:cs="宋体"/>
          <w:b w:val="0"/>
          <w:bCs w:val="0"/>
          <w:color w:val="auto"/>
          <w:sz w:val="24"/>
          <w:szCs w:val="24"/>
          <w:u w:val="none"/>
          <w:lang w:val="en-US" w:eastAsia="zh-CN"/>
        </w:rPr>
        <w:t>同服务期限</w:t>
      </w:r>
    </w:p>
    <w:p w14:paraId="1362BE3B">
      <w:pPr>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本项目是否接受联合体投标：</w:t>
      </w:r>
      <w:r>
        <w:rPr>
          <w:rFonts w:hint="eastAsia" w:ascii="宋体" w:hAnsi="宋体" w:eastAsia="宋体" w:cs="宋体"/>
          <w:color w:val="auto"/>
          <w:sz w:val="24"/>
          <w:szCs w:val="24"/>
          <w:highlight w:val="none"/>
          <w:lang w:val="en-US" w:eastAsia="zh-CN"/>
        </w:rPr>
        <w:t>否</w:t>
      </w:r>
      <w:r>
        <w:rPr>
          <w:rFonts w:hint="eastAsia" w:ascii="宋体" w:hAnsi="宋体" w:eastAsia="宋体" w:cs="宋体"/>
          <w:color w:val="auto"/>
          <w:sz w:val="24"/>
          <w:szCs w:val="24"/>
          <w:highlight w:val="none"/>
          <w:lang w:eastAsia="zh-CN"/>
        </w:rPr>
        <w:t xml:space="preserve">  </w:t>
      </w:r>
    </w:p>
    <w:p w14:paraId="4058A969">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是否接受进口产品：</w:t>
      </w:r>
      <w:r>
        <w:rPr>
          <w:rFonts w:hint="eastAsia" w:ascii="宋体" w:hAnsi="宋体" w:cs="宋体"/>
          <w:color w:val="auto"/>
          <w:sz w:val="24"/>
          <w:szCs w:val="24"/>
          <w:highlight w:val="none"/>
          <w:lang w:val="en-US" w:eastAsia="zh-CN"/>
        </w:rPr>
        <w:t>否</w:t>
      </w:r>
    </w:p>
    <w:p w14:paraId="380723D3">
      <w:pPr>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9.是否专门面向中小企业：</w:t>
      </w:r>
      <w:r>
        <w:rPr>
          <w:rFonts w:hint="eastAsia" w:ascii="宋体" w:hAnsi="宋体" w:cs="宋体"/>
          <w:color w:val="auto"/>
          <w:sz w:val="24"/>
          <w:szCs w:val="24"/>
          <w:highlight w:val="none"/>
          <w:lang w:val="en-US" w:eastAsia="zh-CN"/>
        </w:rPr>
        <w:t>是</w:t>
      </w:r>
      <w:r>
        <w:rPr>
          <w:rFonts w:hint="eastAsia" w:ascii="宋体" w:hAnsi="宋体" w:eastAsia="宋体" w:cs="宋体"/>
          <w:color w:val="auto"/>
          <w:sz w:val="24"/>
          <w:szCs w:val="24"/>
          <w:highlight w:val="none"/>
          <w:lang w:val="en-US" w:eastAsia="zh-CN"/>
        </w:rPr>
        <w:t>。</w:t>
      </w:r>
    </w:p>
    <w:p w14:paraId="34D9F6ED">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 xml:space="preserve">二、申请人资格要求： </w:t>
      </w:r>
    </w:p>
    <w:p w14:paraId="0B6B127B">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w:t>
      </w:r>
    </w:p>
    <w:p w14:paraId="69E1FC6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2.落实政府采购政策满足的资格要求： </w:t>
      </w:r>
    </w:p>
    <w:p w14:paraId="637634AA">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本项目专门面向中小企业采购，提供《中小企业声明函》</w:t>
      </w:r>
      <w:r>
        <w:rPr>
          <w:rFonts w:hint="eastAsia" w:ascii="宋体" w:hAnsi="宋体" w:cs="宋体"/>
          <w:color w:val="auto"/>
          <w:sz w:val="24"/>
          <w:szCs w:val="24"/>
          <w:highlight w:val="none"/>
          <w:lang w:val="en-US" w:eastAsia="zh-CN"/>
        </w:rPr>
        <w:t>。</w:t>
      </w:r>
    </w:p>
    <w:p w14:paraId="48BD6831">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31C4FFB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3.1具有独立承担民事责任的能力</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提供营业执照</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0A4E7CE1">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3.2具有良好的商业信誉和健全的财务会计制度（提供202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度或2024年度</w:t>
      </w:r>
      <w:r>
        <w:rPr>
          <w:rFonts w:hint="eastAsia" w:ascii="宋体" w:hAnsi="宋体" w:eastAsia="宋体" w:cs="宋体"/>
          <w:color w:val="auto"/>
          <w:sz w:val="24"/>
          <w:szCs w:val="24"/>
          <w:highlight w:val="none"/>
          <w:lang w:val="en-US" w:eastAsia="zh-CN"/>
        </w:rPr>
        <w:t>任意一年的财务审计报告或财务会计报表，新成立的企业提供银行出具的资信证明）。</w:t>
      </w:r>
    </w:p>
    <w:p w14:paraId="3476B7ED">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3.3具有履行合同所必需的设备和专业技术能力（自行承诺，格式自拟）。</w:t>
      </w:r>
    </w:p>
    <w:p w14:paraId="76AD325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3.4有依法缴纳税收和社会保障资金的良好记录（自行承诺，格式自拟）。</w:t>
      </w:r>
    </w:p>
    <w:p w14:paraId="128D696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3.5参加政府采购活动前三年内，在经营活动中没有重大违法记录（自行承诺，格式自拟）</w:t>
      </w:r>
      <w:r>
        <w:rPr>
          <w:rFonts w:hint="eastAsia" w:ascii="宋体" w:hAnsi="宋体" w:cs="宋体"/>
          <w:color w:val="auto"/>
          <w:sz w:val="24"/>
          <w:szCs w:val="24"/>
          <w:highlight w:val="none"/>
          <w:lang w:val="en-US" w:eastAsia="zh-CN"/>
        </w:rPr>
        <w:t>；</w:t>
      </w:r>
    </w:p>
    <w:p w14:paraId="1F61EFC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3.6法律、行政法规规定的其他条件（自行承诺，格式自拟）。</w:t>
      </w:r>
    </w:p>
    <w:p w14:paraId="5DBE419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供应商具有行政管理部门颁发的有效期内的《食品经营许可证》；</w:t>
      </w:r>
    </w:p>
    <w:p w14:paraId="529A6CB3">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根据《关于在政府采购活动中查询及使用信用记录有关问题的通知》</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财库</w:t>
      </w:r>
      <w:r>
        <w:rPr>
          <w:rFonts w:hint="eastAsia" w:ascii="宋体" w:hAnsi="宋体" w:cs="宋体"/>
          <w:color w:val="auto"/>
          <w:sz w:val="24"/>
          <w:szCs w:val="24"/>
          <w:highlight w:val="none"/>
          <w:lang w:val="en-US" w:eastAsia="zh-CN"/>
        </w:rPr>
        <w:t>〔2016〕125号）</w:t>
      </w:r>
      <w:r>
        <w:rPr>
          <w:rFonts w:hint="eastAsia" w:ascii="宋体" w:hAnsi="宋体" w:eastAsia="宋体" w:cs="宋体"/>
          <w:color w:val="auto"/>
          <w:sz w:val="24"/>
          <w:szCs w:val="24"/>
          <w:highlight w:val="none"/>
          <w:lang w:val="en-US" w:eastAsia="zh-CN"/>
        </w:rPr>
        <w:t>的规定，对列入失信被执行人、重大税收违法失信主体、政府采购严重违法失信行为记录名单的供应商，拒绝参与本项目政府采购活动；【查询渠道：“信用中国”网站（www.creditchina.gov.cn）、中国政府采购网（www.ccgp.gov.cn）】，以代理机构现场查询为准。</w:t>
      </w:r>
    </w:p>
    <w:p w14:paraId="3F84DD3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单位负责人为同一人或者存在直接控股、管理关系的不同供应商，不得参加同一合同项下的政府采购活动</w:t>
      </w:r>
      <w:r>
        <w:rPr>
          <w:rFonts w:hint="eastAsia" w:ascii="宋体" w:hAnsi="宋体" w:cs="宋体"/>
          <w:color w:val="auto"/>
          <w:sz w:val="24"/>
          <w:szCs w:val="24"/>
          <w:highlight w:val="none"/>
          <w:lang w:val="en-US" w:eastAsia="zh-CN"/>
        </w:rPr>
        <w:t>（提供在“国家企业信用信息公示系统”中查询的包含公司基本信息、股东信息及股权变更信息等查询网页截图）。</w:t>
      </w:r>
    </w:p>
    <w:p w14:paraId="2A7C43A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3.10</w:t>
      </w:r>
      <w:r>
        <w:rPr>
          <w:rFonts w:hint="eastAsia" w:ascii="宋体" w:hAnsi="宋体" w:eastAsia="宋体" w:cs="宋体"/>
          <w:color w:val="auto"/>
          <w:sz w:val="24"/>
          <w:szCs w:val="24"/>
          <w:highlight w:val="none"/>
          <w:lang w:val="en-US" w:eastAsia="zh-CN"/>
        </w:rPr>
        <w:t>为采购项目提供整体设计、规范编制或者项目管理、监理、检测等服务的供应商，不得再参加该采购项目的其他采购活动。（出具承诺书并加盖单位公章）</w:t>
      </w:r>
    </w:p>
    <w:p w14:paraId="6AFAB79A">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本次采购实行资格后审。</w:t>
      </w:r>
    </w:p>
    <w:p w14:paraId="4BF53444">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三、</w:t>
      </w:r>
      <w:r>
        <w:rPr>
          <w:rFonts w:hint="eastAsia" w:ascii="宋体" w:hAnsi="宋体" w:cs="宋体"/>
          <w:b/>
          <w:color w:val="auto"/>
          <w:sz w:val="28"/>
          <w:szCs w:val="28"/>
          <w:highlight w:val="none"/>
        </w:rPr>
        <w:t xml:space="preserve">获取磋商文件 </w:t>
      </w:r>
      <w:r>
        <w:rPr>
          <w:rFonts w:hint="eastAsia" w:ascii="宋体" w:hAnsi="宋体" w:eastAsia="宋体" w:cs="宋体"/>
          <w:b/>
          <w:color w:val="auto"/>
          <w:sz w:val="24"/>
          <w:szCs w:val="24"/>
          <w:highlight w:val="none"/>
          <w:lang w:eastAsia="zh-CN"/>
        </w:rPr>
        <w:t xml:space="preserve"> </w:t>
      </w:r>
    </w:p>
    <w:p w14:paraId="4A054E2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日每天上午08:30至12:00，下午</w:t>
      </w:r>
      <w:r>
        <w:rPr>
          <w:rFonts w:hint="eastAsia" w:ascii="宋体" w:hAnsi="宋体" w:cs="宋体"/>
          <w:color w:val="auto"/>
          <w:sz w:val="24"/>
          <w:szCs w:val="24"/>
          <w:highlight w:val="none"/>
          <w:lang w:val="en-US" w:eastAsia="zh-CN"/>
        </w:rPr>
        <w:t>14：30</w:t>
      </w:r>
      <w:r>
        <w:rPr>
          <w:rFonts w:hint="eastAsia" w:ascii="宋体" w:hAnsi="宋体" w:eastAsia="宋体" w:cs="宋体"/>
          <w:color w:val="auto"/>
          <w:sz w:val="24"/>
          <w:szCs w:val="24"/>
          <w:highlight w:val="none"/>
          <w:lang w:val="en-US" w:eastAsia="zh-CN"/>
        </w:rPr>
        <w:t>至1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0（北京时间，法定节假日除外）</w:t>
      </w:r>
      <w:r>
        <w:rPr>
          <w:rFonts w:hint="eastAsia" w:ascii="宋体" w:hAnsi="宋体" w:cs="宋体"/>
          <w:color w:val="auto"/>
          <w:sz w:val="24"/>
          <w:szCs w:val="24"/>
          <w:highlight w:val="none"/>
          <w:lang w:val="en-US" w:eastAsia="zh-CN"/>
        </w:rPr>
        <w:t>；</w:t>
      </w:r>
    </w:p>
    <w:p w14:paraId="06CD8B14">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2、地点：河南联达工程管理有限公司（地址：郑州市二七区兴华北街18号盛世经纬B座4楼</w:t>
      </w:r>
      <w:r>
        <w:rPr>
          <w:rFonts w:hint="eastAsia" w:ascii="宋体" w:hAnsi="宋体" w:cs="宋体"/>
          <w:color w:val="auto"/>
          <w:sz w:val="24"/>
          <w:szCs w:val="24"/>
          <w:highlight w:val="none"/>
          <w:lang w:val="en-US" w:eastAsia="zh-CN"/>
        </w:rPr>
        <w:t>413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w:t>
      </w:r>
    </w:p>
    <w:p w14:paraId="15CF117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3、方式：</w:t>
      </w:r>
    </w:p>
    <w:p w14:paraId="2D4CAE23">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default" w:ascii="Calibri" w:hAnsi="Calibri" w:eastAsia="宋体" w:cs="Calibri"/>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符合资格要求的企业须持法定代表人授权委托书（授权委托书上需要有授权委托人姓名、联系方式、邮箱等信息</w:t>
      </w:r>
      <w:r>
        <w:rPr>
          <w:rFonts w:hint="eastAsia" w:ascii="宋体" w:hAnsi="宋体" w:cs="宋体"/>
          <w:color w:val="auto"/>
          <w:sz w:val="24"/>
          <w:szCs w:val="24"/>
          <w:highlight w:val="none"/>
          <w:lang w:val="en-US" w:eastAsia="zh-CN"/>
        </w:rPr>
        <w:t>）现场</w:t>
      </w:r>
      <w:r>
        <w:rPr>
          <w:rFonts w:hint="eastAsia" w:ascii="宋体" w:hAnsi="宋体" w:eastAsia="宋体" w:cs="宋体"/>
          <w:color w:val="auto"/>
          <w:sz w:val="24"/>
          <w:szCs w:val="24"/>
          <w:highlight w:val="none"/>
          <w:lang w:val="en-US" w:eastAsia="zh-CN"/>
        </w:rPr>
        <w:t>购买文件</w:t>
      </w:r>
      <w:r>
        <w:rPr>
          <w:rFonts w:hint="eastAsia" w:ascii="宋体" w:hAnsi="宋体" w:cs="宋体"/>
          <w:color w:val="auto"/>
          <w:sz w:val="24"/>
          <w:szCs w:val="24"/>
          <w:highlight w:val="none"/>
          <w:lang w:val="en-US" w:eastAsia="zh-CN"/>
        </w:rPr>
        <w:t>；</w:t>
      </w:r>
    </w:p>
    <w:p w14:paraId="7423F0A1">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Calibri" w:hAnsi="Calibri" w:cs="Calibri"/>
          <w:color w:val="auto"/>
          <w:sz w:val="24"/>
          <w:szCs w:val="24"/>
          <w:highlight w:val="none"/>
          <w:lang w:val="en-US" w:eastAsia="zh-CN"/>
        </w:rPr>
        <w:t>②</w:t>
      </w:r>
      <w:r>
        <w:rPr>
          <w:rFonts w:hint="eastAsia" w:ascii="宋体" w:hAnsi="宋体" w:cs="宋体"/>
          <w:color w:val="auto"/>
          <w:sz w:val="24"/>
          <w:szCs w:val="24"/>
          <w:highlight w:val="none"/>
          <w:lang w:val="en-US" w:eastAsia="zh-CN"/>
        </w:rPr>
        <w:t>供应商也可将法定代表人授权委托书扫描件发送至2632786967@qq.com电子邮箱，并电话告知代理机构后（0371-68893199）购买文件；</w:t>
      </w:r>
    </w:p>
    <w:p w14:paraId="311AFB6B">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left"/>
        <w:textAlignment w:val="auto"/>
        <w:rPr>
          <w:rFonts w:hint="eastAsia"/>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、售价：</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00元/份。文件费可采取公对公转账或其他方式交纳，转账时备注供应商名称+项目名称</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备注可简写</w:t>
      </w:r>
      <w:r>
        <w:rPr>
          <w:rFonts w:hint="eastAsia" w:ascii="宋体" w:hAnsi="宋体" w:cs="宋体"/>
          <w:color w:val="auto"/>
          <w:sz w:val="24"/>
          <w:szCs w:val="24"/>
          <w:highlight w:val="none"/>
          <w:lang w:val="en-US" w:eastAsia="zh-CN"/>
        </w:rPr>
        <w:t>）。</w:t>
      </w:r>
    </w:p>
    <w:p w14:paraId="784D0B55">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单位名称：河南联达工程管理有限公司</w:t>
      </w:r>
    </w:p>
    <w:p w14:paraId="68D623C1">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开户行：中国建设银行股份有限公司郑州陇海路支行</w:t>
      </w:r>
    </w:p>
    <w:p w14:paraId="57912A6C">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账号：4105 0167 2852 0000 1740</w:t>
      </w:r>
    </w:p>
    <w:p w14:paraId="523E7F70">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四、</w:t>
      </w:r>
      <w:r>
        <w:rPr>
          <w:rFonts w:hint="eastAsia" w:ascii="宋体" w:hAnsi="宋体" w:cs="宋体"/>
          <w:b/>
          <w:color w:val="auto"/>
          <w:sz w:val="28"/>
          <w:szCs w:val="28"/>
          <w:highlight w:val="none"/>
        </w:rPr>
        <w:t>响应文件提交</w:t>
      </w:r>
    </w:p>
    <w:p w14:paraId="19234E31">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1.截止时间：202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分（北京时间）；</w:t>
      </w:r>
    </w:p>
    <w:p w14:paraId="4EB66D4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2.地点：睢县妇幼保健院（南环路）新院区门诊楼四楼一号会议室。</w:t>
      </w:r>
    </w:p>
    <w:p w14:paraId="57F68E2B">
      <w:pPr>
        <w:snapToGrid w:val="0"/>
        <w:spacing w:line="360" w:lineRule="auto"/>
        <w:rPr>
          <w:rFonts w:ascii="宋体" w:hAnsi="宋体" w:cs="宋体"/>
          <w:b/>
          <w:color w:val="auto"/>
          <w:sz w:val="28"/>
          <w:szCs w:val="28"/>
          <w:highlight w:val="none"/>
        </w:rPr>
      </w:pPr>
      <w:r>
        <w:rPr>
          <w:rFonts w:hint="eastAsia" w:ascii="宋体" w:hAnsi="宋体" w:eastAsia="宋体" w:cs="宋体"/>
          <w:b/>
          <w:color w:val="auto"/>
          <w:sz w:val="24"/>
          <w:szCs w:val="24"/>
          <w:highlight w:val="none"/>
          <w:lang w:eastAsia="zh-CN"/>
        </w:rPr>
        <w:t>五、</w:t>
      </w:r>
      <w:r>
        <w:rPr>
          <w:rFonts w:hint="eastAsia" w:ascii="宋体" w:hAnsi="宋体" w:cs="宋体"/>
          <w:b/>
          <w:color w:val="auto"/>
          <w:sz w:val="28"/>
          <w:szCs w:val="28"/>
          <w:highlight w:val="none"/>
        </w:rPr>
        <w:t xml:space="preserve">响应文件开启 </w:t>
      </w:r>
    </w:p>
    <w:p w14:paraId="0D126759">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22</w:t>
      </w:r>
      <w:bookmarkStart w:id="205" w:name="_GoBack"/>
      <w:bookmarkEnd w:id="205"/>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分（北京时间）；</w:t>
      </w:r>
    </w:p>
    <w:p w14:paraId="62D32B1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2.地点：睢县妇幼保健院（南环路）新院区门诊楼四楼一号会议室。</w:t>
      </w:r>
    </w:p>
    <w:p w14:paraId="3738545A">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 xml:space="preserve">六、发布公告的媒介及公告期限 </w:t>
      </w:r>
    </w:p>
    <w:p w14:paraId="571E8A8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本次公告同时在《河南省政府采购网》、《商丘市政府采购网》</w:t>
      </w:r>
      <w:r>
        <w:rPr>
          <w:rFonts w:hint="eastAsia" w:ascii="宋体" w:hAnsi="宋体" w:eastAsia="宋体" w:cs="宋体"/>
          <w:color w:val="auto"/>
          <w:sz w:val="24"/>
          <w:szCs w:val="24"/>
          <w:highlight w:val="none"/>
          <w:lang w:val="en-US" w:eastAsia="zh-CN"/>
        </w:rPr>
        <w:t>上发布</w:t>
      </w:r>
      <w:r>
        <w:rPr>
          <w:rFonts w:hint="eastAsia" w:ascii="宋体" w:hAnsi="宋体" w:eastAsia="宋体" w:cs="宋体"/>
          <w:color w:val="auto"/>
          <w:sz w:val="24"/>
          <w:szCs w:val="24"/>
          <w:highlight w:val="none"/>
          <w:lang w:eastAsia="zh-CN"/>
        </w:rPr>
        <w:t>，公告期限为</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lang w:eastAsia="zh-CN"/>
        </w:rPr>
        <w:t xml:space="preserve">个工作日。 </w:t>
      </w:r>
    </w:p>
    <w:p w14:paraId="257727E9">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 xml:space="preserve">七、其他补充事宜 </w:t>
      </w:r>
    </w:p>
    <w:p w14:paraId="23CBE97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本项目落实的政府采购政策：本项目执行环保、中小微企业、监狱企业、残疾人福利性单位等相关政府采购政策。</w:t>
      </w:r>
    </w:p>
    <w:p w14:paraId="5FDA282E">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 xml:space="preserve">八、凡对本次招标提出询问，请按照以下方式联系 </w:t>
      </w:r>
    </w:p>
    <w:p w14:paraId="4DAB5425">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 xml:space="preserve">1、采购人信息 </w:t>
      </w:r>
    </w:p>
    <w:p w14:paraId="241544AD">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名称：睢县妇幼保健院</w:t>
      </w:r>
    </w:p>
    <w:p w14:paraId="611AA0AF">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地址：河南省睢县</w:t>
      </w:r>
    </w:p>
    <w:p w14:paraId="5A94C010">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联系人：王女士</w:t>
      </w:r>
    </w:p>
    <w:p w14:paraId="109D1CD1">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联系方式：15138571891</w:t>
      </w:r>
    </w:p>
    <w:p w14:paraId="0DC55293">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 xml:space="preserve">2、采购代理机构信息（如有） </w:t>
      </w:r>
    </w:p>
    <w:p w14:paraId="7E5513AD">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 xml:space="preserve">名称：河南联达工程管理有限公司 </w:t>
      </w:r>
    </w:p>
    <w:p w14:paraId="1257E343">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地址：河南省郑州市兴华北街18号盛世经纬B座4楼</w:t>
      </w:r>
    </w:p>
    <w:p w14:paraId="242B67F7">
      <w:pPr>
        <w:spacing w:line="360" w:lineRule="auto"/>
        <w:ind w:firstLine="720" w:firstLineChars="3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联系人：葛明博</w:t>
      </w:r>
      <w:r>
        <w:rPr>
          <w:rFonts w:hint="eastAsia" w:ascii="宋体" w:hAnsi="宋体" w:cs="宋体"/>
          <w:color w:val="auto"/>
          <w:sz w:val="24"/>
          <w:highlight w:val="none"/>
          <w:lang w:val="en-US" w:eastAsia="zh-CN"/>
        </w:rPr>
        <w:t xml:space="preserve"> 吴亚景 </w:t>
      </w:r>
    </w:p>
    <w:p w14:paraId="576616C7">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联系方式：0371-68893199</w:t>
      </w:r>
    </w:p>
    <w:p w14:paraId="40D55D62">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 xml:space="preserve">3、项目联系方式 </w:t>
      </w:r>
    </w:p>
    <w:p w14:paraId="6C5E527E">
      <w:pPr>
        <w:spacing w:line="360" w:lineRule="auto"/>
        <w:ind w:firstLine="720" w:firstLineChars="3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项目联系人：葛明博</w:t>
      </w:r>
      <w:r>
        <w:rPr>
          <w:rFonts w:hint="eastAsia" w:ascii="宋体" w:hAnsi="宋体" w:cs="宋体"/>
          <w:color w:val="auto"/>
          <w:sz w:val="24"/>
          <w:highlight w:val="none"/>
          <w:lang w:val="en-US" w:eastAsia="zh-CN"/>
        </w:rPr>
        <w:t xml:space="preserve">  吴亚景</w:t>
      </w:r>
    </w:p>
    <w:p w14:paraId="687819FC">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联系方式：0371-68893199</w:t>
      </w:r>
    </w:p>
    <w:p w14:paraId="74CD9EC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689565FB">
      <w:pPr>
        <w:pStyle w:val="3"/>
        <w:spacing w:line="440" w:lineRule="exact"/>
        <w:ind w:left="0" w:firstLine="2873" w:firstLineChars="795"/>
        <w:jc w:val="both"/>
        <w:rPr>
          <w:rFonts w:ascii="宋体" w:hAnsi="宋体"/>
          <w:bCs/>
          <w:color w:val="auto"/>
          <w:sz w:val="36"/>
          <w:szCs w:val="36"/>
          <w:highlight w:val="none"/>
        </w:rPr>
      </w:pPr>
      <w:bookmarkStart w:id="3" w:name="_Toc6141"/>
      <w:r>
        <w:rPr>
          <w:rFonts w:hint="eastAsia" w:ascii="宋体" w:hAnsi="宋体"/>
          <w:bCs/>
          <w:color w:val="auto"/>
          <w:sz w:val="36"/>
          <w:szCs w:val="36"/>
          <w:highlight w:val="none"/>
        </w:rPr>
        <w:t xml:space="preserve">第二章 </w:t>
      </w:r>
      <w:r>
        <w:rPr>
          <w:rFonts w:hint="eastAsia" w:ascii="宋体" w:hAnsi="宋体"/>
          <w:bCs/>
          <w:color w:val="auto"/>
          <w:sz w:val="36"/>
          <w:szCs w:val="36"/>
          <w:highlight w:val="none"/>
          <w:lang w:val="en-US" w:eastAsia="zh-CN"/>
        </w:rPr>
        <w:t xml:space="preserve"> </w:t>
      </w:r>
      <w:r>
        <w:rPr>
          <w:rFonts w:hint="eastAsia" w:ascii="宋体" w:hAnsi="宋体"/>
          <w:bCs/>
          <w:color w:val="auto"/>
          <w:sz w:val="36"/>
          <w:szCs w:val="36"/>
          <w:highlight w:val="none"/>
          <w:lang w:eastAsia="zh-CN"/>
        </w:rPr>
        <w:t>供应商</w:t>
      </w:r>
      <w:r>
        <w:rPr>
          <w:rFonts w:hint="eastAsia" w:ascii="宋体" w:hAnsi="宋体"/>
          <w:bCs/>
          <w:color w:val="auto"/>
          <w:sz w:val="36"/>
          <w:szCs w:val="36"/>
          <w:highlight w:val="none"/>
        </w:rPr>
        <w:t>须知</w:t>
      </w:r>
      <w:bookmarkEnd w:id="3"/>
    </w:p>
    <w:p w14:paraId="19715619">
      <w:pPr>
        <w:spacing w:after="0" w:line="360" w:lineRule="auto"/>
        <w:jc w:val="left"/>
        <w:rPr>
          <w:rFonts w:ascii="宋体"/>
          <w:b/>
          <w:color w:val="auto"/>
          <w:sz w:val="28"/>
          <w:szCs w:val="28"/>
          <w:highlight w:val="none"/>
        </w:rPr>
      </w:pPr>
      <w:bookmarkStart w:id="4" w:name="_Toc436423261"/>
      <w:r>
        <w:rPr>
          <w:rFonts w:hint="eastAsia" w:ascii="宋体" w:hAnsi="宋体"/>
          <w:b/>
          <w:color w:val="auto"/>
          <w:sz w:val="28"/>
          <w:szCs w:val="28"/>
          <w:highlight w:val="none"/>
          <w:lang w:eastAsia="zh-CN"/>
        </w:rPr>
        <w:t>供应商</w:t>
      </w:r>
      <w:r>
        <w:rPr>
          <w:rFonts w:hint="eastAsia" w:ascii="宋体" w:hAnsi="宋体"/>
          <w:b/>
          <w:color w:val="auto"/>
          <w:sz w:val="28"/>
          <w:szCs w:val="28"/>
          <w:highlight w:val="none"/>
        </w:rPr>
        <w:t>须知前附表</w:t>
      </w:r>
      <w:bookmarkEnd w:id="4"/>
    </w:p>
    <w:tbl>
      <w:tblPr>
        <w:tblStyle w:val="30"/>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385"/>
        <w:gridCol w:w="6830"/>
      </w:tblGrid>
      <w:tr w14:paraId="318B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5" w:type="dxa"/>
            <w:vAlign w:val="center"/>
          </w:tcPr>
          <w:p w14:paraId="0837B9E8">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ascii="宋体"/>
                <w:b/>
                <w:color w:val="auto"/>
                <w:highlight w:val="none"/>
              </w:rPr>
            </w:pPr>
            <w:bookmarkStart w:id="5" w:name="_Toc370116075"/>
            <w:bookmarkStart w:id="6" w:name="_Toc370141169"/>
            <w:bookmarkStart w:id="7" w:name="_Toc436422918"/>
            <w:bookmarkStart w:id="8" w:name="_Toc420509019"/>
            <w:bookmarkStart w:id="9" w:name="_Toc436423262"/>
            <w:bookmarkStart w:id="10" w:name="_Toc420238747"/>
            <w:bookmarkStart w:id="11" w:name="_Toc421698760"/>
            <w:bookmarkStart w:id="12" w:name="_Toc396673285"/>
            <w:bookmarkStart w:id="13" w:name="_Toc421694656"/>
            <w:bookmarkStart w:id="14" w:name="_Toc380758910"/>
            <w:bookmarkStart w:id="15" w:name="_Toc370116201"/>
            <w:r>
              <w:rPr>
                <w:rFonts w:hint="eastAsia" w:ascii="宋体" w:hAnsi="宋体"/>
                <w:b/>
                <w:color w:val="auto"/>
                <w:highlight w:val="none"/>
              </w:rPr>
              <w:t>序</w:t>
            </w:r>
            <w:r>
              <w:rPr>
                <w:rFonts w:ascii="宋体" w:hAnsi="宋体"/>
                <w:b/>
                <w:color w:val="auto"/>
                <w:highlight w:val="none"/>
              </w:rPr>
              <w:t xml:space="preserve"> </w:t>
            </w:r>
            <w:r>
              <w:rPr>
                <w:rFonts w:hint="eastAsia" w:ascii="宋体" w:hAnsi="宋体"/>
                <w:b/>
                <w:color w:val="auto"/>
                <w:highlight w:val="none"/>
              </w:rPr>
              <w:t>号</w:t>
            </w:r>
            <w:bookmarkEnd w:id="5"/>
            <w:bookmarkEnd w:id="6"/>
            <w:bookmarkEnd w:id="7"/>
            <w:bookmarkEnd w:id="8"/>
            <w:bookmarkEnd w:id="9"/>
            <w:bookmarkEnd w:id="10"/>
            <w:bookmarkEnd w:id="11"/>
            <w:bookmarkEnd w:id="12"/>
            <w:bookmarkEnd w:id="13"/>
            <w:bookmarkEnd w:id="14"/>
            <w:bookmarkEnd w:id="15"/>
          </w:p>
        </w:tc>
        <w:tc>
          <w:tcPr>
            <w:tcW w:w="2385" w:type="dxa"/>
            <w:vAlign w:val="center"/>
          </w:tcPr>
          <w:p w14:paraId="450B13BC">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ascii="宋体"/>
                <w:b/>
                <w:color w:val="auto"/>
                <w:highlight w:val="none"/>
              </w:rPr>
            </w:pPr>
            <w:bookmarkStart w:id="16" w:name="_Toc420509020"/>
            <w:bookmarkStart w:id="17" w:name="_Toc436422919"/>
            <w:bookmarkStart w:id="18" w:name="_Toc396673286"/>
            <w:bookmarkStart w:id="19" w:name="_Toc370116202"/>
            <w:bookmarkStart w:id="20" w:name="_Toc436423263"/>
            <w:bookmarkStart w:id="21" w:name="_Toc370116076"/>
            <w:bookmarkStart w:id="22" w:name="_Toc370141170"/>
            <w:bookmarkStart w:id="23" w:name="_Toc420238748"/>
            <w:bookmarkStart w:id="24" w:name="_Toc421698761"/>
            <w:bookmarkStart w:id="25" w:name="_Toc421694657"/>
            <w:bookmarkStart w:id="26" w:name="_Toc380758911"/>
            <w:r>
              <w:rPr>
                <w:rFonts w:hint="eastAsia" w:ascii="宋体" w:hAnsi="宋体"/>
                <w:b/>
                <w:color w:val="auto"/>
                <w:highlight w:val="none"/>
              </w:rPr>
              <w:t>名</w:t>
            </w:r>
            <w:r>
              <w:rPr>
                <w:rFonts w:ascii="宋体" w:hAnsi="宋体"/>
                <w:b/>
                <w:color w:val="auto"/>
                <w:highlight w:val="none"/>
              </w:rPr>
              <w:t xml:space="preserve"> </w:t>
            </w:r>
            <w:r>
              <w:rPr>
                <w:rFonts w:hint="eastAsia" w:ascii="宋体" w:hAnsi="宋体"/>
                <w:b/>
                <w:color w:val="auto"/>
                <w:highlight w:val="none"/>
              </w:rPr>
              <w:t>称</w:t>
            </w:r>
            <w:bookmarkEnd w:id="16"/>
            <w:bookmarkEnd w:id="17"/>
            <w:bookmarkEnd w:id="18"/>
            <w:bookmarkEnd w:id="19"/>
            <w:bookmarkEnd w:id="20"/>
            <w:bookmarkEnd w:id="21"/>
            <w:bookmarkEnd w:id="22"/>
            <w:bookmarkEnd w:id="23"/>
            <w:bookmarkEnd w:id="24"/>
            <w:bookmarkEnd w:id="25"/>
            <w:bookmarkEnd w:id="26"/>
          </w:p>
        </w:tc>
        <w:tc>
          <w:tcPr>
            <w:tcW w:w="6830" w:type="dxa"/>
            <w:vAlign w:val="center"/>
          </w:tcPr>
          <w:p w14:paraId="3E66080C">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ascii="宋体"/>
                <w:b/>
                <w:color w:val="auto"/>
                <w:highlight w:val="none"/>
              </w:rPr>
            </w:pPr>
            <w:bookmarkStart w:id="27" w:name="_Toc436423264"/>
            <w:bookmarkStart w:id="28" w:name="_Toc370116077"/>
            <w:bookmarkStart w:id="29" w:name="_Toc380758912"/>
            <w:bookmarkStart w:id="30" w:name="_Toc436422920"/>
            <w:bookmarkStart w:id="31" w:name="_Toc370116203"/>
            <w:bookmarkStart w:id="32" w:name="_Toc420509021"/>
            <w:bookmarkStart w:id="33" w:name="_Toc396673287"/>
            <w:bookmarkStart w:id="34" w:name="_Toc370141171"/>
            <w:bookmarkStart w:id="35" w:name="_Toc420238749"/>
            <w:bookmarkStart w:id="36" w:name="_Toc421698762"/>
            <w:bookmarkStart w:id="37" w:name="_Toc421694658"/>
            <w:r>
              <w:rPr>
                <w:rFonts w:hint="eastAsia" w:ascii="宋体" w:hAnsi="宋体"/>
                <w:b/>
                <w:color w:val="auto"/>
                <w:highlight w:val="none"/>
              </w:rPr>
              <w:t>内</w:t>
            </w:r>
            <w:r>
              <w:rPr>
                <w:rFonts w:ascii="宋体" w:hAnsi="宋体"/>
                <w:b/>
                <w:color w:val="auto"/>
                <w:highlight w:val="none"/>
              </w:rPr>
              <w:t xml:space="preserve">  </w:t>
            </w:r>
            <w:r>
              <w:rPr>
                <w:rFonts w:hint="eastAsia" w:ascii="宋体" w:hAnsi="宋体"/>
                <w:b/>
                <w:color w:val="auto"/>
                <w:highlight w:val="none"/>
              </w:rPr>
              <w:t>容</w:t>
            </w:r>
            <w:bookmarkEnd w:id="27"/>
            <w:bookmarkEnd w:id="28"/>
            <w:bookmarkEnd w:id="29"/>
            <w:bookmarkEnd w:id="30"/>
            <w:bookmarkEnd w:id="31"/>
            <w:bookmarkEnd w:id="32"/>
            <w:bookmarkEnd w:id="33"/>
            <w:bookmarkEnd w:id="34"/>
            <w:bookmarkEnd w:id="35"/>
            <w:bookmarkEnd w:id="36"/>
            <w:bookmarkEnd w:id="37"/>
          </w:p>
        </w:tc>
      </w:tr>
      <w:tr w14:paraId="053C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25" w:type="dxa"/>
            <w:vAlign w:val="center"/>
          </w:tcPr>
          <w:p w14:paraId="72894F2D">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85" w:type="dxa"/>
            <w:vAlign w:val="center"/>
          </w:tcPr>
          <w:p w14:paraId="2487D36B">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830" w:type="dxa"/>
            <w:vAlign w:val="center"/>
          </w:tcPr>
          <w:p w14:paraId="1208F6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w:t>
            </w:r>
            <w:r>
              <w:rPr>
                <w:rFonts w:hint="eastAsia" w:ascii="宋体" w:hAnsi="宋体" w:cs="宋体"/>
                <w:color w:val="auto"/>
                <w:sz w:val="24"/>
                <w:szCs w:val="24"/>
                <w:highlight w:val="none"/>
                <w:lang w:eastAsia="zh-CN"/>
              </w:rPr>
              <w:t>睢县妇幼保健院</w:t>
            </w:r>
          </w:p>
          <w:p w14:paraId="733020F1">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w:t>
            </w:r>
            <w:r>
              <w:rPr>
                <w:rFonts w:hint="eastAsia" w:ascii="宋体" w:hAnsi="宋体" w:cs="宋体"/>
                <w:color w:val="auto"/>
                <w:sz w:val="24"/>
                <w:highlight w:val="none"/>
              </w:rPr>
              <w:t>河南省睢县</w:t>
            </w:r>
          </w:p>
          <w:p w14:paraId="11CFD5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cs="宋体"/>
                <w:color w:val="auto"/>
                <w:sz w:val="24"/>
                <w:szCs w:val="24"/>
                <w:highlight w:val="none"/>
                <w:lang w:val="en-US" w:eastAsia="zh-CN"/>
              </w:rPr>
              <w:t>王女士</w:t>
            </w:r>
            <w:r>
              <w:rPr>
                <w:rFonts w:hint="eastAsia" w:ascii="宋体" w:hAnsi="宋体" w:eastAsia="宋体" w:cs="宋体"/>
                <w:color w:val="auto"/>
                <w:sz w:val="24"/>
                <w:szCs w:val="24"/>
                <w:highlight w:val="none"/>
                <w:lang w:eastAsia="zh-CN"/>
              </w:rPr>
              <w:t xml:space="preserve"> </w:t>
            </w:r>
          </w:p>
          <w:p w14:paraId="1690FA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联系方式：</w:t>
            </w:r>
            <w:r>
              <w:rPr>
                <w:rFonts w:hint="eastAsia" w:ascii="宋体" w:hAnsi="宋体" w:cs="宋体"/>
                <w:color w:val="auto"/>
                <w:sz w:val="24"/>
                <w:highlight w:val="none"/>
              </w:rPr>
              <w:t>15138571891</w:t>
            </w:r>
          </w:p>
        </w:tc>
      </w:tr>
      <w:tr w14:paraId="4F80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25" w:type="dxa"/>
            <w:vAlign w:val="center"/>
          </w:tcPr>
          <w:p w14:paraId="73AB594A">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85" w:type="dxa"/>
            <w:vAlign w:val="center"/>
          </w:tcPr>
          <w:p w14:paraId="186C0DE5">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6830" w:type="dxa"/>
            <w:vAlign w:val="center"/>
          </w:tcPr>
          <w:p w14:paraId="212E6F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名称：河南联达工程管理有限公司 </w:t>
            </w:r>
          </w:p>
          <w:p w14:paraId="17B1A2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地址：郑州市二七区兴华北街18号盛世经纬B座4楼</w:t>
            </w:r>
          </w:p>
          <w:p w14:paraId="0768EF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highlight w:val="none"/>
              </w:rPr>
              <w:t>葛明博</w:t>
            </w:r>
            <w:r>
              <w:rPr>
                <w:rFonts w:hint="eastAsia" w:ascii="宋体" w:hAnsi="宋体" w:cs="宋体"/>
                <w:color w:val="auto"/>
                <w:sz w:val="24"/>
                <w:highlight w:val="none"/>
                <w:lang w:val="en-US" w:eastAsia="zh-CN"/>
              </w:rPr>
              <w:t xml:space="preserve">   吴亚景</w:t>
            </w:r>
          </w:p>
          <w:p w14:paraId="405BDC3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电话：0371-68893199</w:t>
            </w:r>
          </w:p>
        </w:tc>
      </w:tr>
      <w:tr w14:paraId="79F0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25" w:type="dxa"/>
            <w:vAlign w:val="center"/>
          </w:tcPr>
          <w:p w14:paraId="4A13BF1A">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85" w:type="dxa"/>
            <w:vAlign w:val="center"/>
          </w:tcPr>
          <w:p w14:paraId="75E5148B">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830" w:type="dxa"/>
            <w:vAlign w:val="center"/>
          </w:tcPr>
          <w:p w14:paraId="5234CED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睢县妇幼保健院营养餐厅运营管理项目（三次）</w:t>
            </w:r>
          </w:p>
        </w:tc>
      </w:tr>
      <w:tr w14:paraId="597C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25" w:type="dxa"/>
            <w:vAlign w:val="center"/>
          </w:tcPr>
          <w:p w14:paraId="70AE35CB">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85" w:type="dxa"/>
            <w:vAlign w:val="center"/>
          </w:tcPr>
          <w:p w14:paraId="07E985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采购编号</w:t>
            </w:r>
          </w:p>
        </w:tc>
        <w:tc>
          <w:tcPr>
            <w:tcW w:w="6830" w:type="dxa"/>
            <w:vAlign w:val="center"/>
          </w:tcPr>
          <w:p w14:paraId="28D0FC7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睢县财采磋-2025-57</w:t>
            </w:r>
          </w:p>
        </w:tc>
      </w:tr>
      <w:tr w14:paraId="511C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5" w:type="dxa"/>
            <w:vAlign w:val="center"/>
          </w:tcPr>
          <w:p w14:paraId="7F52AAB9">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385" w:type="dxa"/>
            <w:vAlign w:val="center"/>
          </w:tcPr>
          <w:p w14:paraId="0E182C53">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bookmarkStart w:id="38" w:name="_Toc421698770"/>
            <w:bookmarkStart w:id="39" w:name="_Toc370141179"/>
            <w:bookmarkStart w:id="40" w:name="_Toc380758920"/>
            <w:bookmarkStart w:id="41" w:name="_Toc370116211"/>
            <w:bookmarkStart w:id="42" w:name="_Toc370116085"/>
            <w:bookmarkStart w:id="43" w:name="_Toc436422928"/>
            <w:bookmarkStart w:id="44" w:name="_Toc420509029"/>
            <w:bookmarkStart w:id="45" w:name="_Toc420238757"/>
            <w:bookmarkStart w:id="46" w:name="_Toc436423272"/>
            <w:bookmarkStart w:id="47" w:name="_Toc396673295"/>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方式</w:t>
            </w:r>
            <w:bookmarkEnd w:id="38"/>
            <w:bookmarkEnd w:id="39"/>
            <w:bookmarkEnd w:id="40"/>
            <w:bookmarkEnd w:id="41"/>
            <w:bookmarkEnd w:id="42"/>
            <w:bookmarkEnd w:id="43"/>
            <w:bookmarkEnd w:id="44"/>
            <w:bookmarkEnd w:id="45"/>
            <w:bookmarkEnd w:id="46"/>
            <w:bookmarkEnd w:id="47"/>
          </w:p>
        </w:tc>
        <w:tc>
          <w:tcPr>
            <w:tcW w:w="6830" w:type="dxa"/>
            <w:vAlign w:val="center"/>
          </w:tcPr>
          <w:p w14:paraId="67B1D3C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w:t>
            </w:r>
          </w:p>
        </w:tc>
      </w:tr>
      <w:tr w14:paraId="2C04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5" w:type="dxa"/>
            <w:vAlign w:val="center"/>
          </w:tcPr>
          <w:p w14:paraId="5352BE58">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385" w:type="dxa"/>
            <w:vAlign w:val="center"/>
          </w:tcPr>
          <w:p w14:paraId="29DB5B7C">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bookmarkStart w:id="48" w:name="_Toc370116217"/>
            <w:bookmarkStart w:id="49" w:name="_Toc380758923"/>
            <w:bookmarkStart w:id="50" w:name="_Toc421698773"/>
            <w:bookmarkStart w:id="51" w:name="_Toc436423275"/>
            <w:bookmarkStart w:id="52" w:name="_Toc420238760"/>
            <w:bookmarkStart w:id="53" w:name="_Toc420509032"/>
            <w:bookmarkStart w:id="54" w:name="_Toc370141185"/>
            <w:bookmarkStart w:id="55" w:name="_Toc436422931"/>
            <w:bookmarkStart w:id="56" w:name="_Toc396673298"/>
            <w:bookmarkStart w:id="57" w:name="_Toc370116091"/>
            <w:r>
              <w:rPr>
                <w:rFonts w:hint="eastAsia" w:ascii="宋体" w:hAnsi="宋体" w:eastAsia="宋体" w:cs="宋体"/>
                <w:color w:val="auto"/>
                <w:sz w:val="24"/>
                <w:szCs w:val="24"/>
                <w:highlight w:val="none"/>
              </w:rPr>
              <w:t>资金来源</w:t>
            </w:r>
            <w:bookmarkEnd w:id="48"/>
            <w:bookmarkEnd w:id="49"/>
            <w:bookmarkEnd w:id="50"/>
            <w:bookmarkEnd w:id="51"/>
            <w:bookmarkEnd w:id="52"/>
            <w:bookmarkEnd w:id="53"/>
            <w:bookmarkEnd w:id="54"/>
            <w:bookmarkEnd w:id="55"/>
            <w:bookmarkEnd w:id="56"/>
            <w:bookmarkEnd w:id="57"/>
          </w:p>
        </w:tc>
        <w:tc>
          <w:tcPr>
            <w:tcW w:w="6830" w:type="dxa"/>
            <w:vAlign w:val="center"/>
          </w:tcPr>
          <w:p w14:paraId="0802D4CD">
            <w:pPr>
              <w:keepNext w:val="0"/>
              <w:keepLines w:val="0"/>
              <w:pageBreakBefore w:val="0"/>
              <w:widowControl w:val="0"/>
              <w:kinsoku/>
              <w:wordWrap/>
              <w:overflowPunct/>
              <w:topLinePunct w:val="0"/>
              <w:autoSpaceDE/>
              <w:autoSpaceDN/>
              <w:bidi w:val="0"/>
              <w:adjustRightInd/>
              <w:snapToGrid/>
              <w:spacing w:after="156" w:afterLines="50"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4304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25" w:type="dxa"/>
            <w:vAlign w:val="center"/>
          </w:tcPr>
          <w:p w14:paraId="50A2E62A">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385" w:type="dxa"/>
            <w:vAlign w:val="center"/>
          </w:tcPr>
          <w:p w14:paraId="33BA922F">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内容</w:t>
            </w:r>
          </w:p>
        </w:tc>
        <w:tc>
          <w:tcPr>
            <w:tcW w:w="6830" w:type="dxa"/>
            <w:vAlign w:val="center"/>
          </w:tcPr>
          <w:p w14:paraId="4F70FF87">
            <w:pPr>
              <w:pStyle w:val="10"/>
              <w:keepNext w:val="0"/>
              <w:keepLines w:val="0"/>
              <w:pageBreakBefore w:val="0"/>
              <w:widowControl w:val="0"/>
              <w:kinsoku/>
              <w:wordWrap/>
              <w:overflowPunct/>
              <w:topLinePunct w:val="0"/>
              <w:autoSpaceDE/>
              <w:autoSpaceDN/>
              <w:bidi w:val="0"/>
              <w:adjustRightInd/>
              <w:snapToGrid/>
              <w:spacing w:after="156" w:afterLines="50" w:line="440" w:lineRule="exact"/>
              <w:ind w:left="0" w:leftChars="0" w:firstLine="0" w:firstLineChars="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睢县妇幼保健院营养餐厅</w:t>
            </w:r>
            <w:r>
              <w:rPr>
                <w:rFonts w:hint="eastAsia" w:ascii="宋体" w:hAnsi="宋体" w:eastAsia="宋体" w:cs="宋体"/>
                <w:color w:val="auto"/>
                <w:sz w:val="24"/>
                <w:szCs w:val="24"/>
                <w:highlight w:val="none"/>
                <w:lang w:val="en-US" w:eastAsia="zh-CN"/>
              </w:rPr>
              <w:t>使用面积约680㎡</w:t>
            </w:r>
            <w:r>
              <w:rPr>
                <w:rFonts w:hint="eastAsia" w:ascii="宋体" w:hAnsi="宋体" w:eastAsia="宋体" w:cs="宋体"/>
                <w:color w:val="auto"/>
                <w:sz w:val="24"/>
                <w:szCs w:val="24"/>
                <w:highlight w:val="none"/>
                <w:lang w:eastAsia="zh-CN"/>
              </w:rPr>
              <w:t>，承担病患及其家属用餐、职工用餐、重点科室送餐、会议和加班用餐，拥有一定的应急储备能力应对突发事件</w:t>
            </w:r>
            <w:r>
              <w:rPr>
                <w:rFonts w:hint="eastAsia" w:ascii="宋体" w:hAnsi="宋体" w:cs="宋体"/>
                <w:color w:val="auto"/>
                <w:kern w:val="0"/>
                <w:sz w:val="24"/>
                <w:szCs w:val="24"/>
                <w:highlight w:val="none"/>
                <w:lang w:eastAsia="zh-CN"/>
              </w:rPr>
              <w:t>，详见第五章采购需求</w:t>
            </w:r>
          </w:p>
        </w:tc>
      </w:tr>
      <w:tr w14:paraId="3928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5" w:type="dxa"/>
            <w:vAlign w:val="center"/>
          </w:tcPr>
          <w:p w14:paraId="09197CB6">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385" w:type="dxa"/>
            <w:shd w:val="clear" w:color="auto" w:fill="auto"/>
            <w:vAlign w:val="center"/>
          </w:tcPr>
          <w:p w14:paraId="05BC2310">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服务期限</w:t>
            </w:r>
          </w:p>
        </w:tc>
        <w:tc>
          <w:tcPr>
            <w:tcW w:w="6830" w:type="dxa"/>
            <w:shd w:val="clear" w:color="auto" w:fill="auto"/>
            <w:vAlign w:val="center"/>
          </w:tcPr>
          <w:p w14:paraId="2194C628">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default" w:ascii="宋体" w:hAnsi="宋体" w:eastAsia="宋体" w:cs="宋体"/>
                <w:color w:val="auto"/>
                <w:kern w:val="2"/>
                <w:sz w:val="24"/>
                <w:szCs w:val="24"/>
                <w:highlight w:val="yellow"/>
                <w:lang w:val="en-US" w:eastAsia="zh-CN" w:bidi="ar-SA"/>
              </w:rPr>
            </w:pPr>
            <w:r>
              <w:rPr>
                <w:rFonts w:hint="eastAsia" w:ascii="宋体" w:hAnsi="宋体" w:eastAsia="宋体" w:cs="宋体"/>
                <w:b w:val="0"/>
                <w:bCs w:val="0"/>
                <w:color w:val="auto"/>
                <w:sz w:val="24"/>
                <w:szCs w:val="24"/>
                <w:u w:val="none"/>
                <w:lang w:val="en-US" w:eastAsia="zh-CN"/>
              </w:rPr>
              <w:t>2年</w:t>
            </w:r>
          </w:p>
        </w:tc>
      </w:tr>
      <w:tr w14:paraId="2199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5" w:type="dxa"/>
            <w:vAlign w:val="center"/>
          </w:tcPr>
          <w:p w14:paraId="78671950">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385" w:type="dxa"/>
            <w:vAlign w:val="center"/>
          </w:tcPr>
          <w:p w14:paraId="4F44316E">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地点</w:t>
            </w:r>
          </w:p>
        </w:tc>
        <w:tc>
          <w:tcPr>
            <w:tcW w:w="6830" w:type="dxa"/>
            <w:vAlign w:val="center"/>
          </w:tcPr>
          <w:p w14:paraId="14BBDD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采购人指定地点</w:t>
            </w:r>
          </w:p>
        </w:tc>
      </w:tr>
      <w:tr w14:paraId="4740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5" w:type="dxa"/>
            <w:vAlign w:val="center"/>
          </w:tcPr>
          <w:p w14:paraId="6D83BA6B">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2385" w:type="dxa"/>
            <w:vAlign w:val="center"/>
          </w:tcPr>
          <w:p w14:paraId="0342B12F">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eastAsia="zh-CN"/>
              </w:rPr>
              <w:t>要求</w:t>
            </w:r>
          </w:p>
        </w:tc>
        <w:tc>
          <w:tcPr>
            <w:tcW w:w="6830" w:type="dxa"/>
            <w:vAlign w:val="center"/>
          </w:tcPr>
          <w:p w14:paraId="109E574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cs="宋体"/>
                <w:color w:val="auto"/>
                <w:sz w:val="24"/>
                <w:szCs w:val="24"/>
                <w:highlight w:val="none"/>
                <w:lang w:eastAsia="zh-CN"/>
              </w:rPr>
              <w:t>合格，满足采购人需求</w:t>
            </w:r>
          </w:p>
        </w:tc>
      </w:tr>
      <w:tr w14:paraId="42D7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5" w:type="dxa"/>
            <w:vAlign w:val="center"/>
          </w:tcPr>
          <w:p w14:paraId="33DDF4F5">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2385" w:type="dxa"/>
            <w:vAlign w:val="center"/>
          </w:tcPr>
          <w:p w14:paraId="2022C71F">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w:t>
            </w:r>
          </w:p>
        </w:tc>
        <w:tc>
          <w:tcPr>
            <w:tcW w:w="6830" w:type="dxa"/>
            <w:vAlign w:val="center"/>
          </w:tcPr>
          <w:p w14:paraId="5893AB4E">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bidi="ar"/>
              </w:rPr>
              <w:t>详见</w:t>
            </w:r>
            <w:r>
              <w:rPr>
                <w:rFonts w:hint="eastAsia" w:ascii="宋体" w:hAnsi="宋体" w:eastAsia="宋体" w:cs="宋体"/>
                <w:color w:val="auto"/>
                <w:sz w:val="24"/>
                <w:szCs w:val="24"/>
                <w:highlight w:val="none"/>
                <w:lang w:eastAsia="zh-CN" w:bidi="ar"/>
              </w:rPr>
              <w:t>磋商</w:t>
            </w:r>
            <w:r>
              <w:rPr>
                <w:rFonts w:hint="eastAsia" w:ascii="宋体" w:hAnsi="宋体" w:eastAsia="宋体" w:cs="宋体"/>
                <w:color w:val="auto"/>
                <w:sz w:val="24"/>
                <w:szCs w:val="24"/>
                <w:highlight w:val="none"/>
                <w:lang w:bidi="ar"/>
              </w:rPr>
              <w:t>公告“</w:t>
            </w:r>
            <w:r>
              <w:rPr>
                <w:rFonts w:hint="eastAsia" w:ascii="宋体" w:hAnsi="宋体" w:eastAsia="宋体" w:cs="宋体"/>
                <w:color w:val="auto"/>
                <w:sz w:val="24"/>
                <w:szCs w:val="24"/>
                <w:highlight w:val="none"/>
                <w:lang w:eastAsia="zh-CN" w:bidi="ar"/>
              </w:rPr>
              <w:t>二</w:t>
            </w:r>
            <w:r>
              <w:rPr>
                <w:rFonts w:hint="eastAsia" w:ascii="宋体" w:hAnsi="宋体" w:eastAsia="宋体" w:cs="宋体"/>
                <w:color w:val="auto"/>
                <w:sz w:val="24"/>
                <w:szCs w:val="24"/>
                <w:highlight w:val="none"/>
                <w:lang w:bidi="ar"/>
              </w:rPr>
              <w:t>、申请人资格要求”</w:t>
            </w:r>
          </w:p>
        </w:tc>
      </w:tr>
      <w:tr w14:paraId="3F98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5" w:type="dxa"/>
            <w:vAlign w:val="center"/>
          </w:tcPr>
          <w:p w14:paraId="4D67FC32">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2385" w:type="dxa"/>
            <w:vAlign w:val="center"/>
          </w:tcPr>
          <w:p w14:paraId="670B9282">
            <w:pPr>
              <w:keepNext w:val="0"/>
              <w:keepLines w:val="0"/>
              <w:suppressLineNumbers w:val="0"/>
              <w:autoSpaceDE w:val="0"/>
              <w:autoSpaceDN w:val="0"/>
              <w:adjustRightInd w:val="0"/>
              <w:spacing w:before="0" w:beforeAutospacing="0" w:after="0" w:afterAutospacing="0" w:line="38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bidi="ar"/>
              </w:rPr>
              <w:t>是否允许分包</w:t>
            </w:r>
          </w:p>
        </w:tc>
        <w:tc>
          <w:tcPr>
            <w:tcW w:w="6830" w:type="dxa"/>
            <w:vAlign w:val="center"/>
          </w:tcPr>
          <w:p w14:paraId="595A312F">
            <w:pPr>
              <w:keepNext w:val="0"/>
              <w:keepLines w:val="0"/>
              <w:suppressLineNumbers w:val="0"/>
              <w:spacing w:before="0" w:beforeAutospacing="0" w:after="0" w:afterAutospacing="0" w:line="38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bidi="ar"/>
              </w:rPr>
              <w:t>不允许</w:t>
            </w:r>
          </w:p>
        </w:tc>
      </w:tr>
      <w:tr w14:paraId="34D8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25" w:type="dxa"/>
            <w:vAlign w:val="center"/>
          </w:tcPr>
          <w:p w14:paraId="7861C606">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2385" w:type="dxa"/>
            <w:vAlign w:val="center"/>
          </w:tcPr>
          <w:p w14:paraId="45550F46">
            <w:pPr>
              <w:keepNext w:val="0"/>
              <w:keepLines w:val="0"/>
              <w:suppressLineNumbers w:val="0"/>
              <w:autoSpaceDE w:val="0"/>
              <w:autoSpaceDN w:val="0"/>
              <w:adjustRightInd w:val="0"/>
              <w:spacing w:before="0" w:beforeAutospacing="0" w:after="0" w:afterAutospacing="0" w:line="380" w:lineRule="exact"/>
              <w:ind w:left="0" w:leftChars="0" w:right="0" w:righ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highlight w:val="none"/>
                <w:lang w:eastAsia="zh-CN"/>
              </w:rPr>
              <w:t>合同履行期限</w:t>
            </w:r>
          </w:p>
        </w:tc>
        <w:tc>
          <w:tcPr>
            <w:tcW w:w="6830" w:type="dxa"/>
            <w:vAlign w:val="center"/>
          </w:tcPr>
          <w:p w14:paraId="4D131593">
            <w:pPr>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color w:val="auto"/>
                <w:kern w:val="0"/>
                <w:sz w:val="24"/>
                <w:szCs w:val="24"/>
                <w:lang w:val="en-US" w:eastAsia="zh-CN" w:bidi="ar"/>
              </w:rPr>
            </w:pPr>
            <w:r>
              <w:rPr>
                <w:rFonts w:hint="eastAsia" w:ascii="宋体" w:hAnsi="宋体" w:cs="宋体"/>
                <w:b w:val="0"/>
                <w:bCs w:val="0"/>
                <w:color w:val="auto"/>
                <w:sz w:val="24"/>
                <w:szCs w:val="24"/>
                <w:u w:val="none"/>
                <w:lang w:val="en-US" w:eastAsia="zh-CN"/>
              </w:rPr>
              <w:t>同服务期限</w:t>
            </w:r>
          </w:p>
        </w:tc>
      </w:tr>
      <w:tr w14:paraId="42E3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25" w:type="dxa"/>
            <w:vAlign w:val="center"/>
          </w:tcPr>
          <w:p w14:paraId="3494DD6F">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2385" w:type="dxa"/>
            <w:vAlign w:val="center"/>
          </w:tcPr>
          <w:p w14:paraId="2ADEB9DD">
            <w:pPr>
              <w:spacing w:after="156" w:afterLines="50"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lang w:eastAsia="zh-CN"/>
              </w:rPr>
              <w:t>磋商</w:t>
            </w:r>
            <w:r>
              <w:rPr>
                <w:rFonts w:hint="eastAsia" w:ascii="宋体" w:hAnsi="宋体" w:cs="宋体"/>
                <w:sz w:val="24"/>
              </w:rPr>
              <w:t>有效期</w:t>
            </w:r>
          </w:p>
        </w:tc>
        <w:tc>
          <w:tcPr>
            <w:tcW w:w="6830" w:type="dxa"/>
            <w:vAlign w:val="center"/>
          </w:tcPr>
          <w:p w14:paraId="78AE5E90">
            <w:pPr>
              <w:spacing w:line="440" w:lineRule="exact"/>
              <w:rPr>
                <w:rFonts w:hint="eastAsia" w:ascii="宋体" w:hAnsi="宋体" w:eastAsia="宋体" w:cs="宋体"/>
                <w:b/>
                <w:color w:val="auto"/>
                <w:kern w:val="2"/>
                <w:sz w:val="24"/>
                <w:szCs w:val="24"/>
                <w:highlight w:val="none"/>
                <w:lang w:val="en-US" w:eastAsia="zh-CN" w:bidi="ar-SA"/>
              </w:rPr>
            </w:pPr>
            <w:r>
              <w:rPr>
                <w:rFonts w:hint="eastAsia" w:ascii="宋体" w:hAnsi="宋体" w:cs="宋体"/>
                <w:sz w:val="24"/>
              </w:rPr>
              <w:t>60日历天（从</w:t>
            </w:r>
            <w:r>
              <w:rPr>
                <w:rFonts w:hint="eastAsia" w:ascii="宋体" w:hAnsi="宋体" w:cs="宋体"/>
                <w:sz w:val="24"/>
                <w:lang w:eastAsia="zh-CN"/>
              </w:rPr>
              <w:t>响应文件提交</w:t>
            </w:r>
            <w:r>
              <w:rPr>
                <w:rFonts w:hint="eastAsia" w:ascii="宋体" w:hAnsi="宋体" w:cs="宋体"/>
                <w:sz w:val="24"/>
              </w:rPr>
              <w:t>截止之日算起）</w:t>
            </w:r>
          </w:p>
        </w:tc>
      </w:tr>
      <w:tr w14:paraId="6E2E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vAlign w:val="center"/>
          </w:tcPr>
          <w:p w14:paraId="1176FC2C">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2385" w:type="dxa"/>
            <w:vAlign w:val="center"/>
          </w:tcPr>
          <w:p w14:paraId="129DFE84">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踏勘现场</w:t>
            </w:r>
          </w:p>
        </w:tc>
        <w:tc>
          <w:tcPr>
            <w:tcW w:w="6830" w:type="dxa"/>
            <w:vAlign w:val="center"/>
          </w:tcPr>
          <w:p w14:paraId="529C147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不组织</w:t>
            </w:r>
          </w:p>
        </w:tc>
      </w:tr>
      <w:tr w14:paraId="4101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825" w:type="dxa"/>
            <w:vAlign w:val="center"/>
          </w:tcPr>
          <w:p w14:paraId="460CEA26">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2385" w:type="dxa"/>
            <w:vAlign w:val="center"/>
          </w:tcPr>
          <w:p w14:paraId="008DE53D">
            <w:pPr>
              <w:tabs>
                <w:tab w:val="left" w:pos="1932"/>
              </w:tabs>
              <w:spacing w:after="156" w:afterLines="50" w:line="440" w:lineRule="exact"/>
              <w:jc w:val="center"/>
              <w:rPr>
                <w:rFonts w:ascii="宋体" w:hAnsi="宋体" w:cs="宋体"/>
                <w:sz w:val="24"/>
              </w:rPr>
            </w:pPr>
            <w:r>
              <w:rPr>
                <w:rFonts w:hint="eastAsia" w:ascii="宋体" w:hAnsi="宋体" w:cs="宋体"/>
                <w:sz w:val="24"/>
              </w:rPr>
              <w:t>响应文件的提交和</w:t>
            </w:r>
          </w:p>
          <w:p w14:paraId="0A94329A">
            <w:pPr>
              <w:tabs>
                <w:tab w:val="left" w:pos="1932"/>
              </w:tabs>
              <w:spacing w:after="156" w:afterLines="50" w:line="440" w:lineRule="exact"/>
              <w:jc w:val="center"/>
              <w:rPr>
                <w:rFonts w:hint="eastAsia" w:ascii="宋体" w:hAnsi="宋体" w:eastAsia="宋体" w:cs="宋体"/>
                <w:color w:val="auto"/>
                <w:sz w:val="24"/>
                <w:szCs w:val="24"/>
                <w:highlight w:val="none"/>
              </w:rPr>
            </w:pPr>
            <w:r>
              <w:rPr>
                <w:rFonts w:hint="eastAsia" w:ascii="宋体" w:hAnsi="宋体" w:cs="宋体"/>
                <w:sz w:val="24"/>
              </w:rPr>
              <w:t>开</w:t>
            </w:r>
            <w:r>
              <w:rPr>
                <w:rFonts w:hint="eastAsia" w:ascii="宋体" w:hAnsi="宋体" w:cs="宋体"/>
                <w:sz w:val="24"/>
                <w:lang w:val="en-US" w:eastAsia="zh-CN"/>
              </w:rPr>
              <w:t>启</w:t>
            </w:r>
            <w:r>
              <w:rPr>
                <w:rFonts w:hint="eastAsia" w:ascii="宋体" w:hAnsi="宋体" w:cs="宋体"/>
                <w:sz w:val="24"/>
              </w:rPr>
              <w:t>信息</w:t>
            </w:r>
          </w:p>
        </w:tc>
        <w:tc>
          <w:tcPr>
            <w:tcW w:w="6830" w:type="dxa"/>
            <w:vAlign w:val="center"/>
          </w:tcPr>
          <w:p w14:paraId="710F97E7">
            <w:pPr>
              <w:spacing w:line="440" w:lineRule="exact"/>
              <w:rPr>
                <w:rFonts w:ascii="宋体" w:hAnsi="宋体" w:cs="宋体"/>
                <w:sz w:val="24"/>
              </w:rPr>
            </w:pPr>
            <w:r>
              <w:rPr>
                <w:rFonts w:hint="eastAsia" w:ascii="宋体" w:hAnsi="宋体" w:cs="宋体"/>
                <w:sz w:val="24"/>
              </w:rPr>
              <w:t>1.响应文件提交的截止时间及开</w:t>
            </w:r>
            <w:r>
              <w:rPr>
                <w:rFonts w:hint="eastAsia" w:ascii="宋体" w:hAnsi="宋体" w:cs="宋体"/>
                <w:sz w:val="24"/>
                <w:lang w:val="en-US" w:eastAsia="zh-CN"/>
              </w:rPr>
              <w:t>启</w:t>
            </w:r>
            <w:r>
              <w:rPr>
                <w:rFonts w:hint="eastAsia" w:ascii="宋体" w:hAnsi="宋体" w:cs="宋体"/>
                <w:sz w:val="24"/>
              </w:rPr>
              <w:t>时间：同磋商公告。</w:t>
            </w:r>
          </w:p>
          <w:p w14:paraId="6BE041C8">
            <w:pPr>
              <w:spacing w:line="440" w:lineRule="exact"/>
              <w:rPr>
                <w:rFonts w:hint="eastAsia" w:ascii="宋体" w:hAnsi="宋体" w:eastAsia="宋体" w:cs="宋体"/>
                <w:color w:val="auto"/>
                <w:sz w:val="24"/>
                <w:szCs w:val="24"/>
                <w:highlight w:val="none"/>
              </w:rPr>
            </w:pPr>
            <w:r>
              <w:rPr>
                <w:rFonts w:hint="eastAsia" w:ascii="宋体" w:hAnsi="宋体" w:cs="宋体"/>
                <w:sz w:val="24"/>
              </w:rPr>
              <w:t>2.响应文件提交地点：同磋商公告。</w:t>
            </w:r>
          </w:p>
        </w:tc>
      </w:tr>
      <w:tr w14:paraId="1195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vAlign w:val="center"/>
          </w:tcPr>
          <w:p w14:paraId="66EF1713">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2385" w:type="dxa"/>
            <w:vAlign w:val="center"/>
          </w:tcPr>
          <w:p w14:paraId="30756127">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签字和盖章要求</w:t>
            </w:r>
          </w:p>
        </w:tc>
        <w:tc>
          <w:tcPr>
            <w:tcW w:w="6830" w:type="dxa"/>
            <w:vAlign w:val="center"/>
          </w:tcPr>
          <w:p w14:paraId="1309E634">
            <w:pPr>
              <w:pStyle w:val="72"/>
              <w:keepNext w:val="0"/>
              <w:keepLines w:val="0"/>
              <w:pageBreakBefore w:val="0"/>
              <w:widowControl w:val="0"/>
              <w:kinsoku/>
              <w:wordWrap/>
              <w:overflowPunct/>
              <w:topLinePunct w:val="0"/>
              <w:autoSpaceDE/>
              <w:autoSpaceDN/>
              <w:bidi w:val="0"/>
              <w:adjustRightInd/>
              <w:snapToGrid/>
              <w:spacing w:line="440" w:lineRule="exact"/>
              <w:ind w:right="45"/>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1.竞争性磋商文件规定的响应文件格式中所有签字、盖章的地方必须按照磋商文件明示的方式签字或盖章。</w:t>
            </w:r>
          </w:p>
          <w:p w14:paraId="4E192BAE">
            <w:pPr>
              <w:pStyle w:val="72"/>
              <w:keepNext w:val="0"/>
              <w:keepLines w:val="0"/>
              <w:pageBreakBefore w:val="0"/>
              <w:widowControl w:val="0"/>
              <w:kinsoku/>
              <w:wordWrap/>
              <w:overflowPunct/>
              <w:topLinePunct w:val="0"/>
              <w:autoSpaceDE/>
              <w:autoSpaceDN/>
              <w:bidi w:val="0"/>
              <w:adjustRightInd/>
              <w:snapToGrid/>
              <w:spacing w:line="440" w:lineRule="exact"/>
              <w:ind w:right="45"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2.响应文件中如果有涂改、插字、删除等情况，必须在文件改动处由法定代表人或其授权的</w:t>
            </w:r>
            <w:r>
              <w:rPr>
                <w:rFonts w:hint="eastAsia" w:ascii="宋体" w:hAnsi="宋体" w:cs="宋体"/>
                <w:color w:val="auto"/>
                <w:kern w:val="2"/>
                <w:sz w:val="24"/>
                <w:szCs w:val="24"/>
                <w:highlight w:val="none"/>
                <w:lang w:val="en-US" w:eastAsia="zh-CN" w:bidi="ar-SA"/>
              </w:rPr>
              <w:t>代理人</w:t>
            </w:r>
            <w:r>
              <w:rPr>
                <w:rFonts w:hint="eastAsia" w:ascii="宋体" w:hAnsi="宋体" w:eastAsia="宋体" w:cs="宋体"/>
                <w:color w:val="auto"/>
                <w:kern w:val="2"/>
                <w:sz w:val="24"/>
                <w:szCs w:val="24"/>
                <w:highlight w:val="none"/>
                <w:lang w:val="en-US" w:eastAsia="zh-CN" w:bidi="ar-SA"/>
              </w:rPr>
              <w:t>签字或盖章，并标明“修改”字样。</w:t>
            </w:r>
          </w:p>
        </w:tc>
      </w:tr>
      <w:tr w14:paraId="06E2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25" w:type="dxa"/>
            <w:vAlign w:val="center"/>
          </w:tcPr>
          <w:p w14:paraId="7E17CA36">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2385" w:type="dxa"/>
            <w:vAlign w:val="center"/>
          </w:tcPr>
          <w:p w14:paraId="052CDF0D">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6830" w:type="dxa"/>
            <w:vAlign w:val="center"/>
          </w:tcPr>
          <w:p w14:paraId="2CE391A0">
            <w:pPr>
              <w:pStyle w:val="7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正本</w:t>
            </w:r>
            <w:r>
              <w:rPr>
                <w:rFonts w:hint="eastAsia" w:ascii="宋体" w:hAnsi="宋体" w:cs="宋体"/>
                <w:color w:val="auto"/>
                <w:sz w:val="24"/>
                <w:szCs w:val="24"/>
                <w:highlight w:val="none"/>
                <w:lang w:val="en-US" w:eastAsia="zh-CN"/>
              </w:rPr>
              <w:t>壹</w:t>
            </w:r>
            <w:r>
              <w:rPr>
                <w:rFonts w:hint="eastAsia" w:ascii="宋体" w:hAnsi="宋体" w:eastAsia="宋体" w:cs="宋体"/>
                <w:color w:val="auto"/>
                <w:sz w:val="24"/>
                <w:szCs w:val="24"/>
                <w:highlight w:val="none"/>
              </w:rPr>
              <w:t>份，副本</w:t>
            </w:r>
            <w:r>
              <w:rPr>
                <w:rFonts w:hint="eastAsia" w:ascii="宋体" w:hAnsi="宋体" w:cs="宋体"/>
                <w:color w:val="auto"/>
                <w:sz w:val="24"/>
                <w:szCs w:val="24"/>
                <w:highlight w:val="none"/>
                <w:lang w:val="en-US" w:eastAsia="zh-CN"/>
              </w:rPr>
              <w:t>肆</w:t>
            </w:r>
            <w:r>
              <w:rPr>
                <w:rFonts w:hint="eastAsia" w:ascii="宋体" w:hAnsi="宋体" w:eastAsia="宋体" w:cs="宋体"/>
                <w:color w:val="auto"/>
                <w:sz w:val="24"/>
                <w:szCs w:val="24"/>
                <w:highlight w:val="none"/>
              </w:rPr>
              <w:t>份，电子版</w:t>
            </w:r>
            <w:r>
              <w:rPr>
                <w:rFonts w:hint="eastAsia" w:ascii="宋体" w:hAnsi="宋体" w:cs="宋体"/>
                <w:color w:val="auto"/>
                <w:sz w:val="24"/>
                <w:szCs w:val="24"/>
                <w:highlight w:val="none"/>
                <w:lang w:val="en-US" w:eastAsia="zh-CN"/>
              </w:rPr>
              <w:t>壹份（</w:t>
            </w:r>
            <w:r>
              <w:rPr>
                <w:rFonts w:hint="eastAsia" w:ascii="宋体" w:hAnsi="宋体" w:eastAsia="宋体" w:cs="宋体"/>
                <w:color w:val="auto"/>
                <w:sz w:val="24"/>
                <w:szCs w:val="24"/>
                <w:highlight w:val="none"/>
              </w:rPr>
              <w:t>U盘</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电子版文件须为</w:t>
            </w:r>
            <w:r>
              <w:rPr>
                <w:rFonts w:hint="eastAsia" w:ascii="宋体" w:hAnsi="宋体" w:cs="宋体"/>
                <w:color w:val="auto"/>
                <w:sz w:val="24"/>
                <w:szCs w:val="24"/>
                <w:highlight w:val="none"/>
                <w:lang w:val="en-US" w:eastAsia="zh-CN"/>
              </w:rPr>
              <w:t>正本</w:t>
            </w:r>
            <w:r>
              <w:rPr>
                <w:rFonts w:hint="eastAsia" w:ascii="宋体" w:hAnsi="宋体" w:eastAsia="宋体" w:cs="宋体"/>
                <w:color w:val="auto"/>
                <w:sz w:val="24"/>
                <w:szCs w:val="24"/>
                <w:highlight w:val="none"/>
              </w:rPr>
              <w:t>纸质盖章文件的扫描件，且为PDF格式）</w:t>
            </w:r>
          </w:p>
        </w:tc>
      </w:tr>
      <w:tr w14:paraId="23E6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25" w:type="dxa"/>
            <w:vAlign w:val="center"/>
          </w:tcPr>
          <w:p w14:paraId="2A6C78BB">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2385" w:type="dxa"/>
            <w:vAlign w:val="center"/>
          </w:tcPr>
          <w:p w14:paraId="077ADA40">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装订要求</w:t>
            </w:r>
          </w:p>
        </w:tc>
        <w:tc>
          <w:tcPr>
            <w:tcW w:w="6830" w:type="dxa"/>
            <w:vAlign w:val="center"/>
          </w:tcPr>
          <w:p w14:paraId="0C9A1082">
            <w:pPr>
              <w:keepNext w:val="0"/>
              <w:keepLines w:val="0"/>
              <w:numPr>
                <w:ilvl w:val="0"/>
                <w:numId w:val="0"/>
              </w:numPr>
              <w:suppressLineNumbers w:val="0"/>
              <w:spacing w:before="0" w:beforeAutospacing="0" w:after="0" w:afterAutospacing="0" w:line="380" w:lineRule="exact"/>
              <w:ind w:left="0" w:leftChars="0" w:right="0" w:rightChars="0"/>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w:t>
            </w:r>
            <w:r>
              <w:rPr>
                <w:rFonts w:hint="eastAsia" w:ascii="宋体" w:hAnsi="宋体" w:cs="宋体"/>
                <w:color w:val="auto"/>
                <w:kern w:val="2"/>
                <w:sz w:val="24"/>
                <w:szCs w:val="24"/>
                <w:highlight w:val="none"/>
                <w:lang w:val="en-US" w:eastAsia="zh-CN" w:bidi="ar"/>
              </w:rPr>
              <w:t>必须</w:t>
            </w:r>
            <w:r>
              <w:rPr>
                <w:rFonts w:hint="eastAsia" w:ascii="宋体" w:hAnsi="宋体" w:eastAsia="宋体" w:cs="宋体"/>
                <w:color w:val="auto"/>
                <w:sz w:val="24"/>
                <w:szCs w:val="24"/>
                <w:highlight w:val="none"/>
                <w:lang w:bidi="ar"/>
              </w:rPr>
              <w:t>采用胶装方式装订，装订应牢固、不易拆散和换页，不得采用活页装订</w:t>
            </w:r>
            <w:r>
              <w:rPr>
                <w:rFonts w:hint="eastAsia" w:ascii="宋体" w:hAnsi="宋体" w:eastAsia="宋体" w:cs="宋体"/>
                <w:color w:val="auto"/>
                <w:sz w:val="24"/>
                <w:szCs w:val="24"/>
                <w:highlight w:val="none"/>
                <w:lang w:eastAsia="zh-CN" w:bidi="ar"/>
              </w:rPr>
              <w:t>；</w:t>
            </w:r>
            <w:r>
              <w:rPr>
                <w:rFonts w:hint="eastAsia" w:ascii="宋体" w:hAnsi="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备注</w:t>
            </w:r>
            <w:r>
              <w:rPr>
                <w:rFonts w:hint="eastAsia" w:ascii="宋体" w:hAnsi="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eastAsia="zh-CN" w:bidi="ar"/>
              </w:rPr>
              <w:t>此项</w:t>
            </w:r>
            <w:r>
              <w:rPr>
                <w:rFonts w:hint="eastAsia" w:ascii="宋体" w:hAnsi="宋体" w:cs="宋体"/>
                <w:color w:val="auto"/>
                <w:sz w:val="24"/>
                <w:szCs w:val="24"/>
                <w:highlight w:val="none"/>
                <w:lang w:val="en-US" w:eastAsia="zh-CN" w:bidi="ar"/>
              </w:rPr>
              <w:t>为实质性要求）</w:t>
            </w:r>
          </w:p>
          <w:p w14:paraId="0C0F0583">
            <w:pPr>
              <w:pStyle w:val="7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kern w:val="2"/>
                <w:sz w:val="21"/>
                <w:szCs w:val="24"/>
                <w:highlight w:val="none"/>
                <w:lang w:val="en-US" w:eastAsia="zh-CN" w:bidi="ar-SA"/>
              </w:rPr>
              <w:t>2.</w:t>
            </w:r>
            <w:r>
              <w:rPr>
                <w:rFonts w:hint="eastAsia" w:ascii="宋体" w:hAnsi="宋体" w:eastAsia="宋体" w:cs="宋体"/>
                <w:color w:val="auto"/>
                <w:sz w:val="24"/>
                <w:szCs w:val="24"/>
                <w:highlight w:val="none"/>
                <w:lang w:eastAsia="zh-CN" w:bidi="ar"/>
              </w:rPr>
              <w:t>书脊部位注明项目名称、供应商名称，响应文件须</w:t>
            </w:r>
            <w:r>
              <w:rPr>
                <w:rFonts w:hint="eastAsia" w:ascii="宋体" w:hAnsi="宋体" w:cs="宋体"/>
                <w:color w:val="auto"/>
                <w:sz w:val="24"/>
                <w:szCs w:val="24"/>
                <w:highlight w:val="none"/>
                <w:lang w:val="en-US" w:eastAsia="zh-CN" w:bidi="ar"/>
              </w:rPr>
              <w:t>编制</w:t>
            </w:r>
            <w:r>
              <w:rPr>
                <w:rFonts w:hint="eastAsia" w:ascii="宋体" w:hAnsi="宋体" w:eastAsia="宋体" w:cs="宋体"/>
                <w:color w:val="auto"/>
                <w:sz w:val="24"/>
                <w:szCs w:val="24"/>
                <w:highlight w:val="none"/>
                <w:lang w:eastAsia="zh-CN" w:bidi="ar"/>
              </w:rPr>
              <w:t>目录及连续页码</w:t>
            </w:r>
            <w:r>
              <w:rPr>
                <w:rFonts w:hint="eastAsia" w:ascii="宋体" w:hAnsi="宋体" w:eastAsia="宋体" w:cs="宋体"/>
                <w:color w:val="auto"/>
                <w:sz w:val="24"/>
                <w:szCs w:val="24"/>
                <w:highlight w:val="none"/>
                <w:lang w:val="en-US" w:eastAsia="zh-CN" w:bidi="ar"/>
              </w:rPr>
              <w:t>。（备注</w:t>
            </w:r>
            <w:r>
              <w:rPr>
                <w:rFonts w:hint="eastAsia" w:ascii="宋体" w:hAnsi="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eastAsia="zh-CN" w:bidi="ar"/>
              </w:rPr>
              <w:t>此项要求不作为否决响应的条件）</w:t>
            </w:r>
          </w:p>
        </w:tc>
      </w:tr>
      <w:tr w14:paraId="179E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vAlign w:val="center"/>
          </w:tcPr>
          <w:p w14:paraId="2C8AE2ED">
            <w:pPr>
              <w:keepNext w:val="0"/>
              <w:keepLines w:val="0"/>
              <w:pageBreakBefore w:val="0"/>
              <w:widowControl w:val="0"/>
              <w:wordWrap/>
              <w:topLinePunct w:val="0"/>
              <w:autoSpaceDE/>
              <w:autoSpaceDN/>
              <w:bidi w:val="0"/>
              <w:adjustRightInd/>
              <w:snapToGrid/>
              <w:spacing w:after="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2385" w:type="dxa"/>
            <w:vAlign w:val="center"/>
          </w:tcPr>
          <w:p w14:paraId="0CC65861">
            <w:pPr>
              <w:keepNext w:val="0"/>
              <w:keepLines w:val="0"/>
              <w:pageBreakBefore w:val="0"/>
              <w:widowControl w:val="0"/>
              <w:wordWrap/>
              <w:topLinePunct w:val="0"/>
              <w:autoSpaceDE/>
              <w:autoSpaceDN/>
              <w:bidi w:val="0"/>
              <w:adjustRightInd/>
              <w:snapToGrid/>
              <w:spacing w:after="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的组建</w:t>
            </w:r>
          </w:p>
        </w:tc>
        <w:tc>
          <w:tcPr>
            <w:tcW w:w="6830" w:type="dxa"/>
            <w:vAlign w:val="center"/>
          </w:tcPr>
          <w:p w14:paraId="20EC662A">
            <w:pPr>
              <w:pStyle w:val="72"/>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构成</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评审专家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人组成。</w:t>
            </w:r>
          </w:p>
          <w:p w14:paraId="370F35BB">
            <w:pPr>
              <w:pStyle w:val="72"/>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rPr>
              <w:t>专家确定方式：</w:t>
            </w:r>
            <w:r>
              <w:rPr>
                <w:rFonts w:hint="eastAsia" w:ascii="宋体" w:hAnsi="宋体" w:eastAsia="宋体" w:cs="宋体"/>
                <w:color w:val="auto"/>
                <w:sz w:val="24"/>
                <w:szCs w:val="24"/>
                <w:highlight w:val="none"/>
                <w:lang w:val="en-US" w:eastAsia="zh-CN"/>
              </w:rPr>
              <w:t>响应文件递交截止时间</w:t>
            </w:r>
            <w:r>
              <w:rPr>
                <w:rFonts w:hint="eastAsia" w:ascii="宋体" w:hAnsi="宋体" w:eastAsia="宋体" w:cs="宋体"/>
                <w:color w:val="auto"/>
                <w:sz w:val="24"/>
                <w:szCs w:val="24"/>
                <w:highlight w:val="none"/>
              </w:rPr>
              <w:t>前从相关评标专家库中随机抽取。</w:t>
            </w:r>
          </w:p>
        </w:tc>
      </w:tr>
      <w:tr w14:paraId="008D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vAlign w:val="center"/>
          </w:tcPr>
          <w:p w14:paraId="7684874A">
            <w:pPr>
              <w:keepNext w:val="0"/>
              <w:keepLines w:val="0"/>
              <w:pageBreakBefore w:val="0"/>
              <w:widowControl w:val="0"/>
              <w:wordWrap/>
              <w:topLinePunct w:val="0"/>
              <w:autoSpaceDE/>
              <w:autoSpaceDN/>
              <w:bidi w:val="0"/>
              <w:adjustRightInd/>
              <w:snapToGrid/>
              <w:spacing w:after="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2385" w:type="dxa"/>
            <w:vAlign w:val="center"/>
          </w:tcPr>
          <w:p w14:paraId="19F1D8C1">
            <w:pPr>
              <w:spacing w:line="440" w:lineRule="exact"/>
              <w:jc w:val="center"/>
              <w:rPr>
                <w:rFonts w:hint="eastAsia" w:ascii="宋体" w:hAnsi="宋体" w:eastAsia="宋体" w:cs="宋体"/>
                <w:color w:val="auto"/>
                <w:sz w:val="24"/>
                <w:szCs w:val="24"/>
                <w:highlight w:val="none"/>
              </w:rPr>
            </w:pPr>
            <w:r>
              <w:rPr>
                <w:rFonts w:hint="eastAsia" w:ascii="宋体" w:hAnsi="宋体" w:cs="宋体"/>
                <w:sz w:val="24"/>
                <w:highlight w:val="none"/>
              </w:rPr>
              <w:t>是否授权磋商小组确定成交供应商</w:t>
            </w:r>
          </w:p>
        </w:tc>
        <w:tc>
          <w:tcPr>
            <w:tcW w:w="6830" w:type="dxa"/>
            <w:vAlign w:val="center"/>
          </w:tcPr>
          <w:p w14:paraId="06283653">
            <w:pPr>
              <w:spacing w:line="440" w:lineRule="exact"/>
              <w:rPr>
                <w:rFonts w:hint="eastAsia" w:ascii="宋体" w:hAnsi="宋体" w:eastAsia="宋体" w:cs="宋体"/>
                <w:color w:val="auto"/>
                <w:sz w:val="24"/>
                <w:szCs w:val="24"/>
                <w:highlight w:val="none"/>
              </w:rPr>
            </w:pPr>
            <w:r>
              <w:rPr>
                <w:rFonts w:hint="eastAsia" w:ascii="宋体" w:hAnsi="宋体" w:cs="宋体"/>
                <w:sz w:val="24"/>
                <w:highlight w:val="none"/>
              </w:rPr>
              <w:t>否，推荐的成交候选供应商数量：1-3名成交候选供应商。</w:t>
            </w:r>
          </w:p>
        </w:tc>
      </w:tr>
      <w:tr w14:paraId="7286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25" w:type="dxa"/>
            <w:vAlign w:val="center"/>
          </w:tcPr>
          <w:p w14:paraId="0E1330E3">
            <w:pPr>
              <w:keepNext w:val="0"/>
              <w:keepLines w:val="0"/>
              <w:pageBreakBefore w:val="0"/>
              <w:widowControl w:val="0"/>
              <w:wordWrap/>
              <w:topLinePunct w:val="0"/>
              <w:autoSpaceDE/>
              <w:autoSpaceDN/>
              <w:bidi w:val="0"/>
              <w:adjustRightInd/>
              <w:snapToGrid/>
              <w:spacing w:after="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2385" w:type="dxa"/>
            <w:vAlign w:val="center"/>
          </w:tcPr>
          <w:p w14:paraId="50DBF83A">
            <w:pPr>
              <w:keepNext w:val="0"/>
              <w:keepLines w:val="0"/>
              <w:pageBreakBefore w:val="0"/>
              <w:widowControl w:val="0"/>
              <w:wordWrap/>
              <w:topLinePunct w:val="0"/>
              <w:autoSpaceDE/>
              <w:autoSpaceDN/>
              <w:bidi w:val="0"/>
              <w:adjustRightInd/>
              <w:snapToGrid/>
              <w:spacing w:after="0" w:line="440" w:lineRule="exact"/>
              <w:jc w:val="center"/>
              <w:textAlignment w:val="auto"/>
              <w:rPr>
                <w:rFonts w:hint="eastAsia" w:ascii="宋体" w:hAnsi="宋体" w:eastAsia="宋体" w:cs="宋体"/>
                <w:color w:val="auto"/>
                <w:sz w:val="24"/>
                <w:szCs w:val="24"/>
                <w:highlight w:val="none"/>
              </w:rPr>
            </w:pPr>
            <w:bookmarkStart w:id="58" w:name="_Toc436423299"/>
            <w:bookmarkStart w:id="59" w:name="_Toc436422955"/>
            <w:r>
              <w:rPr>
                <w:rFonts w:hint="eastAsia" w:ascii="宋体" w:hAnsi="宋体" w:eastAsia="宋体" w:cs="宋体"/>
                <w:color w:val="auto"/>
                <w:sz w:val="24"/>
                <w:szCs w:val="24"/>
                <w:highlight w:val="none"/>
                <w:lang w:eastAsia="zh-CN"/>
              </w:rPr>
              <w:t>采购预算</w:t>
            </w:r>
            <w:r>
              <w:rPr>
                <w:rFonts w:hint="eastAsia" w:ascii="宋体" w:hAnsi="宋体" w:eastAsia="宋体" w:cs="宋体"/>
                <w:color w:val="auto"/>
                <w:sz w:val="24"/>
                <w:szCs w:val="24"/>
                <w:highlight w:val="none"/>
              </w:rPr>
              <w:t>价</w:t>
            </w:r>
            <w:bookmarkEnd w:id="58"/>
            <w:bookmarkEnd w:id="59"/>
          </w:p>
        </w:tc>
        <w:tc>
          <w:tcPr>
            <w:tcW w:w="6830" w:type="dxa"/>
            <w:vAlign w:val="center"/>
          </w:tcPr>
          <w:p w14:paraId="648D561B">
            <w:pPr>
              <w:keepNext w:val="0"/>
              <w:keepLines w:val="0"/>
              <w:suppressLineNumbers w:val="0"/>
              <w:spacing w:before="0" w:beforeAutospacing="0" w:after="0" w:afterAutospacing="0" w:line="44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本项目</w:t>
            </w:r>
            <w:r>
              <w:rPr>
                <w:rFonts w:hint="eastAsia" w:ascii="宋体" w:hAnsi="宋体" w:eastAsia="宋体" w:cs="宋体"/>
                <w:color w:val="auto"/>
                <w:kern w:val="0"/>
                <w:sz w:val="24"/>
                <w:szCs w:val="24"/>
                <w:highlight w:val="none"/>
                <w:lang w:eastAsia="zh-CN" w:bidi="ar"/>
              </w:rPr>
              <w:t>采购预算价为</w:t>
            </w:r>
            <w:r>
              <w:rPr>
                <w:rFonts w:hint="eastAsia" w:ascii="宋体" w:hAnsi="宋体" w:eastAsia="宋体" w:cs="宋体"/>
                <w:color w:val="auto"/>
                <w:kern w:val="0"/>
                <w:sz w:val="24"/>
                <w:szCs w:val="24"/>
                <w:highlight w:val="none"/>
                <w:lang w:bidi="ar"/>
              </w:rPr>
              <w:t>：</w:t>
            </w:r>
            <w:r>
              <w:rPr>
                <w:rFonts w:hint="eastAsia" w:ascii="宋体" w:hAnsi="宋体" w:cs="宋体"/>
                <w:color w:val="auto"/>
                <w:sz w:val="24"/>
                <w:szCs w:val="24"/>
                <w:highlight w:val="none"/>
                <w:lang w:val="en-US" w:eastAsia="zh-CN"/>
              </w:rPr>
              <w:t>489600元</w:t>
            </w:r>
            <w:r>
              <w:rPr>
                <w:rFonts w:hint="eastAsia" w:ascii="宋体" w:hAnsi="宋体" w:cs="宋体"/>
                <w:color w:val="auto"/>
                <w:kern w:val="0"/>
                <w:sz w:val="24"/>
                <w:szCs w:val="24"/>
                <w:highlight w:val="none"/>
                <w:lang w:val="en-US" w:eastAsia="zh-CN" w:bidi="ar"/>
              </w:rPr>
              <w:t>。</w:t>
            </w:r>
          </w:p>
          <w:p w14:paraId="0AE02285">
            <w:pPr>
              <w:pStyle w:val="10"/>
              <w:spacing w:after="0" w:line="440" w:lineRule="exact"/>
              <w:ind w:left="0" w:leftChars="0"/>
              <w:jc w:val="left"/>
              <w:rPr>
                <w:rFonts w:hint="eastAsia" w:ascii="宋体" w:hAnsi="宋体" w:eastAsia="宋体" w:cs="宋体"/>
                <w:color w:val="auto"/>
                <w:sz w:val="24"/>
                <w:highlight w:val="none"/>
              </w:rPr>
            </w:pPr>
            <w:r>
              <w:rPr>
                <w:rFonts w:hint="eastAsia" w:ascii="宋体" w:hAnsi="宋体" w:cs="宋体"/>
                <w:color w:val="auto"/>
                <w:kern w:val="2"/>
                <w:sz w:val="24"/>
                <w:highlight w:val="none"/>
                <w:lang w:eastAsia="zh-CN"/>
              </w:rPr>
              <w:t>磋商限价：</w:t>
            </w:r>
            <w:r>
              <w:rPr>
                <w:rFonts w:hint="eastAsia" w:ascii="宋体" w:hAnsi="宋体" w:cs="宋体"/>
                <w:color w:val="auto"/>
                <w:sz w:val="24"/>
                <w:szCs w:val="24"/>
                <w:highlight w:val="none"/>
                <w:lang w:val="en-US" w:eastAsia="zh-CN"/>
              </w:rPr>
              <w:t>244800.00元/年。</w:t>
            </w:r>
          </w:p>
          <w:p w14:paraId="039E1C64">
            <w:pPr>
              <w:keepNext w:val="0"/>
              <w:keepLines w:val="0"/>
              <w:suppressLineNumbers w:val="0"/>
              <w:spacing w:before="0" w:beforeAutospacing="0" w:after="0" w:afterAutospacing="0" w:line="440" w:lineRule="exact"/>
              <w:ind w:left="0" w:right="0"/>
              <w:jc w:val="left"/>
              <w:rPr>
                <w:rFonts w:hint="default"/>
                <w:highlight w:val="none"/>
                <w:lang w:val="en-US" w:eastAsia="zh-CN"/>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报价</w:t>
            </w:r>
            <w:r>
              <w:rPr>
                <w:rFonts w:hint="eastAsia" w:ascii="宋体" w:hAnsi="宋体" w:cs="宋体"/>
                <w:color w:val="auto"/>
                <w:sz w:val="24"/>
                <w:highlight w:val="none"/>
                <w:lang w:eastAsia="zh-CN"/>
              </w:rPr>
              <w:t>不得低于</w:t>
            </w:r>
            <w:r>
              <w:rPr>
                <w:rFonts w:hint="eastAsia" w:ascii="宋体" w:hAnsi="宋体" w:cs="宋体"/>
                <w:color w:val="auto"/>
                <w:kern w:val="2"/>
                <w:sz w:val="24"/>
                <w:highlight w:val="none"/>
                <w:lang w:eastAsia="zh-CN"/>
              </w:rPr>
              <w:t>磋商限价，</w:t>
            </w:r>
            <w:r>
              <w:rPr>
                <w:rFonts w:hint="eastAsia" w:ascii="宋体" w:hAnsi="宋体" w:cs="宋体"/>
                <w:color w:val="auto"/>
                <w:sz w:val="24"/>
                <w:highlight w:val="none"/>
                <w:lang w:eastAsia="zh-CN"/>
              </w:rPr>
              <w:t>否则</w:t>
            </w:r>
            <w:r>
              <w:rPr>
                <w:rFonts w:hint="eastAsia" w:ascii="宋体" w:hAnsi="宋体" w:eastAsia="宋体" w:cs="宋体"/>
                <w:color w:val="auto"/>
                <w:sz w:val="24"/>
                <w:highlight w:val="none"/>
              </w:rPr>
              <w:t>为无效</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，其</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将被否决。</w:t>
            </w:r>
          </w:p>
        </w:tc>
      </w:tr>
      <w:tr w14:paraId="1E45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25" w:type="dxa"/>
            <w:vAlign w:val="center"/>
          </w:tcPr>
          <w:p w14:paraId="3F98128C">
            <w:pPr>
              <w:keepNext w:val="0"/>
              <w:keepLines w:val="0"/>
              <w:pageBreakBefore w:val="0"/>
              <w:widowControl w:val="0"/>
              <w:wordWrap/>
              <w:topLinePunct w:val="0"/>
              <w:autoSpaceDE/>
              <w:autoSpaceDN/>
              <w:bidi w:val="0"/>
              <w:adjustRightInd/>
              <w:snapToGrid/>
              <w:spacing w:after="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2385" w:type="dxa"/>
            <w:vAlign w:val="center"/>
          </w:tcPr>
          <w:p w14:paraId="50627D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付款方式及周期</w:t>
            </w:r>
          </w:p>
        </w:tc>
        <w:tc>
          <w:tcPr>
            <w:tcW w:w="6830" w:type="dxa"/>
            <w:vAlign w:val="center"/>
          </w:tcPr>
          <w:p w14:paraId="126442B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sz w:val="24"/>
                <w:szCs w:val="24"/>
                <w:highlight w:val="none"/>
                <w:lang w:val="en-US" w:eastAsia="zh-CN"/>
              </w:rPr>
              <w:t>以合同签订为准</w:t>
            </w:r>
          </w:p>
        </w:tc>
      </w:tr>
      <w:tr w14:paraId="6C6C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vAlign w:val="center"/>
          </w:tcPr>
          <w:p w14:paraId="1CB95794">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2385" w:type="dxa"/>
            <w:vAlign w:val="center"/>
          </w:tcPr>
          <w:p w14:paraId="2A9E8EFE">
            <w:pPr>
              <w:spacing w:line="440" w:lineRule="exact"/>
              <w:jc w:val="center"/>
              <w:rPr>
                <w:rFonts w:hint="eastAsia" w:ascii="宋体" w:hAnsi="宋体" w:eastAsia="宋体" w:cs="宋体"/>
                <w:color w:val="auto"/>
                <w:sz w:val="24"/>
                <w:szCs w:val="24"/>
                <w:highlight w:val="none"/>
              </w:rPr>
            </w:pPr>
            <w:r>
              <w:rPr>
                <w:rFonts w:hint="eastAsia" w:ascii="宋体" w:hAnsi="宋体" w:cs="宋体"/>
                <w:sz w:val="24"/>
                <w:highlight w:val="none"/>
              </w:rPr>
              <w:t>成交公告</w:t>
            </w:r>
          </w:p>
        </w:tc>
        <w:tc>
          <w:tcPr>
            <w:tcW w:w="6830" w:type="dxa"/>
            <w:vAlign w:val="center"/>
          </w:tcPr>
          <w:p w14:paraId="6A458F79">
            <w:pPr>
              <w:spacing w:line="440" w:lineRule="exact"/>
              <w:rPr>
                <w:rFonts w:hint="eastAsia" w:ascii="宋体" w:hAnsi="宋体" w:eastAsia="宋体" w:cs="宋体"/>
                <w:color w:val="auto"/>
                <w:sz w:val="24"/>
                <w:szCs w:val="24"/>
                <w:highlight w:val="none"/>
              </w:rPr>
            </w:pPr>
            <w:r>
              <w:rPr>
                <w:rFonts w:hint="eastAsia" w:ascii="宋体" w:hAnsi="宋体" w:cs="宋体"/>
                <w:sz w:val="24"/>
                <w:highlight w:val="none"/>
                <w:lang w:val="en-US" w:eastAsia="zh-CN"/>
              </w:rPr>
              <w:t>在本</w:t>
            </w:r>
            <w:r>
              <w:rPr>
                <w:rFonts w:hint="eastAsia" w:ascii="宋体" w:hAnsi="宋体" w:cs="宋体"/>
                <w:sz w:val="24"/>
                <w:highlight w:val="none"/>
              </w:rPr>
              <w:t>项目公告发布的同一媒介上予以</w:t>
            </w:r>
            <w:r>
              <w:rPr>
                <w:rFonts w:hint="eastAsia" w:ascii="宋体" w:hAnsi="宋体" w:cs="宋体"/>
                <w:sz w:val="24"/>
                <w:highlight w:val="none"/>
                <w:lang w:val="en-US" w:eastAsia="zh-CN"/>
              </w:rPr>
              <w:t>发布，公告期限为1个工作日。</w:t>
            </w:r>
          </w:p>
        </w:tc>
      </w:tr>
      <w:tr w14:paraId="2377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25" w:type="dxa"/>
            <w:vAlign w:val="center"/>
          </w:tcPr>
          <w:p w14:paraId="0D96C059">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2385" w:type="dxa"/>
            <w:vAlign w:val="center"/>
          </w:tcPr>
          <w:p w14:paraId="350592C1">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w:t>
            </w:r>
          </w:p>
        </w:tc>
        <w:tc>
          <w:tcPr>
            <w:tcW w:w="6830" w:type="dxa"/>
            <w:vAlign w:val="center"/>
          </w:tcPr>
          <w:p w14:paraId="097BC4DC">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4"/>
                <w:szCs w:val="24"/>
                <w:highlight w:val="none"/>
                <w:lang w:eastAsia="zh-CN"/>
              </w:rPr>
            </w:pPr>
            <w:r>
              <w:rPr>
                <w:rFonts w:hint="eastAsia" w:ascii="宋体" w:hAnsi="宋体" w:cs="宋体"/>
                <w:sz w:val="24"/>
              </w:rPr>
              <w:t>采购代理机构参照《河南省招标代理服务收费指导意见》（豫招协[2023]002号文）中招标代理服务收费标准向</w:t>
            </w:r>
            <w:r>
              <w:rPr>
                <w:rFonts w:hint="eastAsia" w:ascii="宋体" w:hAnsi="宋体" w:cs="宋体"/>
                <w:sz w:val="24"/>
                <w:lang w:eastAsia="zh-CN"/>
              </w:rPr>
              <w:t>成交</w:t>
            </w:r>
            <w:r>
              <w:rPr>
                <w:rFonts w:hint="eastAsia" w:ascii="宋体" w:hAnsi="宋体" w:cs="宋体"/>
                <w:sz w:val="24"/>
              </w:rPr>
              <w:t>人收取代理服务费。由</w:t>
            </w:r>
            <w:r>
              <w:rPr>
                <w:rFonts w:hint="eastAsia" w:ascii="宋体" w:hAnsi="宋体" w:cs="宋体"/>
                <w:sz w:val="24"/>
                <w:lang w:eastAsia="zh-CN"/>
              </w:rPr>
              <w:t>成交</w:t>
            </w:r>
            <w:r>
              <w:rPr>
                <w:rFonts w:hint="eastAsia" w:ascii="宋体" w:hAnsi="宋体" w:cs="宋体"/>
                <w:sz w:val="24"/>
              </w:rPr>
              <w:t>人在领取成交通知书时向采购代理机构缴纳。此费用由供应商综合考虑到报价中，不再单独列项。</w:t>
            </w:r>
          </w:p>
        </w:tc>
      </w:tr>
      <w:tr w14:paraId="6D5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5" w:type="dxa"/>
            <w:vAlign w:val="center"/>
          </w:tcPr>
          <w:p w14:paraId="5CBA97A9">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2385" w:type="dxa"/>
            <w:vAlign w:val="center"/>
          </w:tcPr>
          <w:p w14:paraId="7E955A43">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的</w:t>
            </w:r>
          </w:p>
          <w:p w14:paraId="33641EDA">
            <w:pPr>
              <w:keepNext w:val="0"/>
              <w:keepLines w:val="0"/>
              <w:pageBreakBefore w:val="0"/>
              <w:widowControl w:val="0"/>
              <w:tabs>
                <w:tab w:val="center" w:pos="1144"/>
                <w:tab w:val="right" w:pos="2169"/>
              </w:tabs>
              <w:kinsoku/>
              <w:wordWrap/>
              <w:overflowPunct/>
              <w:topLinePunct w:val="0"/>
              <w:autoSpaceDE/>
              <w:autoSpaceDN/>
              <w:bidi w:val="0"/>
              <w:adjustRightInd/>
              <w:snapToGrid/>
              <w:spacing w:after="0"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rPr>
              <w:t>澄清</w:t>
            </w:r>
            <w:r>
              <w:rPr>
                <w:rFonts w:hint="eastAsia" w:ascii="宋体" w:hAnsi="宋体" w:eastAsia="宋体" w:cs="宋体"/>
                <w:color w:val="auto"/>
                <w:sz w:val="24"/>
                <w:szCs w:val="24"/>
                <w:highlight w:val="none"/>
                <w:lang w:eastAsia="zh-CN"/>
              </w:rPr>
              <w:t>和修改</w:t>
            </w:r>
          </w:p>
        </w:tc>
        <w:tc>
          <w:tcPr>
            <w:tcW w:w="6830" w:type="dxa"/>
            <w:vAlign w:val="center"/>
          </w:tcPr>
          <w:p w14:paraId="3B77687F">
            <w:pPr>
              <w:spacing w:line="440" w:lineRule="exact"/>
              <w:rPr>
                <w:rFonts w:ascii="宋体" w:hAnsi="宋体" w:cs="宋体"/>
                <w:sz w:val="24"/>
              </w:rPr>
            </w:pPr>
            <w:r>
              <w:rPr>
                <w:rFonts w:hint="eastAsia" w:ascii="宋体" w:hAnsi="宋体" w:cs="宋体"/>
                <w:sz w:val="24"/>
              </w:rPr>
              <w:t>1.采购人、代理机构在</w:t>
            </w:r>
            <w:r>
              <w:rPr>
                <w:rFonts w:hint="eastAsia" w:ascii="宋体" w:hAnsi="宋体" w:cs="宋体"/>
                <w:sz w:val="24"/>
                <w:lang w:eastAsia="zh-CN"/>
              </w:rPr>
              <w:t>响应文件提交</w:t>
            </w:r>
            <w:r>
              <w:rPr>
                <w:rFonts w:hint="eastAsia" w:ascii="宋体" w:hAnsi="宋体" w:cs="宋体"/>
                <w:sz w:val="24"/>
              </w:rPr>
              <w:t>截止时间前有权澄清修改、补充已发售的竞争性磋商文件。</w:t>
            </w:r>
          </w:p>
          <w:p w14:paraId="33A404AD">
            <w:pPr>
              <w:spacing w:line="440" w:lineRule="exact"/>
              <w:rPr>
                <w:rFonts w:ascii="宋体" w:hAnsi="宋体" w:cs="宋体"/>
                <w:sz w:val="24"/>
              </w:rPr>
            </w:pPr>
            <w:r>
              <w:rPr>
                <w:rFonts w:hint="eastAsia" w:ascii="宋体" w:hAnsi="宋体" w:cs="宋体"/>
                <w:sz w:val="24"/>
              </w:rPr>
              <w:t>2.竞争性磋商文件在</w:t>
            </w:r>
            <w:r>
              <w:rPr>
                <w:rFonts w:hint="eastAsia" w:ascii="宋体" w:hAnsi="宋体" w:cs="宋体"/>
                <w:sz w:val="24"/>
                <w:lang w:eastAsia="zh-CN"/>
              </w:rPr>
              <w:t>响应文件提交</w:t>
            </w:r>
            <w:r>
              <w:rPr>
                <w:rFonts w:hint="eastAsia" w:ascii="宋体" w:hAnsi="宋体" w:cs="宋体"/>
                <w:sz w:val="24"/>
              </w:rPr>
              <w:t>截止时间前5日内对所有澄清、修改（包括时间变更等）、补充事项，均在“竞争性磋商公告”所述媒体予以公告。澄清或修改公告一经在网上以公告形式发布，即视为书面通知，不再另行通知。竞争性磋商文件的澄清、修改、补充内容构成竞争性磋商文件的组成部分，并取代竞争性磋商文件中被澄清、修改处，对所有供应商均有约束力。</w:t>
            </w:r>
          </w:p>
          <w:p w14:paraId="2C72034A">
            <w:pPr>
              <w:spacing w:line="440" w:lineRule="exact"/>
              <w:rPr>
                <w:rFonts w:ascii="宋体" w:hAnsi="宋体" w:cs="宋体"/>
                <w:sz w:val="24"/>
              </w:rPr>
            </w:pPr>
            <w:r>
              <w:rPr>
                <w:rFonts w:hint="eastAsia" w:ascii="宋体" w:hAnsi="宋体" w:cs="宋体"/>
                <w:sz w:val="24"/>
              </w:rPr>
              <w:t>3.潜在供应商应随时关注“竞争性磋商公告”所述媒体相关项目信息，如有遗漏，后果自负。</w:t>
            </w:r>
          </w:p>
          <w:p w14:paraId="482049C3">
            <w:pPr>
              <w:spacing w:line="440" w:lineRule="exact"/>
              <w:rPr>
                <w:rFonts w:hint="eastAsia" w:ascii="宋体" w:hAnsi="宋体" w:eastAsia="宋体" w:cs="宋体"/>
                <w:color w:val="auto"/>
                <w:sz w:val="24"/>
                <w:szCs w:val="24"/>
                <w:highlight w:val="none"/>
                <w:lang w:val="en-US" w:eastAsia="zh-CN"/>
              </w:rPr>
            </w:pPr>
            <w:r>
              <w:rPr>
                <w:rFonts w:hint="eastAsia" w:ascii="宋体" w:hAnsi="宋体" w:cs="宋体"/>
                <w:sz w:val="24"/>
              </w:rPr>
              <w:t>4.如果</w:t>
            </w:r>
            <w:r>
              <w:rPr>
                <w:rFonts w:hint="eastAsia" w:ascii="宋体" w:hAnsi="宋体" w:cs="宋体"/>
                <w:sz w:val="24"/>
                <w:lang w:eastAsia="zh-CN"/>
              </w:rPr>
              <w:t>响应文件开启</w:t>
            </w:r>
            <w:r>
              <w:rPr>
                <w:rFonts w:hint="eastAsia" w:ascii="宋体" w:hAnsi="宋体" w:cs="宋体"/>
                <w:sz w:val="24"/>
              </w:rPr>
              <w:t>截止时间前的澄清修改补充发出的时间不满足供应商须知前附表规定时间，并且澄清修改补充内容影响响应文件编制的，采购人、代理机构可视采购具体情况延长</w:t>
            </w:r>
            <w:r>
              <w:rPr>
                <w:rFonts w:hint="eastAsia" w:ascii="宋体" w:hAnsi="宋体" w:cs="宋体"/>
                <w:sz w:val="24"/>
                <w:lang w:eastAsia="zh-CN"/>
              </w:rPr>
              <w:t>响应文件提交</w:t>
            </w:r>
            <w:r>
              <w:rPr>
                <w:rFonts w:hint="eastAsia" w:ascii="宋体" w:hAnsi="宋体" w:cs="宋体"/>
                <w:sz w:val="24"/>
              </w:rPr>
              <w:t>截止时间和</w:t>
            </w:r>
            <w:r>
              <w:rPr>
                <w:rFonts w:hint="eastAsia" w:ascii="宋体" w:hAnsi="宋体" w:cs="宋体"/>
                <w:sz w:val="24"/>
                <w:lang w:eastAsia="zh-CN"/>
              </w:rPr>
              <w:t>开启</w:t>
            </w:r>
            <w:r>
              <w:rPr>
                <w:rFonts w:hint="eastAsia" w:ascii="宋体" w:hAnsi="宋体" w:cs="宋体"/>
                <w:sz w:val="24"/>
              </w:rPr>
              <w:t>时间，并将在“竞争性磋商公告”所述媒体予以公告。</w:t>
            </w:r>
          </w:p>
        </w:tc>
      </w:tr>
      <w:tr w14:paraId="20B1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5" w:type="dxa"/>
            <w:vAlign w:val="center"/>
          </w:tcPr>
          <w:p w14:paraId="3BD8884F">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color w:val="auto"/>
                <w:sz w:val="24"/>
                <w:szCs w:val="24"/>
                <w:highlight w:val="none"/>
                <w:lang w:val="en-US" w:eastAsia="zh-CN"/>
              </w:rPr>
            </w:pPr>
            <w:bookmarkStart w:id="60" w:name="_Toc470076974"/>
            <w:bookmarkStart w:id="61" w:name="_Toc469902674"/>
            <w:r>
              <w:rPr>
                <w:rFonts w:hint="eastAsia" w:ascii="宋体" w:hAnsi="宋体" w:cs="宋体"/>
                <w:color w:val="auto"/>
                <w:sz w:val="24"/>
                <w:szCs w:val="24"/>
                <w:highlight w:val="none"/>
                <w:lang w:val="en-US" w:eastAsia="zh-CN"/>
              </w:rPr>
              <w:t>27</w:t>
            </w:r>
          </w:p>
        </w:tc>
        <w:tc>
          <w:tcPr>
            <w:tcW w:w="2385" w:type="dxa"/>
            <w:vAlign w:val="center"/>
          </w:tcPr>
          <w:p w14:paraId="02EA040F">
            <w:pPr>
              <w:pStyle w:val="12"/>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质疑、投诉</w:t>
            </w:r>
          </w:p>
        </w:tc>
        <w:tc>
          <w:tcPr>
            <w:tcW w:w="6830" w:type="dxa"/>
            <w:vAlign w:val="center"/>
          </w:tcPr>
          <w:p w14:paraId="1975E57E">
            <w:pPr>
              <w:pStyle w:val="12"/>
              <w:spacing w:line="440" w:lineRule="exact"/>
              <w:ind w:left="1" w:firstLine="2" w:firstLineChars="1"/>
              <w:rPr>
                <w:rFonts w:hAnsi="宋体" w:cs="宋体"/>
                <w:sz w:val="24"/>
              </w:rPr>
            </w:pPr>
            <w:r>
              <w:rPr>
                <w:rFonts w:hint="eastAsia" w:hAnsi="宋体" w:cs="宋体"/>
                <w:sz w:val="24"/>
              </w:rPr>
              <w:t>参与本次采购活动的供应商如有异议，可在各环节法定质疑期内向采购代理机构一次性提出针对该采购程序环节的书面质疑函，书面原件送达至采购代理机构相关部门（招标代理部：0371-68893199；地址：郑州市二七区兴华北街18号盛世经纬B座4楼413室）；依据法律法规规定，供应商提出质疑应当提交质疑函和有明确的请求及必要的证明材料，应当包括下列内容：1、供应商的姓名或者名称、地址、邮编、联系人及联系电话；</w:t>
            </w:r>
          </w:p>
          <w:p w14:paraId="4753B7FF">
            <w:pPr>
              <w:pStyle w:val="12"/>
              <w:spacing w:line="440" w:lineRule="exact"/>
              <w:ind w:left="1" w:firstLine="2" w:firstLineChars="1"/>
              <w:rPr>
                <w:rFonts w:hAnsi="宋体" w:cs="宋体"/>
                <w:sz w:val="24"/>
              </w:rPr>
            </w:pPr>
            <w:r>
              <w:rPr>
                <w:rFonts w:hint="eastAsia" w:hAnsi="宋体" w:cs="宋体"/>
                <w:sz w:val="24"/>
              </w:rPr>
              <w:t>2、质疑项目的名称、编号；</w:t>
            </w:r>
          </w:p>
          <w:p w14:paraId="0F4634DB">
            <w:pPr>
              <w:pStyle w:val="12"/>
              <w:spacing w:line="440" w:lineRule="exact"/>
              <w:ind w:left="1" w:firstLine="2" w:firstLineChars="1"/>
              <w:rPr>
                <w:rFonts w:hAnsi="宋体" w:cs="宋体"/>
                <w:sz w:val="24"/>
              </w:rPr>
            </w:pPr>
            <w:r>
              <w:rPr>
                <w:rFonts w:hint="eastAsia" w:hAnsi="宋体" w:cs="宋体"/>
                <w:sz w:val="24"/>
              </w:rPr>
              <w:t>3、具体、明确的质疑事项和与质疑事项相关的请求；</w:t>
            </w:r>
          </w:p>
          <w:p w14:paraId="78150ED7">
            <w:pPr>
              <w:pStyle w:val="12"/>
              <w:spacing w:line="440" w:lineRule="exact"/>
              <w:ind w:left="1" w:firstLine="2" w:firstLineChars="1"/>
              <w:rPr>
                <w:rFonts w:hAnsi="宋体" w:cs="宋体"/>
                <w:sz w:val="24"/>
              </w:rPr>
            </w:pPr>
            <w:r>
              <w:rPr>
                <w:rFonts w:hint="eastAsia" w:hAnsi="宋体" w:cs="宋体"/>
                <w:sz w:val="24"/>
              </w:rPr>
              <w:t>4、事实依据；</w:t>
            </w:r>
          </w:p>
          <w:p w14:paraId="08AD849D">
            <w:pPr>
              <w:pStyle w:val="12"/>
              <w:spacing w:line="440" w:lineRule="exact"/>
              <w:ind w:left="1" w:firstLine="2" w:firstLineChars="1"/>
              <w:rPr>
                <w:rFonts w:hAnsi="宋体" w:cs="宋体"/>
                <w:sz w:val="24"/>
              </w:rPr>
            </w:pPr>
            <w:r>
              <w:rPr>
                <w:rFonts w:hint="eastAsia" w:hAnsi="宋体" w:cs="宋体"/>
                <w:sz w:val="24"/>
              </w:rPr>
              <w:t>5、必要的法律依据；</w:t>
            </w:r>
          </w:p>
          <w:p w14:paraId="75E77962">
            <w:pPr>
              <w:pStyle w:val="12"/>
              <w:spacing w:line="440" w:lineRule="exact"/>
              <w:ind w:left="1" w:firstLine="2" w:firstLineChars="1"/>
              <w:rPr>
                <w:rFonts w:hAnsi="宋体" w:cs="宋体"/>
                <w:sz w:val="24"/>
              </w:rPr>
            </w:pPr>
            <w:r>
              <w:rPr>
                <w:rFonts w:hint="eastAsia" w:hAnsi="宋体" w:cs="宋体"/>
                <w:sz w:val="24"/>
              </w:rPr>
              <w:t>6、提出质疑的日期。</w:t>
            </w:r>
          </w:p>
          <w:p w14:paraId="2D4857C1">
            <w:pPr>
              <w:pStyle w:val="12"/>
              <w:spacing w:line="440" w:lineRule="exact"/>
              <w:ind w:left="1" w:leftChars="0" w:firstLine="2" w:firstLineChars="1"/>
              <w:rPr>
                <w:rFonts w:hint="eastAsia" w:ascii="宋体" w:hAnsi="宋体" w:eastAsia="宋体" w:cs="宋体"/>
                <w:color w:val="auto"/>
                <w:sz w:val="24"/>
                <w:szCs w:val="24"/>
                <w:highlight w:val="none"/>
              </w:rPr>
            </w:pPr>
            <w:r>
              <w:rPr>
                <w:rFonts w:hint="eastAsia" w:hAnsi="宋体" w:cs="宋体"/>
                <w:sz w:val="24"/>
              </w:rPr>
              <w:t>供应商为自然人的，应当由本人签字；供应商为法人或者其他组织的，应当由法定代表人、主要负责人或者其授权代表签字或者盖章，并加盖公章。如对采购代理机构的答复仍有异议的，可按磋商文件要求提出书面投诉。（具体程序按照《政府采购质疑和投诉办法》执行）</w:t>
            </w:r>
          </w:p>
        </w:tc>
      </w:tr>
      <w:tr w14:paraId="7425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vAlign w:val="center"/>
          </w:tcPr>
          <w:p w14:paraId="29D6D0C6">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2385" w:type="dxa"/>
            <w:vAlign w:val="center"/>
          </w:tcPr>
          <w:p w14:paraId="1255CB5E">
            <w:pPr>
              <w:keepNext w:val="0"/>
              <w:keepLines w:val="0"/>
              <w:pageBreakBefore w:val="0"/>
              <w:widowControl w:val="0"/>
              <w:tabs>
                <w:tab w:val="center" w:pos="1144"/>
                <w:tab w:val="right" w:pos="2169"/>
              </w:tabs>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sz w:val="24"/>
                <w:szCs w:val="24"/>
                <w:highlight w:val="none"/>
                <w:lang w:eastAsia="zh-CN"/>
              </w:rPr>
              <w:t>本项目所属行业</w:t>
            </w:r>
          </w:p>
        </w:tc>
        <w:tc>
          <w:tcPr>
            <w:tcW w:w="6830" w:type="dxa"/>
            <w:vAlign w:val="center"/>
          </w:tcPr>
          <w:p w14:paraId="2C5A1B3B">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szCs w:val="24"/>
                <w:highlight w:val="none"/>
                <w:lang w:eastAsia="zh-CN"/>
              </w:rPr>
              <w:t>其他未列明行业</w:t>
            </w:r>
          </w:p>
        </w:tc>
      </w:tr>
      <w:tr w14:paraId="54EE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5" w:type="dxa"/>
            <w:vAlign w:val="center"/>
          </w:tcPr>
          <w:p w14:paraId="43EE3AC2">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2385" w:type="dxa"/>
            <w:vAlign w:val="center"/>
          </w:tcPr>
          <w:p w14:paraId="4C810023">
            <w:pPr>
              <w:keepNext w:val="0"/>
              <w:keepLines w:val="0"/>
              <w:suppressLineNumbers w:val="0"/>
              <w:spacing w:before="0" w:beforeAutospacing="0" w:after="0" w:afterAutospacing="0" w:line="360" w:lineRule="auto"/>
              <w:ind w:left="0" w:leftChars="0" w:right="0" w:rightChars="0"/>
              <w:jc w:val="center"/>
              <w:rPr>
                <w:rFonts w:hint="eastAsia" w:ascii="宋体" w:hAnsi="宋体" w:cs="宋体"/>
                <w:color w:val="auto"/>
                <w:sz w:val="24"/>
                <w:szCs w:val="24"/>
                <w:highlight w:val="none"/>
                <w:lang w:eastAsia="zh-CN"/>
              </w:rPr>
            </w:pPr>
            <w:r>
              <w:rPr>
                <w:rFonts w:hint="eastAsia" w:ascii="宋体" w:hAnsi="宋体" w:eastAsia="宋体" w:cs="宋体"/>
                <w:color w:val="auto"/>
                <w:kern w:val="0"/>
                <w:sz w:val="24"/>
                <w:szCs w:val="24"/>
                <w:lang w:eastAsia="zh-CN" w:bidi="ar"/>
              </w:rPr>
              <w:t>其他政策</w:t>
            </w:r>
          </w:p>
        </w:tc>
        <w:tc>
          <w:tcPr>
            <w:tcW w:w="6830" w:type="dxa"/>
            <w:vAlign w:val="center"/>
          </w:tcPr>
          <w:p w14:paraId="79FC7631">
            <w:pPr>
              <w:keepNext w:val="0"/>
              <w:keepLines w:val="0"/>
              <w:suppressLineNumbers w:val="0"/>
              <w:spacing w:before="0" w:beforeAutospacing="0" w:after="0" w:afterAutospacing="0" w:line="500" w:lineRule="exact"/>
              <w:ind w:left="0" w:leftChars="0" w:right="0" w:rightChars="0"/>
              <w:jc w:val="both"/>
              <w:rPr>
                <w:rFonts w:hint="eastAsia" w:ascii="宋体" w:hAnsi="宋体" w:eastAsia="宋体" w:cs="宋体"/>
                <w:sz w:val="24"/>
                <w:szCs w:val="24"/>
                <w:highlight w:val="none"/>
                <w:lang w:eastAsia="zh-CN"/>
              </w:rPr>
            </w:pPr>
            <w:r>
              <w:rPr>
                <w:rFonts w:hint="eastAsia" w:ascii="宋体" w:hAnsi="宋体" w:eastAsia="宋体" w:cs="宋体"/>
                <w:color w:val="auto"/>
                <w:kern w:val="0"/>
                <w:sz w:val="24"/>
                <w:szCs w:val="24"/>
                <w:lang w:bidi="ar"/>
              </w:rPr>
              <w:t>优先采购向我国企业转让技术、与我国企业签订消化吸收再创新方案的供应商的进口产品</w:t>
            </w:r>
            <w:r>
              <w:rPr>
                <w:rFonts w:hint="eastAsia" w:ascii="宋体" w:hAnsi="宋体" w:eastAsia="宋体" w:cs="宋体"/>
                <w:color w:val="auto"/>
                <w:kern w:val="0"/>
                <w:sz w:val="24"/>
                <w:szCs w:val="24"/>
                <w:lang w:eastAsia="zh-CN" w:bidi="ar"/>
              </w:rPr>
              <w:t>（本条适用于进口产品）</w:t>
            </w:r>
            <w:r>
              <w:rPr>
                <w:rFonts w:hint="eastAsia" w:ascii="宋体" w:hAnsi="宋体" w:eastAsia="宋体" w:cs="宋体"/>
                <w:color w:val="auto"/>
                <w:kern w:val="0"/>
                <w:sz w:val="24"/>
                <w:szCs w:val="24"/>
                <w:lang w:bidi="ar"/>
              </w:rPr>
              <w:t>。</w:t>
            </w:r>
          </w:p>
        </w:tc>
      </w:tr>
      <w:tr w14:paraId="7FF6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040" w:type="dxa"/>
            <w:gridSpan w:val="3"/>
            <w:vAlign w:val="center"/>
          </w:tcPr>
          <w:p w14:paraId="7B915136">
            <w:pPr>
              <w:keepNext w:val="0"/>
              <w:keepLines w:val="0"/>
              <w:pageBreakBefore w:val="0"/>
              <w:widowControl w:val="0"/>
              <w:kinsoku/>
              <w:wordWrap/>
              <w:overflowPunct/>
              <w:topLinePunct w:val="0"/>
              <w:autoSpaceDE/>
              <w:autoSpaceDN/>
              <w:bidi w:val="0"/>
              <w:adjustRightInd/>
              <w:snapToGrid/>
              <w:spacing w:after="0" w:line="44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本项目竞争性磋商文件最终解释权归采购人所有。</w:t>
            </w:r>
            <w:bookmarkEnd w:id="60"/>
            <w:bookmarkEnd w:id="61"/>
          </w:p>
        </w:tc>
      </w:tr>
    </w:tbl>
    <w:p w14:paraId="1DB04000">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color w:val="auto"/>
          <w:sz w:val="28"/>
          <w:szCs w:val="28"/>
          <w:highlight w:val="none"/>
          <w:lang w:eastAsia="zh-CN"/>
        </w:rPr>
      </w:pPr>
      <w:bookmarkStart w:id="62" w:name="_Toc436423307"/>
      <w:r>
        <w:rPr>
          <w:rFonts w:hint="eastAsia" w:ascii="宋体" w:hAnsi="宋体" w:eastAsia="宋体" w:cs="宋体"/>
          <w:b/>
          <w:color w:val="auto"/>
          <w:sz w:val="28"/>
          <w:szCs w:val="28"/>
          <w:highlight w:val="none"/>
          <w:lang w:eastAsia="zh-CN"/>
        </w:rPr>
        <w:t>一、总则</w:t>
      </w:r>
      <w:bookmarkEnd w:id="62"/>
    </w:p>
    <w:p w14:paraId="5CB2AF6C">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1．项目说明</w:t>
      </w:r>
    </w:p>
    <w:p w14:paraId="098B08BC">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1.1项目名称：</w:t>
      </w:r>
      <w:r>
        <w:rPr>
          <w:rFonts w:hint="eastAsia" w:ascii="宋体" w:hAnsi="宋体" w:cs="宋体"/>
          <w:color w:val="auto"/>
          <w:sz w:val="24"/>
          <w:szCs w:val="24"/>
          <w:highlight w:val="none"/>
          <w:lang w:eastAsia="zh-CN"/>
        </w:rPr>
        <w:t>睢县妇幼保健院营养餐厅运营管理项目（三次）</w:t>
      </w:r>
      <w:r>
        <w:rPr>
          <w:rFonts w:hint="eastAsia" w:ascii="宋体" w:hAnsi="宋体" w:eastAsia="宋体" w:cs="宋体"/>
          <w:color w:val="auto"/>
          <w:sz w:val="24"/>
          <w:szCs w:val="24"/>
          <w:highlight w:val="none"/>
          <w:lang w:eastAsia="zh-CN"/>
        </w:rPr>
        <w:t>。</w:t>
      </w:r>
    </w:p>
    <w:p w14:paraId="2D3C511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1.2本次招标采取竞争性磋商方式。本竞争性磋商文件仅适用于本次竞争性磋商公告中所述的“</w:t>
      </w:r>
      <w:r>
        <w:rPr>
          <w:rFonts w:hint="eastAsia" w:ascii="宋体" w:hAnsi="宋体" w:cs="宋体"/>
          <w:color w:val="auto"/>
          <w:sz w:val="24"/>
          <w:szCs w:val="24"/>
          <w:highlight w:val="none"/>
          <w:lang w:eastAsia="zh-CN"/>
        </w:rPr>
        <w:t>睢县妇幼保健院营养餐厅运营管理项目（三次）”</w:t>
      </w:r>
      <w:r>
        <w:rPr>
          <w:rFonts w:hint="eastAsia" w:ascii="宋体" w:hAnsi="宋体" w:eastAsia="宋体" w:cs="宋体"/>
          <w:color w:val="auto"/>
          <w:sz w:val="24"/>
          <w:szCs w:val="24"/>
          <w:highlight w:val="none"/>
          <w:lang w:eastAsia="zh-CN"/>
        </w:rPr>
        <w:t>。</w:t>
      </w:r>
    </w:p>
    <w:p w14:paraId="29FCA914">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 资金来源：详见“</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须知前附表”。</w:t>
      </w:r>
    </w:p>
    <w:p w14:paraId="05861AF1">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内容：详见“</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须知前附表”。</w:t>
      </w:r>
    </w:p>
    <w:p w14:paraId="4B60A67E">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 质量要求：详见“</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须知前附表”。</w:t>
      </w:r>
    </w:p>
    <w:p w14:paraId="3DED2E5B">
      <w:pPr>
        <w:adjustRightInd w:val="0"/>
        <w:snapToGrid w:val="0"/>
        <w:spacing w:line="440" w:lineRule="exact"/>
        <w:jc w:val="left"/>
        <w:rPr>
          <w:rFonts w:ascii="宋体" w:hAnsi="宋体" w:cs="宋体"/>
          <w:b/>
          <w:bCs/>
          <w:sz w:val="24"/>
        </w:rPr>
      </w:pPr>
      <w:bookmarkStart w:id="63" w:name="_Toc9525"/>
      <w:bookmarkStart w:id="64" w:name="_Toc436423313"/>
      <w:r>
        <w:rPr>
          <w:rFonts w:hint="eastAsia" w:ascii="宋体" w:hAnsi="宋体" w:cs="宋体"/>
          <w:b/>
          <w:bCs/>
          <w:sz w:val="24"/>
        </w:rPr>
        <w:t>2．供应商资格要求</w:t>
      </w:r>
    </w:p>
    <w:p w14:paraId="5E145FFF">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2.1 供应商应具备承担本项目的资格条件。（详见供应商须知前附表）</w:t>
      </w:r>
    </w:p>
    <w:p w14:paraId="06C6B11C">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2.2 供应商不得存在下列情形之一：</w:t>
      </w:r>
    </w:p>
    <w:p w14:paraId="2FCA57FD">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 xml:space="preserve">（1）为采购人不具有独立法人资格的附属机构（单位）； </w:t>
      </w:r>
    </w:p>
    <w:p w14:paraId="2208260B">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 xml:space="preserve">（2）被责令停业的； </w:t>
      </w:r>
    </w:p>
    <w:p w14:paraId="76693F9F">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 xml:space="preserve">（3）被暂停或取消投标资格的； </w:t>
      </w:r>
    </w:p>
    <w:p w14:paraId="35B6D8FF">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（4）财产被接管或冻结的；</w:t>
      </w:r>
    </w:p>
    <w:p w14:paraId="7A398DE2">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（5）在最近三年内有骗取中标或严重违约或重大工程质量问题的。</w:t>
      </w:r>
    </w:p>
    <w:p w14:paraId="7446A640">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2.3 本项目不接受联合体</w:t>
      </w:r>
      <w:r>
        <w:rPr>
          <w:rFonts w:hint="eastAsia" w:ascii="宋体" w:hAnsi="宋体" w:cs="宋体"/>
          <w:sz w:val="24"/>
          <w:lang w:eastAsia="zh-CN"/>
        </w:rPr>
        <w:t>磋商</w:t>
      </w:r>
      <w:r>
        <w:rPr>
          <w:rFonts w:hint="eastAsia" w:ascii="宋体" w:hAnsi="宋体" w:cs="宋体"/>
          <w:sz w:val="24"/>
        </w:rPr>
        <w:t>。</w:t>
      </w:r>
    </w:p>
    <w:p w14:paraId="55D08581">
      <w:pPr>
        <w:adjustRightInd w:val="0"/>
        <w:snapToGrid w:val="0"/>
        <w:spacing w:line="440" w:lineRule="exact"/>
        <w:jc w:val="left"/>
        <w:rPr>
          <w:rFonts w:ascii="宋体" w:hAnsi="宋体" w:cs="宋体"/>
          <w:b/>
          <w:bCs/>
          <w:sz w:val="24"/>
        </w:rPr>
      </w:pPr>
      <w:r>
        <w:rPr>
          <w:rFonts w:hint="eastAsia" w:ascii="宋体" w:hAnsi="宋体" w:cs="宋体"/>
          <w:b/>
          <w:bCs/>
          <w:sz w:val="24"/>
        </w:rPr>
        <w:t>3．费用承担</w:t>
      </w:r>
    </w:p>
    <w:p w14:paraId="6D8DE504">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供应商为参加</w:t>
      </w:r>
      <w:r>
        <w:rPr>
          <w:rFonts w:hint="eastAsia" w:ascii="宋体" w:hAnsi="宋体" w:cs="宋体"/>
          <w:sz w:val="24"/>
          <w:lang w:eastAsia="zh-CN"/>
        </w:rPr>
        <w:t>采购活动</w:t>
      </w:r>
      <w:r>
        <w:rPr>
          <w:rFonts w:hint="eastAsia" w:ascii="宋体" w:hAnsi="宋体" w:cs="宋体"/>
          <w:sz w:val="24"/>
        </w:rPr>
        <w:t>做准备发生的费用和参加</w:t>
      </w:r>
      <w:r>
        <w:rPr>
          <w:rFonts w:hint="eastAsia" w:ascii="宋体" w:hAnsi="宋体" w:cs="宋体"/>
          <w:sz w:val="24"/>
          <w:lang w:eastAsia="zh-CN"/>
        </w:rPr>
        <w:t>采购</w:t>
      </w:r>
      <w:r>
        <w:rPr>
          <w:rFonts w:hint="eastAsia" w:ascii="宋体" w:hAnsi="宋体" w:cs="宋体"/>
          <w:sz w:val="24"/>
        </w:rPr>
        <w:t>活动发生的一切费用自理。</w:t>
      </w:r>
    </w:p>
    <w:p w14:paraId="317D3BF5">
      <w:pPr>
        <w:tabs>
          <w:tab w:val="left" w:pos="2532"/>
          <w:tab w:val="center" w:pos="4453"/>
        </w:tabs>
        <w:snapToGrid w:val="0"/>
        <w:spacing w:line="440" w:lineRule="exact"/>
        <w:jc w:val="left"/>
        <w:rPr>
          <w:rFonts w:ascii="宋体" w:hAnsi="宋体" w:cs="宋体"/>
          <w:b/>
          <w:sz w:val="28"/>
          <w:szCs w:val="28"/>
        </w:rPr>
      </w:pPr>
      <w:bookmarkStart w:id="65" w:name="_Toc436423308"/>
    </w:p>
    <w:p w14:paraId="1CBE825B">
      <w:pPr>
        <w:tabs>
          <w:tab w:val="left" w:pos="2532"/>
          <w:tab w:val="center" w:pos="4453"/>
        </w:tabs>
        <w:snapToGrid w:val="0"/>
        <w:spacing w:line="440" w:lineRule="exact"/>
        <w:jc w:val="left"/>
        <w:rPr>
          <w:rFonts w:ascii="宋体" w:hAnsi="宋体" w:cs="宋体"/>
          <w:b/>
          <w:sz w:val="28"/>
          <w:szCs w:val="28"/>
        </w:rPr>
      </w:pPr>
      <w:r>
        <w:rPr>
          <w:rFonts w:hint="eastAsia" w:ascii="宋体" w:hAnsi="宋体" w:cs="宋体"/>
          <w:b/>
          <w:sz w:val="28"/>
          <w:szCs w:val="28"/>
        </w:rPr>
        <w:tab/>
      </w:r>
      <w:r>
        <w:rPr>
          <w:rFonts w:hint="eastAsia" w:ascii="宋体" w:hAnsi="宋体" w:cs="宋体"/>
          <w:b/>
          <w:sz w:val="28"/>
          <w:szCs w:val="28"/>
        </w:rPr>
        <w:t>二、竞争性磋商文件说明</w:t>
      </w:r>
      <w:bookmarkEnd w:id="65"/>
    </w:p>
    <w:p w14:paraId="2ABB81CA">
      <w:pPr>
        <w:adjustRightInd w:val="0"/>
        <w:snapToGrid w:val="0"/>
        <w:spacing w:line="440" w:lineRule="exact"/>
        <w:jc w:val="left"/>
        <w:rPr>
          <w:rFonts w:ascii="宋体" w:hAnsi="宋体" w:cs="宋体"/>
          <w:b/>
          <w:bCs/>
          <w:sz w:val="24"/>
        </w:rPr>
      </w:pPr>
      <w:r>
        <w:rPr>
          <w:rFonts w:hint="eastAsia" w:ascii="宋体" w:hAnsi="宋体" w:cs="宋体"/>
          <w:b/>
          <w:bCs/>
          <w:sz w:val="24"/>
        </w:rPr>
        <w:t>4．竞争性磋商文件构成</w:t>
      </w:r>
    </w:p>
    <w:p w14:paraId="314FD475">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4.1 竞争性磋商文件由下述部分组成：</w:t>
      </w:r>
    </w:p>
    <w:p w14:paraId="38C20037">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（1）竞争性磋商公告</w:t>
      </w:r>
    </w:p>
    <w:p w14:paraId="300AA0CA">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（2）供应商须知</w:t>
      </w:r>
    </w:p>
    <w:p w14:paraId="5B119C2D">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评审</w:t>
      </w:r>
      <w:r>
        <w:rPr>
          <w:rFonts w:hint="eastAsia" w:ascii="宋体" w:hAnsi="宋体" w:cs="宋体"/>
          <w:sz w:val="24"/>
        </w:rPr>
        <w:t>办法</w:t>
      </w:r>
    </w:p>
    <w:p w14:paraId="581DB125">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（4）合同条款及格式（参考文本）</w:t>
      </w:r>
    </w:p>
    <w:p w14:paraId="4CE183E6">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（5）采购需求</w:t>
      </w:r>
    </w:p>
    <w:p w14:paraId="67F1D7AC">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（6）响应文件格式。</w:t>
      </w:r>
    </w:p>
    <w:p w14:paraId="1B20D287">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4.2 供应商应详细阅读竞争性磋商文件中所有各项条款的内容、格式、表格、条件和所涉及的相关规范，不按竞争性磋商文件的要求提供响应文件和资料，可能导致响应文件不被接受，其后果由供应商自己负责。</w:t>
      </w:r>
    </w:p>
    <w:p w14:paraId="44CAEC13">
      <w:pPr>
        <w:adjustRightInd w:val="0"/>
        <w:snapToGrid w:val="0"/>
        <w:spacing w:line="440" w:lineRule="exact"/>
        <w:jc w:val="left"/>
        <w:rPr>
          <w:rFonts w:ascii="宋体" w:hAnsi="宋体" w:cs="宋体"/>
          <w:b/>
          <w:bCs/>
          <w:sz w:val="24"/>
        </w:rPr>
      </w:pPr>
      <w:bookmarkStart w:id="66" w:name="_Toc436423309"/>
      <w:r>
        <w:rPr>
          <w:rFonts w:hint="eastAsia" w:ascii="宋体" w:hAnsi="宋体" w:cs="宋体"/>
          <w:b/>
          <w:bCs/>
          <w:sz w:val="24"/>
        </w:rPr>
        <w:t>5．竞争性磋商文件的澄清及修改</w:t>
      </w:r>
    </w:p>
    <w:p w14:paraId="3F00CC4B">
      <w:pPr>
        <w:adjustRightInd w:val="0"/>
        <w:snapToGrid w:val="0"/>
        <w:spacing w:line="440" w:lineRule="exact"/>
        <w:ind w:firstLine="480" w:firstLineChars="200"/>
        <w:jc w:val="left"/>
        <w:rPr>
          <w:rFonts w:ascii="宋体" w:hAnsi="宋体" w:cs="宋体"/>
          <w:sz w:val="24"/>
          <w:lang w:val="zh-CN"/>
        </w:rPr>
      </w:pPr>
      <w:r>
        <w:rPr>
          <w:rFonts w:hint="eastAsia" w:ascii="宋体" w:hAnsi="宋体" w:cs="宋体"/>
          <w:sz w:val="24"/>
        </w:rPr>
        <w:t xml:space="preserve">5.1 </w:t>
      </w:r>
      <w:r>
        <w:rPr>
          <w:rFonts w:hint="eastAsia" w:ascii="宋体" w:hAnsi="宋体" w:cs="宋体"/>
          <w:sz w:val="24"/>
          <w:lang w:val="zh-CN"/>
        </w:rPr>
        <w:t>采购人、代理机构在响应文件提交截止时间前有权澄清修改、补充已发售的竞争性磋商文件。</w:t>
      </w:r>
    </w:p>
    <w:p w14:paraId="387BBBAE">
      <w:pPr>
        <w:adjustRightInd w:val="0"/>
        <w:snapToGrid w:val="0"/>
        <w:spacing w:line="440" w:lineRule="exact"/>
        <w:ind w:firstLine="480" w:firstLineChars="200"/>
        <w:jc w:val="left"/>
        <w:rPr>
          <w:rFonts w:ascii="宋体" w:hAnsi="宋体" w:cs="宋体"/>
          <w:sz w:val="24"/>
          <w:lang w:val="zh-CN"/>
        </w:rPr>
      </w:pPr>
      <w:r>
        <w:rPr>
          <w:rFonts w:hint="eastAsia" w:ascii="宋体" w:hAnsi="宋体" w:cs="宋体"/>
          <w:sz w:val="24"/>
        </w:rPr>
        <w:t xml:space="preserve">5.2 </w:t>
      </w:r>
      <w:r>
        <w:rPr>
          <w:rFonts w:hint="eastAsia" w:ascii="宋体" w:hAnsi="宋体" w:cs="宋体"/>
          <w:sz w:val="24"/>
          <w:lang w:val="zh-CN"/>
        </w:rPr>
        <w:t>竞争性磋商文件在响应文件提交截止时间前</w:t>
      </w:r>
      <w:r>
        <w:rPr>
          <w:rFonts w:hint="eastAsia" w:ascii="宋体" w:hAnsi="宋体" w:cs="宋体"/>
          <w:sz w:val="24"/>
        </w:rPr>
        <w:t>5日内对</w:t>
      </w:r>
      <w:r>
        <w:rPr>
          <w:rFonts w:hint="eastAsia" w:ascii="宋体" w:hAnsi="宋体" w:cs="宋体"/>
          <w:sz w:val="24"/>
          <w:lang w:val="zh-CN"/>
        </w:rPr>
        <w:t>所有澄清、修改（包括时间变更等）、补充事项，均在“竞争性磋商公告”所述媒体予以公告。澄清或修改公告一经在网上以公告形式发布，即视为书面通知，不再另行通知。竞争性磋商文件的澄清、修改、补充内容构成竞争性磋商文件的组成部分，并取代竞争性磋商文件中被澄清、修改处，对所有供应商均有约束力。</w:t>
      </w:r>
    </w:p>
    <w:p w14:paraId="1547512E">
      <w:pPr>
        <w:adjustRightInd w:val="0"/>
        <w:snapToGrid w:val="0"/>
        <w:spacing w:line="440" w:lineRule="exact"/>
        <w:ind w:firstLine="480" w:firstLineChars="200"/>
        <w:jc w:val="left"/>
        <w:rPr>
          <w:rFonts w:ascii="宋体" w:hAnsi="宋体" w:cs="宋体"/>
          <w:sz w:val="24"/>
          <w:lang w:val="zh-CN"/>
        </w:rPr>
      </w:pPr>
      <w:r>
        <w:rPr>
          <w:rFonts w:hint="eastAsia" w:ascii="宋体" w:hAnsi="宋体" w:cs="宋体"/>
          <w:sz w:val="24"/>
        </w:rPr>
        <w:t xml:space="preserve">5.3 </w:t>
      </w:r>
      <w:r>
        <w:rPr>
          <w:rFonts w:hint="eastAsia" w:ascii="宋体" w:hAnsi="宋体" w:cs="宋体"/>
          <w:sz w:val="24"/>
          <w:lang w:val="zh-CN"/>
        </w:rPr>
        <w:t>潜在供应商应随时关注“竞争性磋商公告”所述媒体相关项目信息，如有遗漏，后果自负。</w:t>
      </w:r>
    </w:p>
    <w:p w14:paraId="32AC6CEF">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 xml:space="preserve">5.4 </w:t>
      </w:r>
      <w:r>
        <w:rPr>
          <w:rFonts w:hint="eastAsia" w:ascii="宋体" w:hAnsi="宋体" w:cs="宋体"/>
          <w:sz w:val="24"/>
          <w:lang w:val="zh-CN"/>
        </w:rPr>
        <w:t>如果响应文件提交截止时间前的澄清修改补充发出的时间不满足供应商须知前附表规定时间，并且澄清修改补充内容影响响应文件编制的，采购人、代理机构可视采购具体情况延长响应文件提交截止时间和开启时间，并将在“竞争性磋商公告”所述媒体予以公告。</w:t>
      </w:r>
    </w:p>
    <w:p w14:paraId="6B4299EB">
      <w:pPr>
        <w:snapToGrid w:val="0"/>
        <w:spacing w:line="440" w:lineRule="exact"/>
        <w:jc w:val="center"/>
        <w:rPr>
          <w:rFonts w:ascii="宋体" w:hAnsi="宋体" w:cs="宋体"/>
          <w:b/>
          <w:sz w:val="28"/>
          <w:szCs w:val="28"/>
        </w:rPr>
      </w:pPr>
    </w:p>
    <w:p w14:paraId="24F4AB1B">
      <w:pPr>
        <w:snapToGrid w:val="0"/>
        <w:spacing w:line="440" w:lineRule="exact"/>
        <w:ind w:firstLine="2811" w:firstLineChars="1000"/>
        <w:rPr>
          <w:rFonts w:ascii="宋体" w:hAnsi="宋体" w:cs="宋体"/>
          <w:b/>
          <w:sz w:val="28"/>
          <w:szCs w:val="28"/>
        </w:rPr>
      </w:pPr>
      <w:r>
        <w:rPr>
          <w:rFonts w:hint="eastAsia" w:ascii="宋体" w:hAnsi="宋体" w:cs="宋体"/>
          <w:b/>
          <w:sz w:val="28"/>
          <w:szCs w:val="28"/>
        </w:rPr>
        <w:t>三、响应文件的编写</w:t>
      </w:r>
      <w:bookmarkEnd w:id="66"/>
    </w:p>
    <w:p w14:paraId="3801296C">
      <w:pPr>
        <w:adjustRightInd w:val="0"/>
        <w:snapToGrid w:val="0"/>
        <w:spacing w:line="440" w:lineRule="exact"/>
        <w:jc w:val="left"/>
        <w:rPr>
          <w:rFonts w:ascii="宋体" w:hAnsi="宋体" w:cs="宋体"/>
          <w:b/>
          <w:bCs/>
          <w:sz w:val="24"/>
        </w:rPr>
      </w:pPr>
      <w:r>
        <w:rPr>
          <w:rFonts w:hint="eastAsia" w:ascii="宋体" w:hAnsi="宋体" w:cs="宋体"/>
          <w:b/>
          <w:bCs/>
          <w:sz w:val="24"/>
        </w:rPr>
        <w:t>6．要求</w:t>
      </w:r>
    </w:p>
    <w:p w14:paraId="410A5B7A">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6.1 供应商应仔细阅读竞争性磋商文件的所有内容，按竞争性磋商文件的要求提供并保证所提供的全部资料的真实性，并对本竞争性磋商文件要求的实质性内容做出响应。</w:t>
      </w:r>
    </w:p>
    <w:p w14:paraId="04A0309B">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6.2 所有计量均采用中华人民共和国法定计量单位。</w:t>
      </w:r>
    </w:p>
    <w:p w14:paraId="061F2F44">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6.3 供应商准备和参加</w:t>
      </w:r>
      <w:r>
        <w:rPr>
          <w:rFonts w:hint="eastAsia" w:ascii="宋体" w:hAnsi="宋体" w:cs="宋体"/>
          <w:sz w:val="24"/>
          <w:lang w:eastAsia="zh-CN"/>
        </w:rPr>
        <w:t>采购</w:t>
      </w:r>
      <w:r>
        <w:rPr>
          <w:rFonts w:hint="eastAsia" w:ascii="宋体" w:hAnsi="宋体" w:cs="宋体"/>
          <w:sz w:val="24"/>
        </w:rPr>
        <w:t>活动发生的费用自理。</w:t>
      </w:r>
    </w:p>
    <w:p w14:paraId="669AEF51">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6.4 除专用术语外，与</w:t>
      </w:r>
      <w:r>
        <w:rPr>
          <w:rFonts w:hint="eastAsia" w:ascii="宋体" w:hAnsi="宋体" w:cs="宋体"/>
          <w:sz w:val="24"/>
          <w:lang w:eastAsia="zh-CN"/>
        </w:rPr>
        <w:t>采购活动</w:t>
      </w:r>
      <w:r>
        <w:rPr>
          <w:rFonts w:hint="eastAsia" w:ascii="宋体" w:hAnsi="宋体" w:cs="宋体"/>
          <w:sz w:val="24"/>
        </w:rPr>
        <w:t>有关的语言均使用中文。必要时专用术语应附有中文注释。</w:t>
      </w:r>
    </w:p>
    <w:p w14:paraId="65E5B080">
      <w:pPr>
        <w:adjustRightInd w:val="0"/>
        <w:snapToGrid w:val="0"/>
        <w:spacing w:line="440" w:lineRule="exact"/>
        <w:jc w:val="left"/>
        <w:rPr>
          <w:rFonts w:ascii="宋体" w:hAnsi="宋体" w:cs="宋体"/>
          <w:b/>
          <w:bCs/>
          <w:sz w:val="24"/>
        </w:rPr>
      </w:pPr>
      <w:r>
        <w:rPr>
          <w:rFonts w:hint="eastAsia" w:ascii="宋体" w:hAnsi="宋体" w:cs="宋体"/>
          <w:b/>
          <w:bCs/>
          <w:sz w:val="24"/>
        </w:rPr>
        <w:t>7．响应文件的组成及格式</w:t>
      </w:r>
    </w:p>
    <w:p w14:paraId="068340E1">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响应文件应包括下列部分：</w:t>
      </w:r>
    </w:p>
    <w:p w14:paraId="25EB2293">
      <w:pPr>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cs="宋体"/>
          <w:sz w:val="24"/>
        </w:rPr>
        <w:t>（1）</w:t>
      </w:r>
      <w:r>
        <w:rPr>
          <w:rFonts w:hint="eastAsia" w:ascii="宋体" w:hAnsi="宋体" w:eastAsia="宋体" w:cs="宋体"/>
          <w:sz w:val="24"/>
          <w:lang w:eastAsia="zh-CN"/>
        </w:rPr>
        <w:t>响应函</w:t>
      </w:r>
    </w:p>
    <w:p w14:paraId="3DB16A2D">
      <w:pPr>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eastAsia="宋体" w:cs="宋体"/>
          <w:sz w:val="24"/>
        </w:rPr>
        <w:t>法定代表人身份证明或附有法定代表人身份证明的企业法定代表人授权书</w:t>
      </w:r>
    </w:p>
    <w:p w14:paraId="71755103">
      <w:pPr>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eastAsia="zh-CN"/>
        </w:rPr>
        <w:t>磋商</w:t>
      </w:r>
      <w:r>
        <w:rPr>
          <w:rFonts w:hint="eastAsia" w:ascii="宋体" w:hAnsi="宋体" w:cs="宋体"/>
          <w:sz w:val="24"/>
        </w:rPr>
        <w:t>（第一次报价）一览表</w:t>
      </w:r>
    </w:p>
    <w:p w14:paraId="1AD9DCAE">
      <w:pPr>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w:t>
      </w:r>
      <w:r>
        <w:rPr>
          <w:rFonts w:hint="eastAsia" w:ascii="宋体" w:hAnsi="宋体" w:eastAsia="宋体" w:cs="宋体"/>
          <w:sz w:val="24"/>
          <w:lang w:eastAsia="zh-CN"/>
        </w:rPr>
        <w:t>磋商</w:t>
      </w:r>
      <w:r>
        <w:rPr>
          <w:rFonts w:hint="eastAsia" w:ascii="宋体" w:hAnsi="宋体" w:eastAsia="宋体" w:cs="宋体"/>
          <w:sz w:val="24"/>
        </w:rPr>
        <w:t>承诺函</w:t>
      </w:r>
    </w:p>
    <w:p w14:paraId="3EF402B3">
      <w:pPr>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hint="eastAsia" w:ascii="宋体" w:hAnsi="宋体" w:eastAsia="宋体" w:cs="宋体"/>
          <w:sz w:val="24"/>
        </w:rPr>
        <w:t>资格证明材料</w:t>
      </w:r>
    </w:p>
    <w:p w14:paraId="3EEE0EEB">
      <w:pPr>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w:t>
      </w:r>
      <w:r>
        <w:rPr>
          <w:rFonts w:hint="eastAsia" w:ascii="宋体" w:hAnsi="宋体" w:eastAsia="宋体" w:cs="宋体"/>
          <w:sz w:val="24"/>
        </w:rPr>
        <w:t>商务部分资料</w:t>
      </w:r>
    </w:p>
    <w:p w14:paraId="73FD57CC">
      <w:pPr>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w:t>
      </w:r>
      <w:r>
        <w:rPr>
          <w:rFonts w:hint="eastAsia" w:ascii="宋体" w:hAnsi="宋体" w:eastAsia="宋体" w:cs="宋体"/>
          <w:sz w:val="24"/>
        </w:rPr>
        <w:t>技术部分资料</w:t>
      </w:r>
    </w:p>
    <w:p w14:paraId="227628D5">
      <w:pPr>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w:t>
      </w:r>
      <w:r>
        <w:rPr>
          <w:rFonts w:hint="eastAsia" w:ascii="宋体" w:hAnsi="宋体" w:eastAsia="宋体" w:cs="宋体"/>
          <w:sz w:val="24"/>
        </w:rPr>
        <w:t>其他资料</w:t>
      </w:r>
    </w:p>
    <w:p w14:paraId="2B889FEA">
      <w:pPr>
        <w:adjustRightInd w:val="0"/>
        <w:snapToGrid w:val="0"/>
        <w:spacing w:line="440" w:lineRule="exact"/>
        <w:jc w:val="left"/>
        <w:rPr>
          <w:rFonts w:ascii="宋体" w:hAnsi="宋体" w:cs="宋体"/>
          <w:b/>
          <w:bCs/>
          <w:sz w:val="24"/>
        </w:rPr>
      </w:pPr>
      <w:r>
        <w:rPr>
          <w:rFonts w:hint="eastAsia" w:ascii="宋体" w:hAnsi="宋体" w:cs="宋体"/>
          <w:b/>
          <w:bCs/>
          <w:sz w:val="24"/>
        </w:rPr>
        <w:t xml:space="preserve">8．报价 </w:t>
      </w:r>
    </w:p>
    <w:p w14:paraId="36B9D361">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8.1 本项目采用</w:t>
      </w:r>
      <w:r>
        <w:rPr>
          <w:rFonts w:hint="eastAsia" w:ascii="宋体" w:hAnsi="宋体" w:cs="宋体"/>
          <w:sz w:val="24"/>
          <w:lang w:val="en-US" w:eastAsia="zh-CN"/>
        </w:rPr>
        <w:t>多轮</w:t>
      </w:r>
      <w:r>
        <w:rPr>
          <w:rFonts w:hint="eastAsia" w:ascii="宋体" w:hAnsi="宋体" w:cs="宋体"/>
          <w:sz w:val="24"/>
        </w:rPr>
        <w:t>报价的磋商方式采购，第一轮报价应当按照磋商文件的报价格式（第一次报价一览表见第六章响应文件格式及附表）填报，</w:t>
      </w:r>
      <w:r>
        <w:rPr>
          <w:rFonts w:hint="eastAsia" w:ascii="宋体" w:hAnsi="宋体" w:cs="宋体"/>
          <w:sz w:val="24"/>
          <w:lang w:val="en-US" w:eastAsia="zh-CN"/>
        </w:rPr>
        <w:t>多轮</w:t>
      </w:r>
      <w:r>
        <w:rPr>
          <w:rFonts w:hint="eastAsia" w:ascii="宋体" w:hAnsi="宋体" w:cs="宋体"/>
          <w:sz w:val="24"/>
        </w:rPr>
        <w:t>报价在磋商中填报，</w:t>
      </w:r>
      <w:r>
        <w:rPr>
          <w:rFonts w:hint="eastAsia" w:ascii="宋体" w:hAnsi="宋体" w:cs="宋体"/>
          <w:sz w:val="24"/>
          <w:lang w:val="en-US" w:eastAsia="zh-CN"/>
        </w:rPr>
        <w:t>多轮</w:t>
      </w:r>
      <w:r>
        <w:rPr>
          <w:rFonts w:hint="eastAsia" w:ascii="宋体" w:hAnsi="宋体" w:cs="宋体"/>
          <w:sz w:val="24"/>
        </w:rPr>
        <w:t>报价按要求在规定的时间内在现场进行填写；磋商中的报价均不应</w:t>
      </w:r>
      <w:r>
        <w:rPr>
          <w:rFonts w:hint="eastAsia" w:ascii="宋体" w:hAnsi="宋体" w:cs="宋体"/>
          <w:sz w:val="24"/>
          <w:lang w:val="en-US" w:eastAsia="zh-CN"/>
        </w:rPr>
        <w:t>低于</w:t>
      </w:r>
      <w:r>
        <w:rPr>
          <w:rFonts w:hint="eastAsia" w:ascii="宋体" w:hAnsi="宋体" w:cs="宋体"/>
          <w:sz w:val="24"/>
        </w:rPr>
        <w:t>前次报价，最终报价将作为供应商磋商文件的评审依据。</w:t>
      </w:r>
    </w:p>
    <w:p w14:paraId="31830DBC">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8.2 供应商应按响应文件格式的要求填写相应表格。</w:t>
      </w:r>
    </w:p>
    <w:p w14:paraId="4ACDF0AF">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 xml:space="preserve">8.3 </w:t>
      </w:r>
      <w:r>
        <w:rPr>
          <w:rFonts w:hint="eastAsia" w:ascii="宋体" w:hAnsi="宋体" w:cs="宋体"/>
          <w:sz w:val="24"/>
          <w:lang w:eastAsia="zh-CN"/>
        </w:rPr>
        <w:t>磋商</w:t>
      </w:r>
      <w:r>
        <w:rPr>
          <w:rFonts w:hint="eastAsia" w:ascii="宋体" w:hAnsi="宋体" w:cs="宋体"/>
          <w:sz w:val="24"/>
        </w:rPr>
        <w:t>报价为完成本项目所需的全部费用。</w:t>
      </w:r>
    </w:p>
    <w:p w14:paraId="3EA3F77C">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8.4 本项目供应商的</w:t>
      </w:r>
      <w:r>
        <w:rPr>
          <w:rFonts w:hint="eastAsia" w:ascii="宋体" w:hAnsi="宋体" w:cs="宋体"/>
          <w:sz w:val="24"/>
          <w:lang w:eastAsia="zh-CN"/>
        </w:rPr>
        <w:t>磋商</w:t>
      </w:r>
      <w:r>
        <w:rPr>
          <w:rFonts w:hint="eastAsia" w:ascii="宋体" w:hAnsi="宋体" w:cs="宋体"/>
          <w:sz w:val="24"/>
        </w:rPr>
        <w:t>报价不得</w:t>
      </w:r>
      <w:r>
        <w:rPr>
          <w:rFonts w:hint="eastAsia" w:ascii="宋体" w:hAnsi="宋体" w:cs="宋体"/>
          <w:sz w:val="24"/>
          <w:lang w:val="en-US" w:eastAsia="zh-CN"/>
        </w:rPr>
        <w:t>低于磋商限价</w:t>
      </w:r>
      <w:r>
        <w:rPr>
          <w:rFonts w:hint="eastAsia" w:ascii="宋体" w:hAnsi="宋体" w:cs="宋体"/>
          <w:sz w:val="24"/>
          <w:lang w:eastAsia="zh-CN"/>
        </w:rPr>
        <w:t>，</w:t>
      </w:r>
      <w:r>
        <w:rPr>
          <w:rFonts w:hint="eastAsia" w:ascii="宋体" w:hAnsi="宋体" w:cs="宋体"/>
          <w:sz w:val="24"/>
          <w:lang w:val="en-US" w:eastAsia="zh-CN"/>
        </w:rPr>
        <w:t>低于磋商限价</w:t>
      </w:r>
      <w:r>
        <w:rPr>
          <w:rFonts w:hint="eastAsia" w:ascii="宋体" w:hAnsi="宋体" w:cs="宋体"/>
          <w:sz w:val="24"/>
        </w:rPr>
        <w:t>按无效标处理。</w:t>
      </w:r>
    </w:p>
    <w:p w14:paraId="0653664A">
      <w:pPr>
        <w:adjustRightInd w:val="0"/>
        <w:snapToGrid w:val="0"/>
        <w:spacing w:line="440" w:lineRule="exact"/>
        <w:jc w:val="left"/>
        <w:rPr>
          <w:rFonts w:ascii="宋体" w:hAnsi="宋体" w:cs="宋体"/>
          <w:b/>
          <w:bCs/>
          <w:sz w:val="24"/>
        </w:rPr>
      </w:pPr>
      <w:r>
        <w:rPr>
          <w:rFonts w:hint="eastAsia" w:ascii="宋体" w:hAnsi="宋体" w:cs="宋体"/>
          <w:b/>
          <w:bCs/>
          <w:sz w:val="24"/>
        </w:rPr>
        <w:t>9．响应文件的编制</w:t>
      </w:r>
    </w:p>
    <w:p w14:paraId="65127896">
      <w:pPr>
        <w:adjustRightInd w:val="0"/>
        <w:snapToGrid w:val="0"/>
        <w:spacing w:line="440" w:lineRule="exact"/>
        <w:ind w:firstLine="480" w:firstLineChars="200"/>
        <w:jc w:val="left"/>
        <w:rPr>
          <w:rFonts w:ascii="宋体" w:hAnsi="宋体" w:cs="宋体"/>
          <w:sz w:val="24"/>
        </w:rPr>
      </w:pPr>
      <w:bookmarkStart w:id="67" w:name="_Toc29324"/>
      <w:bookmarkStart w:id="68" w:name="_Toc428276591"/>
      <w:bookmarkStart w:id="69" w:name="_Toc25410"/>
      <w:r>
        <w:rPr>
          <w:rFonts w:hint="eastAsia" w:ascii="宋体" w:hAnsi="宋体" w:cs="宋体"/>
          <w:sz w:val="24"/>
        </w:rPr>
        <w:t>9.1 供应商应当按照磋商文件的要求编制响应文件。响应文件应当对磋商文件提出的要求和条件作出明确</w:t>
      </w:r>
      <w:r>
        <w:rPr>
          <w:rFonts w:hint="eastAsia" w:ascii="宋体" w:hAnsi="宋体" w:cs="宋体"/>
          <w:sz w:val="24"/>
          <w:lang w:eastAsia="zh-CN"/>
        </w:rPr>
        <w:t>响应</w:t>
      </w:r>
      <w:r>
        <w:rPr>
          <w:rFonts w:hint="eastAsia" w:ascii="宋体" w:hAnsi="宋体" w:cs="宋体"/>
          <w:sz w:val="24"/>
        </w:rPr>
        <w:t>。</w:t>
      </w:r>
    </w:p>
    <w:p w14:paraId="4B5CE4B8">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9.2 响应文件所提供的全部数据、材料必须真实可靠。若响应文件提供的内容数据、材料不详，或提供了虚假数据、材料，采购人及评审小组有权据此对其做无效</w:t>
      </w:r>
      <w:r>
        <w:rPr>
          <w:rFonts w:hint="eastAsia" w:ascii="宋体" w:hAnsi="宋体" w:cs="宋体"/>
          <w:sz w:val="24"/>
          <w:lang w:eastAsia="zh-CN"/>
        </w:rPr>
        <w:t>响应</w:t>
      </w:r>
      <w:r>
        <w:rPr>
          <w:rFonts w:hint="eastAsia" w:ascii="宋体" w:hAnsi="宋体" w:cs="宋体"/>
          <w:sz w:val="24"/>
        </w:rPr>
        <w:t>处理。</w:t>
      </w:r>
    </w:p>
    <w:p w14:paraId="4FBB2E83">
      <w:pPr>
        <w:adjustRightInd w:val="0"/>
        <w:snapToGrid w:val="0"/>
        <w:spacing w:line="440" w:lineRule="exact"/>
        <w:ind w:firstLine="480" w:firstLineChars="200"/>
        <w:jc w:val="left"/>
        <w:rPr>
          <w:rFonts w:ascii="宋体" w:hAnsi="宋体" w:cs="宋体"/>
          <w:szCs w:val="21"/>
        </w:rPr>
      </w:pPr>
      <w:r>
        <w:rPr>
          <w:rFonts w:hint="eastAsia" w:ascii="宋体" w:hAnsi="宋体" w:cs="宋体"/>
          <w:sz w:val="24"/>
        </w:rPr>
        <w:t>9.3 响应文件应按“响应文件格式”进行编写，如有必要，可以增加附页，作为响应文件的组成部分。对于没有格式要求的，响应文件由供应商自行编写。其中，响应文件在满足磋商文件实质性要求的基础上，可以提出比磋商文件要求更有利于采购人的承诺。</w:t>
      </w:r>
    </w:p>
    <w:bookmarkEnd w:id="67"/>
    <w:bookmarkEnd w:id="68"/>
    <w:bookmarkEnd w:id="69"/>
    <w:p w14:paraId="5C83D734">
      <w:pPr>
        <w:adjustRightInd w:val="0"/>
        <w:snapToGrid w:val="0"/>
        <w:spacing w:line="440" w:lineRule="exact"/>
        <w:jc w:val="left"/>
        <w:rPr>
          <w:rFonts w:ascii="宋体" w:hAnsi="宋体" w:cs="宋体"/>
          <w:b/>
          <w:bCs/>
          <w:sz w:val="24"/>
        </w:rPr>
      </w:pPr>
      <w:r>
        <w:rPr>
          <w:rFonts w:hint="eastAsia" w:ascii="宋体" w:hAnsi="宋体" w:cs="宋体"/>
          <w:b/>
          <w:bCs/>
          <w:sz w:val="24"/>
        </w:rPr>
        <w:t>10.</w:t>
      </w:r>
      <w:r>
        <w:rPr>
          <w:rFonts w:hint="eastAsia" w:ascii="宋体" w:hAnsi="宋体" w:cs="宋体"/>
          <w:b/>
          <w:bCs/>
          <w:sz w:val="24"/>
          <w:lang w:eastAsia="zh-CN"/>
        </w:rPr>
        <w:t>磋商</w:t>
      </w:r>
      <w:r>
        <w:rPr>
          <w:rFonts w:hint="eastAsia" w:ascii="宋体" w:hAnsi="宋体" w:cs="宋体"/>
          <w:b/>
          <w:bCs/>
          <w:sz w:val="24"/>
        </w:rPr>
        <w:t>有效期</w:t>
      </w:r>
    </w:p>
    <w:p w14:paraId="5BF20691">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10.1响应文件从开启之日起开始生效，</w:t>
      </w:r>
      <w:r>
        <w:rPr>
          <w:rFonts w:hint="eastAsia" w:ascii="宋体" w:hAnsi="宋体" w:cs="宋体"/>
          <w:sz w:val="24"/>
          <w:lang w:eastAsia="zh-CN"/>
        </w:rPr>
        <w:t>磋商</w:t>
      </w:r>
      <w:r>
        <w:rPr>
          <w:rFonts w:hint="eastAsia" w:ascii="宋体" w:hAnsi="宋体" w:cs="宋体"/>
          <w:sz w:val="24"/>
        </w:rPr>
        <w:t xml:space="preserve">有效期为60日历天。 </w:t>
      </w:r>
    </w:p>
    <w:p w14:paraId="68EC9524">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10.2 在采购人决定的包括推迟的截止日期内，各供应商的</w:t>
      </w:r>
      <w:r>
        <w:rPr>
          <w:rFonts w:hint="eastAsia" w:ascii="宋体" w:hAnsi="宋体" w:cs="宋体"/>
          <w:sz w:val="24"/>
          <w:lang w:eastAsia="zh-CN"/>
        </w:rPr>
        <w:t>响应文件</w:t>
      </w:r>
      <w:r>
        <w:rPr>
          <w:rFonts w:hint="eastAsia" w:ascii="宋体" w:hAnsi="宋体" w:cs="宋体"/>
          <w:sz w:val="24"/>
        </w:rPr>
        <w:t>均保持有效。</w:t>
      </w:r>
    </w:p>
    <w:p w14:paraId="181E2C1D">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10.3 在特殊情况下，采购人可征求供应商同意延长</w:t>
      </w:r>
      <w:r>
        <w:rPr>
          <w:rFonts w:hint="eastAsia" w:ascii="宋体" w:hAnsi="宋体" w:cs="宋体"/>
          <w:sz w:val="24"/>
          <w:lang w:eastAsia="zh-CN"/>
        </w:rPr>
        <w:t>磋商</w:t>
      </w:r>
      <w:r>
        <w:rPr>
          <w:rFonts w:hint="eastAsia" w:ascii="宋体" w:hAnsi="宋体" w:cs="宋体"/>
          <w:sz w:val="24"/>
        </w:rPr>
        <w:t>有效期，这种要求和答复均应以信函、传真等书面形式提交。同意延长</w:t>
      </w:r>
      <w:r>
        <w:rPr>
          <w:rFonts w:hint="eastAsia" w:ascii="宋体" w:hAnsi="宋体" w:cs="宋体"/>
          <w:sz w:val="24"/>
          <w:lang w:eastAsia="zh-CN"/>
        </w:rPr>
        <w:t>磋商</w:t>
      </w:r>
      <w:r>
        <w:rPr>
          <w:rFonts w:hint="eastAsia" w:ascii="宋体" w:hAnsi="宋体" w:cs="宋体"/>
          <w:sz w:val="24"/>
        </w:rPr>
        <w:t>有效期的供应商不需要也不允许修改其响应文件。</w:t>
      </w:r>
    </w:p>
    <w:p w14:paraId="151B1C73">
      <w:pPr>
        <w:snapToGrid w:val="0"/>
        <w:spacing w:line="440" w:lineRule="exact"/>
        <w:jc w:val="center"/>
        <w:rPr>
          <w:rFonts w:ascii="宋体" w:hAnsi="宋体" w:cs="宋体"/>
          <w:b/>
          <w:sz w:val="28"/>
          <w:szCs w:val="28"/>
        </w:rPr>
      </w:pPr>
      <w:bookmarkStart w:id="70" w:name="_Toc436423310"/>
    </w:p>
    <w:p w14:paraId="1F3C071E">
      <w:pPr>
        <w:snapToGrid w:val="0"/>
        <w:spacing w:line="440" w:lineRule="exact"/>
        <w:jc w:val="center"/>
        <w:rPr>
          <w:rFonts w:ascii="宋体" w:hAnsi="宋体" w:cs="宋体"/>
          <w:b/>
          <w:sz w:val="28"/>
          <w:szCs w:val="28"/>
        </w:rPr>
      </w:pPr>
      <w:r>
        <w:rPr>
          <w:rFonts w:hint="eastAsia" w:ascii="宋体" w:hAnsi="宋体" w:cs="宋体"/>
          <w:b/>
          <w:sz w:val="28"/>
          <w:szCs w:val="28"/>
        </w:rPr>
        <w:t>四、响应文件的递交</w:t>
      </w:r>
      <w:bookmarkEnd w:id="70"/>
    </w:p>
    <w:p w14:paraId="2EABCF4F">
      <w:pPr>
        <w:adjustRightInd w:val="0"/>
        <w:snapToGrid w:val="0"/>
        <w:spacing w:line="440" w:lineRule="exact"/>
        <w:jc w:val="left"/>
        <w:rPr>
          <w:rFonts w:ascii="宋体" w:hAnsi="宋体" w:cs="宋体"/>
          <w:b/>
          <w:bCs/>
          <w:sz w:val="24"/>
        </w:rPr>
      </w:pPr>
      <w:r>
        <w:rPr>
          <w:rFonts w:hint="eastAsia" w:ascii="宋体" w:hAnsi="宋体" w:cs="宋体"/>
          <w:b/>
          <w:bCs/>
          <w:sz w:val="24"/>
        </w:rPr>
        <w:t>11.响应文件的递交</w:t>
      </w:r>
    </w:p>
    <w:p w14:paraId="110AE69B">
      <w:pPr>
        <w:widowControl/>
        <w:shd w:val="clear" w:color="auto" w:fill="FFFFFF"/>
        <w:spacing w:line="500" w:lineRule="exact"/>
        <w:ind w:firstLine="528" w:firstLineChars="220"/>
        <w:jc w:val="left"/>
        <w:rPr>
          <w:rFonts w:ascii="宋体" w:hAnsi="宋体" w:cs="宋体"/>
          <w:sz w:val="24"/>
        </w:rPr>
      </w:pPr>
      <w:r>
        <w:rPr>
          <w:rFonts w:hint="eastAsia" w:ascii="宋体" w:hAnsi="宋体" w:cs="宋体"/>
          <w:sz w:val="24"/>
        </w:rPr>
        <w:t>11.1 响应文件应按“正本”、“副本”“电子版”分开进行包装并加贴封条，并在封套的封口处加盖供应商公章及法定代表人签名或盖章（或代理人签名），密封袋上清楚</w:t>
      </w:r>
      <w:r>
        <w:rPr>
          <w:rFonts w:hint="eastAsia" w:ascii="宋体" w:hAnsi="宋体" w:cs="宋体"/>
          <w:sz w:val="24"/>
          <w:lang w:eastAsia="zh-CN"/>
        </w:rPr>
        <w:t>地</w:t>
      </w:r>
      <w:r>
        <w:rPr>
          <w:rFonts w:hint="eastAsia" w:ascii="宋体" w:hAnsi="宋体" w:cs="宋体"/>
          <w:sz w:val="24"/>
        </w:rPr>
        <w:t>标明“正本</w:t>
      </w:r>
      <w:r>
        <w:rPr>
          <w:rFonts w:hint="eastAsia" w:ascii="宋体" w:hAnsi="宋体" w:cs="宋体"/>
          <w:sz w:val="24"/>
          <w:lang w:eastAsia="zh-CN"/>
        </w:rPr>
        <w:t>”“</w:t>
      </w:r>
      <w:r>
        <w:rPr>
          <w:rFonts w:hint="eastAsia" w:ascii="宋体" w:hAnsi="宋体" w:cs="宋体"/>
          <w:sz w:val="24"/>
        </w:rPr>
        <w:t>副本</w:t>
      </w:r>
      <w:r>
        <w:rPr>
          <w:rFonts w:hint="eastAsia" w:ascii="宋体" w:hAnsi="宋体" w:cs="宋体"/>
          <w:sz w:val="24"/>
          <w:lang w:eastAsia="zh-CN"/>
        </w:rPr>
        <w:t>”“</w:t>
      </w:r>
      <w:r>
        <w:rPr>
          <w:rFonts w:hint="eastAsia" w:ascii="宋体" w:hAnsi="宋体" w:cs="宋体"/>
          <w:sz w:val="24"/>
        </w:rPr>
        <w:t>电子版”字样。</w:t>
      </w:r>
    </w:p>
    <w:p w14:paraId="7B89A490">
      <w:pPr>
        <w:widowControl/>
        <w:shd w:val="clear" w:color="auto" w:fill="FFFFFF"/>
        <w:spacing w:line="500" w:lineRule="exact"/>
        <w:ind w:firstLine="528" w:firstLineChars="220"/>
        <w:jc w:val="left"/>
        <w:rPr>
          <w:rFonts w:ascii="宋体" w:hAnsi="宋体" w:cs="宋体"/>
          <w:sz w:val="24"/>
        </w:rPr>
      </w:pPr>
      <w:r>
        <w:rPr>
          <w:rFonts w:hint="eastAsia" w:ascii="宋体" w:hAnsi="宋体" w:cs="宋体"/>
          <w:sz w:val="24"/>
        </w:rPr>
        <w:t>11.2 响应文件封套上清楚写明项目的名称、供应商全称及联系电话；注明竞争性磋商公告中指明的项目名称“在</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rPr>
        <w:t>磋商日期、时间</w:t>
      </w:r>
      <w:r>
        <w:rPr>
          <w:rFonts w:hint="eastAsia" w:ascii="宋体" w:hAnsi="宋体" w:cs="宋体"/>
          <w:sz w:val="24"/>
          <w:lang w:eastAsia="zh-CN"/>
        </w:rPr>
        <w:t>）</w:t>
      </w:r>
      <w:r>
        <w:rPr>
          <w:rFonts w:hint="eastAsia" w:ascii="宋体" w:hAnsi="宋体" w:cs="宋体"/>
          <w:sz w:val="24"/>
        </w:rPr>
        <w:t>之前不得启封”的字样。</w:t>
      </w:r>
    </w:p>
    <w:p w14:paraId="5A05AA99">
      <w:pPr>
        <w:widowControl/>
        <w:shd w:val="clear" w:color="auto" w:fill="FFFFFF"/>
        <w:spacing w:line="500" w:lineRule="exact"/>
        <w:ind w:firstLine="528" w:firstLineChars="220"/>
        <w:jc w:val="left"/>
        <w:rPr>
          <w:rFonts w:ascii="宋体" w:hAnsi="宋体" w:cs="宋体"/>
          <w:sz w:val="24"/>
        </w:rPr>
      </w:pPr>
      <w:r>
        <w:rPr>
          <w:rFonts w:hint="eastAsia" w:ascii="宋体" w:hAnsi="宋体" w:cs="宋体"/>
          <w:sz w:val="24"/>
        </w:rPr>
        <w:t>11.3 响应文件的装订要求：正本、副本按本文件要求胶装成册</w:t>
      </w:r>
      <w:r>
        <w:rPr>
          <w:rFonts w:hint="eastAsia" w:ascii="宋体" w:hAnsi="宋体" w:cs="宋体"/>
          <w:sz w:val="24"/>
          <w:lang w:eastAsia="zh-CN"/>
        </w:rPr>
        <w:t>，</w:t>
      </w:r>
      <w:r>
        <w:rPr>
          <w:rFonts w:hint="eastAsia" w:ascii="宋体" w:hAnsi="宋体" w:cs="宋体"/>
          <w:sz w:val="24"/>
          <w:lang w:val="en-US" w:eastAsia="zh-CN"/>
        </w:rPr>
        <w:t>装订要求</w:t>
      </w:r>
      <w:r>
        <w:rPr>
          <w:rFonts w:hint="eastAsia" w:ascii="宋体" w:hAnsi="宋体" w:cs="宋体"/>
          <w:color w:val="auto"/>
          <w:sz w:val="24"/>
          <w:szCs w:val="24"/>
          <w:highlight w:val="none"/>
          <w:lang w:val="en-US" w:eastAsia="zh-CN"/>
        </w:rPr>
        <w:t>详见“供应商须知前附表”</w:t>
      </w:r>
      <w:r>
        <w:rPr>
          <w:rFonts w:hint="eastAsia" w:ascii="宋体" w:hAnsi="宋体" w:cs="宋体"/>
          <w:sz w:val="24"/>
        </w:rPr>
        <w:t>。</w:t>
      </w:r>
    </w:p>
    <w:p w14:paraId="33A704B7">
      <w:pPr>
        <w:widowControl/>
        <w:shd w:val="clear" w:color="auto" w:fill="FFFFFF"/>
        <w:spacing w:line="500" w:lineRule="exact"/>
        <w:ind w:firstLine="528" w:firstLineChars="220"/>
        <w:jc w:val="left"/>
        <w:rPr>
          <w:rFonts w:ascii="宋体" w:hAnsi="宋体" w:cs="宋体"/>
          <w:sz w:val="24"/>
        </w:rPr>
      </w:pPr>
      <w:r>
        <w:rPr>
          <w:rFonts w:hint="eastAsia" w:ascii="宋体" w:hAnsi="宋体" w:cs="宋体"/>
          <w:sz w:val="24"/>
        </w:rPr>
        <w:t>11.4 供应商应在竞争性磋商公告中规定的截止日期和时间前按照文件规</w:t>
      </w:r>
      <w:r>
        <w:rPr>
          <w:rFonts w:hint="eastAsia" w:ascii="宋体" w:hAnsi="宋体" w:cs="宋体"/>
          <w:sz w:val="24"/>
          <w:lang w:eastAsia="zh-CN"/>
        </w:rPr>
        <w:t>定的</w:t>
      </w:r>
      <w:r>
        <w:rPr>
          <w:rFonts w:hint="eastAsia" w:ascii="宋体" w:hAnsi="宋体" w:cs="宋体"/>
          <w:sz w:val="24"/>
        </w:rPr>
        <w:t>要求递交，逾期递交的响应文件，采购人不予受理。</w:t>
      </w:r>
    </w:p>
    <w:p w14:paraId="61F3975F">
      <w:pPr>
        <w:widowControl/>
        <w:shd w:val="clear" w:color="auto" w:fill="FFFFFF"/>
        <w:spacing w:line="500" w:lineRule="exact"/>
        <w:ind w:firstLine="528" w:firstLineChars="220"/>
        <w:jc w:val="left"/>
        <w:rPr>
          <w:rFonts w:hint="eastAsia" w:ascii="宋体" w:hAnsi="宋体" w:eastAsia="宋体" w:cs="宋体"/>
          <w:sz w:val="24"/>
        </w:rPr>
      </w:pPr>
      <w:r>
        <w:rPr>
          <w:rFonts w:hint="eastAsia" w:ascii="宋体" w:hAnsi="宋体" w:eastAsia="宋体" w:cs="宋体"/>
          <w:sz w:val="24"/>
        </w:rPr>
        <w:t>11.5 未按本章第11.1项要求密封和加写标识的</w:t>
      </w:r>
      <w:r>
        <w:rPr>
          <w:rFonts w:hint="eastAsia" w:ascii="宋体" w:hAnsi="宋体" w:eastAsia="宋体" w:cs="宋体"/>
          <w:sz w:val="24"/>
          <w:lang w:eastAsia="zh-CN"/>
        </w:rPr>
        <w:t>响应</w:t>
      </w:r>
      <w:r>
        <w:rPr>
          <w:rFonts w:hint="eastAsia" w:ascii="宋体" w:hAnsi="宋体" w:eastAsia="宋体" w:cs="宋体"/>
          <w:sz w:val="24"/>
        </w:rPr>
        <w:t>文件，采购人不予受理。</w:t>
      </w:r>
    </w:p>
    <w:p w14:paraId="1AEE4495">
      <w:pPr>
        <w:widowControl/>
        <w:shd w:val="clear" w:color="auto" w:fill="FFFFFF"/>
        <w:spacing w:line="500" w:lineRule="exact"/>
        <w:jc w:val="left"/>
        <w:rPr>
          <w:rFonts w:ascii="宋体" w:hAnsi="宋体" w:cs="宋体"/>
          <w:b/>
          <w:bCs/>
          <w:sz w:val="24"/>
        </w:rPr>
      </w:pPr>
      <w:r>
        <w:rPr>
          <w:rFonts w:hint="eastAsia" w:ascii="宋体" w:hAnsi="宋体" w:cs="宋体"/>
          <w:b/>
          <w:bCs/>
          <w:sz w:val="24"/>
        </w:rPr>
        <w:t>12.响应文件的修改与撤回</w:t>
      </w:r>
    </w:p>
    <w:p w14:paraId="7B3347E1">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供应商在</w:t>
      </w:r>
      <w:r>
        <w:rPr>
          <w:rFonts w:hint="eastAsia" w:ascii="宋体" w:hAnsi="宋体" w:cs="宋体"/>
          <w:sz w:val="24"/>
          <w:lang w:eastAsia="zh-CN"/>
        </w:rPr>
        <w:t>响应文件提交</w:t>
      </w:r>
      <w:r>
        <w:rPr>
          <w:rFonts w:hint="eastAsia" w:ascii="宋体" w:hAnsi="宋体" w:cs="宋体"/>
          <w:sz w:val="24"/>
        </w:rPr>
        <w:t>截止时间前，可以对所递交的响应文件进行补充、修改或者撤回，补充、修改的内容应当按照磋商文件要求签署、盖章、密封后，作为响应文件的组成部分。</w:t>
      </w:r>
    </w:p>
    <w:p w14:paraId="497B46C6">
      <w:pPr>
        <w:tabs>
          <w:tab w:val="left" w:pos="3477"/>
          <w:tab w:val="center" w:pos="4453"/>
        </w:tabs>
        <w:snapToGrid w:val="0"/>
        <w:spacing w:line="440" w:lineRule="exact"/>
        <w:jc w:val="left"/>
        <w:rPr>
          <w:rFonts w:ascii="宋体" w:hAnsi="宋体" w:cs="宋体"/>
          <w:b/>
          <w:sz w:val="28"/>
          <w:szCs w:val="28"/>
        </w:rPr>
      </w:pPr>
    </w:p>
    <w:p w14:paraId="7744EE30">
      <w:pPr>
        <w:tabs>
          <w:tab w:val="left" w:pos="3477"/>
          <w:tab w:val="center" w:pos="4453"/>
        </w:tabs>
        <w:snapToGrid w:val="0"/>
        <w:spacing w:line="440" w:lineRule="exact"/>
        <w:jc w:val="left"/>
        <w:rPr>
          <w:rFonts w:ascii="宋体" w:hAnsi="宋体" w:cs="宋体"/>
          <w:b/>
          <w:sz w:val="28"/>
          <w:szCs w:val="28"/>
        </w:rPr>
      </w:pPr>
      <w:r>
        <w:rPr>
          <w:rFonts w:hint="eastAsia" w:ascii="宋体" w:hAnsi="宋体" w:cs="宋体"/>
          <w:b/>
          <w:sz w:val="28"/>
          <w:szCs w:val="28"/>
        </w:rPr>
        <w:tab/>
      </w:r>
      <w:r>
        <w:rPr>
          <w:rFonts w:hint="eastAsia" w:ascii="宋体" w:hAnsi="宋体" w:cs="宋体"/>
          <w:b/>
          <w:sz w:val="28"/>
          <w:szCs w:val="28"/>
        </w:rPr>
        <w:t>五、磋商</w:t>
      </w:r>
    </w:p>
    <w:p w14:paraId="4782E7B8">
      <w:pPr>
        <w:adjustRightInd w:val="0"/>
        <w:snapToGrid w:val="0"/>
        <w:spacing w:line="440" w:lineRule="exact"/>
        <w:jc w:val="left"/>
        <w:rPr>
          <w:rFonts w:ascii="宋体" w:hAnsi="宋体" w:cs="宋体"/>
          <w:b/>
          <w:bCs/>
          <w:sz w:val="24"/>
        </w:rPr>
      </w:pPr>
      <w:r>
        <w:rPr>
          <w:rFonts w:hint="eastAsia" w:ascii="宋体" w:hAnsi="宋体" w:cs="宋体"/>
          <w:b/>
          <w:bCs/>
          <w:sz w:val="24"/>
        </w:rPr>
        <w:t>13.磋商会议</w:t>
      </w:r>
    </w:p>
    <w:p w14:paraId="24C4666A">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13.1 采购人将在“供应商须知前附表”规定的时间和地点组织磋商会议，供应商的法定代表人或其委托的代理人应携带有效证件准时参加；如为代理人参加的，还需提供有效的法定代表人的授权委托书。</w:t>
      </w:r>
    </w:p>
    <w:p w14:paraId="2C75D9CB">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13.2 磋商会议</w:t>
      </w:r>
    </w:p>
    <w:p w14:paraId="1BB5C0C6">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主持人按下列程序进行：</w:t>
      </w:r>
    </w:p>
    <w:p w14:paraId="05651408">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（1）宣读磋商会纪律；</w:t>
      </w:r>
    </w:p>
    <w:p w14:paraId="3DB5A506">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（2）公布在</w:t>
      </w:r>
      <w:r>
        <w:rPr>
          <w:rFonts w:hint="eastAsia" w:ascii="宋体" w:hAnsi="宋体" w:cs="宋体"/>
          <w:sz w:val="24"/>
          <w:lang w:eastAsia="zh-CN"/>
        </w:rPr>
        <w:t>响应文件提交</w:t>
      </w:r>
      <w:r>
        <w:rPr>
          <w:rFonts w:hint="eastAsia" w:ascii="宋体" w:hAnsi="宋体" w:cs="宋体"/>
          <w:sz w:val="24"/>
        </w:rPr>
        <w:t>截止时间前递交响应文件的供应商名称；</w:t>
      </w:r>
    </w:p>
    <w:p w14:paraId="6955FB7F">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（3）宣布</w:t>
      </w:r>
      <w:r>
        <w:rPr>
          <w:rFonts w:hint="eastAsia" w:ascii="宋体" w:hAnsi="宋体" w:cs="宋体"/>
          <w:sz w:val="24"/>
          <w:lang w:eastAsia="zh-CN"/>
        </w:rPr>
        <w:t>采购</w:t>
      </w:r>
      <w:r>
        <w:rPr>
          <w:rFonts w:hint="eastAsia" w:ascii="宋体" w:hAnsi="宋体" w:cs="宋体"/>
          <w:sz w:val="24"/>
        </w:rPr>
        <w:t>（代理）人、监督人等有关单位或人员姓名；</w:t>
      </w:r>
    </w:p>
    <w:p w14:paraId="5124AB72">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（4）在监督人监督下，由采购人或供应商推选的代表检查响应文件的密封情况并予以签字确认；</w:t>
      </w:r>
    </w:p>
    <w:p w14:paraId="479F34D7">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13</w:t>
      </w:r>
      <w:r>
        <w:rPr>
          <w:rFonts w:hint="eastAsia" w:ascii="宋体" w:hAnsi="宋体" w:cs="宋体"/>
          <w:sz w:val="24"/>
          <w:lang w:val="zh-CN"/>
        </w:rPr>
        <w:t>.3 在磋商过程中，有效响应的供应商应在三家以上（包括三家），有效响应的供应商不足三家的应予废标。</w:t>
      </w:r>
    </w:p>
    <w:p w14:paraId="3B4C06B0">
      <w:pPr>
        <w:adjustRightInd w:val="0"/>
        <w:snapToGrid w:val="0"/>
        <w:spacing w:line="440" w:lineRule="exact"/>
        <w:jc w:val="left"/>
        <w:rPr>
          <w:rFonts w:ascii="宋体" w:hAnsi="宋体" w:cs="宋体"/>
          <w:b/>
          <w:bCs/>
          <w:sz w:val="24"/>
        </w:rPr>
      </w:pPr>
      <w:r>
        <w:rPr>
          <w:rFonts w:hint="eastAsia" w:ascii="宋体" w:hAnsi="宋体" w:cs="宋体"/>
          <w:b/>
          <w:bCs/>
          <w:sz w:val="24"/>
        </w:rPr>
        <w:t>14.磋商小组</w:t>
      </w:r>
    </w:p>
    <w:p w14:paraId="45089B74">
      <w:pPr>
        <w:spacing w:line="360" w:lineRule="auto"/>
        <w:ind w:firstLine="480" w:firstLineChars="200"/>
        <w:rPr>
          <w:rFonts w:ascii="宋体" w:hAnsi="宋体" w:cs="宋体"/>
          <w:sz w:val="24"/>
        </w:rPr>
      </w:pPr>
      <w:r>
        <w:rPr>
          <w:rFonts w:hint="eastAsia" w:ascii="宋体" w:hAnsi="宋体" w:cs="宋体"/>
          <w:sz w:val="24"/>
        </w:rPr>
        <w:t>14.1 磋商小组由评审专家3人组成</w:t>
      </w:r>
      <w:r>
        <w:rPr>
          <w:rFonts w:hint="eastAsia" w:ascii="宋体" w:hAnsi="宋体" w:cs="宋体"/>
          <w:sz w:val="24"/>
          <w:lang w:eastAsia="zh-CN"/>
        </w:rPr>
        <w:t>，</w:t>
      </w:r>
      <w:r>
        <w:rPr>
          <w:rFonts w:hint="eastAsia" w:ascii="宋体" w:hAnsi="宋体" w:cs="宋体"/>
          <w:sz w:val="24"/>
          <w:lang w:val="en-US" w:eastAsia="zh-CN"/>
        </w:rPr>
        <w:t>响应文件递交截止时间</w:t>
      </w:r>
      <w:r>
        <w:rPr>
          <w:rFonts w:hint="eastAsia" w:ascii="宋体" w:hAnsi="宋体" w:cs="宋体"/>
          <w:sz w:val="24"/>
        </w:rPr>
        <w:t>前从相关评标专家库中随机抽取。</w:t>
      </w:r>
    </w:p>
    <w:p w14:paraId="25605763">
      <w:pPr>
        <w:pStyle w:val="77"/>
        <w:spacing w:line="360" w:lineRule="auto"/>
        <w:ind w:firstLine="480" w:firstLineChars="200"/>
        <w:rPr>
          <w:rFonts w:ascii="宋体" w:hAnsi="宋体" w:cs="宋体"/>
        </w:rPr>
      </w:pPr>
      <w:r>
        <w:rPr>
          <w:rFonts w:hint="eastAsia" w:ascii="宋体" w:hAnsi="宋体" w:cs="宋体"/>
        </w:rPr>
        <w:t>14.2 磋商小组成员有下列情形之一的，应当回避：</w:t>
      </w:r>
    </w:p>
    <w:p w14:paraId="67679578">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的在职人员；</w:t>
      </w:r>
    </w:p>
    <w:p w14:paraId="44CA6821">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或者</w:t>
      </w:r>
      <w:r>
        <w:rPr>
          <w:rFonts w:hint="eastAsia" w:ascii="宋体" w:hAnsi="宋体" w:cs="宋体"/>
          <w:sz w:val="24"/>
          <w:lang w:eastAsia="zh-CN"/>
        </w:rPr>
        <w:t>供应商</w:t>
      </w:r>
      <w:r>
        <w:rPr>
          <w:rFonts w:hint="eastAsia" w:ascii="宋体" w:hAnsi="宋体" w:cs="宋体"/>
          <w:sz w:val="24"/>
        </w:rPr>
        <w:t>主要负责人的近亲属；</w:t>
      </w:r>
    </w:p>
    <w:p w14:paraId="20AE219F">
      <w:pPr>
        <w:spacing w:line="360" w:lineRule="auto"/>
        <w:ind w:firstLine="480" w:firstLineChars="200"/>
        <w:rPr>
          <w:rFonts w:ascii="宋体" w:hAnsi="宋体" w:cs="宋体"/>
          <w:sz w:val="24"/>
        </w:rPr>
      </w:pPr>
      <w:r>
        <w:rPr>
          <w:rFonts w:hint="eastAsia" w:ascii="宋体" w:hAnsi="宋体" w:cs="宋体"/>
          <w:sz w:val="24"/>
        </w:rPr>
        <w:t>（3）与</w:t>
      </w:r>
      <w:r>
        <w:rPr>
          <w:rFonts w:hint="eastAsia" w:ascii="宋体" w:hAnsi="宋体" w:cs="宋体"/>
          <w:sz w:val="24"/>
          <w:lang w:eastAsia="zh-CN"/>
        </w:rPr>
        <w:t>供应商</w:t>
      </w:r>
      <w:r>
        <w:rPr>
          <w:rFonts w:hint="eastAsia" w:ascii="宋体" w:hAnsi="宋体" w:cs="宋体"/>
          <w:sz w:val="24"/>
        </w:rPr>
        <w:t>有其他利害关系，可能影响公正评标的；</w:t>
      </w:r>
    </w:p>
    <w:p w14:paraId="1076C123">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eastAsia="zh-CN"/>
        </w:rPr>
        <w:t>采购</w:t>
      </w:r>
      <w:r>
        <w:rPr>
          <w:rFonts w:hint="eastAsia" w:ascii="宋体" w:hAnsi="宋体" w:cs="宋体"/>
          <w:sz w:val="24"/>
        </w:rPr>
        <w:t>项目主管部门或者对项目</w:t>
      </w:r>
      <w:r>
        <w:rPr>
          <w:rFonts w:hint="eastAsia" w:ascii="宋体" w:hAnsi="宋体" w:cs="宋体"/>
          <w:sz w:val="24"/>
          <w:lang w:eastAsia="zh-CN"/>
        </w:rPr>
        <w:t>采购</w:t>
      </w:r>
      <w:r>
        <w:rPr>
          <w:rFonts w:hint="eastAsia" w:ascii="宋体" w:hAnsi="宋体" w:cs="宋体"/>
          <w:sz w:val="24"/>
        </w:rPr>
        <w:t>活动具有监督管理职责的行政监督部门的工作人员；</w:t>
      </w:r>
    </w:p>
    <w:p w14:paraId="7CDA771E">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eastAsia="zh-CN"/>
        </w:rPr>
        <w:t>采购</w:t>
      </w:r>
      <w:r>
        <w:rPr>
          <w:rFonts w:hint="eastAsia" w:ascii="宋体" w:hAnsi="宋体" w:cs="宋体"/>
          <w:sz w:val="24"/>
        </w:rPr>
        <w:t>项目代理机构的在职人员；</w:t>
      </w:r>
    </w:p>
    <w:p w14:paraId="0F15E58E">
      <w:pPr>
        <w:spacing w:line="360" w:lineRule="auto"/>
        <w:ind w:firstLine="480" w:firstLineChars="200"/>
        <w:rPr>
          <w:rFonts w:ascii="宋体" w:hAnsi="宋体" w:cs="宋体"/>
          <w:sz w:val="24"/>
        </w:rPr>
      </w:pPr>
      <w:r>
        <w:rPr>
          <w:rFonts w:hint="eastAsia" w:ascii="宋体" w:hAnsi="宋体" w:cs="宋体"/>
          <w:sz w:val="24"/>
        </w:rPr>
        <w:t>（6）法律、法规和规章规定的其他情形。</w:t>
      </w:r>
    </w:p>
    <w:p w14:paraId="4F4D005E">
      <w:pPr>
        <w:adjustRightInd w:val="0"/>
        <w:snapToGrid w:val="0"/>
        <w:spacing w:line="360" w:lineRule="auto"/>
        <w:jc w:val="left"/>
        <w:rPr>
          <w:rFonts w:ascii="宋体" w:hAnsi="宋体" w:cs="宋体"/>
          <w:b/>
          <w:bCs/>
          <w:sz w:val="24"/>
        </w:rPr>
      </w:pPr>
      <w:r>
        <w:rPr>
          <w:rFonts w:hint="eastAsia" w:ascii="宋体" w:hAnsi="宋体" w:cs="宋体"/>
          <w:b/>
          <w:bCs/>
          <w:sz w:val="24"/>
        </w:rPr>
        <w:t>15.</w:t>
      </w:r>
      <w:r>
        <w:rPr>
          <w:rFonts w:hint="eastAsia" w:ascii="宋体" w:hAnsi="宋体" w:cs="宋体"/>
          <w:b/>
          <w:bCs/>
          <w:sz w:val="24"/>
          <w:lang w:eastAsia="zh-CN"/>
        </w:rPr>
        <w:t>评审</w:t>
      </w:r>
      <w:r>
        <w:rPr>
          <w:rFonts w:hint="eastAsia" w:ascii="宋体" w:hAnsi="宋体" w:cs="宋体"/>
          <w:b/>
          <w:bCs/>
          <w:sz w:val="24"/>
        </w:rPr>
        <w:t>原则</w:t>
      </w:r>
    </w:p>
    <w:p w14:paraId="10D7EB6B">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公平、公正、科学、择优。</w:t>
      </w:r>
    </w:p>
    <w:p w14:paraId="18D7C3A6">
      <w:pPr>
        <w:adjustRightInd w:val="0"/>
        <w:snapToGrid w:val="0"/>
        <w:spacing w:line="360" w:lineRule="auto"/>
        <w:jc w:val="left"/>
        <w:rPr>
          <w:rFonts w:ascii="宋体" w:hAnsi="宋体" w:cs="宋体"/>
          <w:b/>
          <w:bCs/>
          <w:sz w:val="24"/>
        </w:rPr>
      </w:pPr>
      <w:r>
        <w:rPr>
          <w:rFonts w:hint="eastAsia" w:ascii="宋体" w:hAnsi="宋体" w:cs="宋体"/>
          <w:b/>
          <w:bCs/>
          <w:sz w:val="24"/>
        </w:rPr>
        <w:t>16.</w:t>
      </w:r>
      <w:r>
        <w:rPr>
          <w:rFonts w:hint="eastAsia" w:ascii="宋体" w:hAnsi="宋体" w:cs="宋体"/>
          <w:b/>
          <w:bCs/>
          <w:sz w:val="24"/>
          <w:lang w:eastAsia="zh-CN"/>
        </w:rPr>
        <w:t>评审</w:t>
      </w:r>
      <w:r>
        <w:rPr>
          <w:rFonts w:hint="eastAsia" w:ascii="宋体" w:hAnsi="宋体" w:cs="宋体"/>
          <w:b/>
          <w:bCs/>
          <w:sz w:val="24"/>
        </w:rPr>
        <w:t>纪律</w:t>
      </w:r>
    </w:p>
    <w:p w14:paraId="3FD47CE2">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16.1 磋商小组成员和服务</w:t>
      </w:r>
      <w:r>
        <w:rPr>
          <w:rFonts w:hint="eastAsia" w:ascii="宋体" w:hAnsi="宋体" w:cs="宋体"/>
          <w:sz w:val="24"/>
          <w:lang w:eastAsia="zh-CN"/>
        </w:rPr>
        <w:t>评审</w:t>
      </w:r>
      <w:r>
        <w:rPr>
          <w:rFonts w:hint="eastAsia" w:ascii="宋体" w:hAnsi="宋体" w:cs="宋体"/>
          <w:sz w:val="24"/>
        </w:rPr>
        <w:t>工作的有关人员不得透露对响应文件的评审和比较、成交候选供应商的推荐情况以及与</w:t>
      </w:r>
      <w:r>
        <w:rPr>
          <w:rFonts w:hint="eastAsia" w:ascii="宋体" w:hAnsi="宋体" w:cs="宋体"/>
          <w:sz w:val="24"/>
          <w:lang w:eastAsia="zh-CN"/>
        </w:rPr>
        <w:t>评审</w:t>
      </w:r>
      <w:r>
        <w:rPr>
          <w:rFonts w:hint="eastAsia" w:ascii="宋体" w:hAnsi="宋体" w:cs="宋体"/>
          <w:sz w:val="24"/>
        </w:rPr>
        <w:t>有关的其他情况。</w:t>
      </w:r>
    </w:p>
    <w:p w14:paraId="32B5535B">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16.2 任何供应商均不得对其</w:t>
      </w:r>
      <w:r>
        <w:rPr>
          <w:rFonts w:hint="eastAsia" w:ascii="宋体" w:hAnsi="宋体" w:cs="宋体"/>
          <w:sz w:val="24"/>
          <w:lang w:eastAsia="zh-CN"/>
        </w:rPr>
        <w:t>磋商</w:t>
      </w:r>
      <w:r>
        <w:rPr>
          <w:rFonts w:hint="eastAsia" w:ascii="宋体" w:hAnsi="宋体" w:cs="宋体"/>
          <w:sz w:val="24"/>
        </w:rPr>
        <w:t>有关的问题与磋商小组成员发生联系。如果供应商试图对磋商小组的</w:t>
      </w:r>
      <w:r>
        <w:rPr>
          <w:rFonts w:hint="eastAsia" w:ascii="宋体" w:hAnsi="宋体" w:cs="宋体"/>
          <w:sz w:val="24"/>
          <w:lang w:eastAsia="zh-CN"/>
        </w:rPr>
        <w:t>评审</w:t>
      </w:r>
      <w:r>
        <w:rPr>
          <w:rFonts w:hint="eastAsia" w:ascii="宋体" w:hAnsi="宋体" w:cs="宋体"/>
          <w:sz w:val="24"/>
        </w:rPr>
        <w:t>施加影响，则将导致其响应文件被拒绝。</w:t>
      </w:r>
    </w:p>
    <w:p w14:paraId="7F170777">
      <w:pPr>
        <w:adjustRightInd w:val="0"/>
        <w:snapToGrid w:val="0"/>
        <w:spacing w:line="360" w:lineRule="auto"/>
        <w:jc w:val="left"/>
        <w:rPr>
          <w:rFonts w:ascii="宋体" w:hAnsi="宋体" w:cs="宋体"/>
          <w:b/>
          <w:bCs/>
          <w:sz w:val="24"/>
        </w:rPr>
      </w:pPr>
      <w:r>
        <w:rPr>
          <w:rFonts w:hint="eastAsia" w:ascii="宋体" w:hAnsi="宋体" w:cs="宋体"/>
          <w:b/>
          <w:bCs/>
          <w:sz w:val="24"/>
        </w:rPr>
        <w:t>17.响应文件有下列情况之一者，其</w:t>
      </w:r>
      <w:r>
        <w:rPr>
          <w:rFonts w:hint="eastAsia" w:ascii="宋体" w:hAnsi="宋体" w:cs="宋体"/>
          <w:b/>
          <w:bCs/>
          <w:sz w:val="24"/>
          <w:lang w:eastAsia="zh-CN"/>
        </w:rPr>
        <w:t>响应文件按无效响应</w:t>
      </w:r>
      <w:r>
        <w:rPr>
          <w:rFonts w:hint="eastAsia" w:ascii="宋体" w:hAnsi="宋体" w:cs="宋体"/>
          <w:b/>
          <w:bCs/>
          <w:sz w:val="24"/>
        </w:rPr>
        <w:t>处理：</w:t>
      </w:r>
    </w:p>
    <w:p w14:paraId="20E51A29">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17.1 响应文件未按规定加盖供应商公章或无法定代表人或授权代表人签字盖章的。</w:t>
      </w:r>
    </w:p>
    <w:p w14:paraId="22899997">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17.2 合同履行期限超过磋商文件要求，采购人不能接受的。</w:t>
      </w:r>
    </w:p>
    <w:p w14:paraId="19FF58E0">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17.3 响应文件附有采购人不能接受的条件的。</w:t>
      </w:r>
    </w:p>
    <w:p w14:paraId="62B0B904">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17.4 不符合磋商文件中规定的其他实质性要求的。</w:t>
      </w:r>
    </w:p>
    <w:p w14:paraId="7055E49C">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17.5 在</w:t>
      </w:r>
      <w:r>
        <w:rPr>
          <w:rFonts w:hint="eastAsia" w:ascii="宋体" w:hAnsi="宋体" w:cs="宋体"/>
          <w:sz w:val="24"/>
          <w:lang w:eastAsia="zh-CN"/>
        </w:rPr>
        <w:t>磋商</w:t>
      </w:r>
      <w:r>
        <w:rPr>
          <w:rFonts w:hint="eastAsia" w:ascii="宋体" w:hAnsi="宋体" w:cs="宋体"/>
          <w:sz w:val="24"/>
        </w:rPr>
        <w:t>过程中，磋商小组发现供应商以他人的名义投标、串通投标或者以其他弄虚作假方式投标的。</w:t>
      </w:r>
    </w:p>
    <w:p w14:paraId="4BBE5E89">
      <w:pPr>
        <w:adjustRightInd w:val="0"/>
        <w:snapToGrid w:val="0"/>
        <w:spacing w:line="360" w:lineRule="auto"/>
        <w:jc w:val="left"/>
        <w:rPr>
          <w:rFonts w:ascii="宋体" w:hAnsi="宋体" w:cs="宋体"/>
          <w:b/>
          <w:bCs/>
          <w:sz w:val="24"/>
        </w:rPr>
      </w:pPr>
      <w:r>
        <w:rPr>
          <w:rFonts w:hint="eastAsia" w:ascii="宋体" w:hAnsi="宋体" w:cs="宋体"/>
          <w:b/>
          <w:bCs/>
          <w:sz w:val="24"/>
        </w:rPr>
        <w:t>18.响应文件的评价与比较</w:t>
      </w:r>
    </w:p>
    <w:p w14:paraId="48287B5B">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18.1 磋商小组将仅对按照磋商文件第17条款被确定为实质上响应磋商文件要求的响应文件进行详细评审。</w:t>
      </w:r>
    </w:p>
    <w:p w14:paraId="04D9F425">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18.2 在</w:t>
      </w:r>
      <w:r>
        <w:rPr>
          <w:rFonts w:hint="eastAsia" w:ascii="宋体" w:hAnsi="宋体" w:cs="宋体"/>
          <w:sz w:val="24"/>
          <w:lang w:eastAsia="zh-CN"/>
        </w:rPr>
        <w:t>评审</w:t>
      </w:r>
      <w:r>
        <w:rPr>
          <w:rFonts w:hint="eastAsia" w:ascii="宋体" w:hAnsi="宋体" w:cs="宋体"/>
          <w:sz w:val="24"/>
        </w:rPr>
        <w:t>时不考虑合同条款中的价格调整规定在合同实施过程中所起的作用。</w:t>
      </w:r>
    </w:p>
    <w:p w14:paraId="48DE6E51">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 xml:space="preserve">18.3 </w:t>
      </w:r>
      <w:r>
        <w:rPr>
          <w:rFonts w:hint="eastAsia" w:ascii="宋体" w:hAnsi="宋体" w:cs="宋体"/>
          <w:sz w:val="24"/>
          <w:lang w:eastAsia="zh-CN"/>
        </w:rPr>
        <w:t>评审</w:t>
      </w:r>
      <w:r>
        <w:rPr>
          <w:rFonts w:hint="eastAsia" w:ascii="宋体" w:hAnsi="宋体" w:cs="宋体"/>
          <w:sz w:val="24"/>
        </w:rPr>
        <w:t>时，</w:t>
      </w:r>
      <w:r>
        <w:rPr>
          <w:rFonts w:hint="eastAsia" w:ascii="宋体" w:hAnsi="宋体" w:cs="宋体"/>
          <w:sz w:val="24"/>
          <w:lang w:eastAsia="zh-CN"/>
        </w:rPr>
        <w:t>磋商</w:t>
      </w:r>
      <w:r>
        <w:rPr>
          <w:rFonts w:hint="eastAsia" w:ascii="宋体" w:hAnsi="宋体" w:cs="宋体"/>
          <w:sz w:val="24"/>
        </w:rPr>
        <w:t>报价是</w:t>
      </w:r>
      <w:r>
        <w:rPr>
          <w:rFonts w:hint="eastAsia" w:ascii="宋体" w:hAnsi="宋体" w:cs="宋体"/>
          <w:sz w:val="24"/>
          <w:lang w:eastAsia="zh-CN"/>
        </w:rPr>
        <w:t>评审</w:t>
      </w:r>
      <w:r>
        <w:rPr>
          <w:rFonts w:hint="eastAsia" w:ascii="宋体" w:hAnsi="宋体" w:cs="宋体"/>
          <w:sz w:val="24"/>
        </w:rPr>
        <w:t>的重要依据，但不是唯一依据。</w:t>
      </w:r>
    </w:p>
    <w:p w14:paraId="1997005B">
      <w:pPr>
        <w:adjustRightInd w:val="0"/>
        <w:snapToGrid w:val="0"/>
        <w:spacing w:line="360" w:lineRule="auto"/>
        <w:jc w:val="left"/>
        <w:rPr>
          <w:rFonts w:ascii="宋体" w:hAnsi="宋体" w:cs="宋体"/>
          <w:b/>
          <w:bCs/>
          <w:sz w:val="24"/>
        </w:rPr>
      </w:pPr>
      <w:r>
        <w:rPr>
          <w:rFonts w:hint="eastAsia" w:ascii="宋体" w:hAnsi="宋体" w:cs="宋体"/>
          <w:b/>
          <w:bCs/>
          <w:sz w:val="24"/>
        </w:rPr>
        <w:t>19.响应文件的澄清</w:t>
      </w:r>
    </w:p>
    <w:p w14:paraId="487A1BF5">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为了有助于响应文件的审查、评价和比较，根据需要，磋商小组可以要求供应商对响应文件中含义不明确的内容做必要的澄清或说明</w:t>
      </w:r>
      <w:r>
        <w:rPr>
          <w:rFonts w:hint="eastAsia" w:ascii="宋体" w:hAnsi="宋体" w:cs="宋体"/>
          <w:sz w:val="24"/>
          <w:lang w:eastAsia="zh-CN"/>
        </w:rPr>
        <w:t>，</w:t>
      </w:r>
      <w:r>
        <w:rPr>
          <w:rFonts w:hint="eastAsia" w:ascii="宋体" w:hAnsi="宋体" w:cs="宋体"/>
          <w:sz w:val="24"/>
        </w:rPr>
        <w:t>但是澄清或说明不得超出响应文件的范围或者改变响应文件的实质性内容</w:t>
      </w:r>
      <w:r>
        <w:rPr>
          <w:rFonts w:hint="eastAsia" w:ascii="宋体" w:hAnsi="宋体" w:cs="宋体"/>
          <w:sz w:val="24"/>
          <w:lang w:eastAsia="zh-CN"/>
        </w:rPr>
        <w:t>。</w:t>
      </w:r>
      <w:r>
        <w:rPr>
          <w:rFonts w:hint="eastAsia" w:ascii="宋体" w:hAnsi="宋体" w:cs="宋体"/>
          <w:sz w:val="24"/>
        </w:rPr>
        <w:t>澄清的要求和供应商的答复均应采取书面形式</w:t>
      </w:r>
      <w:r>
        <w:rPr>
          <w:rFonts w:hint="eastAsia" w:ascii="宋体" w:hAnsi="宋体" w:cs="宋体"/>
          <w:sz w:val="24"/>
          <w:lang w:eastAsia="zh-CN"/>
        </w:rPr>
        <w:t>，</w:t>
      </w:r>
      <w:r>
        <w:rPr>
          <w:rFonts w:hint="eastAsia" w:ascii="宋体" w:hAnsi="宋体" w:cs="宋体"/>
          <w:sz w:val="24"/>
        </w:rPr>
        <w:t>供应商的答复必须经法定代表人或法定代表人授权代表签字，并作为响应文件的组成部分。</w:t>
      </w:r>
    </w:p>
    <w:p w14:paraId="087066DF">
      <w:pPr>
        <w:adjustRightInd w:val="0"/>
        <w:snapToGrid w:val="0"/>
        <w:spacing w:line="440" w:lineRule="exact"/>
        <w:jc w:val="left"/>
        <w:rPr>
          <w:rFonts w:hint="eastAsia" w:ascii="宋体" w:hAnsi="宋体" w:eastAsia="宋体" w:cs="宋体"/>
          <w:b/>
          <w:bCs/>
          <w:sz w:val="24"/>
          <w:lang w:eastAsia="zh-CN"/>
        </w:rPr>
      </w:pPr>
      <w:r>
        <w:rPr>
          <w:rFonts w:hint="eastAsia" w:ascii="宋体" w:hAnsi="宋体" w:cs="宋体"/>
          <w:b/>
          <w:bCs/>
          <w:sz w:val="24"/>
        </w:rPr>
        <w:t>20.</w:t>
      </w:r>
      <w:r>
        <w:rPr>
          <w:rFonts w:hint="eastAsia" w:ascii="宋体" w:hAnsi="宋体" w:cs="宋体"/>
          <w:b/>
          <w:bCs/>
          <w:sz w:val="24"/>
          <w:lang w:eastAsia="zh-CN"/>
        </w:rPr>
        <w:t>评审</w:t>
      </w:r>
    </w:p>
    <w:p w14:paraId="7F926640">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本项目</w:t>
      </w:r>
      <w:r>
        <w:rPr>
          <w:rFonts w:hint="eastAsia" w:ascii="宋体" w:hAnsi="宋体" w:cs="宋体"/>
          <w:sz w:val="24"/>
          <w:lang w:eastAsia="zh-CN"/>
        </w:rPr>
        <w:t>评审</w:t>
      </w:r>
      <w:r>
        <w:rPr>
          <w:rFonts w:hint="eastAsia" w:ascii="宋体" w:hAnsi="宋体" w:cs="宋体"/>
          <w:sz w:val="24"/>
        </w:rPr>
        <w:t>办法按照《政府采购竞争性磋商采购方式管理暂行办法》，结合本项目具体情况制订。</w:t>
      </w:r>
    </w:p>
    <w:p w14:paraId="50EF0C07">
      <w:pPr>
        <w:adjustRightInd w:val="0"/>
        <w:snapToGrid w:val="0"/>
        <w:spacing w:line="440" w:lineRule="exact"/>
        <w:jc w:val="left"/>
        <w:rPr>
          <w:rFonts w:ascii="宋体" w:hAnsi="宋体" w:cs="宋体"/>
          <w:b/>
          <w:bCs/>
          <w:sz w:val="24"/>
        </w:rPr>
      </w:pPr>
      <w:r>
        <w:rPr>
          <w:rFonts w:hint="eastAsia" w:ascii="宋体" w:hAnsi="宋体" w:cs="宋体"/>
          <w:b/>
          <w:bCs/>
          <w:sz w:val="24"/>
        </w:rPr>
        <w:t>21.磋商程序及定标</w:t>
      </w:r>
    </w:p>
    <w:p w14:paraId="74583CC1">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21.1 磋商小组按照磋商文件中的</w:t>
      </w:r>
      <w:r>
        <w:rPr>
          <w:rFonts w:hint="eastAsia" w:ascii="宋体" w:hAnsi="宋体" w:cs="宋体"/>
          <w:sz w:val="24"/>
          <w:lang w:eastAsia="zh-CN"/>
        </w:rPr>
        <w:t>评审</w:t>
      </w:r>
      <w:r>
        <w:rPr>
          <w:rFonts w:hint="eastAsia" w:ascii="宋体" w:hAnsi="宋体" w:cs="宋体"/>
          <w:sz w:val="24"/>
        </w:rPr>
        <w:t>原则、</w:t>
      </w:r>
      <w:r>
        <w:rPr>
          <w:rFonts w:hint="eastAsia" w:ascii="宋体" w:hAnsi="宋体" w:cs="宋体"/>
          <w:sz w:val="24"/>
          <w:lang w:eastAsia="zh-CN"/>
        </w:rPr>
        <w:t>评审</w:t>
      </w:r>
      <w:r>
        <w:rPr>
          <w:rFonts w:hint="eastAsia" w:ascii="宋体" w:hAnsi="宋体" w:cs="宋体"/>
          <w:sz w:val="24"/>
        </w:rPr>
        <w:t>程序及评分标准评定供应商名次。</w:t>
      </w:r>
    </w:p>
    <w:p w14:paraId="110AF192">
      <w:pPr>
        <w:adjustRightInd w:val="0"/>
        <w:snapToGrid w:val="0"/>
        <w:spacing w:line="440" w:lineRule="exact"/>
        <w:ind w:firstLine="480" w:firstLineChars="200"/>
        <w:jc w:val="left"/>
        <w:rPr>
          <w:rFonts w:ascii="宋体" w:hAnsi="宋体" w:cs="宋体"/>
        </w:rPr>
      </w:pPr>
      <w:r>
        <w:rPr>
          <w:rFonts w:hint="eastAsia" w:ascii="宋体" w:hAnsi="宋体" w:cs="宋体"/>
          <w:sz w:val="24"/>
        </w:rPr>
        <w:t>21.2 磋商小组起草</w:t>
      </w:r>
      <w:r>
        <w:rPr>
          <w:rFonts w:hint="eastAsia" w:ascii="宋体" w:hAnsi="宋体" w:cs="宋体"/>
          <w:sz w:val="24"/>
          <w:lang w:eastAsia="zh-CN"/>
        </w:rPr>
        <w:t>评审</w:t>
      </w:r>
      <w:r>
        <w:rPr>
          <w:rFonts w:hint="eastAsia" w:ascii="宋体" w:hAnsi="宋体" w:cs="宋体"/>
          <w:sz w:val="24"/>
        </w:rPr>
        <w:t>报告，向采购人推荐1-3名成交候选供应商。采购人原则上应按磋商小组依法推荐的成交候选供应商顺序确定成交供应商。若前位成交候选供应商不再响应磋商文件或确有重大实质性问题</w:t>
      </w:r>
      <w:r>
        <w:rPr>
          <w:rFonts w:hint="eastAsia" w:ascii="宋体" w:hAnsi="宋体" w:cs="宋体"/>
          <w:sz w:val="24"/>
          <w:lang w:eastAsia="zh-CN"/>
        </w:rPr>
        <w:t>，</w:t>
      </w:r>
      <w:r>
        <w:rPr>
          <w:rFonts w:hint="eastAsia" w:ascii="宋体" w:hAnsi="宋体" w:cs="宋体"/>
          <w:sz w:val="24"/>
        </w:rPr>
        <w:t>可以按顺序向下确定成交供应商，也可以重新</w:t>
      </w:r>
      <w:r>
        <w:rPr>
          <w:rFonts w:hint="eastAsia" w:ascii="宋体" w:hAnsi="宋体" w:cs="宋体"/>
          <w:sz w:val="24"/>
          <w:lang w:eastAsia="zh-CN"/>
        </w:rPr>
        <w:t>采购</w:t>
      </w:r>
      <w:r>
        <w:rPr>
          <w:rFonts w:hint="eastAsia" w:ascii="宋体" w:hAnsi="宋体" w:cs="宋体"/>
          <w:sz w:val="24"/>
        </w:rPr>
        <w:t>。</w:t>
      </w:r>
    </w:p>
    <w:p w14:paraId="5C18E189">
      <w:pPr>
        <w:snapToGrid w:val="0"/>
        <w:spacing w:line="440" w:lineRule="exact"/>
        <w:jc w:val="center"/>
        <w:rPr>
          <w:rFonts w:ascii="宋体" w:hAnsi="宋体" w:cs="宋体"/>
          <w:b/>
          <w:sz w:val="28"/>
          <w:szCs w:val="28"/>
        </w:rPr>
      </w:pPr>
    </w:p>
    <w:p w14:paraId="348454F1">
      <w:pPr>
        <w:snapToGrid w:val="0"/>
        <w:spacing w:line="440" w:lineRule="exact"/>
        <w:ind w:firstLine="3373" w:firstLineChars="1200"/>
        <w:rPr>
          <w:rFonts w:ascii="宋体" w:hAnsi="宋体" w:cs="宋体"/>
          <w:b/>
          <w:sz w:val="28"/>
          <w:szCs w:val="28"/>
        </w:rPr>
      </w:pPr>
      <w:r>
        <w:rPr>
          <w:rFonts w:hint="eastAsia" w:ascii="宋体" w:hAnsi="宋体" w:cs="宋体"/>
          <w:b/>
          <w:sz w:val="28"/>
          <w:szCs w:val="28"/>
        </w:rPr>
        <w:t>六、授予合同</w:t>
      </w:r>
    </w:p>
    <w:p w14:paraId="5C47F365">
      <w:pPr>
        <w:adjustRightInd w:val="0"/>
        <w:snapToGrid w:val="0"/>
        <w:spacing w:line="360" w:lineRule="auto"/>
        <w:jc w:val="left"/>
        <w:rPr>
          <w:rFonts w:ascii="宋体" w:hAnsi="宋体" w:cs="宋体"/>
          <w:b/>
          <w:bCs/>
          <w:sz w:val="24"/>
        </w:rPr>
      </w:pPr>
      <w:r>
        <w:rPr>
          <w:rFonts w:hint="eastAsia" w:ascii="宋体" w:hAnsi="宋体" w:cs="宋体"/>
          <w:b/>
          <w:bCs/>
          <w:sz w:val="24"/>
        </w:rPr>
        <w:t>22.合同授予标准</w:t>
      </w:r>
    </w:p>
    <w:p w14:paraId="3358F4C1">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22.1 采购人将把合同授予响应文件实质上响应磋商文件且具有合理价格的成交供应商。</w:t>
      </w:r>
    </w:p>
    <w:p w14:paraId="7C90E442">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22.2 采购人在与成交供应商签订合同时，保留对货物（服务）予以增减的权力，但不得对单价或</w:t>
      </w:r>
      <w:r>
        <w:rPr>
          <w:rFonts w:hint="eastAsia" w:ascii="宋体" w:hAnsi="宋体" w:cs="宋体"/>
          <w:sz w:val="24"/>
          <w:lang w:eastAsia="zh-CN"/>
        </w:rPr>
        <w:t>其他</w:t>
      </w:r>
      <w:r>
        <w:rPr>
          <w:rFonts w:hint="eastAsia" w:ascii="宋体" w:hAnsi="宋体" w:cs="宋体"/>
          <w:sz w:val="24"/>
        </w:rPr>
        <w:t>条款和条件做任何改变。</w:t>
      </w:r>
    </w:p>
    <w:p w14:paraId="0DB01594">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22.3 如果在规定的时间内成交供应商不能完成合同内容，采购人将选择第二成交候选供应商完成合同内容，并赔偿采购人相关损失。</w:t>
      </w:r>
    </w:p>
    <w:p w14:paraId="1438E81E">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22.4 成交供应商无正当理由拒签合同的，采购人取消其</w:t>
      </w:r>
      <w:r>
        <w:rPr>
          <w:rFonts w:hint="eastAsia" w:ascii="宋体" w:hAnsi="宋体" w:cs="宋体"/>
          <w:sz w:val="24"/>
          <w:lang w:eastAsia="zh-CN"/>
        </w:rPr>
        <w:t>成交</w:t>
      </w:r>
      <w:r>
        <w:rPr>
          <w:rFonts w:hint="eastAsia" w:ascii="宋体" w:hAnsi="宋体" w:cs="宋体"/>
          <w:sz w:val="24"/>
        </w:rPr>
        <w:t>资格；给采购人造成损失的，成交供应商还应当予以赔偿。成交供应商和采购人不得私下订立背离合同实质性内容的协议，不得变更竞争性磋商文件和响应文件的实质性内容。</w:t>
      </w:r>
    </w:p>
    <w:p w14:paraId="2B3C56B2">
      <w:pPr>
        <w:adjustRightInd w:val="0"/>
        <w:snapToGrid w:val="0"/>
        <w:spacing w:line="360" w:lineRule="auto"/>
        <w:jc w:val="left"/>
        <w:rPr>
          <w:rFonts w:ascii="宋体" w:hAnsi="宋体" w:cs="宋体"/>
          <w:b/>
          <w:bCs/>
          <w:sz w:val="24"/>
        </w:rPr>
      </w:pPr>
      <w:r>
        <w:rPr>
          <w:rFonts w:hint="eastAsia" w:ascii="宋体" w:hAnsi="宋体" w:cs="宋体"/>
          <w:b/>
          <w:bCs/>
          <w:sz w:val="24"/>
        </w:rPr>
        <w:t>23.成交通知</w:t>
      </w:r>
    </w:p>
    <w:p w14:paraId="4C084E8A">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23.1 在</w:t>
      </w:r>
      <w:r>
        <w:rPr>
          <w:rFonts w:hint="eastAsia" w:ascii="宋体" w:hAnsi="宋体" w:cs="宋体"/>
          <w:sz w:val="24"/>
          <w:lang w:eastAsia="zh-CN"/>
        </w:rPr>
        <w:t>磋商</w:t>
      </w:r>
      <w:r>
        <w:rPr>
          <w:rFonts w:hint="eastAsia" w:ascii="宋体" w:hAnsi="宋体" w:cs="宋体"/>
          <w:sz w:val="24"/>
        </w:rPr>
        <w:t>有效期内确定成交供应商后，采购人以书面形式通知成交供应商。</w:t>
      </w:r>
    </w:p>
    <w:p w14:paraId="32076640">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23.2</w:t>
      </w:r>
      <w:r>
        <w:rPr>
          <w:rFonts w:hint="eastAsia" w:ascii="宋体" w:hAnsi="宋体" w:cs="宋体"/>
          <w:sz w:val="24"/>
          <w:lang w:val="en-US" w:eastAsia="zh-CN"/>
        </w:rPr>
        <w:t xml:space="preserve"> </w:t>
      </w:r>
      <w:r>
        <w:rPr>
          <w:rFonts w:hint="eastAsia" w:ascii="宋体" w:hAnsi="宋体" w:cs="宋体"/>
          <w:sz w:val="24"/>
        </w:rPr>
        <w:t>成交通知书是合同的组成部分。</w:t>
      </w:r>
    </w:p>
    <w:p w14:paraId="4FB8917B">
      <w:pPr>
        <w:adjustRightInd w:val="0"/>
        <w:snapToGrid w:val="0"/>
        <w:spacing w:line="360" w:lineRule="auto"/>
        <w:ind w:firstLine="480" w:firstLineChars="200"/>
        <w:jc w:val="left"/>
        <w:rPr>
          <w:rFonts w:ascii="宋体" w:hAnsi="宋体" w:cs="宋体"/>
        </w:rPr>
      </w:pPr>
      <w:r>
        <w:rPr>
          <w:rFonts w:hint="eastAsia" w:ascii="宋体" w:hAnsi="宋体" w:cs="宋体"/>
          <w:sz w:val="24"/>
        </w:rPr>
        <w:t>23.3 对未成交的供应商，不做任何未成交原因的解释，所有响应文件不予退还。</w:t>
      </w:r>
    </w:p>
    <w:p w14:paraId="7C09659E">
      <w:pPr>
        <w:adjustRightInd w:val="0"/>
        <w:snapToGrid w:val="0"/>
        <w:spacing w:line="360" w:lineRule="auto"/>
        <w:jc w:val="left"/>
        <w:rPr>
          <w:rFonts w:ascii="宋体" w:hAnsi="宋体" w:cs="宋体"/>
          <w:b/>
          <w:bCs/>
          <w:sz w:val="24"/>
        </w:rPr>
      </w:pPr>
      <w:r>
        <w:rPr>
          <w:rFonts w:hint="eastAsia" w:ascii="宋体" w:hAnsi="宋体" w:cs="宋体"/>
          <w:b/>
          <w:bCs/>
          <w:sz w:val="24"/>
        </w:rPr>
        <w:t>24.合同的签署</w:t>
      </w:r>
    </w:p>
    <w:p w14:paraId="117C4CEA">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 xml:space="preserve">24.1 </w:t>
      </w:r>
      <w:r>
        <w:rPr>
          <w:rFonts w:hint="eastAsia" w:ascii="宋体" w:hAnsi="宋体" w:cs="宋体"/>
          <w:bCs/>
          <w:sz w:val="24"/>
        </w:rPr>
        <w:t>成交供应商应当在领取《成交通知书》之日起30日内，按照磋商文件确定的事项与采购人签订政府采购合同。</w:t>
      </w:r>
      <w:r>
        <w:rPr>
          <w:rFonts w:hint="eastAsia" w:ascii="宋体" w:hAnsi="宋体" w:cs="宋体"/>
          <w:sz w:val="24"/>
        </w:rPr>
        <w:t xml:space="preserve">    </w:t>
      </w:r>
    </w:p>
    <w:p w14:paraId="4C9FC7EB">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24.2 磋商文件、响应文件及澄清文件及成交供应商承诺等均作为合同的不可分割的组成部分。</w:t>
      </w:r>
    </w:p>
    <w:p w14:paraId="1B4826FD">
      <w:pPr>
        <w:adjustRightInd w:val="0"/>
        <w:snapToGrid w:val="0"/>
        <w:spacing w:line="360" w:lineRule="auto"/>
        <w:ind w:firstLine="480" w:firstLineChars="200"/>
        <w:jc w:val="left"/>
        <w:rPr>
          <w:rFonts w:ascii="宋体" w:hAnsi="宋体" w:cs="宋体"/>
          <w:b/>
          <w:sz w:val="28"/>
          <w:szCs w:val="28"/>
        </w:rPr>
      </w:pPr>
      <w:r>
        <w:rPr>
          <w:rFonts w:hint="eastAsia" w:ascii="宋体" w:hAnsi="宋体" w:cs="宋体"/>
          <w:sz w:val="24"/>
        </w:rPr>
        <w:t>24.3 如果成交</w:t>
      </w:r>
      <w:r>
        <w:rPr>
          <w:rFonts w:hint="eastAsia" w:ascii="宋体" w:hAnsi="宋体" w:cs="宋体"/>
          <w:sz w:val="24"/>
          <w:lang w:eastAsia="zh-CN"/>
        </w:rPr>
        <w:t>供应商</w:t>
      </w:r>
      <w:r>
        <w:rPr>
          <w:rFonts w:hint="eastAsia" w:ascii="宋体" w:hAnsi="宋体" w:cs="宋体"/>
          <w:sz w:val="24"/>
        </w:rPr>
        <w:t>不按其响应文件承诺和磋商文件要求签订合同，采购人将有权废除授标，并按规定另确定成交供应商。</w:t>
      </w:r>
      <w:bookmarkStart w:id="71" w:name="_Toc304967951"/>
      <w:bookmarkStart w:id="72" w:name="_Toc270"/>
      <w:bookmarkStart w:id="73" w:name="_Toc304458159"/>
      <w:bookmarkStart w:id="74" w:name="_Toc248824927"/>
      <w:bookmarkStart w:id="75" w:name="_Toc244074263"/>
      <w:bookmarkStart w:id="76" w:name="_Toc235473932"/>
    </w:p>
    <w:p w14:paraId="3A8C1926">
      <w:pPr>
        <w:snapToGrid w:val="0"/>
        <w:spacing w:line="440" w:lineRule="exact"/>
        <w:jc w:val="center"/>
        <w:rPr>
          <w:rFonts w:ascii="宋体" w:hAnsi="宋体" w:cs="宋体"/>
          <w:b/>
          <w:sz w:val="28"/>
          <w:szCs w:val="28"/>
        </w:rPr>
      </w:pPr>
    </w:p>
    <w:p w14:paraId="5C7A6BD3">
      <w:pPr>
        <w:snapToGrid w:val="0"/>
        <w:spacing w:line="440" w:lineRule="exact"/>
        <w:jc w:val="center"/>
        <w:rPr>
          <w:rFonts w:hint="eastAsia" w:ascii="宋体" w:hAnsi="宋体" w:eastAsia="宋体" w:cs="宋体"/>
          <w:b/>
          <w:sz w:val="28"/>
          <w:szCs w:val="28"/>
          <w:lang w:eastAsia="zh-CN"/>
        </w:rPr>
      </w:pPr>
      <w:r>
        <w:rPr>
          <w:rFonts w:hint="eastAsia" w:ascii="宋体" w:hAnsi="宋体" w:cs="宋体"/>
          <w:b/>
          <w:sz w:val="28"/>
          <w:szCs w:val="28"/>
        </w:rPr>
        <w:t>七、重新</w:t>
      </w:r>
      <w:bookmarkEnd w:id="71"/>
      <w:bookmarkEnd w:id="72"/>
      <w:bookmarkEnd w:id="73"/>
      <w:bookmarkEnd w:id="74"/>
      <w:bookmarkEnd w:id="75"/>
      <w:bookmarkEnd w:id="76"/>
      <w:r>
        <w:rPr>
          <w:rFonts w:hint="eastAsia" w:ascii="宋体" w:hAnsi="宋体" w:cs="宋体"/>
          <w:b/>
          <w:sz w:val="28"/>
          <w:szCs w:val="28"/>
          <w:lang w:eastAsia="zh-CN"/>
        </w:rPr>
        <w:t>采购</w:t>
      </w:r>
      <w:r>
        <w:rPr>
          <w:rFonts w:hint="eastAsia" w:ascii="宋体" w:hAnsi="宋体" w:cs="宋体"/>
          <w:b/>
          <w:sz w:val="28"/>
          <w:szCs w:val="28"/>
        </w:rPr>
        <w:t>和</w:t>
      </w:r>
      <w:r>
        <w:rPr>
          <w:rFonts w:hint="eastAsia" w:ascii="宋体" w:hAnsi="宋体" w:cs="宋体"/>
          <w:b/>
          <w:sz w:val="28"/>
          <w:szCs w:val="28"/>
          <w:lang w:eastAsia="zh-CN"/>
        </w:rPr>
        <w:t>终止采购</w:t>
      </w:r>
    </w:p>
    <w:p w14:paraId="259BCFC6">
      <w:pPr>
        <w:adjustRightInd w:val="0"/>
        <w:snapToGrid w:val="0"/>
        <w:spacing w:line="440" w:lineRule="exact"/>
        <w:jc w:val="left"/>
        <w:rPr>
          <w:rFonts w:hint="eastAsia" w:ascii="宋体" w:hAnsi="宋体" w:eastAsia="宋体" w:cs="宋体"/>
          <w:b/>
          <w:bCs/>
          <w:sz w:val="24"/>
          <w:lang w:eastAsia="zh-CN"/>
        </w:rPr>
      </w:pPr>
      <w:r>
        <w:rPr>
          <w:rFonts w:hint="eastAsia" w:ascii="宋体" w:hAnsi="宋体" w:cs="宋体"/>
          <w:b/>
          <w:bCs/>
          <w:sz w:val="24"/>
        </w:rPr>
        <w:t>25.重新</w:t>
      </w:r>
      <w:r>
        <w:rPr>
          <w:rFonts w:hint="eastAsia" w:ascii="宋体" w:hAnsi="宋体" w:cs="宋体"/>
          <w:b/>
          <w:bCs/>
          <w:sz w:val="24"/>
          <w:lang w:eastAsia="zh-CN"/>
        </w:rPr>
        <w:t>采购</w:t>
      </w:r>
    </w:p>
    <w:p w14:paraId="2E46FE30">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有下列情形之一的，采购人将重新</w:t>
      </w:r>
      <w:r>
        <w:rPr>
          <w:rFonts w:hint="eastAsia" w:ascii="宋体" w:hAnsi="宋体" w:cs="宋体"/>
          <w:sz w:val="24"/>
          <w:lang w:eastAsia="zh-CN"/>
        </w:rPr>
        <w:t>采购</w:t>
      </w:r>
      <w:r>
        <w:rPr>
          <w:rFonts w:hint="eastAsia" w:ascii="宋体" w:hAnsi="宋体" w:cs="宋体"/>
          <w:sz w:val="24"/>
        </w:rPr>
        <w:t>：</w:t>
      </w:r>
    </w:p>
    <w:p w14:paraId="13729491">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eastAsia="zh-CN"/>
        </w:rPr>
        <w:t>响应文件提交</w:t>
      </w:r>
      <w:r>
        <w:rPr>
          <w:rFonts w:hint="eastAsia" w:ascii="宋体" w:hAnsi="宋体" w:cs="宋体"/>
          <w:sz w:val="24"/>
        </w:rPr>
        <w:t>截止时间止，供应商少于3个的；</w:t>
      </w:r>
    </w:p>
    <w:p w14:paraId="51668FF4">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（2）符合专业条件的</w:t>
      </w:r>
      <w:r>
        <w:rPr>
          <w:rFonts w:hint="eastAsia" w:ascii="宋体" w:hAnsi="宋体" w:cs="宋体"/>
          <w:sz w:val="24"/>
          <w:lang w:eastAsia="zh-CN"/>
        </w:rPr>
        <w:t>供应商</w:t>
      </w:r>
      <w:r>
        <w:rPr>
          <w:rFonts w:hint="eastAsia" w:ascii="宋体" w:hAnsi="宋体" w:cs="宋体"/>
          <w:sz w:val="24"/>
        </w:rPr>
        <w:t>或对磋商文件做实质性响应的</w:t>
      </w:r>
      <w:r>
        <w:rPr>
          <w:rFonts w:hint="eastAsia" w:ascii="宋体" w:hAnsi="宋体" w:cs="宋体"/>
          <w:sz w:val="24"/>
          <w:lang w:eastAsia="zh-CN"/>
        </w:rPr>
        <w:t>供应商</w:t>
      </w:r>
      <w:r>
        <w:rPr>
          <w:rFonts w:hint="eastAsia" w:ascii="宋体" w:hAnsi="宋体" w:cs="宋体"/>
          <w:sz w:val="24"/>
        </w:rPr>
        <w:t>不足3家的；</w:t>
      </w:r>
    </w:p>
    <w:p w14:paraId="013D0D52">
      <w:pPr>
        <w:tabs>
          <w:tab w:val="left" w:pos="702"/>
        </w:tabs>
        <w:adjustRightInd w:val="0"/>
        <w:snapToGrid w:val="0"/>
        <w:spacing w:line="440" w:lineRule="exact"/>
        <w:ind w:firstLine="480" w:firstLineChars="200"/>
        <w:jc w:val="left"/>
        <w:rPr>
          <w:rFonts w:ascii="宋体" w:hAnsi="宋体" w:cs="宋体"/>
          <w:sz w:val="24"/>
        </w:rPr>
      </w:pPr>
      <w:r>
        <w:rPr>
          <w:rFonts w:hint="eastAsia" w:ascii="宋体" w:hAnsi="宋体" w:cs="宋体"/>
          <w:sz w:val="24"/>
        </w:rPr>
        <w:t>（3）出现影响采购公正的违法、违规行为的；</w:t>
      </w:r>
    </w:p>
    <w:p w14:paraId="60EDDEA2">
      <w:pPr>
        <w:tabs>
          <w:tab w:val="left" w:pos="657"/>
        </w:tabs>
        <w:adjustRightInd w:val="0"/>
        <w:snapToGrid w:val="0"/>
        <w:spacing w:line="440" w:lineRule="exact"/>
        <w:ind w:firstLine="480" w:firstLineChars="200"/>
        <w:jc w:val="left"/>
        <w:rPr>
          <w:rFonts w:ascii="宋体" w:hAnsi="宋体" w:cs="宋体"/>
          <w:sz w:val="24"/>
        </w:rPr>
      </w:pPr>
      <w:r>
        <w:rPr>
          <w:rFonts w:hint="eastAsia" w:ascii="宋体" w:hAnsi="宋体" w:cs="宋体"/>
          <w:sz w:val="24"/>
        </w:rPr>
        <w:t>（4）供应商的报价均超过了采购预算，采购人不能支付的。</w:t>
      </w:r>
    </w:p>
    <w:p w14:paraId="507F4B1C">
      <w:pPr>
        <w:spacing w:line="360" w:lineRule="auto"/>
        <w:rPr>
          <w:rFonts w:hint="eastAsia" w:ascii="宋体" w:hAnsi="宋体" w:eastAsia="宋体" w:cs="宋体"/>
          <w:b/>
          <w:sz w:val="24"/>
          <w:lang w:eastAsia="zh-CN"/>
        </w:rPr>
      </w:pPr>
      <w:r>
        <w:rPr>
          <w:rFonts w:hint="eastAsia" w:ascii="宋体" w:hAnsi="宋体" w:cs="宋体"/>
          <w:b/>
          <w:bCs/>
          <w:sz w:val="24"/>
        </w:rPr>
        <w:t>26.</w:t>
      </w:r>
      <w:r>
        <w:rPr>
          <w:rFonts w:hint="eastAsia" w:ascii="宋体" w:hAnsi="宋体" w:cs="宋体"/>
          <w:b/>
          <w:bCs/>
          <w:sz w:val="24"/>
          <w:lang w:eastAsia="zh-CN"/>
        </w:rPr>
        <w:t>终止采购</w:t>
      </w:r>
    </w:p>
    <w:p w14:paraId="50B6D269">
      <w:pPr>
        <w:spacing w:line="480" w:lineRule="auto"/>
        <w:ind w:firstLine="480" w:firstLineChars="200"/>
        <w:rPr>
          <w:rFonts w:ascii="宋体" w:hAnsi="宋体" w:cs="宋体"/>
          <w:sz w:val="24"/>
        </w:rPr>
      </w:pPr>
      <w:r>
        <w:rPr>
          <w:rFonts w:hint="eastAsia" w:ascii="宋体" w:hAnsi="宋体" w:cs="宋体"/>
          <w:sz w:val="24"/>
        </w:rPr>
        <w:t>26.1 因重大变故，采购任务取消的</w:t>
      </w:r>
      <w:r>
        <w:rPr>
          <w:rFonts w:hint="eastAsia" w:ascii="宋体" w:hAnsi="宋体" w:cs="宋体"/>
          <w:sz w:val="24"/>
          <w:lang w:eastAsia="zh-CN"/>
        </w:rPr>
        <w:t>应终止采购</w:t>
      </w:r>
      <w:r>
        <w:rPr>
          <w:rFonts w:hint="eastAsia" w:ascii="宋体" w:hAnsi="宋体" w:cs="宋体"/>
          <w:sz w:val="24"/>
        </w:rPr>
        <w:t>。</w:t>
      </w:r>
    </w:p>
    <w:p w14:paraId="1FDF0204">
      <w:pPr>
        <w:pStyle w:val="8"/>
      </w:pPr>
    </w:p>
    <w:p w14:paraId="5A044DF9">
      <w:pPr>
        <w:snapToGrid w:val="0"/>
        <w:spacing w:line="480" w:lineRule="auto"/>
        <w:ind w:firstLine="1687" w:firstLineChars="600"/>
        <w:rPr>
          <w:rFonts w:ascii="宋体" w:hAnsi="宋体" w:cs="宋体"/>
          <w:b/>
          <w:sz w:val="28"/>
          <w:szCs w:val="28"/>
        </w:rPr>
      </w:pPr>
      <w:bookmarkStart w:id="77" w:name="_Toc235473933"/>
      <w:bookmarkStart w:id="78" w:name="_Toc304967952"/>
      <w:bookmarkStart w:id="79" w:name="_Toc244074264"/>
      <w:bookmarkStart w:id="80" w:name="_Toc248824928"/>
      <w:bookmarkStart w:id="81" w:name="_Toc304458160"/>
      <w:bookmarkStart w:id="82" w:name="_Toc31466"/>
      <w:r>
        <w:rPr>
          <w:rFonts w:hint="eastAsia" w:ascii="宋体" w:hAnsi="宋体" w:cs="宋体"/>
          <w:b/>
          <w:sz w:val="28"/>
          <w:szCs w:val="28"/>
        </w:rPr>
        <w:t xml:space="preserve"> 八、纪律要求、投诉、监督、质疑、处罚</w:t>
      </w:r>
      <w:bookmarkEnd w:id="77"/>
      <w:bookmarkEnd w:id="78"/>
      <w:bookmarkEnd w:id="79"/>
      <w:bookmarkEnd w:id="80"/>
      <w:bookmarkEnd w:id="81"/>
      <w:bookmarkEnd w:id="82"/>
    </w:p>
    <w:p w14:paraId="285C66FC">
      <w:pPr>
        <w:adjustRightInd w:val="0"/>
        <w:snapToGrid w:val="0"/>
        <w:spacing w:line="360" w:lineRule="auto"/>
        <w:jc w:val="left"/>
        <w:rPr>
          <w:rFonts w:ascii="宋体" w:hAnsi="宋体" w:cs="宋体"/>
          <w:b/>
          <w:bCs/>
          <w:sz w:val="24"/>
        </w:rPr>
      </w:pPr>
      <w:r>
        <w:rPr>
          <w:rFonts w:hint="eastAsia" w:ascii="宋体" w:hAnsi="宋体" w:cs="宋体"/>
          <w:b/>
          <w:bCs/>
          <w:sz w:val="24"/>
        </w:rPr>
        <w:t>27.对采购人的纪律要求</w:t>
      </w:r>
    </w:p>
    <w:p w14:paraId="68145CF9">
      <w:pPr>
        <w:spacing w:line="360" w:lineRule="auto"/>
        <w:ind w:firstLine="420"/>
        <w:rPr>
          <w:rFonts w:ascii="宋体" w:hAnsi="宋体" w:cs="宋体"/>
        </w:rPr>
      </w:pPr>
      <w:r>
        <w:rPr>
          <w:rFonts w:hint="eastAsia" w:ascii="宋体" w:hAnsi="宋体" w:cs="宋体"/>
          <w:sz w:val="24"/>
        </w:rPr>
        <w:t>采购人</w:t>
      </w:r>
      <w:r>
        <w:rPr>
          <w:rFonts w:hint="eastAsia" w:ascii="宋体" w:hAnsi="宋体" w:cs="宋体"/>
          <w:sz w:val="24"/>
          <w:lang w:eastAsia="zh-CN"/>
        </w:rPr>
        <w:t>不得泄露采购</w:t>
      </w:r>
      <w:r>
        <w:rPr>
          <w:rFonts w:hint="eastAsia" w:ascii="宋体" w:hAnsi="宋体" w:cs="宋体"/>
          <w:sz w:val="24"/>
        </w:rPr>
        <w:t>活动中应当保密的情况和资料，不得与供应商串通损害国家利益、社会公共利益或者他人合法权益。</w:t>
      </w:r>
    </w:p>
    <w:p w14:paraId="41517140">
      <w:pPr>
        <w:adjustRightInd w:val="0"/>
        <w:snapToGrid w:val="0"/>
        <w:spacing w:line="360" w:lineRule="auto"/>
        <w:jc w:val="left"/>
        <w:rPr>
          <w:rFonts w:ascii="宋体" w:hAnsi="宋体" w:cs="宋体"/>
          <w:b/>
          <w:bCs/>
          <w:sz w:val="24"/>
        </w:rPr>
      </w:pPr>
      <w:r>
        <w:rPr>
          <w:rFonts w:hint="eastAsia" w:ascii="宋体" w:hAnsi="宋体" w:cs="宋体"/>
          <w:b/>
          <w:bCs/>
          <w:sz w:val="24"/>
        </w:rPr>
        <w:t>28.对供应商的纪律要求</w:t>
      </w:r>
    </w:p>
    <w:p w14:paraId="77024566">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供应商不得相互串通投标或者与采购人串通投标，不得向采购人或者磋商小组成员行贿谋取</w:t>
      </w:r>
      <w:r>
        <w:rPr>
          <w:rFonts w:hint="eastAsia" w:ascii="宋体" w:hAnsi="宋体" w:cs="宋体"/>
          <w:sz w:val="24"/>
          <w:lang w:eastAsia="zh-CN"/>
        </w:rPr>
        <w:t>成交</w:t>
      </w:r>
      <w:r>
        <w:rPr>
          <w:rFonts w:hint="eastAsia" w:ascii="宋体" w:hAnsi="宋体" w:cs="宋体"/>
          <w:sz w:val="24"/>
        </w:rPr>
        <w:t>，不得以他人名义投标或者以其他方式弄虚作假骗取</w:t>
      </w:r>
      <w:r>
        <w:rPr>
          <w:rFonts w:hint="eastAsia" w:ascii="宋体" w:hAnsi="宋体" w:cs="宋体"/>
          <w:sz w:val="24"/>
          <w:lang w:eastAsia="zh-CN"/>
        </w:rPr>
        <w:t>成交</w:t>
      </w:r>
      <w:r>
        <w:rPr>
          <w:rFonts w:hint="eastAsia" w:ascii="宋体" w:hAnsi="宋体" w:cs="宋体"/>
          <w:sz w:val="24"/>
        </w:rPr>
        <w:t>；供应商不得以任何方式干扰、影响</w:t>
      </w:r>
      <w:r>
        <w:rPr>
          <w:rFonts w:hint="eastAsia" w:ascii="宋体" w:hAnsi="宋体" w:cs="宋体"/>
          <w:sz w:val="24"/>
          <w:lang w:eastAsia="zh-CN"/>
        </w:rPr>
        <w:t>评审</w:t>
      </w:r>
      <w:r>
        <w:rPr>
          <w:rFonts w:hint="eastAsia" w:ascii="宋体" w:hAnsi="宋体" w:cs="宋体"/>
          <w:sz w:val="24"/>
        </w:rPr>
        <w:t>工作。</w:t>
      </w:r>
    </w:p>
    <w:p w14:paraId="57C49D24">
      <w:pPr>
        <w:adjustRightInd w:val="0"/>
        <w:snapToGrid w:val="0"/>
        <w:spacing w:line="360" w:lineRule="auto"/>
        <w:jc w:val="left"/>
        <w:rPr>
          <w:rFonts w:ascii="宋体" w:hAnsi="宋体" w:cs="宋体"/>
          <w:b/>
          <w:bCs/>
          <w:sz w:val="24"/>
        </w:rPr>
      </w:pPr>
      <w:r>
        <w:rPr>
          <w:rFonts w:hint="eastAsia" w:ascii="宋体" w:hAnsi="宋体" w:cs="宋体"/>
          <w:b/>
          <w:bCs/>
          <w:sz w:val="24"/>
        </w:rPr>
        <w:t>29.对磋商小组成员的纪律要求</w:t>
      </w:r>
    </w:p>
    <w:p w14:paraId="371D1861">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磋商小组成员不得收受他人的财物或者其他好处，不得向他人</w:t>
      </w:r>
      <w:r>
        <w:rPr>
          <w:rFonts w:hint="eastAsia" w:ascii="宋体" w:hAnsi="宋体" w:cs="宋体"/>
          <w:sz w:val="24"/>
          <w:lang w:eastAsia="zh-CN"/>
        </w:rPr>
        <w:t>透露</w:t>
      </w:r>
      <w:r>
        <w:rPr>
          <w:rFonts w:hint="eastAsia" w:ascii="宋体" w:hAnsi="宋体" w:cs="宋体"/>
          <w:sz w:val="24"/>
        </w:rPr>
        <w:t>对响应文件的评审和比较、成交候选供应商的推荐情况以及</w:t>
      </w:r>
      <w:r>
        <w:rPr>
          <w:rFonts w:hint="eastAsia" w:ascii="宋体" w:hAnsi="宋体" w:cs="宋体"/>
          <w:sz w:val="24"/>
          <w:lang w:eastAsia="zh-CN"/>
        </w:rPr>
        <w:t>评审</w:t>
      </w:r>
      <w:r>
        <w:rPr>
          <w:rFonts w:hint="eastAsia" w:ascii="宋体" w:hAnsi="宋体" w:cs="宋体"/>
          <w:sz w:val="24"/>
        </w:rPr>
        <w:t>有关的其他情况。在</w:t>
      </w:r>
      <w:r>
        <w:rPr>
          <w:rFonts w:hint="eastAsia" w:ascii="宋体" w:hAnsi="宋体" w:cs="宋体"/>
          <w:sz w:val="24"/>
          <w:lang w:eastAsia="zh-CN"/>
        </w:rPr>
        <w:t>评审</w:t>
      </w:r>
      <w:r>
        <w:rPr>
          <w:rFonts w:hint="eastAsia" w:ascii="宋体" w:hAnsi="宋体" w:cs="宋体"/>
          <w:sz w:val="24"/>
        </w:rPr>
        <w:t>活动中，磋商小组成员不得擅离职守，影响</w:t>
      </w:r>
      <w:r>
        <w:rPr>
          <w:rFonts w:hint="eastAsia" w:ascii="宋体" w:hAnsi="宋体" w:cs="宋体"/>
          <w:sz w:val="24"/>
          <w:lang w:eastAsia="zh-CN"/>
        </w:rPr>
        <w:t>评审</w:t>
      </w:r>
      <w:r>
        <w:rPr>
          <w:rFonts w:hint="eastAsia" w:ascii="宋体" w:hAnsi="宋体" w:cs="宋体"/>
          <w:sz w:val="24"/>
        </w:rPr>
        <w:t>程序正常进行，不得使用第三章“</w:t>
      </w:r>
      <w:r>
        <w:rPr>
          <w:rFonts w:hint="eastAsia" w:ascii="宋体" w:hAnsi="宋体" w:cs="宋体"/>
          <w:sz w:val="24"/>
          <w:lang w:eastAsia="zh-CN"/>
        </w:rPr>
        <w:t>评审</w:t>
      </w:r>
      <w:r>
        <w:rPr>
          <w:rFonts w:hint="eastAsia" w:ascii="宋体" w:hAnsi="宋体" w:cs="宋体"/>
          <w:sz w:val="24"/>
        </w:rPr>
        <w:t>办法”没有规定的评审因素和标准进行</w:t>
      </w:r>
      <w:r>
        <w:rPr>
          <w:rFonts w:hint="eastAsia" w:ascii="宋体" w:hAnsi="宋体" w:cs="宋体"/>
          <w:sz w:val="24"/>
          <w:lang w:eastAsia="zh-CN"/>
        </w:rPr>
        <w:t>评审</w:t>
      </w:r>
      <w:r>
        <w:rPr>
          <w:rFonts w:hint="eastAsia" w:ascii="宋体" w:hAnsi="宋体" w:cs="宋体"/>
          <w:sz w:val="24"/>
        </w:rPr>
        <w:t>。</w:t>
      </w:r>
    </w:p>
    <w:p w14:paraId="7847032A">
      <w:pPr>
        <w:adjustRightInd w:val="0"/>
        <w:snapToGrid w:val="0"/>
        <w:spacing w:line="360" w:lineRule="auto"/>
        <w:jc w:val="left"/>
        <w:rPr>
          <w:rFonts w:ascii="宋体" w:hAnsi="宋体" w:cs="宋体"/>
          <w:b/>
          <w:bCs/>
          <w:sz w:val="24"/>
        </w:rPr>
      </w:pPr>
      <w:r>
        <w:rPr>
          <w:rFonts w:hint="eastAsia" w:ascii="宋体" w:hAnsi="宋体" w:cs="宋体"/>
          <w:b/>
          <w:bCs/>
          <w:sz w:val="24"/>
        </w:rPr>
        <w:t>30.对与</w:t>
      </w:r>
      <w:r>
        <w:rPr>
          <w:rFonts w:hint="eastAsia" w:ascii="宋体" w:hAnsi="宋体" w:cs="宋体"/>
          <w:b/>
          <w:bCs/>
          <w:sz w:val="24"/>
          <w:lang w:eastAsia="zh-CN"/>
        </w:rPr>
        <w:t>评审</w:t>
      </w:r>
      <w:r>
        <w:rPr>
          <w:rFonts w:hint="eastAsia" w:ascii="宋体" w:hAnsi="宋体" w:cs="宋体"/>
          <w:b/>
          <w:bCs/>
          <w:sz w:val="24"/>
        </w:rPr>
        <w:t>活动有关的工作人员的纪律要求</w:t>
      </w:r>
    </w:p>
    <w:p w14:paraId="566AF5A5">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与</w:t>
      </w:r>
      <w:r>
        <w:rPr>
          <w:rFonts w:hint="eastAsia" w:ascii="宋体" w:hAnsi="宋体" w:cs="宋体"/>
          <w:sz w:val="24"/>
          <w:lang w:eastAsia="zh-CN"/>
        </w:rPr>
        <w:t>评审</w:t>
      </w:r>
      <w:r>
        <w:rPr>
          <w:rFonts w:hint="eastAsia" w:ascii="宋体" w:hAnsi="宋体" w:cs="宋体"/>
          <w:sz w:val="24"/>
        </w:rPr>
        <w:t>活动有关的工作人员不得收受他人的财物或者其他好处，不得向他人</w:t>
      </w:r>
      <w:r>
        <w:rPr>
          <w:rFonts w:hint="eastAsia" w:ascii="宋体" w:hAnsi="宋体" w:cs="宋体"/>
          <w:sz w:val="24"/>
          <w:lang w:eastAsia="zh-CN"/>
        </w:rPr>
        <w:t>透露</w:t>
      </w:r>
      <w:r>
        <w:rPr>
          <w:rFonts w:hint="eastAsia" w:ascii="宋体" w:hAnsi="宋体" w:cs="宋体"/>
          <w:sz w:val="24"/>
        </w:rPr>
        <w:t>对响应文件的评审和比较、成交候选供应商的推荐情况以及</w:t>
      </w:r>
      <w:r>
        <w:rPr>
          <w:rFonts w:hint="eastAsia" w:ascii="宋体" w:hAnsi="宋体" w:cs="宋体"/>
          <w:sz w:val="24"/>
          <w:lang w:eastAsia="zh-CN"/>
        </w:rPr>
        <w:t>评审</w:t>
      </w:r>
      <w:r>
        <w:rPr>
          <w:rFonts w:hint="eastAsia" w:ascii="宋体" w:hAnsi="宋体" w:cs="宋体"/>
          <w:sz w:val="24"/>
        </w:rPr>
        <w:t>有关的其他情况。在</w:t>
      </w:r>
      <w:r>
        <w:rPr>
          <w:rFonts w:hint="eastAsia" w:ascii="宋体" w:hAnsi="宋体" w:cs="宋体"/>
          <w:sz w:val="24"/>
          <w:lang w:eastAsia="zh-CN"/>
        </w:rPr>
        <w:t>评审</w:t>
      </w:r>
      <w:r>
        <w:rPr>
          <w:rFonts w:hint="eastAsia" w:ascii="宋体" w:hAnsi="宋体" w:cs="宋体"/>
          <w:sz w:val="24"/>
        </w:rPr>
        <w:t>活动中，与</w:t>
      </w:r>
      <w:r>
        <w:rPr>
          <w:rFonts w:hint="eastAsia" w:ascii="宋体" w:hAnsi="宋体" w:cs="宋体"/>
          <w:sz w:val="24"/>
          <w:lang w:eastAsia="zh-CN"/>
        </w:rPr>
        <w:t>评审</w:t>
      </w:r>
      <w:r>
        <w:rPr>
          <w:rFonts w:hint="eastAsia" w:ascii="宋体" w:hAnsi="宋体" w:cs="宋体"/>
          <w:sz w:val="24"/>
        </w:rPr>
        <w:t>活动有关的工作人员不得擅离职守，影响</w:t>
      </w:r>
      <w:r>
        <w:rPr>
          <w:rFonts w:hint="eastAsia" w:ascii="宋体" w:hAnsi="宋体" w:cs="宋体"/>
          <w:sz w:val="24"/>
          <w:lang w:eastAsia="zh-CN"/>
        </w:rPr>
        <w:t>评审</w:t>
      </w:r>
      <w:r>
        <w:rPr>
          <w:rFonts w:hint="eastAsia" w:ascii="宋体" w:hAnsi="宋体" w:cs="宋体"/>
          <w:sz w:val="24"/>
        </w:rPr>
        <w:t>程序正常进行。</w:t>
      </w:r>
    </w:p>
    <w:p w14:paraId="388CD8A2">
      <w:pPr>
        <w:adjustRightInd w:val="0"/>
        <w:snapToGrid w:val="0"/>
        <w:spacing w:line="360" w:lineRule="auto"/>
        <w:jc w:val="left"/>
        <w:rPr>
          <w:rFonts w:ascii="宋体" w:hAnsi="宋体" w:cs="宋体"/>
          <w:b/>
          <w:bCs/>
          <w:sz w:val="24"/>
          <w:highlight w:val="none"/>
        </w:rPr>
      </w:pPr>
      <w:r>
        <w:rPr>
          <w:rFonts w:hint="eastAsia" w:ascii="宋体" w:hAnsi="宋体" w:cs="宋体"/>
          <w:b/>
          <w:bCs/>
          <w:sz w:val="24"/>
        </w:rPr>
        <w:t>31</w:t>
      </w:r>
      <w:r>
        <w:rPr>
          <w:rFonts w:hint="eastAsia" w:ascii="宋体" w:hAnsi="宋体" w:cs="宋体"/>
          <w:b/>
          <w:bCs/>
          <w:sz w:val="24"/>
          <w:highlight w:val="none"/>
        </w:rPr>
        <w:t>.质疑与投诉</w:t>
      </w:r>
    </w:p>
    <w:p w14:paraId="3A3BDC38">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31.1 供应商认为竞争性磋商文件、采购过程、成交结果使自己的权益受到损害的，可以在知道或者应知其权益受到损害之日起七个工作日内</w:t>
      </w:r>
      <w:r>
        <w:rPr>
          <w:rFonts w:hint="eastAsia" w:ascii="宋体" w:hAnsi="宋体" w:cs="宋体"/>
          <w:sz w:val="24"/>
          <w:highlight w:val="none"/>
          <w:lang w:eastAsia="zh-CN"/>
        </w:rPr>
        <w:t>，</w:t>
      </w:r>
      <w:r>
        <w:rPr>
          <w:rFonts w:hint="eastAsia" w:ascii="宋体" w:hAnsi="宋体" w:cs="宋体"/>
          <w:sz w:val="24"/>
          <w:highlight w:val="none"/>
          <w:lang w:val="en-US" w:eastAsia="zh-CN"/>
        </w:rPr>
        <w:t>以书面形式</w:t>
      </w:r>
      <w:r>
        <w:rPr>
          <w:rFonts w:hint="eastAsia" w:ascii="宋体" w:hAnsi="宋体" w:cs="宋体"/>
          <w:sz w:val="24"/>
          <w:highlight w:val="none"/>
        </w:rPr>
        <w:t>向采购人、代理机构提出质疑</w:t>
      </w:r>
      <w:r>
        <w:rPr>
          <w:rFonts w:hint="eastAsia" w:ascii="宋体" w:hAnsi="宋体" w:cs="宋体"/>
          <w:sz w:val="24"/>
          <w:highlight w:val="none"/>
          <w:lang w:eastAsia="zh-CN"/>
        </w:rPr>
        <w:t>；</w:t>
      </w:r>
      <w:r>
        <w:rPr>
          <w:rFonts w:hint="eastAsia" w:ascii="宋体" w:hAnsi="宋体" w:cs="宋体"/>
          <w:sz w:val="24"/>
          <w:highlight w:val="none"/>
        </w:rPr>
        <w:t>如对采购人、采购代理机构的答复不满意或者采购人、采购代理机构未在规定的时间内作出答复的</w:t>
      </w:r>
      <w:r>
        <w:rPr>
          <w:rFonts w:hint="eastAsia" w:ascii="宋体" w:hAnsi="宋体" w:cs="宋体"/>
          <w:sz w:val="24"/>
          <w:highlight w:val="none"/>
          <w:lang w:eastAsia="zh-CN"/>
        </w:rPr>
        <w:t>，</w:t>
      </w:r>
      <w:r>
        <w:rPr>
          <w:rFonts w:hint="eastAsia" w:ascii="宋体" w:hAnsi="宋体" w:cs="宋体"/>
          <w:sz w:val="24"/>
          <w:highlight w:val="none"/>
        </w:rPr>
        <w:t>供应商可以在答复期满后15个工作日内向相关监督部门提起书面投诉。</w:t>
      </w:r>
      <w:r>
        <w:rPr>
          <w:rFonts w:hint="eastAsia" w:ascii="宋体" w:hAnsi="宋体" w:cs="宋体"/>
          <w:sz w:val="24"/>
          <w:highlight w:val="none"/>
          <w:lang w:eastAsia="zh-CN"/>
        </w:rPr>
        <w:t>（</w:t>
      </w:r>
      <w:r>
        <w:rPr>
          <w:rFonts w:hint="eastAsia" w:ascii="宋体" w:hAnsi="宋体" w:cs="宋体"/>
          <w:sz w:val="24"/>
          <w:highlight w:val="none"/>
        </w:rPr>
        <w:t>具体程序按《政府采购质疑和投诉办法》文件执行）</w:t>
      </w:r>
    </w:p>
    <w:p w14:paraId="3529838C">
      <w:pPr>
        <w:adjustRightInd w:val="0"/>
        <w:snapToGrid w:val="0"/>
        <w:spacing w:line="360" w:lineRule="auto"/>
        <w:ind w:firstLine="480" w:firstLineChars="200"/>
        <w:jc w:val="left"/>
        <w:rPr>
          <w:rFonts w:ascii="宋体" w:hAnsi="宋体" w:cs="宋体"/>
          <w:bCs/>
          <w:highlight w:val="none"/>
        </w:rPr>
      </w:pPr>
      <w:r>
        <w:rPr>
          <w:rFonts w:hint="eastAsia" w:ascii="宋体" w:hAnsi="宋体" w:cs="宋体"/>
          <w:sz w:val="24"/>
          <w:highlight w:val="none"/>
        </w:rPr>
        <w:t>31.2 供应商的质疑和投诉必须以实名书面形式按竞争性磋商文件及有关规定的程序递交，质疑和投诉的内容必须有充分的事实和法律依据，否则采购单位或有关行政监督部门有</w:t>
      </w:r>
      <w:r>
        <w:rPr>
          <w:rFonts w:hint="eastAsia" w:ascii="宋体" w:hAnsi="宋体" w:cs="宋体"/>
          <w:sz w:val="24"/>
          <w:highlight w:val="none"/>
          <w:lang w:eastAsia="zh-CN"/>
        </w:rPr>
        <w:t>权</w:t>
      </w:r>
      <w:r>
        <w:rPr>
          <w:rFonts w:hint="eastAsia" w:ascii="宋体" w:hAnsi="宋体" w:cs="宋体"/>
          <w:sz w:val="24"/>
          <w:highlight w:val="none"/>
        </w:rPr>
        <w:t xml:space="preserve">拒绝受理；对于歪曲事实或采用不正当手段恶意质疑和投诉的供应商，有关行政监督部门将依法予以处罚，并记入不良记录。      </w:t>
      </w:r>
      <w:r>
        <w:rPr>
          <w:rFonts w:hint="eastAsia" w:ascii="宋体" w:hAnsi="宋体" w:cs="宋体"/>
          <w:bCs/>
          <w:highlight w:val="none"/>
        </w:rPr>
        <w:t xml:space="preserve"> </w:t>
      </w:r>
    </w:p>
    <w:p w14:paraId="5E7B5CEA">
      <w:pPr>
        <w:adjustRightInd w:val="0"/>
        <w:snapToGrid w:val="0"/>
        <w:spacing w:line="360" w:lineRule="auto"/>
        <w:jc w:val="left"/>
        <w:rPr>
          <w:rFonts w:ascii="宋体" w:hAnsi="宋体" w:cs="宋体"/>
          <w:b/>
          <w:bCs/>
          <w:sz w:val="24"/>
        </w:rPr>
      </w:pPr>
      <w:r>
        <w:rPr>
          <w:rFonts w:hint="eastAsia" w:ascii="宋体" w:hAnsi="宋体" w:cs="宋体"/>
          <w:b/>
          <w:bCs/>
          <w:sz w:val="24"/>
        </w:rPr>
        <w:t xml:space="preserve"> 32.处罚</w:t>
      </w:r>
    </w:p>
    <w:p w14:paraId="242812BE">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本次</w:t>
      </w:r>
      <w:r>
        <w:rPr>
          <w:rFonts w:hint="eastAsia" w:ascii="宋体" w:hAnsi="宋体" w:cs="宋体"/>
          <w:sz w:val="24"/>
          <w:lang w:eastAsia="zh-CN"/>
        </w:rPr>
        <w:t>采购</w:t>
      </w:r>
      <w:r>
        <w:rPr>
          <w:rFonts w:hint="eastAsia" w:ascii="宋体" w:hAnsi="宋体" w:cs="宋体"/>
          <w:sz w:val="24"/>
        </w:rPr>
        <w:t>的采购人、供应商、磋商小组成员及相关人员等参与</w:t>
      </w:r>
      <w:r>
        <w:rPr>
          <w:rFonts w:hint="eastAsia" w:ascii="宋体" w:hAnsi="宋体" w:cs="宋体"/>
          <w:sz w:val="24"/>
          <w:lang w:eastAsia="zh-CN"/>
        </w:rPr>
        <w:t>采购</w:t>
      </w:r>
      <w:r>
        <w:rPr>
          <w:rFonts w:hint="eastAsia" w:ascii="宋体" w:hAnsi="宋体" w:cs="宋体"/>
          <w:sz w:val="24"/>
        </w:rPr>
        <w:t>活动的各单位及个人，均应在</w:t>
      </w:r>
      <w:r>
        <w:rPr>
          <w:rFonts w:hint="eastAsia" w:ascii="宋体" w:hAnsi="宋体" w:cs="宋体"/>
          <w:sz w:val="24"/>
          <w:lang w:eastAsia="zh-CN"/>
        </w:rPr>
        <w:t>采购</w:t>
      </w:r>
      <w:r>
        <w:rPr>
          <w:rFonts w:hint="eastAsia" w:ascii="宋体" w:hAnsi="宋体" w:cs="宋体"/>
          <w:sz w:val="24"/>
        </w:rPr>
        <w:t>、</w:t>
      </w:r>
      <w:r>
        <w:rPr>
          <w:rFonts w:hint="eastAsia" w:ascii="宋体" w:hAnsi="宋体" w:cs="宋体"/>
          <w:sz w:val="24"/>
          <w:lang w:eastAsia="zh-CN"/>
        </w:rPr>
        <w:t>响应采购</w:t>
      </w:r>
      <w:r>
        <w:rPr>
          <w:rFonts w:hint="eastAsia" w:ascii="宋体" w:hAnsi="宋体" w:cs="宋体"/>
          <w:sz w:val="24"/>
        </w:rPr>
        <w:t>、合同执行等过程中保持廉洁并遵守职业道德；如不遵守国家相关法律和规定，</w:t>
      </w:r>
      <w:r>
        <w:rPr>
          <w:rFonts w:hint="eastAsia" w:ascii="宋体" w:hAnsi="宋体" w:cs="宋体"/>
          <w:sz w:val="24"/>
          <w:lang w:eastAsia="zh-CN"/>
        </w:rPr>
        <w:t>或</w:t>
      </w:r>
      <w:r>
        <w:rPr>
          <w:rFonts w:hint="eastAsia" w:ascii="宋体" w:hAnsi="宋体" w:cs="宋体"/>
          <w:sz w:val="24"/>
        </w:rPr>
        <w:t>有腐败、欺诈行为，将按国家有关规定予以处罚。</w:t>
      </w:r>
    </w:p>
    <w:p w14:paraId="58E1D523">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因供应商在</w:t>
      </w:r>
      <w:r>
        <w:rPr>
          <w:rFonts w:hint="eastAsia" w:ascii="宋体" w:hAnsi="宋体" w:cs="宋体"/>
          <w:sz w:val="24"/>
          <w:lang w:eastAsia="zh-CN"/>
        </w:rPr>
        <w:t>响应采购活动</w:t>
      </w:r>
      <w:r>
        <w:rPr>
          <w:rFonts w:hint="eastAsia" w:ascii="宋体" w:hAnsi="宋体" w:cs="宋体"/>
          <w:sz w:val="24"/>
        </w:rPr>
        <w:t>过程中串标、围标或采用其他违法行为获取</w:t>
      </w:r>
      <w:r>
        <w:rPr>
          <w:rFonts w:hint="eastAsia" w:ascii="宋体" w:hAnsi="宋体" w:cs="宋体"/>
          <w:sz w:val="24"/>
          <w:lang w:eastAsia="zh-CN"/>
        </w:rPr>
        <w:t>成交</w:t>
      </w:r>
      <w:r>
        <w:rPr>
          <w:rFonts w:hint="eastAsia" w:ascii="宋体" w:hAnsi="宋体" w:cs="宋体"/>
          <w:sz w:val="24"/>
        </w:rPr>
        <w:t>的，一旦被有关单位发现，采购人有权单方解除合同，同时供应商应赔偿由此给采购人所带来的一切损失。</w:t>
      </w:r>
      <w:bookmarkStart w:id="83" w:name="_Toc235473934"/>
      <w:bookmarkStart w:id="84" w:name="_Toc304967953"/>
      <w:bookmarkStart w:id="85" w:name="_Toc28337"/>
      <w:bookmarkStart w:id="86" w:name="_Toc248824929"/>
      <w:bookmarkStart w:id="87" w:name="_Toc244074265"/>
      <w:bookmarkStart w:id="88" w:name="_Toc304458161"/>
    </w:p>
    <w:p w14:paraId="361E2D61">
      <w:pPr>
        <w:snapToGrid w:val="0"/>
        <w:spacing w:line="360" w:lineRule="auto"/>
        <w:ind w:firstLine="3614" w:firstLineChars="1500"/>
        <w:rPr>
          <w:rFonts w:ascii="宋体" w:hAnsi="宋体" w:cs="宋体"/>
          <w:sz w:val="24"/>
        </w:rPr>
      </w:pPr>
      <w:r>
        <w:rPr>
          <w:rFonts w:hint="eastAsia" w:ascii="宋体" w:hAnsi="宋体" w:cs="宋体"/>
          <w:b/>
          <w:sz w:val="24"/>
        </w:rPr>
        <w:t>九、其 他</w:t>
      </w:r>
    </w:p>
    <w:bookmarkEnd w:id="83"/>
    <w:bookmarkEnd w:id="84"/>
    <w:bookmarkEnd w:id="85"/>
    <w:bookmarkEnd w:id="86"/>
    <w:bookmarkEnd w:id="87"/>
    <w:bookmarkEnd w:id="88"/>
    <w:p w14:paraId="4222AC5D">
      <w:pPr>
        <w:adjustRightInd w:val="0"/>
        <w:snapToGrid w:val="0"/>
        <w:spacing w:line="360" w:lineRule="auto"/>
        <w:jc w:val="left"/>
        <w:rPr>
          <w:rFonts w:ascii="宋体" w:hAnsi="宋体" w:cs="宋体"/>
          <w:b/>
          <w:bCs/>
          <w:sz w:val="24"/>
        </w:rPr>
      </w:pPr>
      <w:r>
        <w:rPr>
          <w:rFonts w:hint="eastAsia" w:ascii="宋体" w:hAnsi="宋体" w:cs="宋体"/>
          <w:b/>
          <w:bCs/>
          <w:sz w:val="24"/>
        </w:rPr>
        <w:t>33.本磋商文件解释权属采购人所有。</w:t>
      </w:r>
    </w:p>
    <w:p w14:paraId="2CD4635D">
      <w:pPr>
        <w:pageBreakBefore w:val="0"/>
        <w:overflowPunct/>
        <w:topLinePunct w:val="0"/>
        <w:bidi w:val="0"/>
        <w:adjustRightInd/>
        <w:snapToGrid/>
        <w:spacing w:line="360" w:lineRule="auto"/>
        <w:ind w:left="210" w:leftChars="1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b/>
          <w:bCs/>
          <w:color w:val="auto"/>
          <w:sz w:val="28"/>
          <w:szCs w:val="28"/>
          <w:highlight w:val="none"/>
          <w:lang w:eastAsia="zh-CN"/>
        </w:rPr>
        <w:t>附件一：</w:t>
      </w:r>
      <w:r>
        <w:rPr>
          <w:rFonts w:hint="eastAsia" w:ascii="宋体" w:hAnsi="宋体" w:eastAsia="宋体" w:cs="宋体"/>
          <w:b/>
          <w:bCs/>
          <w:color w:val="auto"/>
          <w:sz w:val="28"/>
          <w:szCs w:val="28"/>
          <w:highlight w:val="none"/>
          <w:lang w:val="en-US" w:eastAsia="zh-CN"/>
        </w:rPr>
        <w:t>中小企业划型标准规定</w:t>
      </w:r>
    </w:p>
    <w:p w14:paraId="30C94533">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一、根据《中华人民共和国中小企业促进法》和《国务院关于进一步促进中小企业发展的若干意见》</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国发〔2009〕36号</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，制定本规定。</w:t>
      </w:r>
    </w:p>
    <w:p w14:paraId="0375A389">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二、中小企业划分为中型、小型、微型三种类型，具体标准根据企业从业人员、营业收入、资产总额等指标，结合行业特点制定。</w:t>
      </w:r>
    </w:p>
    <w:p w14:paraId="019DD82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B61B3B8">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四、各行业划型标准为：</w:t>
      </w:r>
    </w:p>
    <w:p w14:paraId="3A14E451">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（一）农、林、牧、渔业。营业收入20000万元以下的为中小微型企业。其中，营业收入500万元及以上的为中型企业，营业收入50万元及以上的为小型企业，营业收入50万元以下的为微型企业。</w:t>
      </w:r>
    </w:p>
    <w:p w14:paraId="60AE41BF">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2E1B3C8">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60CB9A">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ADA08FF">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B9583E3">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EEF6B2">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C1338B5">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0BFA656">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631D88">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BC40E5">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661423E">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AC1DB7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B8EA56E">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5B8E961">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A42206">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（十六）其他未列明行业。从业人员300人以下的为中小微型企业。其中，从业人员100人及以上的为中型企业；从业人员10人及以上的为小型企业；从业人员10人以下的为微型企业。</w:t>
      </w:r>
    </w:p>
    <w:p w14:paraId="0DF26886">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五、企业类型的划分以统计部门的统计数据为依据。</w:t>
      </w:r>
    </w:p>
    <w:p w14:paraId="7D46D3FD">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六、本规定适用于在中华人民共和国境内依法设立的各类所有制和各种组织形式的企业。个体工商户和本规定以外的行业，参照本规定进行划型。</w:t>
      </w:r>
    </w:p>
    <w:p w14:paraId="78ABD0C6">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5106DCBB">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八、本规定由工业和信息化部、国家统计局会同有关部门根据《国民经济行业分类》修订情况和企业发展变化情况适时修订。</w:t>
      </w:r>
    </w:p>
    <w:p w14:paraId="0A0D238C">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九、本规定由工业和信息化部、国家统计局会同有关部门负责解释。</w:t>
      </w:r>
    </w:p>
    <w:p w14:paraId="073657AF">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十、本规定自发布之日起执行，原国家经贸委、原国家计委、财政部和国家统计局2003年颁布的《中小企业标准暂行规定》同时废止。</w:t>
      </w:r>
    </w:p>
    <w:p w14:paraId="57286641">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58088A6A">
      <w:pPr>
        <w:pStyle w:val="3"/>
        <w:spacing w:line="440" w:lineRule="exact"/>
        <w:ind w:left="0" w:firstLine="2873" w:firstLineChars="795"/>
        <w:jc w:val="both"/>
        <w:rPr>
          <w:rFonts w:hint="eastAsia" w:ascii="宋体" w:hAnsi="宋体" w:eastAsia="宋体" w:cs="Times New Roman"/>
          <w:bCs/>
          <w:color w:val="auto"/>
          <w:sz w:val="36"/>
          <w:szCs w:val="36"/>
          <w:highlight w:val="none"/>
        </w:rPr>
      </w:pPr>
      <w:bookmarkStart w:id="89" w:name="_Toc26095"/>
      <w:r>
        <w:rPr>
          <w:rFonts w:hint="eastAsia" w:ascii="宋体" w:hAnsi="宋体" w:eastAsia="宋体" w:cs="Times New Roman"/>
          <w:bCs/>
          <w:color w:val="auto"/>
          <w:sz w:val="36"/>
          <w:szCs w:val="36"/>
          <w:highlight w:val="none"/>
        </w:rPr>
        <w:t xml:space="preserve">第三章  </w:t>
      </w:r>
      <w:r>
        <w:rPr>
          <w:rFonts w:hint="eastAsia" w:ascii="宋体" w:hAnsi="宋体" w:cs="Times New Roman"/>
          <w:bCs/>
          <w:color w:val="auto"/>
          <w:sz w:val="36"/>
          <w:szCs w:val="36"/>
          <w:highlight w:val="none"/>
          <w:lang w:eastAsia="zh-CN"/>
        </w:rPr>
        <w:t>评审</w:t>
      </w:r>
      <w:r>
        <w:rPr>
          <w:rFonts w:hint="eastAsia" w:ascii="宋体" w:hAnsi="宋体" w:eastAsia="宋体" w:cs="Times New Roman"/>
          <w:bCs/>
          <w:color w:val="auto"/>
          <w:sz w:val="36"/>
          <w:szCs w:val="36"/>
          <w:highlight w:val="none"/>
        </w:rPr>
        <w:t>办法</w:t>
      </w:r>
      <w:bookmarkEnd w:id="63"/>
      <w:bookmarkEnd w:id="89"/>
    </w:p>
    <w:p w14:paraId="352451C8">
      <w:pPr>
        <w:spacing w:after="0" w:line="360" w:lineRule="auto"/>
        <w:jc w:val="both"/>
        <w:rPr>
          <w:rFonts w:ascii="宋体"/>
          <w:b/>
          <w:color w:val="auto"/>
          <w:sz w:val="28"/>
          <w:szCs w:val="28"/>
          <w:highlight w:val="none"/>
        </w:rPr>
      </w:pPr>
      <w:bookmarkStart w:id="90" w:name="_Toc256145678"/>
      <w:bookmarkStart w:id="91" w:name="_Toc261618204"/>
      <w:bookmarkStart w:id="92" w:name="_Toc246996243"/>
      <w:bookmarkStart w:id="93" w:name="_Toc246996986"/>
      <w:bookmarkStart w:id="94" w:name="_Toc152042377"/>
      <w:bookmarkStart w:id="95" w:name="_Toc179632618"/>
      <w:bookmarkStart w:id="96" w:name="_Toc323387787"/>
      <w:bookmarkStart w:id="97" w:name="_Toc247085758"/>
      <w:bookmarkStart w:id="98" w:name="_Toc2790"/>
      <w:bookmarkStart w:id="99" w:name="_Toc152045600"/>
      <w:bookmarkStart w:id="100" w:name="_Toc144974567"/>
      <w:bookmarkStart w:id="101" w:name="_Toc248985521"/>
      <w:r>
        <w:rPr>
          <w:rFonts w:hint="eastAsia" w:ascii="宋体" w:hAnsi="宋体"/>
          <w:b/>
          <w:color w:val="auto"/>
          <w:sz w:val="28"/>
          <w:szCs w:val="28"/>
          <w:highlight w:val="none"/>
          <w:lang w:eastAsia="zh-CN"/>
        </w:rPr>
        <w:t>评审</w:t>
      </w:r>
      <w:r>
        <w:rPr>
          <w:rFonts w:hint="eastAsia" w:ascii="宋体" w:hAnsi="宋体"/>
          <w:b/>
          <w:color w:val="auto"/>
          <w:sz w:val="28"/>
          <w:szCs w:val="28"/>
          <w:highlight w:val="none"/>
        </w:rPr>
        <w:t>办法前附表</w:t>
      </w:r>
    </w:p>
    <w:tbl>
      <w:tblPr>
        <w:tblStyle w:val="30"/>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
        <w:gridCol w:w="1590"/>
        <w:gridCol w:w="1844"/>
        <w:gridCol w:w="6123"/>
      </w:tblGrid>
      <w:tr w14:paraId="7A69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1926" w:type="dxa"/>
            <w:gridSpan w:val="2"/>
          </w:tcPr>
          <w:p w14:paraId="05E3CEDF">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条款号</w:t>
            </w:r>
          </w:p>
        </w:tc>
        <w:tc>
          <w:tcPr>
            <w:tcW w:w="1844" w:type="dxa"/>
          </w:tcPr>
          <w:p w14:paraId="1B40F6A5">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评审因素</w:t>
            </w:r>
          </w:p>
        </w:tc>
        <w:tc>
          <w:tcPr>
            <w:tcW w:w="6123" w:type="dxa"/>
          </w:tcPr>
          <w:p w14:paraId="2855236A">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评审标准</w:t>
            </w:r>
          </w:p>
        </w:tc>
      </w:tr>
      <w:tr w14:paraId="3CDB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336" w:type="dxa"/>
            <w:vMerge w:val="restart"/>
            <w:vAlign w:val="center"/>
          </w:tcPr>
          <w:p w14:paraId="25AFD06B">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1590" w:type="dxa"/>
            <w:vMerge w:val="restart"/>
            <w:vAlign w:val="center"/>
          </w:tcPr>
          <w:p w14:paraId="4FFD4118">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w:t>
            </w:r>
          </w:p>
          <w:p w14:paraId="7098F5E8">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w:t>
            </w:r>
          </w:p>
        </w:tc>
        <w:tc>
          <w:tcPr>
            <w:tcW w:w="1844" w:type="dxa"/>
            <w:vAlign w:val="center"/>
          </w:tcPr>
          <w:p w14:paraId="083C6F56">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lang w:val="en-US" w:eastAsia="zh-CN"/>
              </w:rPr>
              <w:t>资格</w:t>
            </w:r>
            <w:r>
              <w:rPr>
                <w:rFonts w:hint="eastAsia" w:ascii="宋体" w:hAnsi="宋体" w:eastAsia="宋体" w:cs="宋体"/>
                <w:color w:val="auto"/>
                <w:kern w:val="0"/>
                <w:sz w:val="24"/>
                <w:szCs w:val="24"/>
                <w:highlight w:val="none"/>
              </w:rPr>
              <w:t>要求</w:t>
            </w:r>
          </w:p>
        </w:tc>
        <w:tc>
          <w:tcPr>
            <w:tcW w:w="6123" w:type="dxa"/>
            <w:vAlign w:val="center"/>
          </w:tcPr>
          <w:p w14:paraId="155275B0">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符合第二章“</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w:t>
            </w:r>
          </w:p>
        </w:tc>
      </w:tr>
      <w:tr w14:paraId="1746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336" w:type="dxa"/>
            <w:vMerge w:val="restart"/>
            <w:vAlign w:val="center"/>
          </w:tcPr>
          <w:p w14:paraId="52F8CAA1">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p>
        </w:tc>
        <w:tc>
          <w:tcPr>
            <w:tcW w:w="1590" w:type="dxa"/>
            <w:vMerge w:val="restart"/>
            <w:vAlign w:val="center"/>
          </w:tcPr>
          <w:p w14:paraId="3468BE13">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符合性</w:t>
            </w:r>
          </w:p>
          <w:p w14:paraId="297727DB">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评审</w:t>
            </w:r>
          </w:p>
        </w:tc>
        <w:tc>
          <w:tcPr>
            <w:tcW w:w="1844" w:type="dxa"/>
            <w:vAlign w:val="center"/>
          </w:tcPr>
          <w:p w14:paraId="5DF12413">
            <w:pPr>
              <w:keepNext w:val="0"/>
              <w:keepLines/>
              <w:pageBreakBefore w:val="0"/>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名称</w:t>
            </w:r>
          </w:p>
        </w:tc>
        <w:tc>
          <w:tcPr>
            <w:tcW w:w="6123" w:type="dxa"/>
            <w:vAlign w:val="center"/>
          </w:tcPr>
          <w:p w14:paraId="727524F2">
            <w:pPr>
              <w:keepNext w:val="0"/>
              <w:keepLines/>
              <w:pageBreakBefore w:val="0"/>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与营业执照一致</w:t>
            </w:r>
          </w:p>
        </w:tc>
      </w:tr>
      <w:tr w14:paraId="37F3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336" w:type="dxa"/>
            <w:vMerge w:val="continue"/>
            <w:vAlign w:val="center"/>
          </w:tcPr>
          <w:p w14:paraId="743C378B">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color w:val="auto"/>
                <w:kern w:val="0"/>
                <w:sz w:val="24"/>
                <w:szCs w:val="24"/>
                <w:highlight w:val="none"/>
              </w:rPr>
            </w:pPr>
          </w:p>
        </w:tc>
        <w:tc>
          <w:tcPr>
            <w:tcW w:w="1590" w:type="dxa"/>
            <w:vMerge w:val="continue"/>
            <w:vAlign w:val="center"/>
          </w:tcPr>
          <w:p w14:paraId="0390F5A3">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kern w:val="0"/>
                <w:sz w:val="24"/>
                <w:szCs w:val="24"/>
                <w:highlight w:val="none"/>
              </w:rPr>
            </w:pPr>
          </w:p>
        </w:tc>
        <w:tc>
          <w:tcPr>
            <w:tcW w:w="1844" w:type="dxa"/>
            <w:vAlign w:val="center"/>
          </w:tcPr>
          <w:p w14:paraId="0CA725D7">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签字盖章</w:t>
            </w:r>
          </w:p>
        </w:tc>
        <w:tc>
          <w:tcPr>
            <w:tcW w:w="6123" w:type="dxa"/>
            <w:vAlign w:val="center"/>
          </w:tcPr>
          <w:p w14:paraId="4CAF4878">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符合第六章“</w:t>
            </w:r>
            <w:r>
              <w:rPr>
                <w:rFonts w:hint="eastAsia" w:ascii="宋体" w:hAnsi="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格式”的要求</w:t>
            </w:r>
          </w:p>
        </w:tc>
      </w:tr>
      <w:tr w14:paraId="0EB9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336" w:type="dxa"/>
            <w:vMerge w:val="continue"/>
            <w:vAlign w:val="center"/>
          </w:tcPr>
          <w:p w14:paraId="20E46EBD">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color w:val="auto"/>
                <w:kern w:val="0"/>
                <w:sz w:val="24"/>
                <w:szCs w:val="24"/>
                <w:highlight w:val="none"/>
              </w:rPr>
            </w:pPr>
          </w:p>
        </w:tc>
        <w:tc>
          <w:tcPr>
            <w:tcW w:w="1590" w:type="dxa"/>
            <w:vMerge w:val="continue"/>
            <w:vAlign w:val="center"/>
          </w:tcPr>
          <w:p w14:paraId="5B4E2679">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kern w:val="0"/>
                <w:sz w:val="24"/>
                <w:szCs w:val="24"/>
                <w:highlight w:val="none"/>
              </w:rPr>
            </w:pPr>
          </w:p>
        </w:tc>
        <w:tc>
          <w:tcPr>
            <w:tcW w:w="1844" w:type="dxa"/>
            <w:vAlign w:val="center"/>
          </w:tcPr>
          <w:p w14:paraId="6703F382">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格式</w:t>
            </w:r>
          </w:p>
        </w:tc>
        <w:tc>
          <w:tcPr>
            <w:tcW w:w="6123" w:type="dxa"/>
            <w:vAlign w:val="center"/>
          </w:tcPr>
          <w:p w14:paraId="7FA1CC02">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符合第六章“</w:t>
            </w:r>
            <w:r>
              <w:rPr>
                <w:rFonts w:hint="eastAsia" w:ascii="宋体" w:hAnsi="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格式”的要求</w:t>
            </w:r>
          </w:p>
        </w:tc>
      </w:tr>
      <w:tr w14:paraId="56C5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336" w:type="dxa"/>
            <w:vMerge w:val="continue"/>
            <w:vAlign w:val="center"/>
          </w:tcPr>
          <w:p w14:paraId="1B0DB2BB">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color w:val="auto"/>
                <w:kern w:val="0"/>
                <w:sz w:val="24"/>
                <w:szCs w:val="24"/>
                <w:highlight w:val="none"/>
              </w:rPr>
            </w:pPr>
          </w:p>
        </w:tc>
        <w:tc>
          <w:tcPr>
            <w:tcW w:w="1590" w:type="dxa"/>
            <w:vMerge w:val="continue"/>
            <w:vAlign w:val="center"/>
          </w:tcPr>
          <w:p w14:paraId="659D267F">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kern w:val="0"/>
                <w:sz w:val="24"/>
                <w:szCs w:val="24"/>
                <w:highlight w:val="none"/>
              </w:rPr>
            </w:pPr>
          </w:p>
        </w:tc>
        <w:tc>
          <w:tcPr>
            <w:tcW w:w="1844" w:type="dxa"/>
            <w:vAlign w:val="center"/>
          </w:tcPr>
          <w:p w14:paraId="7F3FDCDC">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报价唯一</w:t>
            </w:r>
          </w:p>
        </w:tc>
        <w:tc>
          <w:tcPr>
            <w:tcW w:w="6123" w:type="dxa"/>
            <w:vAlign w:val="center"/>
          </w:tcPr>
          <w:p w14:paraId="5FF8BB37">
            <w:pPr>
              <w:keepNext w:val="0"/>
              <w:keepLines/>
              <w:pageBreakBefore w:val="0"/>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第一轮只能有一个有效报价</w:t>
            </w:r>
          </w:p>
        </w:tc>
      </w:tr>
      <w:tr w14:paraId="60C2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336" w:type="dxa"/>
            <w:vMerge w:val="continue"/>
            <w:vAlign w:val="center"/>
          </w:tcPr>
          <w:p w14:paraId="76270282">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color w:val="auto"/>
                <w:kern w:val="0"/>
                <w:sz w:val="24"/>
                <w:szCs w:val="24"/>
                <w:highlight w:val="none"/>
              </w:rPr>
            </w:pPr>
          </w:p>
        </w:tc>
        <w:tc>
          <w:tcPr>
            <w:tcW w:w="1590" w:type="dxa"/>
            <w:vMerge w:val="continue"/>
            <w:vAlign w:val="center"/>
          </w:tcPr>
          <w:p w14:paraId="60F6A23B">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kern w:val="0"/>
                <w:sz w:val="24"/>
                <w:szCs w:val="24"/>
                <w:highlight w:val="none"/>
              </w:rPr>
            </w:pPr>
          </w:p>
        </w:tc>
        <w:tc>
          <w:tcPr>
            <w:tcW w:w="1844" w:type="dxa"/>
            <w:vAlign w:val="center"/>
          </w:tcPr>
          <w:p w14:paraId="176895DD">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cs="宋体"/>
                <w:kern w:val="0"/>
                <w:sz w:val="24"/>
                <w:lang w:eastAsia="zh-CN"/>
              </w:rPr>
              <w:t>响应</w:t>
            </w:r>
            <w:r>
              <w:rPr>
                <w:rFonts w:hint="eastAsia" w:ascii="宋体" w:hAnsi="宋体" w:cs="宋体"/>
                <w:kern w:val="0"/>
                <w:sz w:val="24"/>
              </w:rPr>
              <w:t>内容</w:t>
            </w:r>
          </w:p>
        </w:tc>
        <w:tc>
          <w:tcPr>
            <w:tcW w:w="6123" w:type="dxa"/>
            <w:vAlign w:val="center"/>
          </w:tcPr>
          <w:p w14:paraId="6B49036B">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符合第二章“</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w:t>
            </w:r>
          </w:p>
        </w:tc>
      </w:tr>
      <w:tr w14:paraId="3E54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336" w:type="dxa"/>
            <w:vMerge w:val="continue"/>
            <w:vAlign w:val="center"/>
          </w:tcPr>
          <w:p w14:paraId="73D9D928">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590" w:type="dxa"/>
            <w:vMerge w:val="continue"/>
            <w:vAlign w:val="center"/>
          </w:tcPr>
          <w:p w14:paraId="323489A7">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844" w:type="dxa"/>
            <w:vAlign w:val="center"/>
          </w:tcPr>
          <w:p w14:paraId="7F84F666">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服务期限</w:t>
            </w:r>
          </w:p>
        </w:tc>
        <w:tc>
          <w:tcPr>
            <w:tcW w:w="6123" w:type="dxa"/>
            <w:vAlign w:val="center"/>
          </w:tcPr>
          <w:p w14:paraId="37874954">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符合第二章“</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w:t>
            </w:r>
          </w:p>
        </w:tc>
      </w:tr>
      <w:tr w14:paraId="365F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336" w:type="dxa"/>
            <w:vMerge w:val="continue"/>
            <w:vAlign w:val="center"/>
          </w:tcPr>
          <w:p w14:paraId="79CEE672">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590" w:type="dxa"/>
            <w:vMerge w:val="continue"/>
            <w:vAlign w:val="center"/>
          </w:tcPr>
          <w:p w14:paraId="049B23F1">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844" w:type="dxa"/>
            <w:vAlign w:val="center"/>
          </w:tcPr>
          <w:p w14:paraId="16E8A8EF">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kern w:val="0"/>
                <w:sz w:val="24"/>
                <w:szCs w:val="24"/>
                <w:highlight w:val="none"/>
              </w:rPr>
              <w:t>质量</w:t>
            </w:r>
            <w:r>
              <w:rPr>
                <w:rFonts w:hint="eastAsia" w:ascii="宋体" w:hAnsi="宋体" w:eastAsia="宋体" w:cs="宋体"/>
                <w:color w:val="auto"/>
                <w:kern w:val="0"/>
                <w:sz w:val="24"/>
                <w:szCs w:val="24"/>
                <w:highlight w:val="none"/>
                <w:lang w:eastAsia="zh-CN"/>
              </w:rPr>
              <w:t>要求</w:t>
            </w:r>
          </w:p>
        </w:tc>
        <w:tc>
          <w:tcPr>
            <w:tcW w:w="6123" w:type="dxa"/>
            <w:vAlign w:val="center"/>
          </w:tcPr>
          <w:p w14:paraId="3784FDD6">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符合第二章“</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w:t>
            </w:r>
          </w:p>
        </w:tc>
      </w:tr>
      <w:tr w14:paraId="1A5E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336" w:type="dxa"/>
            <w:vMerge w:val="continue"/>
            <w:vAlign w:val="center"/>
          </w:tcPr>
          <w:p w14:paraId="3EE8ACD7">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590" w:type="dxa"/>
            <w:vMerge w:val="continue"/>
            <w:vAlign w:val="center"/>
          </w:tcPr>
          <w:p w14:paraId="4F65DBA6">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844" w:type="dxa"/>
            <w:vAlign w:val="center"/>
          </w:tcPr>
          <w:p w14:paraId="51BBE134">
            <w:pPr>
              <w:keepLines/>
              <w:widowControl/>
              <w:topLinePunct/>
              <w:adjustRightInd w:val="0"/>
              <w:spacing w:line="440" w:lineRule="exact"/>
              <w:jc w:val="center"/>
              <w:rPr>
                <w:rFonts w:hint="eastAsia" w:ascii="宋体" w:hAnsi="宋体" w:eastAsia="宋体" w:cs="宋体"/>
                <w:b/>
                <w:bCs/>
                <w:color w:val="auto"/>
                <w:kern w:val="0"/>
                <w:sz w:val="24"/>
                <w:szCs w:val="24"/>
                <w:highlight w:val="none"/>
              </w:rPr>
            </w:pPr>
            <w:r>
              <w:rPr>
                <w:rFonts w:hint="eastAsia" w:ascii="宋体" w:hAnsi="宋体" w:cs="宋体"/>
                <w:kern w:val="0"/>
                <w:sz w:val="24"/>
                <w:lang w:eastAsia="zh-CN"/>
              </w:rPr>
              <w:t>磋商</w:t>
            </w:r>
            <w:r>
              <w:rPr>
                <w:rFonts w:hint="eastAsia" w:ascii="宋体" w:hAnsi="宋体" w:cs="宋体"/>
                <w:kern w:val="0"/>
                <w:sz w:val="24"/>
              </w:rPr>
              <w:t>有效期</w:t>
            </w:r>
          </w:p>
        </w:tc>
        <w:tc>
          <w:tcPr>
            <w:tcW w:w="6123" w:type="dxa"/>
            <w:vAlign w:val="center"/>
          </w:tcPr>
          <w:p w14:paraId="46953A94">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符合第二章“</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w:t>
            </w:r>
          </w:p>
        </w:tc>
      </w:tr>
      <w:tr w14:paraId="25B6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336" w:type="dxa"/>
            <w:vMerge w:val="continue"/>
            <w:vAlign w:val="center"/>
          </w:tcPr>
          <w:p w14:paraId="0CC3A058">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590" w:type="dxa"/>
            <w:vMerge w:val="continue"/>
            <w:vAlign w:val="center"/>
          </w:tcPr>
          <w:p w14:paraId="3D2CA12D">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844" w:type="dxa"/>
            <w:shd w:val="clear" w:color="auto" w:fill="auto"/>
            <w:vAlign w:val="center"/>
          </w:tcPr>
          <w:p w14:paraId="247A9535">
            <w:pPr>
              <w:keepLines/>
              <w:topLinePunct/>
              <w:adjustRightIn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highlight w:val="none"/>
              </w:rPr>
              <w:t>磋商报价</w:t>
            </w:r>
          </w:p>
        </w:tc>
        <w:tc>
          <w:tcPr>
            <w:tcW w:w="6123" w:type="dxa"/>
            <w:shd w:val="clear" w:color="auto" w:fill="auto"/>
            <w:vAlign w:val="center"/>
          </w:tcPr>
          <w:p w14:paraId="2F96091F">
            <w:pPr>
              <w:keepNext w:val="0"/>
              <w:keepLines/>
              <w:pageBreakBefore w:val="0"/>
              <w:kinsoku/>
              <w:wordWrap/>
              <w:overflowPunct/>
              <w:topLinePunct/>
              <w:autoSpaceDE/>
              <w:autoSpaceDN/>
              <w:bidi w:val="0"/>
              <w:adjustRightInd w:val="0"/>
              <w:snapToGrid/>
              <w:spacing w:after="0"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sz w:val="24"/>
                <w:highlight w:val="none"/>
              </w:rPr>
              <w:t>磋商报价</w:t>
            </w:r>
            <w:r>
              <w:rPr>
                <w:rFonts w:hint="eastAsia" w:ascii="宋体" w:hAnsi="宋体" w:eastAsia="宋体" w:cs="宋体"/>
                <w:color w:val="auto"/>
                <w:sz w:val="24"/>
                <w:szCs w:val="24"/>
                <w:highlight w:val="none"/>
              </w:rPr>
              <w:t>不得</w:t>
            </w:r>
            <w:r>
              <w:rPr>
                <w:rFonts w:hint="eastAsia" w:ascii="宋体" w:hAnsi="宋体" w:cs="宋体"/>
                <w:color w:val="auto"/>
                <w:sz w:val="24"/>
                <w:szCs w:val="24"/>
                <w:highlight w:val="none"/>
                <w:lang w:eastAsia="zh-CN"/>
              </w:rPr>
              <w:t>低于</w:t>
            </w:r>
            <w:r>
              <w:rPr>
                <w:rFonts w:hint="eastAsia" w:ascii="宋体" w:hAnsi="宋体" w:cs="宋体"/>
                <w:color w:val="auto"/>
                <w:kern w:val="2"/>
                <w:sz w:val="24"/>
                <w:highlight w:val="none"/>
                <w:lang w:eastAsia="zh-CN"/>
              </w:rPr>
              <w:t>磋商限价</w:t>
            </w:r>
          </w:p>
        </w:tc>
      </w:tr>
      <w:tr w14:paraId="2A3A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336" w:type="dxa"/>
            <w:vMerge w:val="continue"/>
            <w:vAlign w:val="center"/>
          </w:tcPr>
          <w:p w14:paraId="2782740C">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590" w:type="dxa"/>
            <w:vMerge w:val="continue"/>
            <w:vAlign w:val="center"/>
          </w:tcPr>
          <w:p w14:paraId="060D8354">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844" w:type="dxa"/>
            <w:vAlign w:val="center"/>
          </w:tcPr>
          <w:p w14:paraId="6A0BE548">
            <w:pPr>
              <w:keepLines/>
              <w:topLinePunct/>
              <w:adjustRightInd w:val="0"/>
              <w:spacing w:line="440" w:lineRule="exact"/>
              <w:jc w:val="center"/>
              <w:rPr>
                <w:rFonts w:hint="eastAsia" w:ascii="宋体" w:hAnsi="宋体" w:eastAsia="宋体" w:cs="宋体"/>
                <w:color w:val="auto"/>
                <w:sz w:val="24"/>
                <w:szCs w:val="24"/>
                <w:highlight w:val="none"/>
              </w:rPr>
            </w:pPr>
            <w:r>
              <w:rPr>
                <w:rFonts w:hint="eastAsia" w:ascii="宋体" w:hAnsi="宋体" w:cs="宋体"/>
                <w:sz w:val="24"/>
                <w:highlight w:val="none"/>
              </w:rPr>
              <w:t>其他</w:t>
            </w:r>
          </w:p>
        </w:tc>
        <w:tc>
          <w:tcPr>
            <w:tcW w:w="6123" w:type="dxa"/>
            <w:vAlign w:val="center"/>
          </w:tcPr>
          <w:p w14:paraId="61E646D9">
            <w:pPr>
              <w:keepLines/>
              <w:topLinePunct/>
              <w:adjustRightInd w:val="0"/>
              <w:spacing w:line="440" w:lineRule="exact"/>
              <w:rPr>
                <w:rFonts w:hint="eastAsia" w:ascii="宋体" w:hAnsi="宋体" w:eastAsia="宋体" w:cs="宋体"/>
                <w:color w:val="auto"/>
                <w:sz w:val="24"/>
                <w:szCs w:val="24"/>
                <w:highlight w:val="none"/>
              </w:rPr>
            </w:pPr>
            <w:r>
              <w:rPr>
                <w:rFonts w:hint="eastAsia" w:ascii="宋体" w:hAnsi="宋体" w:cs="宋体"/>
                <w:sz w:val="24"/>
                <w:highlight w:val="none"/>
              </w:rPr>
              <w:t>符合磋商文件其他实质性要求</w:t>
            </w:r>
          </w:p>
        </w:tc>
      </w:tr>
      <w:tr w14:paraId="7263F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exact"/>
          <w:jc w:val="center"/>
        </w:trPr>
        <w:tc>
          <w:tcPr>
            <w:tcW w:w="9893" w:type="dxa"/>
            <w:gridSpan w:val="4"/>
            <w:tcBorders>
              <w:top w:val="single" w:color="auto" w:sz="4" w:space="0"/>
              <w:left w:val="single" w:color="000000" w:sz="4" w:space="0"/>
              <w:bottom w:val="single" w:color="auto" w:sz="4" w:space="0"/>
              <w:right w:val="single" w:color="000000" w:sz="4" w:space="0"/>
            </w:tcBorders>
            <w:vAlign w:val="center"/>
          </w:tcPr>
          <w:p w14:paraId="5A20CBB2">
            <w:pPr>
              <w:keepNext w:val="0"/>
              <w:pageBreakBefore w:val="0"/>
              <w:kinsoku/>
              <w:wordWrap/>
              <w:overflowPunct/>
              <w:autoSpaceDE/>
              <w:autoSpaceDN/>
              <w:bidi w:val="0"/>
              <w:snapToGrid/>
              <w:spacing w:after="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通过初步评审的</w:t>
            </w:r>
            <w:r>
              <w:rPr>
                <w:rFonts w:hint="eastAsia" w:ascii="宋体" w:hAnsi="宋体" w:cs="宋体"/>
                <w:b/>
                <w:color w:val="auto"/>
                <w:sz w:val="24"/>
                <w:szCs w:val="24"/>
                <w:highlight w:val="none"/>
                <w:lang w:eastAsia="zh-CN"/>
              </w:rPr>
              <w:t>供应商</w:t>
            </w:r>
            <w:r>
              <w:rPr>
                <w:rFonts w:hint="eastAsia" w:ascii="宋体" w:hAnsi="宋体" w:eastAsia="宋体" w:cs="宋体"/>
                <w:b/>
                <w:color w:val="auto"/>
                <w:sz w:val="24"/>
                <w:szCs w:val="24"/>
                <w:highlight w:val="none"/>
              </w:rPr>
              <w:t>，参与下一步详细评审。</w:t>
            </w:r>
          </w:p>
        </w:tc>
      </w:tr>
    </w:tbl>
    <w:p w14:paraId="719CF996">
      <w:pPr>
        <w:spacing w:after="0" w:line="360" w:lineRule="auto"/>
        <w:rPr>
          <w:rFonts w:hint="eastAsia" w:ascii="宋体" w:hAnsi="宋体" w:eastAsia="宋体" w:cs="宋体"/>
          <w:b/>
          <w:color w:val="auto"/>
          <w:sz w:val="24"/>
          <w:szCs w:val="24"/>
          <w:highlight w:val="none"/>
        </w:rPr>
      </w:pPr>
    </w:p>
    <w:p w14:paraId="011D9592">
      <w:pPr>
        <w:widowControl/>
        <w:spacing w:before="100" w:beforeAutospacing="1" w:after="100" w:afterAutospacing="1"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083AEFF7">
      <w:pPr>
        <w:jc w:val="center"/>
        <w:rPr>
          <w:rFonts w:hint="eastAsia" w:ascii="宋体" w:hAnsi="宋体" w:eastAsia="宋体" w:cs="宋体"/>
          <w:b/>
          <w:bCs/>
          <w:color w:val="auto"/>
          <w:sz w:val="24"/>
          <w:szCs w:val="24"/>
          <w:highlight w:val="none"/>
          <w:lang w:val="zh-TW" w:eastAsia="zh-TW" w:bidi="zh-TW"/>
        </w:rPr>
      </w:pPr>
      <w:r>
        <w:rPr>
          <w:rFonts w:hint="eastAsia" w:ascii="宋体" w:hAnsi="宋体" w:eastAsia="宋体" w:cs="宋体"/>
          <w:b/>
          <w:bCs/>
          <w:color w:val="auto"/>
          <w:sz w:val="24"/>
          <w:szCs w:val="24"/>
          <w:highlight w:val="none"/>
          <w:lang w:val="zh-TW" w:eastAsia="zh-TW" w:bidi="zh-TW"/>
        </w:rPr>
        <w:t>评分细则</w:t>
      </w:r>
    </w:p>
    <w:tbl>
      <w:tblPr>
        <w:tblStyle w:val="30"/>
        <w:tblpPr w:leftFromText="180" w:rightFromText="180" w:vertAnchor="text" w:horzAnchor="margin" w:tblpXSpec="center" w:tblpY="360"/>
        <w:tblW w:w="91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8"/>
        <w:gridCol w:w="1410"/>
        <w:gridCol w:w="782"/>
        <w:gridCol w:w="6075"/>
      </w:tblGrid>
      <w:tr w14:paraId="4EAEF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8" w:type="dxa"/>
            <w:tcBorders>
              <w:top w:val="single" w:color="000000" w:sz="4" w:space="0"/>
              <w:left w:val="single" w:color="000000" w:sz="4" w:space="0"/>
              <w:bottom w:val="single" w:color="000000" w:sz="4" w:space="0"/>
              <w:right w:val="single" w:color="000000" w:sz="4" w:space="0"/>
            </w:tcBorders>
            <w:vAlign w:val="center"/>
          </w:tcPr>
          <w:p w14:paraId="2DC0EEBD">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TW" w:bidi="zh-TW"/>
              </w:rPr>
            </w:pPr>
            <w:r>
              <w:rPr>
                <w:rFonts w:hint="eastAsia" w:asciiTheme="minorEastAsia" w:hAnsiTheme="minorEastAsia" w:eastAsiaTheme="minorEastAsia" w:cstheme="minorEastAsia"/>
                <w:color w:val="auto"/>
                <w:sz w:val="24"/>
                <w:szCs w:val="24"/>
                <w:highlight w:val="none"/>
                <w:lang w:val="zh-TW" w:eastAsia="zh-TW" w:bidi="zh-TW"/>
              </w:rPr>
              <w:t>序号</w:t>
            </w:r>
          </w:p>
        </w:tc>
        <w:tc>
          <w:tcPr>
            <w:tcW w:w="1410" w:type="dxa"/>
            <w:tcBorders>
              <w:top w:val="single" w:color="000000" w:sz="4" w:space="0"/>
              <w:left w:val="single" w:color="000000" w:sz="4" w:space="0"/>
              <w:bottom w:val="single" w:color="000000" w:sz="4" w:space="0"/>
              <w:right w:val="single" w:color="000000" w:sz="4" w:space="0"/>
            </w:tcBorders>
            <w:vAlign w:val="center"/>
          </w:tcPr>
          <w:p w14:paraId="5B096FC8">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TW" w:bidi="zh-TW"/>
              </w:rPr>
            </w:pPr>
            <w:r>
              <w:rPr>
                <w:rFonts w:hint="eastAsia" w:asciiTheme="minorEastAsia" w:hAnsiTheme="minorEastAsia" w:eastAsiaTheme="minorEastAsia" w:cstheme="minorEastAsia"/>
                <w:color w:val="auto"/>
                <w:sz w:val="24"/>
                <w:szCs w:val="24"/>
                <w:highlight w:val="none"/>
                <w:lang w:val="zh-TW" w:eastAsia="zh-TW" w:bidi="zh-TW"/>
              </w:rPr>
              <w:t>项 目</w:t>
            </w:r>
          </w:p>
        </w:tc>
        <w:tc>
          <w:tcPr>
            <w:tcW w:w="782" w:type="dxa"/>
            <w:tcBorders>
              <w:top w:val="single" w:color="000000" w:sz="4" w:space="0"/>
              <w:left w:val="single" w:color="000000" w:sz="4" w:space="0"/>
              <w:bottom w:val="single" w:color="000000" w:sz="4" w:space="0"/>
              <w:right w:val="single" w:color="000000" w:sz="4" w:space="0"/>
            </w:tcBorders>
            <w:vAlign w:val="center"/>
          </w:tcPr>
          <w:p w14:paraId="1528FD55">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TW" w:bidi="zh-TW"/>
              </w:rPr>
            </w:pPr>
            <w:r>
              <w:rPr>
                <w:rFonts w:hint="eastAsia" w:asciiTheme="minorEastAsia" w:hAnsiTheme="minorEastAsia" w:eastAsiaTheme="minorEastAsia" w:cstheme="minorEastAsia"/>
                <w:color w:val="auto"/>
                <w:sz w:val="24"/>
                <w:szCs w:val="24"/>
                <w:highlight w:val="none"/>
                <w:lang w:val="zh-TW" w:eastAsia="zh-TW" w:bidi="zh-TW"/>
              </w:rPr>
              <w:t>分值</w:t>
            </w:r>
          </w:p>
        </w:tc>
        <w:tc>
          <w:tcPr>
            <w:tcW w:w="6075" w:type="dxa"/>
            <w:tcBorders>
              <w:top w:val="single" w:color="000000" w:sz="4" w:space="0"/>
              <w:left w:val="single" w:color="000000" w:sz="4" w:space="0"/>
              <w:bottom w:val="single" w:color="000000" w:sz="4" w:space="0"/>
              <w:right w:val="single" w:color="auto" w:sz="4" w:space="0"/>
            </w:tcBorders>
            <w:vAlign w:val="center"/>
          </w:tcPr>
          <w:p w14:paraId="299F8846">
            <w:pPr>
              <w:tabs>
                <w:tab w:val="center" w:pos="4153"/>
                <w:tab w:val="right" w:pos="8306"/>
              </w:tabs>
              <w:snapToGrid w:val="0"/>
              <w:jc w:val="left"/>
              <w:rPr>
                <w:rFonts w:hint="eastAsia" w:asciiTheme="minorEastAsia" w:hAnsiTheme="minorEastAsia" w:eastAsiaTheme="minorEastAsia" w:cstheme="minorEastAsia"/>
                <w:color w:val="auto"/>
                <w:sz w:val="24"/>
                <w:szCs w:val="24"/>
                <w:highlight w:val="none"/>
                <w:lang w:val="zh-TW" w:eastAsia="zh-TW" w:bidi="zh-TW"/>
              </w:rPr>
            </w:pPr>
            <w:r>
              <w:rPr>
                <w:rFonts w:hint="eastAsia" w:asciiTheme="minorEastAsia" w:hAnsiTheme="minorEastAsia" w:eastAsiaTheme="minorEastAsia" w:cstheme="minorEastAsia"/>
                <w:color w:val="auto"/>
                <w:sz w:val="24"/>
                <w:szCs w:val="24"/>
                <w:highlight w:val="none"/>
                <w:lang w:val="zh-TW" w:eastAsia="zh-TW" w:bidi="zh-TW"/>
              </w:rPr>
              <w:t>评 分 细 则 及 标 准</w:t>
            </w:r>
          </w:p>
        </w:tc>
      </w:tr>
      <w:tr w14:paraId="05534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3090" w:type="dxa"/>
            <w:gridSpan w:val="3"/>
            <w:tcBorders>
              <w:top w:val="single" w:color="000000" w:sz="4" w:space="0"/>
              <w:left w:val="single" w:color="000000" w:sz="4" w:space="0"/>
              <w:bottom w:val="single" w:color="000000" w:sz="4" w:space="0"/>
              <w:right w:val="single" w:color="000000" w:sz="4" w:space="0"/>
            </w:tcBorders>
            <w:vAlign w:val="center"/>
          </w:tcPr>
          <w:p w14:paraId="09EF391F">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TW" w:bidi="zh-TW"/>
              </w:rPr>
            </w:pPr>
            <w:r>
              <w:rPr>
                <w:rFonts w:hint="eastAsia" w:asciiTheme="minorEastAsia" w:hAnsiTheme="minorEastAsia" w:eastAsiaTheme="minorEastAsia" w:cstheme="minorEastAsia"/>
                <w:color w:val="auto"/>
                <w:sz w:val="24"/>
                <w:szCs w:val="24"/>
                <w:highlight w:val="none"/>
                <w:lang w:val="zh-TW" w:eastAsia="zh-TW" w:bidi="zh-TW"/>
              </w:rPr>
              <w:t>分值构成</w:t>
            </w:r>
            <w:r>
              <w:rPr>
                <w:rFonts w:hint="eastAsia" w:asciiTheme="minorEastAsia" w:hAnsiTheme="minorEastAsia" w:eastAsiaTheme="minorEastAsia" w:cstheme="minorEastAsia"/>
                <w:color w:val="auto"/>
                <w:sz w:val="24"/>
                <w:szCs w:val="24"/>
                <w:highlight w:val="none"/>
                <w:lang w:val="en-US" w:eastAsia="zh-CN" w:bidi="zh-TW"/>
              </w:rPr>
              <w:t xml:space="preserve">   </w:t>
            </w:r>
            <w:r>
              <w:rPr>
                <w:rFonts w:hint="eastAsia" w:asciiTheme="minorEastAsia" w:hAnsiTheme="minorEastAsia" w:eastAsiaTheme="minorEastAsia" w:cstheme="minorEastAsia"/>
                <w:color w:val="auto"/>
                <w:sz w:val="24"/>
                <w:szCs w:val="24"/>
                <w:highlight w:val="none"/>
                <w:lang w:val="zh-TW" w:eastAsia="zh-TW" w:bidi="zh-TW"/>
              </w:rPr>
              <w:t>100分</w:t>
            </w:r>
          </w:p>
        </w:tc>
        <w:tc>
          <w:tcPr>
            <w:tcW w:w="6075" w:type="dxa"/>
            <w:tcBorders>
              <w:top w:val="single" w:color="000000" w:sz="4" w:space="0"/>
              <w:left w:val="single" w:color="000000" w:sz="4" w:space="0"/>
              <w:bottom w:val="single" w:color="000000" w:sz="4" w:space="0"/>
              <w:right w:val="single" w:color="auto" w:sz="4" w:space="0"/>
            </w:tcBorders>
            <w:vAlign w:val="center"/>
          </w:tcPr>
          <w:p w14:paraId="537CF2A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4"/>
                <w:szCs w:val="24"/>
                <w:highlight w:val="none"/>
                <w:lang w:val="zh-TW" w:eastAsia="zh-TW"/>
              </w:rPr>
            </w:pPr>
            <w:r>
              <w:rPr>
                <w:rFonts w:hint="eastAsia" w:asciiTheme="minorEastAsia" w:hAnsiTheme="minorEastAsia" w:eastAsiaTheme="minorEastAsia" w:cstheme="minorEastAsia"/>
                <w:color w:val="auto"/>
                <w:sz w:val="24"/>
                <w:szCs w:val="24"/>
                <w:highlight w:val="none"/>
                <w:lang w:val="zh-TW" w:eastAsia="zh-TW"/>
              </w:rPr>
              <w:t>报价部分</w:t>
            </w:r>
            <w:r>
              <w:rPr>
                <w:rFonts w:hint="eastAsia" w:asciiTheme="minorEastAsia" w:hAnsiTheme="minorEastAsia" w:eastAsiaTheme="minorEastAsia" w:cstheme="minorEastAsia"/>
                <w:color w:val="auto"/>
                <w:sz w:val="24"/>
                <w:szCs w:val="24"/>
                <w:highlight w:val="none"/>
                <w:lang w:val="zh-TW" w:eastAsia="zh-CN"/>
              </w:rPr>
              <w:t>：</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lang w:val="zh-TW" w:eastAsia="zh-TW"/>
              </w:rPr>
              <w:t>分；</w:t>
            </w:r>
          </w:p>
          <w:p w14:paraId="7848F98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4"/>
                <w:szCs w:val="24"/>
                <w:highlight w:val="none"/>
                <w:lang w:val="zh-TW" w:eastAsia="zh-TW"/>
              </w:rPr>
            </w:pPr>
            <w:r>
              <w:rPr>
                <w:rFonts w:hint="eastAsia" w:asciiTheme="minorEastAsia" w:hAnsiTheme="minorEastAsia" w:eastAsiaTheme="minorEastAsia" w:cstheme="minorEastAsia"/>
                <w:color w:val="auto"/>
                <w:sz w:val="24"/>
                <w:szCs w:val="24"/>
                <w:highlight w:val="none"/>
                <w:lang w:val="zh-TW" w:eastAsia="zh-TW"/>
              </w:rPr>
              <w:t>技术部分</w:t>
            </w:r>
            <w:r>
              <w:rPr>
                <w:rFonts w:hint="eastAsia" w:asciiTheme="minorEastAsia" w:hAnsiTheme="minorEastAsia" w:eastAsiaTheme="minorEastAsia" w:cstheme="minorEastAsia"/>
                <w:color w:val="auto"/>
                <w:sz w:val="24"/>
                <w:szCs w:val="24"/>
                <w:highlight w:val="none"/>
                <w:lang w:val="zh-TW" w:eastAsia="zh-CN"/>
              </w:rPr>
              <w:t>：</w:t>
            </w:r>
            <w:r>
              <w:rPr>
                <w:rFonts w:hint="eastAsia" w:asciiTheme="minorEastAsia" w:hAnsiTheme="minorEastAsia" w:eastAsiaTheme="minorEastAsia" w:cstheme="minorEastAsia"/>
                <w:color w:val="auto"/>
                <w:sz w:val="24"/>
                <w:szCs w:val="24"/>
                <w:highlight w:val="none"/>
                <w:lang w:val="en-US" w:eastAsia="zh-CN"/>
              </w:rPr>
              <w:t>56</w:t>
            </w:r>
            <w:r>
              <w:rPr>
                <w:rFonts w:hint="eastAsia" w:asciiTheme="minorEastAsia" w:hAnsiTheme="minorEastAsia" w:eastAsiaTheme="minorEastAsia" w:cstheme="minorEastAsia"/>
                <w:color w:val="auto"/>
                <w:sz w:val="24"/>
                <w:szCs w:val="24"/>
                <w:highlight w:val="none"/>
                <w:lang w:val="zh-TW" w:eastAsia="zh-TW"/>
              </w:rPr>
              <w:t>分；</w:t>
            </w:r>
          </w:p>
          <w:p w14:paraId="292537A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TW" w:eastAsia="zh-CN"/>
              </w:rPr>
              <w:t>商务部分：</w:t>
            </w:r>
            <w:r>
              <w:rPr>
                <w:rFonts w:hint="eastAsia" w:asciiTheme="minorEastAsia" w:hAnsiTheme="minorEastAsia" w:eastAsiaTheme="minorEastAsia" w:cstheme="minorEastAsia"/>
                <w:color w:val="auto"/>
                <w:sz w:val="24"/>
                <w:szCs w:val="24"/>
                <w:highlight w:val="none"/>
                <w:lang w:val="en-US" w:eastAsia="zh-CN"/>
              </w:rPr>
              <w:t>14分。</w:t>
            </w:r>
          </w:p>
        </w:tc>
      </w:tr>
      <w:tr w14:paraId="196FB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9" w:hRule="atLeast"/>
        </w:trPr>
        <w:tc>
          <w:tcPr>
            <w:tcW w:w="898" w:type="dxa"/>
            <w:tcBorders>
              <w:top w:val="single" w:color="000000" w:sz="4" w:space="0"/>
              <w:left w:val="single" w:color="000000" w:sz="4" w:space="0"/>
              <w:bottom w:val="single" w:color="000000" w:sz="4" w:space="0"/>
              <w:right w:val="single" w:color="auto" w:sz="4" w:space="0"/>
            </w:tcBorders>
            <w:vAlign w:val="center"/>
          </w:tcPr>
          <w:p w14:paraId="471A2950">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TW" w:bidi="zh-TW"/>
              </w:rPr>
            </w:pPr>
            <w:r>
              <w:rPr>
                <w:rFonts w:hint="eastAsia" w:asciiTheme="minorEastAsia" w:hAnsiTheme="minorEastAsia" w:eastAsiaTheme="minorEastAsia" w:cstheme="minorEastAsia"/>
                <w:color w:val="auto"/>
                <w:sz w:val="24"/>
                <w:szCs w:val="24"/>
                <w:highlight w:val="none"/>
                <w:lang w:val="zh-TW" w:eastAsia="zh-TW" w:bidi="zh-TW"/>
              </w:rPr>
              <w:t>报</w:t>
            </w:r>
          </w:p>
          <w:p w14:paraId="0FFA17C6">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TW" w:bidi="zh-TW"/>
              </w:rPr>
            </w:pPr>
            <w:r>
              <w:rPr>
                <w:rFonts w:hint="eastAsia" w:asciiTheme="minorEastAsia" w:hAnsiTheme="minorEastAsia" w:eastAsiaTheme="minorEastAsia" w:cstheme="minorEastAsia"/>
                <w:color w:val="auto"/>
                <w:sz w:val="24"/>
                <w:szCs w:val="24"/>
                <w:highlight w:val="none"/>
                <w:lang w:val="zh-TW" w:eastAsia="zh-TW" w:bidi="zh-TW"/>
              </w:rPr>
              <w:t>价</w:t>
            </w:r>
          </w:p>
          <w:p w14:paraId="57FDC801">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TW" w:bidi="zh-TW"/>
              </w:rPr>
            </w:pPr>
            <w:r>
              <w:rPr>
                <w:rFonts w:hint="eastAsia" w:asciiTheme="minorEastAsia" w:hAnsiTheme="minorEastAsia" w:eastAsiaTheme="minorEastAsia" w:cstheme="minorEastAsia"/>
                <w:color w:val="auto"/>
                <w:sz w:val="24"/>
                <w:szCs w:val="24"/>
                <w:highlight w:val="none"/>
                <w:lang w:val="zh-TW" w:eastAsia="zh-TW" w:bidi="zh-TW"/>
              </w:rPr>
              <w:t>部</w:t>
            </w:r>
          </w:p>
          <w:p w14:paraId="258CB5A8">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TW" w:bidi="zh-TW"/>
              </w:rPr>
            </w:pPr>
            <w:r>
              <w:rPr>
                <w:rFonts w:hint="eastAsia" w:asciiTheme="minorEastAsia" w:hAnsiTheme="minorEastAsia" w:eastAsiaTheme="minorEastAsia" w:cstheme="minorEastAsia"/>
                <w:color w:val="auto"/>
                <w:sz w:val="24"/>
                <w:szCs w:val="24"/>
                <w:highlight w:val="none"/>
                <w:lang w:val="zh-TW" w:eastAsia="zh-TW" w:bidi="zh-TW"/>
              </w:rPr>
              <w:t>分</w:t>
            </w:r>
          </w:p>
          <w:p w14:paraId="627D1FFA">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TW" w:bidi="zh-TW"/>
              </w:rPr>
            </w:pPr>
            <w:r>
              <w:rPr>
                <w:rFonts w:hint="eastAsia" w:asciiTheme="minorEastAsia" w:hAnsiTheme="minorEastAsia" w:eastAsiaTheme="minorEastAsia" w:cstheme="minorEastAsia"/>
                <w:color w:val="auto"/>
                <w:sz w:val="24"/>
                <w:szCs w:val="24"/>
                <w:highlight w:val="none"/>
                <w:lang w:val="zh-TW" w:eastAsia="zh-CN" w:bidi="zh-TW"/>
              </w:rPr>
              <w:t>（</w:t>
            </w:r>
            <w:r>
              <w:rPr>
                <w:rFonts w:hint="eastAsia" w:asciiTheme="minorEastAsia" w:hAnsiTheme="minorEastAsia" w:eastAsiaTheme="minorEastAsia" w:cstheme="minorEastAsia"/>
                <w:color w:val="auto"/>
                <w:sz w:val="24"/>
                <w:szCs w:val="24"/>
                <w:highlight w:val="none"/>
                <w:lang w:val="en-US" w:eastAsia="zh-CN" w:bidi="zh-TW"/>
              </w:rPr>
              <w:t>30</w:t>
            </w:r>
            <w:r>
              <w:rPr>
                <w:rFonts w:hint="eastAsia" w:asciiTheme="minorEastAsia" w:hAnsiTheme="minorEastAsia" w:eastAsiaTheme="minorEastAsia" w:cstheme="minorEastAsia"/>
                <w:color w:val="auto"/>
                <w:sz w:val="24"/>
                <w:szCs w:val="24"/>
                <w:highlight w:val="none"/>
                <w:lang w:val="zh-TW" w:eastAsia="zh-TW" w:bidi="zh-TW"/>
              </w:rPr>
              <w:t>分</w:t>
            </w:r>
            <w:r>
              <w:rPr>
                <w:rFonts w:hint="eastAsia" w:asciiTheme="minorEastAsia" w:hAnsiTheme="minorEastAsia" w:eastAsiaTheme="minorEastAsia" w:cstheme="minorEastAsia"/>
                <w:color w:val="auto"/>
                <w:sz w:val="24"/>
                <w:szCs w:val="24"/>
                <w:highlight w:val="none"/>
                <w:lang w:val="zh-TW" w:eastAsia="zh-CN" w:bidi="zh-TW"/>
              </w:rPr>
              <w:t>）</w:t>
            </w:r>
          </w:p>
        </w:tc>
        <w:tc>
          <w:tcPr>
            <w:tcW w:w="1410" w:type="dxa"/>
            <w:tcBorders>
              <w:top w:val="single" w:color="000000" w:sz="4" w:space="0"/>
              <w:left w:val="single" w:color="000000" w:sz="4" w:space="0"/>
              <w:bottom w:val="single" w:color="000000" w:sz="4" w:space="0"/>
              <w:right w:val="single" w:color="auto" w:sz="4" w:space="0"/>
            </w:tcBorders>
            <w:vAlign w:val="center"/>
          </w:tcPr>
          <w:p w14:paraId="297726A9">
            <w:pPr>
              <w:tabs>
                <w:tab w:val="center" w:pos="4153"/>
                <w:tab w:val="right" w:pos="8306"/>
              </w:tabs>
              <w:snapToGrid w:val="0"/>
              <w:jc w:val="center"/>
              <w:rPr>
                <w:rFonts w:hint="eastAsia" w:asciiTheme="minorEastAsia" w:hAnsiTheme="minorEastAsia" w:eastAsiaTheme="minorEastAsia" w:cstheme="minorEastAsia"/>
                <w:color w:val="auto"/>
                <w:sz w:val="24"/>
                <w:szCs w:val="24"/>
                <w:highlight w:val="none"/>
                <w:lang w:val="zh-TW" w:eastAsia="zh-TW" w:bidi="zh-TW"/>
              </w:rPr>
            </w:pPr>
            <w:r>
              <w:rPr>
                <w:rFonts w:hint="eastAsia" w:ascii="宋体" w:hAnsi="宋体" w:cs="宋体"/>
                <w:sz w:val="24"/>
                <w:highlight w:val="none"/>
              </w:rPr>
              <w:t>磋商报价</w:t>
            </w:r>
          </w:p>
        </w:tc>
        <w:tc>
          <w:tcPr>
            <w:tcW w:w="782" w:type="dxa"/>
            <w:tcBorders>
              <w:top w:val="single" w:color="000000" w:sz="4" w:space="0"/>
              <w:left w:val="single" w:color="auto" w:sz="4" w:space="0"/>
              <w:bottom w:val="single" w:color="000000" w:sz="4" w:space="0"/>
              <w:right w:val="single" w:color="000000" w:sz="4" w:space="0"/>
            </w:tcBorders>
            <w:vAlign w:val="center"/>
          </w:tcPr>
          <w:p w14:paraId="182C4804">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TW" w:bidi="zh-TW"/>
              </w:rPr>
            </w:pPr>
            <w:r>
              <w:rPr>
                <w:rFonts w:hint="eastAsia" w:asciiTheme="minorEastAsia" w:hAnsiTheme="minorEastAsia" w:eastAsiaTheme="minorEastAsia" w:cstheme="minorEastAsia"/>
                <w:color w:val="auto"/>
                <w:sz w:val="24"/>
                <w:szCs w:val="24"/>
                <w:highlight w:val="none"/>
                <w:lang w:val="en-US" w:eastAsia="zh-CN" w:bidi="zh-TW"/>
              </w:rPr>
              <w:t>30</w:t>
            </w:r>
            <w:r>
              <w:rPr>
                <w:rFonts w:hint="eastAsia" w:asciiTheme="minorEastAsia" w:hAnsiTheme="minorEastAsia" w:eastAsiaTheme="minorEastAsia" w:cstheme="minorEastAsia"/>
                <w:color w:val="auto"/>
                <w:sz w:val="24"/>
                <w:szCs w:val="24"/>
                <w:highlight w:val="none"/>
                <w:lang w:val="zh-TW" w:eastAsia="zh-TW" w:bidi="zh-TW"/>
              </w:rPr>
              <w:t>分</w:t>
            </w:r>
          </w:p>
        </w:tc>
        <w:tc>
          <w:tcPr>
            <w:tcW w:w="6075" w:type="dxa"/>
            <w:tcBorders>
              <w:top w:val="single" w:color="000000" w:sz="4" w:space="0"/>
              <w:left w:val="single" w:color="000000" w:sz="4" w:space="0"/>
              <w:bottom w:val="single" w:color="000000" w:sz="4" w:space="0"/>
              <w:right w:val="single" w:color="auto" w:sz="4" w:space="0"/>
            </w:tcBorders>
            <w:vAlign w:val="center"/>
          </w:tcPr>
          <w:p w14:paraId="1A87AE43">
            <w:pPr>
              <w:widowControl/>
              <w:spacing w:line="360" w:lineRule="auto"/>
              <w:ind w:firstLine="480" w:firstLineChars="200"/>
              <w:rPr>
                <w:rFonts w:ascii="宋体" w:hAnsi="宋体"/>
                <w:sz w:val="24"/>
                <w:highlight w:val="none"/>
                <w:lang w:val="zh-TW" w:eastAsia="zh-TW"/>
              </w:rPr>
            </w:pPr>
            <w:r>
              <w:rPr>
                <w:rFonts w:hint="eastAsia" w:ascii="宋体" w:hAnsi="宋体"/>
                <w:sz w:val="24"/>
                <w:highlight w:val="none"/>
                <w:lang w:val="zh-TW" w:eastAsia="zh-TW"/>
              </w:rPr>
              <w:t>价格分采用</w:t>
            </w:r>
            <w:r>
              <w:rPr>
                <w:rFonts w:hint="eastAsia" w:ascii="宋体" w:hAnsi="宋体"/>
                <w:sz w:val="24"/>
                <w:highlight w:val="none"/>
                <w:lang w:val="zh-TW" w:eastAsia="zh-CN"/>
              </w:rPr>
              <w:t>高</w:t>
            </w:r>
            <w:r>
              <w:rPr>
                <w:rFonts w:hint="eastAsia" w:ascii="宋体" w:hAnsi="宋体"/>
                <w:sz w:val="24"/>
                <w:highlight w:val="none"/>
                <w:lang w:val="zh-TW" w:eastAsia="zh-TW"/>
              </w:rPr>
              <w:t>价优先法计算，即满足</w:t>
            </w:r>
            <w:r>
              <w:rPr>
                <w:rFonts w:hint="eastAsia" w:ascii="宋体" w:hAnsi="宋体"/>
                <w:sz w:val="24"/>
                <w:highlight w:val="none"/>
                <w:lang w:val="zh-TW"/>
              </w:rPr>
              <w:t>磋商</w:t>
            </w:r>
            <w:r>
              <w:rPr>
                <w:rFonts w:hint="eastAsia" w:ascii="宋体" w:hAnsi="宋体"/>
                <w:sz w:val="24"/>
                <w:highlight w:val="none"/>
                <w:lang w:val="zh-TW" w:eastAsia="zh-TW"/>
              </w:rPr>
              <w:t>文件要求</w:t>
            </w:r>
            <w:r>
              <w:rPr>
                <w:rFonts w:hint="eastAsia" w:ascii="宋体" w:hAnsi="宋体"/>
                <w:sz w:val="24"/>
                <w:highlight w:val="none"/>
                <w:lang w:val="zh-TW"/>
              </w:rPr>
              <w:t>且最终</w:t>
            </w:r>
            <w:r>
              <w:rPr>
                <w:rFonts w:hint="eastAsia" w:ascii="宋体" w:hAnsi="宋体"/>
                <w:sz w:val="24"/>
                <w:highlight w:val="none"/>
                <w:lang w:val="zh-TW" w:eastAsia="zh-CN"/>
              </w:rPr>
              <w:t>磋商</w:t>
            </w:r>
            <w:r>
              <w:rPr>
                <w:rFonts w:hint="eastAsia" w:ascii="宋体" w:hAnsi="宋体"/>
                <w:sz w:val="24"/>
                <w:highlight w:val="none"/>
              </w:rPr>
              <w:t>报价</w:t>
            </w:r>
            <w:r>
              <w:rPr>
                <w:rFonts w:hint="eastAsia" w:ascii="宋体" w:hAnsi="宋体"/>
                <w:sz w:val="24"/>
                <w:highlight w:val="none"/>
                <w:lang w:val="zh-TW" w:eastAsia="zh-TW"/>
              </w:rPr>
              <w:t>最</w:t>
            </w:r>
            <w:r>
              <w:rPr>
                <w:rFonts w:hint="eastAsia" w:ascii="宋体" w:hAnsi="宋体"/>
                <w:sz w:val="24"/>
                <w:highlight w:val="none"/>
                <w:lang w:val="zh-TW" w:eastAsia="zh-CN"/>
              </w:rPr>
              <w:t>高</w:t>
            </w:r>
            <w:r>
              <w:rPr>
                <w:rFonts w:hint="eastAsia" w:ascii="宋体" w:hAnsi="宋体"/>
                <w:sz w:val="24"/>
                <w:highlight w:val="none"/>
                <w:lang w:val="zh-TW" w:eastAsia="zh-TW"/>
              </w:rPr>
              <w:t>的</w:t>
            </w:r>
            <w:r>
              <w:rPr>
                <w:rFonts w:hint="eastAsia" w:ascii="宋体" w:hAnsi="宋体"/>
                <w:sz w:val="24"/>
                <w:highlight w:val="none"/>
                <w:lang w:val="zh-TW"/>
              </w:rPr>
              <w:t>磋商</w:t>
            </w:r>
            <w:r>
              <w:rPr>
                <w:rFonts w:hint="eastAsia" w:ascii="宋体" w:hAnsi="宋体"/>
                <w:sz w:val="24"/>
                <w:highlight w:val="none"/>
                <w:lang w:val="zh-TW" w:eastAsia="zh-TW"/>
              </w:rPr>
              <w:t>报价为</w:t>
            </w:r>
            <w:r>
              <w:rPr>
                <w:rFonts w:hint="eastAsia" w:ascii="宋体" w:hAnsi="宋体"/>
                <w:sz w:val="24"/>
                <w:highlight w:val="none"/>
                <w:lang w:val="zh-TW" w:eastAsia="zh-CN"/>
              </w:rPr>
              <w:t>磋商</w:t>
            </w:r>
            <w:r>
              <w:rPr>
                <w:rFonts w:hint="eastAsia" w:ascii="宋体" w:hAnsi="宋体"/>
                <w:sz w:val="24"/>
                <w:highlight w:val="none"/>
                <w:lang w:val="zh-TW" w:eastAsia="zh-TW"/>
              </w:rPr>
              <w:t>基准价，其价格分为满分。其他</w:t>
            </w:r>
            <w:r>
              <w:rPr>
                <w:rFonts w:hint="eastAsia" w:ascii="宋体" w:hAnsi="宋体"/>
                <w:sz w:val="24"/>
                <w:highlight w:val="none"/>
                <w:lang w:val="zh-TW" w:eastAsia="zh-CN"/>
              </w:rPr>
              <w:t>供应商</w:t>
            </w:r>
            <w:r>
              <w:rPr>
                <w:rFonts w:hint="eastAsia" w:ascii="宋体" w:hAnsi="宋体"/>
                <w:sz w:val="24"/>
                <w:highlight w:val="none"/>
                <w:lang w:val="zh-TW" w:eastAsia="zh-TW"/>
              </w:rPr>
              <w:t>的价格分统一按照下列公式计算：</w:t>
            </w:r>
          </w:p>
          <w:p w14:paraId="730B1F68">
            <w:pPr>
              <w:widowControl/>
              <w:spacing w:line="360" w:lineRule="auto"/>
              <w:rPr>
                <w:rFonts w:hint="eastAsia" w:asciiTheme="minorEastAsia" w:hAnsiTheme="minorEastAsia" w:eastAsiaTheme="minorEastAsia" w:cstheme="minorEastAsia"/>
                <w:color w:val="auto"/>
                <w:sz w:val="24"/>
                <w:szCs w:val="24"/>
                <w:highlight w:val="none"/>
                <w:lang w:val="zh-TW" w:eastAsia="zh-TW"/>
              </w:rPr>
            </w:pPr>
            <w:r>
              <w:rPr>
                <w:rFonts w:hint="eastAsia" w:ascii="宋体" w:hAnsi="宋体"/>
                <w:sz w:val="24"/>
                <w:highlight w:val="none"/>
                <w:lang w:val="zh-TW"/>
              </w:rPr>
              <w:t>磋商</w:t>
            </w:r>
            <w:r>
              <w:rPr>
                <w:rFonts w:hint="eastAsia" w:ascii="宋体" w:hAnsi="宋体"/>
                <w:sz w:val="24"/>
                <w:highlight w:val="none"/>
                <w:lang w:val="zh-TW" w:eastAsia="zh-TW"/>
              </w:rPr>
              <w:t>报价得分=</w:t>
            </w:r>
            <w:r>
              <w:rPr>
                <w:rFonts w:hint="eastAsia" w:ascii="宋体" w:hAnsi="宋体"/>
                <w:sz w:val="24"/>
                <w:highlight w:val="none"/>
                <w:lang w:val="zh-TW" w:eastAsia="zh-CN"/>
              </w:rPr>
              <w:t>（</w:t>
            </w:r>
            <w:r>
              <w:rPr>
                <w:rFonts w:hint="eastAsia" w:ascii="宋体" w:hAnsi="宋体"/>
                <w:sz w:val="24"/>
                <w:highlight w:val="none"/>
                <w:lang w:val="en-US" w:eastAsia="zh-CN"/>
              </w:rPr>
              <w:t>磋商</w:t>
            </w:r>
            <w:r>
              <w:rPr>
                <w:rFonts w:hint="eastAsia" w:ascii="宋体" w:hAnsi="宋体"/>
                <w:sz w:val="24"/>
                <w:highlight w:val="none"/>
                <w:lang w:val="zh-TW" w:eastAsia="zh-TW"/>
              </w:rPr>
              <w:t>报价／</w:t>
            </w:r>
            <w:r>
              <w:rPr>
                <w:rFonts w:hint="eastAsia" w:ascii="宋体" w:hAnsi="宋体"/>
                <w:sz w:val="24"/>
                <w:highlight w:val="none"/>
                <w:lang w:val="zh-TW" w:eastAsia="zh-CN"/>
              </w:rPr>
              <w:t>磋商</w:t>
            </w:r>
            <w:r>
              <w:rPr>
                <w:rFonts w:hint="eastAsia" w:ascii="宋体" w:hAnsi="宋体"/>
                <w:sz w:val="24"/>
                <w:highlight w:val="none"/>
                <w:lang w:val="zh-TW" w:eastAsia="zh-TW"/>
              </w:rPr>
              <w:t>基准价</w:t>
            </w:r>
            <w:r>
              <w:rPr>
                <w:rFonts w:hint="eastAsia" w:ascii="宋体" w:hAnsi="宋体"/>
                <w:sz w:val="24"/>
                <w:highlight w:val="none"/>
                <w:lang w:val="zh-TW" w:eastAsia="zh-CN"/>
              </w:rPr>
              <w:t>）</w:t>
            </w:r>
            <w:r>
              <w:rPr>
                <w:rFonts w:hint="eastAsia" w:ascii="宋体" w:hAnsi="宋体"/>
                <w:sz w:val="24"/>
                <w:highlight w:val="none"/>
                <w:lang w:val="zh-TW" w:eastAsia="zh-TW"/>
              </w:rPr>
              <w:t>×</w:t>
            </w:r>
            <w:r>
              <w:rPr>
                <w:rFonts w:hint="eastAsia" w:ascii="宋体" w:hAnsi="宋体"/>
                <w:sz w:val="24"/>
                <w:highlight w:val="none"/>
                <w:lang w:val="en-US" w:eastAsia="zh-CN"/>
              </w:rPr>
              <w:t>30</w:t>
            </w:r>
          </w:p>
        </w:tc>
      </w:tr>
      <w:tr w14:paraId="4A009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898" w:type="dxa"/>
            <w:vMerge w:val="restart"/>
            <w:tcBorders>
              <w:left w:val="single" w:color="000000" w:sz="4" w:space="0"/>
              <w:right w:val="single" w:color="auto" w:sz="4" w:space="0"/>
            </w:tcBorders>
            <w:vAlign w:val="center"/>
          </w:tcPr>
          <w:p w14:paraId="7E0367CC">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CN" w:bidi="zh-TW"/>
              </w:rPr>
            </w:pPr>
            <w:r>
              <w:rPr>
                <w:rFonts w:hint="eastAsia" w:asciiTheme="minorEastAsia" w:hAnsiTheme="minorEastAsia" w:eastAsiaTheme="minorEastAsia" w:cstheme="minorEastAsia"/>
                <w:color w:val="auto"/>
                <w:sz w:val="24"/>
                <w:szCs w:val="24"/>
                <w:highlight w:val="none"/>
                <w:lang w:val="zh-TW" w:eastAsia="zh-CN" w:bidi="zh-TW"/>
              </w:rPr>
              <w:t>技术部分</w:t>
            </w:r>
            <w:r>
              <w:rPr>
                <w:rFonts w:hint="eastAsia" w:asciiTheme="minorEastAsia" w:hAnsiTheme="minorEastAsia" w:eastAsiaTheme="minorEastAsia" w:cstheme="minorEastAsia"/>
                <w:color w:val="auto"/>
                <w:sz w:val="24"/>
                <w:szCs w:val="24"/>
                <w:highlight w:val="none"/>
                <w:lang w:val="zh-TW" w:eastAsia="zh-TW" w:bidi="zh-TW"/>
              </w:rPr>
              <w:t>（</w:t>
            </w:r>
            <w:r>
              <w:rPr>
                <w:rFonts w:hint="eastAsia" w:asciiTheme="minorEastAsia" w:hAnsiTheme="minorEastAsia" w:eastAsiaTheme="minorEastAsia" w:cstheme="minorEastAsia"/>
                <w:color w:val="auto"/>
                <w:sz w:val="24"/>
                <w:szCs w:val="24"/>
                <w:highlight w:val="none"/>
                <w:lang w:val="en-US" w:eastAsia="zh-CN" w:bidi="zh-TW"/>
              </w:rPr>
              <w:t>56</w:t>
            </w:r>
            <w:r>
              <w:rPr>
                <w:rFonts w:hint="eastAsia" w:asciiTheme="minorEastAsia" w:hAnsiTheme="minorEastAsia" w:eastAsiaTheme="minorEastAsia" w:cstheme="minorEastAsia"/>
                <w:color w:val="auto"/>
                <w:sz w:val="24"/>
                <w:szCs w:val="24"/>
                <w:highlight w:val="none"/>
                <w:lang w:val="zh-TW" w:eastAsia="zh-TW" w:bidi="zh-TW"/>
              </w:rPr>
              <w:t>分）</w:t>
            </w:r>
          </w:p>
        </w:tc>
        <w:tc>
          <w:tcPr>
            <w:tcW w:w="1410" w:type="dxa"/>
            <w:tcBorders>
              <w:top w:val="single" w:color="000000" w:sz="4" w:space="0"/>
              <w:left w:val="single" w:color="auto" w:sz="4" w:space="0"/>
              <w:right w:val="single" w:color="000000" w:sz="4" w:space="0"/>
            </w:tcBorders>
            <w:vAlign w:val="center"/>
          </w:tcPr>
          <w:p w14:paraId="7546F0F9">
            <w:pPr>
              <w:widowControl/>
              <w:spacing w:line="240" w:lineRule="atLeast"/>
              <w:jc w:val="center"/>
              <w:rPr>
                <w:rFonts w:hint="default" w:asciiTheme="minorEastAsia" w:hAnsiTheme="minorEastAsia" w:eastAsiaTheme="minorEastAsia" w:cstheme="minorEastAsia"/>
                <w:color w:val="auto"/>
                <w:kern w:val="2"/>
                <w:sz w:val="24"/>
                <w:szCs w:val="24"/>
                <w:lang w:val="en-US" w:eastAsia="zh-CN" w:bidi="ar-SA"/>
              </w:rPr>
            </w:pPr>
            <w:r>
              <w:rPr>
                <w:rFonts w:hint="eastAsia" w:ascii="宋体" w:hAnsi="宋体"/>
                <w:color w:val="auto"/>
                <w:sz w:val="24"/>
                <w:szCs w:val="24"/>
                <w:lang w:val="zh-TW"/>
              </w:rPr>
              <w:t>总体监控方案</w:t>
            </w:r>
          </w:p>
        </w:tc>
        <w:tc>
          <w:tcPr>
            <w:tcW w:w="782" w:type="dxa"/>
            <w:tcBorders>
              <w:top w:val="single" w:color="000000" w:sz="4" w:space="0"/>
              <w:left w:val="single" w:color="000000" w:sz="4" w:space="0"/>
              <w:right w:val="single" w:color="000000" w:sz="4" w:space="0"/>
            </w:tcBorders>
            <w:vAlign w:val="center"/>
          </w:tcPr>
          <w:p w14:paraId="5930A04E">
            <w:pPr>
              <w:widowControl/>
              <w:spacing w:line="240" w:lineRule="atLeast"/>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color w:val="auto"/>
                <w:sz w:val="24"/>
                <w:szCs w:val="24"/>
                <w:lang w:val="en-US" w:eastAsia="zh-CN"/>
              </w:rPr>
              <w:t>8</w:t>
            </w:r>
            <w:r>
              <w:rPr>
                <w:rFonts w:hint="eastAsia" w:ascii="宋体" w:hAnsi="宋体"/>
                <w:color w:val="auto"/>
                <w:sz w:val="24"/>
                <w:szCs w:val="24"/>
              </w:rPr>
              <w:t>分</w:t>
            </w:r>
          </w:p>
        </w:tc>
        <w:tc>
          <w:tcPr>
            <w:tcW w:w="6075" w:type="dxa"/>
            <w:tcBorders>
              <w:top w:val="single" w:color="000000" w:sz="4" w:space="0"/>
              <w:left w:val="single" w:color="000000" w:sz="4" w:space="0"/>
              <w:right w:val="single" w:color="auto" w:sz="4" w:space="0"/>
            </w:tcBorders>
            <w:vAlign w:val="top"/>
          </w:tcPr>
          <w:p w14:paraId="135474F8">
            <w:pPr>
              <w:widowControl/>
              <w:spacing w:line="360" w:lineRule="auto"/>
              <w:rPr>
                <w:rFonts w:ascii="宋体" w:hAnsi="宋体"/>
                <w:sz w:val="24"/>
                <w:szCs w:val="24"/>
              </w:rPr>
            </w:pPr>
            <w:r>
              <w:rPr>
                <w:rFonts w:hint="eastAsia" w:ascii="宋体" w:hAnsi="宋体"/>
                <w:sz w:val="24"/>
                <w:szCs w:val="24"/>
              </w:rPr>
              <w:t>着眼整体，体现出现代企业管理的理念，制度管理与人文管理相结合，效果管理与日常监管相结合，利用规模经营和现代化的设备、设施对食品质量、食品安全等进行全方位的监管。</w:t>
            </w:r>
          </w:p>
          <w:p w14:paraId="144F6854">
            <w:pPr>
              <w:widowControl/>
              <w:spacing w:line="360" w:lineRule="auto"/>
              <w:rPr>
                <w:rFonts w:ascii="宋体" w:hAnsi="宋体"/>
                <w:sz w:val="24"/>
                <w:szCs w:val="24"/>
              </w:rPr>
            </w:pPr>
            <w:r>
              <w:rPr>
                <w:rFonts w:hint="eastAsia" w:ascii="宋体" w:hAnsi="宋体"/>
                <w:sz w:val="24"/>
                <w:szCs w:val="24"/>
              </w:rPr>
              <w:t>（1）监控方案科学、合理、全面</w:t>
            </w:r>
            <w:r>
              <w:rPr>
                <w:rFonts w:hint="eastAsia" w:ascii="宋体" w:hAnsi="宋体"/>
                <w:sz w:val="24"/>
                <w:szCs w:val="24"/>
                <w:lang w:eastAsia="zh-CN"/>
              </w:rPr>
              <w:t>地</w:t>
            </w:r>
            <w:r>
              <w:rPr>
                <w:rFonts w:hint="eastAsia" w:ascii="宋体" w:hAnsi="宋体"/>
                <w:sz w:val="24"/>
                <w:szCs w:val="24"/>
              </w:rPr>
              <w:t>得</w:t>
            </w:r>
            <w:r>
              <w:rPr>
                <w:rFonts w:hint="eastAsia" w:ascii="宋体" w:hAnsi="宋体"/>
                <w:sz w:val="24"/>
                <w:szCs w:val="24"/>
                <w:lang w:val="en-US" w:eastAsia="zh-CN"/>
              </w:rPr>
              <w:t>8</w:t>
            </w:r>
            <w:r>
              <w:rPr>
                <w:rFonts w:hint="eastAsia" w:ascii="宋体" w:hAnsi="宋体"/>
                <w:sz w:val="24"/>
                <w:szCs w:val="24"/>
              </w:rPr>
              <w:t>分；</w:t>
            </w:r>
          </w:p>
          <w:p w14:paraId="28936D9B">
            <w:pPr>
              <w:widowControl/>
              <w:spacing w:line="360" w:lineRule="auto"/>
              <w:rPr>
                <w:rFonts w:ascii="宋体" w:hAnsi="宋体"/>
                <w:sz w:val="24"/>
                <w:szCs w:val="24"/>
              </w:rPr>
            </w:pPr>
            <w:r>
              <w:rPr>
                <w:rFonts w:hint="eastAsia" w:ascii="宋体" w:hAnsi="宋体"/>
                <w:sz w:val="24"/>
                <w:szCs w:val="24"/>
              </w:rPr>
              <w:t>（2）监控方案比较合理、全面</w:t>
            </w:r>
            <w:r>
              <w:rPr>
                <w:rFonts w:hint="eastAsia" w:ascii="宋体" w:hAnsi="宋体"/>
                <w:sz w:val="24"/>
                <w:szCs w:val="24"/>
                <w:lang w:eastAsia="zh-CN"/>
              </w:rPr>
              <w:t>地</w:t>
            </w:r>
            <w:r>
              <w:rPr>
                <w:rFonts w:hint="eastAsia" w:ascii="宋体" w:hAnsi="宋体"/>
                <w:sz w:val="24"/>
                <w:szCs w:val="24"/>
              </w:rPr>
              <w:t>得</w:t>
            </w:r>
            <w:r>
              <w:rPr>
                <w:rFonts w:hint="eastAsia" w:ascii="宋体" w:hAnsi="宋体"/>
                <w:sz w:val="24"/>
                <w:szCs w:val="24"/>
                <w:lang w:val="en-US" w:eastAsia="zh-CN"/>
              </w:rPr>
              <w:t>6</w:t>
            </w:r>
            <w:r>
              <w:rPr>
                <w:rFonts w:hint="eastAsia" w:ascii="宋体" w:hAnsi="宋体"/>
                <w:sz w:val="24"/>
                <w:szCs w:val="24"/>
              </w:rPr>
              <w:t>分；</w:t>
            </w:r>
          </w:p>
          <w:p w14:paraId="2421C320">
            <w:pPr>
              <w:widowControl/>
              <w:spacing w:line="360" w:lineRule="auto"/>
              <w:rPr>
                <w:rFonts w:ascii="宋体" w:hAnsi="宋体"/>
                <w:sz w:val="24"/>
                <w:szCs w:val="24"/>
              </w:rPr>
            </w:pPr>
            <w:r>
              <w:rPr>
                <w:rFonts w:hint="eastAsia" w:ascii="宋体" w:hAnsi="宋体"/>
                <w:sz w:val="24"/>
                <w:szCs w:val="24"/>
              </w:rPr>
              <w:t>（3）监控方案基本合理或者一般的得4分；</w:t>
            </w:r>
          </w:p>
          <w:p w14:paraId="2D258A68">
            <w:pPr>
              <w:widowControl/>
              <w:spacing w:line="360" w:lineRule="auto"/>
              <w:rPr>
                <w:rFonts w:ascii="宋体" w:hAnsi="宋体"/>
                <w:sz w:val="24"/>
                <w:szCs w:val="24"/>
              </w:rPr>
            </w:pPr>
            <w:r>
              <w:rPr>
                <w:rFonts w:hint="eastAsia" w:ascii="宋体" w:hAnsi="宋体"/>
                <w:sz w:val="24"/>
                <w:szCs w:val="24"/>
              </w:rPr>
              <w:t>（4）监控方案较差的得</w:t>
            </w:r>
            <w:r>
              <w:rPr>
                <w:rFonts w:hint="eastAsia" w:ascii="宋体" w:hAnsi="宋体"/>
                <w:sz w:val="24"/>
                <w:szCs w:val="24"/>
                <w:lang w:val="en-US" w:eastAsia="zh-CN"/>
              </w:rPr>
              <w:t>2</w:t>
            </w:r>
            <w:r>
              <w:rPr>
                <w:rFonts w:hint="eastAsia" w:ascii="宋体" w:hAnsi="宋体"/>
                <w:sz w:val="24"/>
                <w:szCs w:val="24"/>
              </w:rPr>
              <w:t>分；</w:t>
            </w:r>
          </w:p>
          <w:p w14:paraId="11AE9DAD">
            <w:pPr>
              <w:widowControl/>
              <w:spacing w:line="360" w:lineRule="auto"/>
              <w:rPr>
                <w:rFonts w:hint="eastAsia" w:asciiTheme="minorEastAsia" w:hAnsiTheme="minorEastAsia" w:eastAsiaTheme="minorEastAsia" w:cstheme="minorEastAsia"/>
                <w:color w:val="auto"/>
                <w:sz w:val="24"/>
                <w:szCs w:val="24"/>
                <w:highlight w:val="none"/>
                <w:lang w:val="zh-TW" w:eastAsia="zh-TW" w:bidi="zh-TW"/>
              </w:rPr>
            </w:pPr>
            <w:r>
              <w:rPr>
                <w:rFonts w:hint="eastAsia" w:ascii="宋体" w:hAnsi="宋体"/>
                <w:sz w:val="24"/>
                <w:szCs w:val="24"/>
              </w:rPr>
              <w:t>缺项不得分。</w:t>
            </w:r>
          </w:p>
        </w:tc>
      </w:tr>
      <w:tr w14:paraId="3A7E8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898" w:type="dxa"/>
            <w:vMerge w:val="continue"/>
            <w:tcBorders>
              <w:left w:val="single" w:color="000000" w:sz="4" w:space="0"/>
              <w:right w:val="single" w:color="auto" w:sz="4" w:space="0"/>
            </w:tcBorders>
            <w:vAlign w:val="center"/>
          </w:tcPr>
          <w:p w14:paraId="0E9FF0D5">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CN" w:bidi="zh-TW"/>
              </w:rPr>
            </w:pPr>
          </w:p>
        </w:tc>
        <w:tc>
          <w:tcPr>
            <w:tcW w:w="1410" w:type="dxa"/>
            <w:tcBorders>
              <w:top w:val="single" w:color="000000" w:sz="4" w:space="0"/>
              <w:left w:val="single" w:color="auto" w:sz="4" w:space="0"/>
              <w:right w:val="single" w:color="000000" w:sz="4" w:space="0"/>
            </w:tcBorders>
            <w:vAlign w:val="center"/>
          </w:tcPr>
          <w:p w14:paraId="54CFFF60">
            <w:pPr>
              <w:widowControl/>
              <w:spacing w:line="240" w:lineRule="atLeast"/>
              <w:jc w:val="center"/>
              <w:rPr>
                <w:rFonts w:hint="default" w:asciiTheme="minorEastAsia" w:hAnsiTheme="minorEastAsia" w:eastAsiaTheme="minorEastAsia" w:cstheme="minorEastAsia"/>
                <w:color w:val="auto"/>
                <w:kern w:val="2"/>
                <w:sz w:val="24"/>
                <w:szCs w:val="24"/>
                <w:lang w:val="en-US" w:eastAsia="zh-CN" w:bidi="ar-SA"/>
              </w:rPr>
            </w:pPr>
            <w:r>
              <w:rPr>
                <w:rFonts w:hint="eastAsia"/>
                <w:color w:val="auto"/>
                <w:sz w:val="24"/>
                <w:szCs w:val="24"/>
              </w:rPr>
              <w:t>经营服务方案</w:t>
            </w:r>
          </w:p>
        </w:tc>
        <w:tc>
          <w:tcPr>
            <w:tcW w:w="782" w:type="dxa"/>
            <w:tcBorders>
              <w:top w:val="single" w:color="000000" w:sz="4" w:space="0"/>
              <w:left w:val="single" w:color="000000" w:sz="4" w:space="0"/>
              <w:right w:val="single" w:color="000000" w:sz="4" w:space="0"/>
            </w:tcBorders>
            <w:vAlign w:val="center"/>
          </w:tcPr>
          <w:p w14:paraId="35F060CC">
            <w:pPr>
              <w:widowControl/>
              <w:spacing w:line="240" w:lineRule="atLeast"/>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lang w:val="en-US" w:eastAsia="zh-CN"/>
              </w:rPr>
              <w:t>8</w:t>
            </w:r>
            <w:r>
              <w:rPr>
                <w:rFonts w:hint="eastAsia" w:ascii="宋体" w:hAnsi="宋体"/>
                <w:color w:val="auto"/>
                <w:sz w:val="24"/>
                <w:szCs w:val="24"/>
              </w:rPr>
              <w:t>分</w:t>
            </w:r>
          </w:p>
        </w:tc>
        <w:tc>
          <w:tcPr>
            <w:tcW w:w="6075" w:type="dxa"/>
            <w:tcBorders>
              <w:top w:val="single" w:color="000000" w:sz="4" w:space="0"/>
              <w:left w:val="single" w:color="000000" w:sz="4" w:space="0"/>
              <w:right w:val="single" w:color="auto" w:sz="4" w:space="0"/>
            </w:tcBorders>
            <w:vAlign w:val="top"/>
          </w:tcPr>
          <w:p w14:paraId="035E95A1">
            <w:pPr>
              <w:widowControl/>
              <w:spacing w:line="360" w:lineRule="auto"/>
              <w:rPr>
                <w:rFonts w:hint="eastAsia" w:ascii="宋体" w:hAnsi="宋体"/>
                <w:sz w:val="24"/>
                <w:szCs w:val="24"/>
              </w:rPr>
            </w:pPr>
            <w:r>
              <w:rPr>
                <w:rFonts w:hint="eastAsia" w:ascii="宋体" w:hAnsi="宋体"/>
                <w:sz w:val="24"/>
                <w:szCs w:val="24"/>
              </w:rPr>
              <w:t>包含但不限于经营档口布局合理、经营品种、饭菜价格微利管控方案、服务保障方案、员工消防培训方案和合法的用工方案等</w:t>
            </w:r>
            <w:r>
              <w:rPr>
                <w:rFonts w:hint="eastAsia" w:ascii="宋体" w:hAnsi="宋体"/>
                <w:sz w:val="24"/>
                <w:szCs w:val="24"/>
                <w:lang w:eastAsia="zh-CN"/>
              </w:rPr>
              <w:t>。</w:t>
            </w:r>
          </w:p>
          <w:p w14:paraId="5EB42AC9">
            <w:pPr>
              <w:widowControl/>
              <w:spacing w:line="360" w:lineRule="auto"/>
              <w:rPr>
                <w:rFonts w:ascii="宋体" w:hAnsi="宋体"/>
                <w:sz w:val="24"/>
                <w:szCs w:val="24"/>
              </w:rPr>
            </w:pPr>
            <w:r>
              <w:rPr>
                <w:rFonts w:hint="eastAsia" w:ascii="宋体" w:hAnsi="宋体"/>
                <w:sz w:val="24"/>
                <w:szCs w:val="24"/>
              </w:rPr>
              <w:t>（1）方案完整、科学、合理、全面的得</w:t>
            </w:r>
            <w:r>
              <w:rPr>
                <w:rFonts w:hint="eastAsia" w:ascii="宋体" w:hAnsi="宋体"/>
                <w:sz w:val="24"/>
                <w:szCs w:val="24"/>
                <w:lang w:val="en-US" w:eastAsia="zh-CN"/>
              </w:rPr>
              <w:t>8</w:t>
            </w:r>
            <w:r>
              <w:rPr>
                <w:rFonts w:hint="eastAsia" w:ascii="宋体" w:hAnsi="宋体"/>
                <w:sz w:val="24"/>
                <w:szCs w:val="24"/>
              </w:rPr>
              <w:t>分；</w:t>
            </w:r>
          </w:p>
          <w:p w14:paraId="37C452DC">
            <w:pPr>
              <w:widowControl/>
              <w:spacing w:line="360" w:lineRule="auto"/>
              <w:rPr>
                <w:rFonts w:ascii="宋体" w:hAnsi="宋体"/>
                <w:sz w:val="24"/>
                <w:szCs w:val="24"/>
              </w:rPr>
            </w:pPr>
            <w:r>
              <w:rPr>
                <w:rFonts w:hint="eastAsia" w:ascii="宋体" w:hAnsi="宋体"/>
                <w:sz w:val="24"/>
                <w:szCs w:val="24"/>
              </w:rPr>
              <w:t>（2）方案比较完整、合理、全面的得</w:t>
            </w:r>
            <w:r>
              <w:rPr>
                <w:rFonts w:hint="eastAsia" w:ascii="宋体" w:hAnsi="宋体"/>
                <w:sz w:val="24"/>
                <w:szCs w:val="24"/>
                <w:lang w:val="en-US" w:eastAsia="zh-CN"/>
              </w:rPr>
              <w:t>6</w:t>
            </w:r>
            <w:r>
              <w:rPr>
                <w:rFonts w:hint="eastAsia" w:ascii="宋体" w:hAnsi="宋体"/>
                <w:sz w:val="24"/>
                <w:szCs w:val="24"/>
              </w:rPr>
              <w:t>分；</w:t>
            </w:r>
          </w:p>
          <w:p w14:paraId="003D2735">
            <w:pPr>
              <w:widowControl/>
              <w:spacing w:line="360" w:lineRule="auto"/>
              <w:rPr>
                <w:rFonts w:ascii="宋体" w:hAnsi="宋体"/>
                <w:sz w:val="24"/>
                <w:szCs w:val="24"/>
              </w:rPr>
            </w:pPr>
            <w:r>
              <w:rPr>
                <w:rFonts w:hint="eastAsia" w:ascii="宋体" w:hAnsi="宋体"/>
                <w:sz w:val="24"/>
                <w:szCs w:val="24"/>
              </w:rPr>
              <w:t>（3）方案基本完整、合理的得4分；</w:t>
            </w:r>
          </w:p>
          <w:p w14:paraId="2D01A854">
            <w:pPr>
              <w:widowControl/>
              <w:spacing w:line="360" w:lineRule="auto"/>
              <w:rPr>
                <w:rFonts w:ascii="宋体" w:hAnsi="宋体"/>
                <w:sz w:val="24"/>
                <w:szCs w:val="24"/>
              </w:rPr>
            </w:pPr>
            <w:r>
              <w:rPr>
                <w:rFonts w:hint="eastAsia" w:ascii="宋体" w:hAnsi="宋体"/>
                <w:sz w:val="24"/>
                <w:szCs w:val="24"/>
              </w:rPr>
              <w:t>（4）方案不完整或者较差的得</w:t>
            </w:r>
            <w:r>
              <w:rPr>
                <w:rFonts w:hint="eastAsia" w:ascii="宋体" w:hAnsi="宋体"/>
                <w:sz w:val="24"/>
                <w:szCs w:val="24"/>
                <w:lang w:val="en-US" w:eastAsia="zh-CN"/>
              </w:rPr>
              <w:t>2</w:t>
            </w:r>
            <w:r>
              <w:rPr>
                <w:rFonts w:hint="eastAsia" w:ascii="宋体" w:hAnsi="宋体"/>
                <w:sz w:val="24"/>
                <w:szCs w:val="24"/>
              </w:rPr>
              <w:t>分；</w:t>
            </w:r>
          </w:p>
          <w:p w14:paraId="79C8AA9A">
            <w:pPr>
              <w:widowControl/>
              <w:spacing w:line="360" w:lineRule="auto"/>
              <w:rPr>
                <w:rFonts w:hint="eastAsia" w:ascii="宋体" w:hAnsi="宋体" w:eastAsia="宋体" w:cs="Times New Roman"/>
                <w:color w:val="auto"/>
                <w:kern w:val="2"/>
                <w:sz w:val="24"/>
                <w:szCs w:val="24"/>
                <w:highlight w:val="none"/>
                <w:lang w:val="zh-TW" w:eastAsia="zh-TW" w:bidi="ar-SA"/>
              </w:rPr>
            </w:pPr>
            <w:r>
              <w:rPr>
                <w:rFonts w:hint="eastAsia" w:ascii="宋体" w:hAnsi="宋体"/>
                <w:sz w:val="24"/>
                <w:szCs w:val="24"/>
              </w:rPr>
              <w:t>缺项不得分。</w:t>
            </w:r>
          </w:p>
        </w:tc>
      </w:tr>
      <w:tr w14:paraId="3ABEB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898" w:type="dxa"/>
            <w:vMerge w:val="continue"/>
            <w:tcBorders>
              <w:left w:val="single" w:color="000000" w:sz="4" w:space="0"/>
              <w:right w:val="single" w:color="auto" w:sz="4" w:space="0"/>
            </w:tcBorders>
            <w:vAlign w:val="center"/>
          </w:tcPr>
          <w:p w14:paraId="1C79840C">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CN" w:bidi="zh-TW"/>
              </w:rPr>
            </w:pPr>
          </w:p>
        </w:tc>
        <w:tc>
          <w:tcPr>
            <w:tcW w:w="1410" w:type="dxa"/>
            <w:tcBorders>
              <w:top w:val="single" w:color="000000" w:sz="4" w:space="0"/>
              <w:left w:val="single" w:color="auto" w:sz="4" w:space="0"/>
              <w:right w:val="single" w:color="000000" w:sz="4" w:space="0"/>
            </w:tcBorders>
            <w:vAlign w:val="center"/>
          </w:tcPr>
          <w:p w14:paraId="2386DF85">
            <w:pPr>
              <w:widowControl/>
              <w:spacing w:line="240" w:lineRule="atLeas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sz w:val="24"/>
                <w:szCs w:val="24"/>
              </w:rPr>
              <w:t>质量控制方案</w:t>
            </w:r>
          </w:p>
        </w:tc>
        <w:tc>
          <w:tcPr>
            <w:tcW w:w="782" w:type="dxa"/>
            <w:tcBorders>
              <w:top w:val="single" w:color="000000" w:sz="4" w:space="0"/>
              <w:left w:val="single" w:color="000000" w:sz="4" w:space="0"/>
              <w:right w:val="single" w:color="000000" w:sz="4" w:space="0"/>
            </w:tcBorders>
            <w:vAlign w:val="center"/>
          </w:tcPr>
          <w:p w14:paraId="06940884">
            <w:pPr>
              <w:widowControl/>
              <w:spacing w:line="240" w:lineRule="atLeast"/>
              <w:rPr>
                <w:rFonts w:hint="eastAsia" w:asciiTheme="minorEastAsia" w:hAnsiTheme="minorEastAsia" w:eastAsiaTheme="minorEastAsia" w:cstheme="minorEastAsia"/>
                <w:color w:val="auto"/>
                <w:kern w:val="2"/>
                <w:sz w:val="24"/>
                <w:szCs w:val="24"/>
                <w:highlight w:val="none"/>
                <w:lang w:val="en-US" w:eastAsia="zh-CN" w:bidi="zh-TW"/>
              </w:rPr>
            </w:pPr>
            <w:r>
              <w:rPr>
                <w:rFonts w:hint="eastAsia" w:ascii="宋体" w:hAnsi="宋体"/>
                <w:sz w:val="24"/>
                <w:szCs w:val="24"/>
                <w:lang w:val="en-US" w:eastAsia="zh-CN"/>
              </w:rPr>
              <w:t>8</w:t>
            </w:r>
            <w:r>
              <w:rPr>
                <w:rFonts w:hint="eastAsia" w:ascii="宋体" w:hAnsi="宋体"/>
                <w:sz w:val="24"/>
                <w:szCs w:val="24"/>
              </w:rPr>
              <w:t>分</w:t>
            </w:r>
          </w:p>
        </w:tc>
        <w:tc>
          <w:tcPr>
            <w:tcW w:w="6075" w:type="dxa"/>
            <w:tcBorders>
              <w:top w:val="single" w:color="000000" w:sz="4" w:space="0"/>
              <w:left w:val="single" w:color="000000" w:sz="4" w:space="0"/>
              <w:right w:val="single" w:color="auto" w:sz="4" w:space="0"/>
            </w:tcBorders>
            <w:vAlign w:val="top"/>
          </w:tcPr>
          <w:p w14:paraId="31271BF9">
            <w:pPr>
              <w:widowControl/>
              <w:spacing w:line="360" w:lineRule="auto"/>
              <w:rPr>
                <w:rFonts w:ascii="宋体" w:hAnsi="宋体"/>
                <w:sz w:val="24"/>
                <w:szCs w:val="24"/>
                <w:lang w:val="zh-TW"/>
              </w:rPr>
            </w:pPr>
            <w:r>
              <w:rPr>
                <w:rFonts w:hint="eastAsia" w:hAnsi="宋体"/>
                <w:sz w:val="24"/>
                <w:szCs w:val="24"/>
              </w:rPr>
              <w:t>包含但不限于食材采购渠道、加工环节、不少于48小时留样环节、消毒环节、食品添加剂管理等各个环节食品质量及食品安全保障措施</w:t>
            </w:r>
            <w:r>
              <w:rPr>
                <w:rFonts w:hint="eastAsia" w:ascii="宋体" w:hAnsi="宋体"/>
                <w:sz w:val="24"/>
                <w:szCs w:val="24"/>
                <w:lang w:val="zh-TW"/>
              </w:rPr>
              <w:t>。</w:t>
            </w:r>
          </w:p>
          <w:p w14:paraId="455578E9">
            <w:pPr>
              <w:widowControl/>
              <w:spacing w:line="360" w:lineRule="auto"/>
              <w:rPr>
                <w:rFonts w:ascii="宋体" w:hAnsi="宋体"/>
                <w:sz w:val="24"/>
                <w:szCs w:val="24"/>
                <w:lang w:val="zh-TW" w:eastAsia="zh-TW"/>
              </w:rPr>
            </w:pPr>
            <w:r>
              <w:rPr>
                <w:rFonts w:hint="eastAsia" w:ascii="宋体" w:hAnsi="宋体"/>
                <w:sz w:val="24"/>
                <w:szCs w:val="24"/>
                <w:lang w:val="zh-TW"/>
              </w:rPr>
              <w:t>（</w:t>
            </w:r>
            <w:r>
              <w:rPr>
                <w:rFonts w:hint="eastAsia" w:ascii="宋体" w:hAnsi="宋体"/>
                <w:sz w:val="24"/>
                <w:szCs w:val="24"/>
              </w:rPr>
              <w:t>1）</w:t>
            </w:r>
            <w:r>
              <w:rPr>
                <w:rFonts w:hint="eastAsia" w:ascii="宋体" w:hAnsi="宋体"/>
                <w:sz w:val="24"/>
                <w:szCs w:val="24"/>
                <w:lang w:val="zh-TW"/>
              </w:rPr>
              <w:t>质量控制方案全面、科学、完整、合理的得</w:t>
            </w:r>
            <w:r>
              <w:rPr>
                <w:rFonts w:hint="eastAsia" w:ascii="宋体" w:hAnsi="宋体"/>
                <w:sz w:val="24"/>
                <w:szCs w:val="24"/>
                <w:lang w:val="en-US" w:eastAsia="zh-CN"/>
              </w:rPr>
              <w:t>8</w:t>
            </w:r>
            <w:r>
              <w:rPr>
                <w:rFonts w:hint="eastAsia" w:ascii="宋体" w:hAnsi="宋体"/>
                <w:sz w:val="24"/>
                <w:szCs w:val="24"/>
              </w:rPr>
              <w:t>分</w:t>
            </w:r>
            <w:r>
              <w:rPr>
                <w:rFonts w:hint="eastAsia" w:ascii="宋体" w:hAnsi="宋体"/>
                <w:sz w:val="24"/>
                <w:szCs w:val="24"/>
                <w:lang w:val="zh-TW" w:eastAsia="zh-TW"/>
              </w:rPr>
              <w:t xml:space="preserve">； </w:t>
            </w:r>
          </w:p>
          <w:p w14:paraId="09DF3B39">
            <w:pPr>
              <w:widowControl/>
              <w:spacing w:line="360" w:lineRule="auto"/>
              <w:rPr>
                <w:rFonts w:ascii="宋体" w:hAnsi="宋体"/>
                <w:sz w:val="24"/>
                <w:szCs w:val="24"/>
                <w:lang w:val="zh-TW" w:eastAsia="zh-TW"/>
              </w:rPr>
            </w:pPr>
            <w:r>
              <w:rPr>
                <w:rFonts w:hint="eastAsia" w:ascii="宋体" w:hAnsi="宋体"/>
                <w:sz w:val="24"/>
                <w:szCs w:val="24"/>
                <w:lang w:val="zh-TW"/>
              </w:rPr>
              <w:t>（</w:t>
            </w:r>
            <w:r>
              <w:rPr>
                <w:rFonts w:hint="eastAsia" w:ascii="宋体" w:hAnsi="宋体"/>
                <w:sz w:val="24"/>
                <w:szCs w:val="24"/>
              </w:rPr>
              <w:t>2</w:t>
            </w:r>
            <w:r>
              <w:rPr>
                <w:rFonts w:hint="eastAsia" w:ascii="宋体" w:hAnsi="宋体"/>
                <w:sz w:val="24"/>
                <w:szCs w:val="24"/>
                <w:lang w:val="zh-TW"/>
              </w:rPr>
              <w:t>）质量控制方案比较全面、合理、完整的</w:t>
            </w:r>
            <w:r>
              <w:rPr>
                <w:rFonts w:hint="eastAsia" w:ascii="宋体" w:hAnsi="宋体"/>
                <w:sz w:val="24"/>
                <w:szCs w:val="24"/>
                <w:lang w:val="zh-TW" w:eastAsia="zh-TW"/>
              </w:rPr>
              <w:t>得</w:t>
            </w:r>
            <w:r>
              <w:rPr>
                <w:rFonts w:hint="eastAsia" w:ascii="宋体" w:hAnsi="宋体"/>
                <w:sz w:val="24"/>
                <w:szCs w:val="24"/>
                <w:lang w:val="en-US" w:eastAsia="zh-CN"/>
              </w:rPr>
              <w:t>6</w:t>
            </w:r>
            <w:r>
              <w:rPr>
                <w:rFonts w:hint="eastAsia" w:ascii="宋体" w:hAnsi="宋体"/>
                <w:sz w:val="24"/>
                <w:szCs w:val="24"/>
                <w:lang w:val="zh-TW" w:eastAsia="zh-TW"/>
              </w:rPr>
              <w:t xml:space="preserve">分； </w:t>
            </w:r>
          </w:p>
          <w:p w14:paraId="73073F7D">
            <w:pPr>
              <w:widowControl/>
              <w:spacing w:line="360" w:lineRule="auto"/>
              <w:rPr>
                <w:rFonts w:ascii="宋体" w:hAnsi="宋体"/>
                <w:sz w:val="24"/>
                <w:szCs w:val="24"/>
                <w:lang w:val="zh-TW"/>
              </w:rPr>
            </w:pPr>
            <w:r>
              <w:rPr>
                <w:rFonts w:hint="eastAsia" w:ascii="宋体" w:hAnsi="宋体"/>
                <w:sz w:val="24"/>
                <w:szCs w:val="24"/>
                <w:lang w:val="zh-TW"/>
              </w:rPr>
              <w:t>（</w:t>
            </w:r>
            <w:r>
              <w:rPr>
                <w:rFonts w:hint="eastAsia" w:ascii="宋体" w:hAnsi="宋体"/>
                <w:sz w:val="24"/>
                <w:szCs w:val="24"/>
              </w:rPr>
              <w:t>3</w:t>
            </w:r>
            <w:r>
              <w:rPr>
                <w:rFonts w:hint="eastAsia" w:ascii="宋体" w:hAnsi="宋体"/>
                <w:sz w:val="24"/>
                <w:szCs w:val="24"/>
                <w:lang w:val="zh-TW"/>
              </w:rPr>
              <w:t>）质量控制方案不全面或者一般的得</w:t>
            </w:r>
            <w:r>
              <w:rPr>
                <w:rFonts w:hint="eastAsia" w:ascii="宋体" w:hAnsi="宋体"/>
                <w:sz w:val="24"/>
                <w:szCs w:val="24"/>
              </w:rPr>
              <w:t>4分</w:t>
            </w:r>
            <w:r>
              <w:rPr>
                <w:rFonts w:hint="eastAsia" w:ascii="宋体" w:hAnsi="宋体"/>
                <w:sz w:val="24"/>
                <w:szCs w:val="24"/>
                <w:lang w:val="zh-TW" w:eastAsia="zh-TW"/>
              </w:rPr>
              <w:t>；</w:t>
            </w:r>
          </w:p>
          <w:p w14:paraId="35EC20E0">
            <w:pPr>
              <w:widowControl/>
              <w:spacing w:line="360" w:lineRule="auto"/>
              <w:rPr>
                <w:rFonts w:ascii="宋体" w:hAnsi="宋体"/>
                <w:sz w:val="24"/>
                <w:szCs w:val="24"/>
              </w:rPr>
            </w:pPr>
            <w:r>
              <w:rPr>
                <w:rFonts w:hint="eastAsia" w:ascii="宋体" w:hAnsi="宋体"/>
                <w:sz w:val="24"/>
                <w:szCs w:val="24"/>
                <w:lang w:val="zh-TW"/>
              </w:rPr>
              <w:t>（</w:t>
            </w:r>
            <w:r>
              <w:rPr>
                <w:rFonts w:hint="eastAsia" w:ascii="宋体" w:hAnsi="宋体"/>
                <w:sz w:val="24"/>
                <w:szCs w:val="24"/>
              </w:rPr>
              <w:t>4</w:t>
            </w:r>
            <w:r>
              <w:rPr>
                <w:rFonts w:hint="eastAsia" w:ascii="宋体" w:hAnsi="宋体"/>
                <w:sz w:val="24"/>
                <w:szCs w:val="24"/>
                <w:lang w:val="zh-TW"/>
              </w:rPr>
              <w:t>）质量控制方案简陋、不合理或者较差的得</w:t>
            </w:r>
            <w:r>
              <w:rPr>
                <w:rFonts w:hint="eastAsia" w:ascii="宋体" w:hAnsi="宋体"/>
                <w:sz w:val="24"/>
                <w:szCs w:val="24"/>
                <w:lang w:val="en-US" w:eastAsia="zh-CN"/>
              </w:rPr>
              <w:t>2</w:t>
            </w:r>
            <w:r>
              <w:rPr>
                <w:rFonts w:hint="eastAsia" w:ascii="宋体" w:hAnsi="宋体"/>
                <w:sz w:val="24"/>
                <w:szCs w:val="24"/>
              </w:rPr>
              <w:t>分；</w:t>
            </w:r>
          </w:p>
          <w:p w14:paraId="24A68687">
            <w:pPr>
              <w:widowControl/>
              <w:spacing w:line="360" w:lineRule="auto"/>
              <w:rPr>
                <w:rFonts w:hint="eastAsia" w:asciiTheme="minorEastAsia" w:hAnsiTheme="minorEastAsia" w:eastAsiaTheme="minorEastAsia" w:cstheme="minorEastAsia"/>
                <w:color w:val="auto"/>
                <w:kern w:val="2"/>
                <w:sz w:val="24"/>
                <w:szCs w:val="24"/>
                <w:highlight w:val="none"/>
                <w:lang w:val="en-US" w:eastAsia="zh-CN" w:bidi="zh-TW"/>
              </w:rPr>
            </w:pPr>
            <w:r>
              <w:rPr>
                <w:rFonts w:hint="eastAsia" w:ascii="宋体" w:hAnsi="宋体"/>
                <w:sz w:val="24"/>
                <w:szCs w:val="24"/>
                <w:lang w:val="zh-TW" w:eastAsia="zh-TW"/>
              </w:rPr>
              <w:t>缺项不得分。</w:t>
            </w:r>
          </w:p>
        </w:tc>
      </w:tr>
      <w:tr w14:paraId="46AA2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898" w:type="dxa"/>
            <w:vMerge w:val="continue"/>
            <w:tcBorders>
              <w:left w:val="single" w:color="000000" w:sz="4" w:space="0"/>
              <w:right w:val="single" w:color="auto" w:sz="4" w:space="0"/>
            </w:tcBorders>
            <w:vAlign w:val="center"/>
          </w:tcPr>
          <w:p w14:paraId="7C6709D2">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CN" w:bidi="zh-TW"/>
              </w:rPr>
            </w:pPr>
          </w:p>
        </w:tc>
        <w:tc>
          <w:tcPr>
            <w:tcW w:w="1410" w:type="dxa"/>
            <w:tcBorders>
              <w:top w:val="single" w:color="000000" w:sz="4" w:space="0"/>
              <w:left w:val="single" w:color="auto" w:sz="4" w:space="0"/>
              <w:right w:val="single" w:color="000000" w:sz="4" w:space="0"/>
            </w:tcBorders>
            <w:vAlign w:val="center"/>
          </w:tcPr>
          <w:p w14:paraId="57D537F4">
            <w:pPr>
              <w:widowControl/>
              <w:spacing w:line="240" w:lineRule="atLeas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sz w:val="24"/>
                <w:szCs w:val="24"/>
              </w:rPr>
              <w:t>卫生管理制度方案</w:t>
            </w:r>
          </w:p>
        </w:tc>
        <w:tc>
          <w:tcPr>
            <w:tcW w:w="782" w:type="dxa"/>
            <w:tcBorders>
              <w:top w:val="single" w:color="000000" w:sz="4" w:space="0"/>
              <w:left w:val="single" w:color="000000" w:sz="4" w:space="0"/>
              <w:right w:val="single" w:color="000000" w:sz="4" w:space="0"/>
            </w:tcBorders>
            <w:vAlign w:val="center"/>
          </w:tcPr>
          <w:p w14:paraId="2986BEEB">
            <w:pPr>
              <w:widowControl/>
              <w:spacing w:line="240" w:lineRule="atLeast"/>
              <w:rPr>
                <w:rFonts w:hint="eastAsia" w:asciiTheme="minorEastAsia" w:hAnsiTheme="minorEastAsia" w:eastAsiaTheme="minorEastAsia" w:cstheme="minorEastAsia"/>
                <w:color w:val="auto"/>
                <w:sz w:val="24"/>
                <w:szCs w:val="24"/>
                <w:highlight w:val="none"/>
                <w:lang w:val="en-US" w:eastAsia="zh-CN" w:bidi="zh-TW"/>
              </w:rPr>
            </w:pPr>
            <w:r>
              <w:rPr>
                <w:rFonts w:hint="eastAsia" w:ascii="宋体" w:hAnsi="宋体"/>
                <w:sz w:val="24"/>
                <w:szCs w:val="24"/>
                <w:lang w:val="en-US" w:eastAsia="zh-CN"/>
              </w:rPr>
              <w:t>8</w:t>
            </w:r>
            <w:r>
              <w:rPr>
                <w:rFonts w:hint="eastAsia" w:ascii="宋体" w:hAnsi="宋体"/>
                <w:sz w:val="24"/>
                <w:szCs w:val="24"/>
              </w:rPr>
              <w:t>分</w:t>
            </w:r>
          </w:p>
        </w:tc>
        <w:tc>
          <w:tcPr>
            <w:tcW w:w="6075" w:type="dxa"/>
            <w:tcBorders>
              <w:top w:val="single" w:color="000000" w:sz="4" w:space="0"/>
              <w:left w:val="single" w:color="000000" w:sz="4" w:space="0"/>
              <w:right w:val="single" w:color="auto" w:sz="4" w:space="0"/>
            </w:tcBorders>
            <w:vAlign w:val="top"/>
          </w:tcPr>
          <w:p w14:paraId="519A11E8">
            <w:pPr>
              <w:widowControl/>
              <w:spacing w:line="360" w:lineRule="auto"/>
              <w:rPr>
                <w:rFonts w:ascii="宋体" w:hAnsi="宋体" w:cs="宋体"/>
                <w:sz w:val="24"/>
              </w:rPr>
            </w:pPr>
            <w:r>
              <w:rPr>
                <w:rFonts w:hint="eastAsia" w:ascii="宋体" w:hAnsi="宋体" w:cs="宋体"/>
                <w:sz w:val="24"/>
              </w:rPr>
              <w:t>符合《</w:t>
            </w:r>
            <w:r>
              <w:rPr>
                <w:rFonts w:hint="eastAsia" w:ascii="宋体" w:hAnsi="宋体" w:cs="宋体"/>
                <w:sz w:val="24"/>
                <w:lang w:eastAsia="zh-CN"/>
              </w:rPr>
              <w:t>中华人民共和国食品安全法</w:t>
            </w:r>
            <w:r>
              <w:rPr>
                <w:rFonts w:hint="eastAsia" w:ascii="宋体" w:hAnsi="宋体" w:cs="宋体"/>
                <w:sz w:val="24"/>
              </w:rPr>
              <w:t>》、</w:t>
            </w:r>
            <w:r>
              <w:rPr>
                <w:rFonts w:hint="eastAsia" w:ascii="宋体" w:hAnsi="宋体" w:cs="宋体"/>
                <w:sz w:val="24"/>
                <w:lang w:eastAsia="zh-CN"/>
              </w:rPr>
              <w:t>餐厅</w:t>
            </w:r>
            <w:r>
              <w:rPr>
                <w:rFonts w:hint="eastAsia" w:ascii="宋体" w:hAnsi="宋体" w:cs="宋体"/>
                <w:sz w:val="24"/>
              </w:rPr>
              <w:t>管理及</w:t>
            </w:r>
            <w:r>
              <w:rPr>
                <w:rFonts w:hint="eastAsia" w:ascii="宋体" w:hAnsi="宋体" w:cs="宋体"/>
                <w:sz w:val="24"/>
                <w:lang w:eastAsia="zh-CN"/>
              </w:rPr>
              <w:t>餐厅</w:t>
            </w:r>
            <w:r>
              <w:rPr>
                <w:rFonts w:hint="eastAsia" w:ascii="宋体" w:hAnsi="宋体" w:cs="宋体"/>
                <w:sz w:val="24"/>
              </w:rPr>
              <w:t>从业人员管理等相关条文的规定，包括但不局限于环境卫生、个人卫生、食品用工具及设备、食品容器及包装材料、卫生设施、工艺流程情况等方面的内容。</w:t>
            </w:r>
          </w:p>
          <w:p w14:paraId="629D3C62">
            <w:pPr>
              <w:widowControl/>
              <w:spacing w:line="360" w:lineRule="auto"/>
              <w:rPr>
                <w:rFonts w:ascii="宋体" w:hAnsi="宋体" w:cs="宋体"/>
                <w:sz w:val="24"/>
              </w:rPr>
            </w:pPr>
            <w:r>
              <w:rPr>
                <w:rFonts w:hint="eastAsia" w:ascii="宋体" w:hAnsi="宋体" w:cs="宋体"/>
                <w:sz w:val="24"/>
              </w:rPr>
              <w:t>（1）方案内容完整、科学全面、条理清晰、可操作性强的得</w:t>
            </w:r>
            <w:r>
              <w:rPr>
                <w:rFonts w:hint="eastAsia" w:ascii="宋体" w:hAnsi="宋体" w:cs="宋体"/>
                <w:sz w:val="24"/>
                <w:lang w:val="en-US" w:eastAsia="zh-CN"/>
              </w:rPr>
              <w:t>8</w:t>
            </w:r>
            <w:r>
              <w:rPr>
                <w:rFonts w:hint="eastAsia" w:ascii="宋体" w:hAnsi="宋体" w:cs="宋体"/>
                <w:sz w:val="24"/>
              </w:rPr>
              <w:t>分；</w:t>
            </w:r>
          </w:p>
          <w:p w14:paraId="6F237B13">
            <w:pPr>
              <w:widowControl/>
              <w:spacing w:line="360" w:lineRule="auto"/>
              <w:rPr>
                <w:rFonts w:ascii="宋体" w:hAnsi="宋体" w:cs="宋体"/>
                <w:sz w:val="24"/>
              </w:rPr>
            </w:pPr>
            <w:r>
              <w:rPr>
                <w:rFonts w:hint="eastAsia" w:ascii="宋体" w:hAnsi="宋体" w:cs="宋体"/>
                <w:sz w:val="24"/>
              </w:rPr>
              <w:t>（2）方案内容比较完整、全面、条理清晰、可操作性较强的得</w:t>
            </w:r>
            <w:r>
              <w:rPr>
                <w:rFonts w:hint="eastAsia" w:ascii="宋体" w:hAnsi="宋体" w:cs="宋体"/>
                <w:sz w:val="24"/>
                <w:lang w:val="en-US" w:eastAsia="zh-CN"/>
              </w:rPr>
              <w:t>6</w:t>
            </w:r>
            <w:r>
              <w:rPr>
                <w:rFonts w:hint="eastAsia" w:ascii="宋体" w:hAnsi="宋体" w:cs="宋体"/>
                <w:sz w:val="24"/>
              </w:rPr>
              <w:t>分；</w:t>
            </w:r>
          </w:p>
          <w:p w14:paraId="24D93A7C">
            <w:pPr>
              <w:widowControl/>
              <w:spacing w:line="360" w:lineRule="auto"/>
              <w:rPr>
                <w:rFonts w:ascii="宋体" w:hAnsi="宋体" w:cs="宋体"/>
                <w:sz w:val="24"/>
              </w:rPr>
            </w:pPr>
            <w:r>
              <w:rPr>
                <w:rFonts w:hint="eastAsia" w:ascii="宋体" w:hAnsi="宋体" w:cs="宋体"/>
                <w:sz w:val="24"/>
              </w:rPr>
              <w:t>（3）方案内容不完整或者可操作性一般的得4分；</w:t>
            </w:r>
          </w:p>
          <w:p w14:paraId="7FA0C160">
            <w:pPr>
              <w:widowControl/>
              <w:spacing w:line="360" w:lineRule="auto"/>
              <w:rPr>
                <w:rFonts w:ascii="宋体" w:hAnsi="宋体"/>
                <w:sz w:val="24"/>
                <w:szCs w:val="24"/>
              </w:rPr>
            </w:pPr>
            <w:r>
              <w:rPr>
                <w:rFonts w:hint="eastAsia" w:ascii="宋体" w:hAnsi="宋体"/>
                <w:sz w:val="24"/>
                <w:szCs w:val="24"/>
                <w:lang w:val="zh-TW"/>
              </w:rPr>
              <w:t>（</w:t>
            </w:r>
            <w:r>
              <w:rPr>
                <w:rFonts w:hint="eastAsia" w:ascii="宋体" w:hAnsi="宋体"/>
                <w:sz w:val="24"/>
                <w:szCs w:val="24"/>
              </w:rPr>
              <w:t>4</w:t>
            </w:r>
            <w:r>
              <w:rPr>
                <w:rFonts w:hint="eastAsia" w:ascii="宋体" w:hAnsi="宋体"/>
                <w:sz w:val="24"/>
                <w:szCs w:val="24"/>
                <w:lang w:val="zh-TW"/>
              </w:rPr>
              <w:t>）方案内容较差或者可操作性较差的得</w:t>
            </w:r>
            <w:r>
              <w:rPr>
                <w:rFonts w:hint="eastAsia" w:ascii="宋体" w:hAnsi="宋体"/>
                <w:sz w:val="24"/>
                <w:szCs w:val="24"/>
                <w:lang w:val="en-US" w:eastAsia="zh-CN"/>
              </w:rPr>
              <w:t>2</w:t>
            </w:r>
            <w:r>
              <w:rPr>
                <w:rFonts w:hint="eastAsia" w:ascii="宋体" w:hAnsi="宋体"/>
                <w:sz w:val="24"/>
                <w:szCs w:val="24"/>
              </w:rPr>
              <w:t>分；</w:t>
            </w:r>
          </w:p>
          <w:p w14:paraId="45EE59B6">
            <w:pPr>
              <w:widowControl/>
              <w:spacing w:line="360" w:lineRule="auto"/>
              <w:rPr>
                <w:rFonts w:hint="eastAsia" w:asciiTheme="minorEastAsia" w:hAnsiTheme="minorEastAsia" w:eastAsiaTheme="minorEastAsia" w:cstheme="minorEastAsia"/>
                <w:color w:val="auto"/>
                <w:sz w:val="24"/>
                <w:szCs w:val="24"/>
                <w:lang w:eastAsia="zh-CN"/>
              </w:rPr>
            </w:pPr>
            <w:r>
              <w:rPr>
                <w:rFonts w:hint="eastAsia" w:ascii="宋体" w:hAnsi="宋体"/>
                <w:sz w:val="24"/>
                <w:szCs w:val="24"/>
                <w:lang w:val="zh-TW" w:eastAsia="zh-TW"/>
              </w:rPr>
              <w:t>缺项不得分。</w:t>
            </w:r>
          </w:p>
        </w:tc>
      </w:tr>
      <w:tr w14:paraId="0D214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898" w:type="dxa"/>
            <w:vMerge w:val="continue"/>
            <w:tcBorders>
              <w:left w:val="single" w:color="000000" w:sz="4" w:space="0"/>
              <w:right w:val="single" w:color="auto" w:sz="4" w:space="0"/>
            </w:tcBorders>
            <w:vAlign w:val="center"/>
          </w:tcPr>
          <w:p w14:paraId="77C8F3EB">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CN" w:bidi="zh-TW"/>
              </w:rPr>
            </w:pPr>
          </w:p>
        </w:tc>
        <w:tc>
          <w:tcPr>
            <w:tcW w:w="1410" w:type="dxa"/>
            <w:tcBorders>
              <w:top w:val="single" w:color="000000" w:sz="4" w:space="0"/>
              <w:left w:val="single" w:color="auto" w:sz="4" w:space="0"/>
              <w:right w:val="single" w:color="000000" w:sz="4" w:space="0"/>
            </w:tcBorders>
            <w:vAlign w:val="center"/>
          </w:tcPr>
          <w:p w14:paraId="276983BD">
            <w:pPr>
              <w:widowControl/>
              <w:spacing w:line="240" w:lineRule="atLeast"/>
              <w:jc w:val="center"/>
              <w:rPr>
                <w:rFonts w:ascii="宋体" w:hAnsi="宋体"/>
                <w:sz w:val="24"/>
                <w:szCs w:val="24"/>
              </w:rPr>
            </w:pPr>
            <w:r>
              <w:rPr>
                <w:rFonts w:hint="eastAsia" w:ascii="宋体" w:hAnsi="宋体"/>
                <w:sz w:val="24"/>
                <w:szCs w:val="24"/>
              </w:rPr>
              <w:t>人员配备及相关制度</w:t>
            </w:r>
          </w:p>
          <w:p w14:paraId="1E27DBF6">
            <w:pPr>
              <w:widowControl/>
              <w:spacing w:line="240" w:lineRule="atLeast"/>
              <w:jc w:val="center"/>
              <w:rPr>
                <w:rFonts w:hint="eastAsia" w:asciiTheme="minorEastAsia" w:hAnsiTheme="minorEastAsia" w:eastAsiaTheme="minorEastAsia" w:cstheme="minorEastAsia"/>
                <w:color w:val="auto"/>
                <w:kern w:val="2"/>
                <w:sz w:val="24"/>
                <w:szCs w:val="24"/>
                <w:lang w:val="en-US" w:eastAsia="zh-CN" w:bidi="ar-SA"/>
              </w:rPr>
            </w:pPr>
          </w:p>
        </w:tc>
        <w:tc>
          <w:tcPr>
            <w:tcW w:w="782" w:type="dxa"/>
            <w:tcBorders>
              <w:top w:val="single" w:color="000000" w:sz="4" w:space="0"/>
              <w:left w:val="single" w:color="000000" w:sz="4" w:space="0"/>
              <w:right w:val="single" w:color="000000" w:sz="4" w:space="0"/>
            </w:tcBorders>
            <w:vAlign w:val="center"/>
          </w:tcPr>
          <w:p w14:paraId="54D0DF4C">
            <w:pPr>
              <w:widowControl/>
              <w:spacing w:line="240" w:lineRule="atLeast"/>
              <w:rPr>
                <w:rFonts w:hint="eastAsia" w:asciiTheme="minorEastAsia" w:hAnsiTheme="minorEastAsia" w:eastAsiaTheme="minorEastAsia" w:cstheme="minorEastAsia"/>
                <w:color w:val="auto"/>
                <w:sz w:val="24"/>
                <w:szCs w:val="24"/>
                <w:highlight w:val="none"/>
                <w:lang w:val="en-US" w:eastAsia="zh-CN" w:bidi="zh-TW"/>
              </w:rPr>
            </w:pPr>
            <w:r>
              <w:rPr>
                <w:rFonts w:hint="eastAsia" w:ascii="宋体" w:hAnsi="宋体"/>
                <w:color w:val="auto"/>
                <w:sz w:val="24"/>
                <w:szCs w:val="24"/>
                <w:lang w:val="en-US" w:eastAsia="zh-CN"/>
              </w:rPr>
              <w:t>8</w:t>
            </w:r>
            <w:r>
              <w:rPr>
                <w:rFonts w:hint="eastAsia" w:ascii="宋体" w:hAnsi="宋体"/>
                <w:color w:val="auto"/>
                <w:sz w:val="24"/>
                <w:szCs w:val="24"/>
              </w:rPr>
              <w:t>分</w:t>
            </w:r>
          </w:p>
        </w:tc>
        <w:tc>
          <w:tcPr>
            <w:tcW w:w="6075" w:type="dxa"/>
            <w:tcBorders>
              <w:top w:val="single" w:color="000000" w:sz="4" w:space="0"/>
              <w:left w:val="single" w:color="000000" w:sz="4" w:space="0"/>
              <w:right w:val="single" w:color="auto" w:sz="4" w:space="0"/>
            </w:tcBorders>
            <w:vAlign w:val="top"/>
          </w:tcPr>
          <w:p w14:paraId="555253EC">
            <w:pPr>
              <w:widowControl/>
              <w:spacing w:line="360" w:lineRule="auto"/>
              <w:rPr>
                <w:rFonts w:ascii="宋体" w:hAnsi="宋体"/>
                <w:color w:val="auto"/>
                <w:sz w:val="24"/>
                <w:szCs w:val="24"/>
              </w:rPr>
            </w:pPr>
            <w:r>
              <w:rPr>
                <w:rFonts w:hint="eastAsia" w:ascii="宋体" w:hAnsi="宋体" w:cs="宋体"/>
                <w:color w:val="auto"/>
                <w:sz w:val="24"/>
              </w:rPr>
              <w:t>人员配置结构（数量、年龄）合理</w:t>
            </w:r>
            <w:r>
              <w:rPr>
                <w:rFonts w:hint="eastAsia" w:ascii="宋体" w:hAnsi="宋体"/>
                <w:color w:val="auto"/>
                <w:sz w:val="24"/>
                <w:szCs w:val="24"/>
              </w:rPr>
              <w:t>，均须具有相应保险及健康证</w:t>
            </w:r>
            <w:r>
              <w:rPr>
                <w:rFonts w:hint="eastAsia" w:ascii="宋体" w:hAnsi="宋体" w:cs="宋体"/>
                <w:color w:val="auto"/>
                <w:sz w:val="24"/>
              </w:rPr>
              <w:t>；岗位职责全面、规范、准确；人员管理制度科学系统、合法、合理</w:t>
            </w:r>
            <w:r>
              <w:rPr>
                <w:rFonts w:hint="eastAsia" w:ascii="宋体" w:hAnsi="宋体"/>
                <w:color w:val="auto"/>
                <w:sz w:val="24"/>
                <w:szCs w:val="24"/>
                <w:lang w:val="zh-TW" w:eastAsia="zh-TW"/>
              </w:rPr>
              <w:t>。</w:t>
            </w:r>
          </w:p>
          <w:p w14:paraId="4702F287">
            <w:pPr>
              <w:widowControl/>
              <w:spacing w:line="360" w:lineRule="auto"/>
              <w:rPr>
                <w:rFonts w:ascii="宋体" w:hAnsi="宋体" w:cs="宋体"/>
                <w:color w:val="auto"/>
                <w:sz w:val="24"/>
              </w:rPr>
            </w:pPr>
            <w:r>
              <w:rPr>
                <w:rFonts w:hint="eastAsia" w:ascii="宋体" w:hAnsi="宋体"/>
                <w:color w:val="auto"/>
                <w:sz w:val="24"/>
                <w:szCs w:val="24"/>
                <w:lang w:val="zh-TW"/>
              </w:rPr>
              <w:t>（</w:t>
            </w:r>
            <w:r>
              <w:rPr>
                <w:rFonts w:hint="eastAsia" w:ascii="宋体" w:hAnsi="宋体"/>
                <w:color w:val="auto"/>
                <w:sz w:val="24"/>
                <w:szCs w:val="24"/>
              </w:rPr>
              <w:t>1</w:t>
            </w:r>
            <w:r>
              <w:rPr>
                <w:rFonts w:hint="eastAsia" w:ascii="宋体" w:hAnsi="宋体"/>
                <w:color w:val="auto"/>
                <w:sz w:val="24"/>
                <w:szCs w:val="24"/>
                <w:lang w:val="zh-TW"/>
              </w:rPr>
              <w:t>）</w:t>
            </w:r>
            <w:r>
              <w:rPr>
                <w:rFonts w:hint="eastAsia" w:ascii="宋体" w:hAnsi="宋体"/>
                <w:color w:val="auto"/>
                <w:sz w:val="24"/>
                <w:szCs w:val="24"/>
                <w:lang w:val="zh-TW" w:eastAsia="zh-TW"/>
              </w:rPr>
              <w:t>人员配置合理，</w:t>
            </w:r>
            <w:r>
              <w:rPr>
                <w:rFonts w:hint="eastAsia" w:ascii="宋体" w:hAnsi="宋体" w:cs="宋体"/>
                <w:color w:val="auto"/>
                <w:sz w:val="24"/>
              </w:rPr>
              <w:t>分工科学、人员结构（数量、年龄）合理，岗位职责明确、规范，人员管理制度完整、科学、合法、合理的得</w:t>
            </w:r>
            <w:r>
              <w:rPr>
                <w:rFonts w:hint="eastAsia" w:ascii="宋体" w:hAnsi="宋体" w:cs="宋体"/>
                <w:color w:val="auto"/>
                <w:sz w:val="24"/>
                <w:lang w:val="en-US" w:eastAsia="zh-CN"/>
              </w:rPr>
              <w:t>8</w:t>
            </w:r>
            <w:r>
              <w:rPr>
                <w:rFonts w:hint="eastAsia" w:ascii="宋体" w:hAnsi="宋体" w:cs="宋体"/>
                <w:color w:val="auto"/>
                <w:sz w:val="24"/>
              </w:rPr>
              <w:t>分；</w:t>
            </w:r>
          </w:p>
          <w:p w14:paraId="543C7326">
            <w:pPr>
              <w:widowControl/>
              <w:spacing w:line="360" w:lineRule="auto"/>
              <w:rPr>
                <w:rFonts w:ascii="宋体" w:hAnsi="宋体"/>
                <w:color w:val="auto"/>
                <w:sz w:val="24"/>
                <w:szCs w:val="24"/>
                <w:lang w:val="zh-TW"/>
              </w:rPr>
            </w:pPr>
            <w:r>
              <w:rPr>
                <w:rFonts w:hint="eastAsia" w:ascii="宋体" w:hAnsi="宋体"/>
                <w:color w:val="auto"/>
                <w:sz w:val="24"/>
                <w:szCs w:val="24"/>
                <w:lang w:val="zh-TW"/>
              </w:rPr>
              <w:t>（</w:t>
            </w:r>
            <w:r>
              <w:rPr>
                <w:rFonts w:hint="eastAsia" w:ascii="宋体" w:hAnsi="宋体"/>
                <w:color w:val="auto"/>
                <w:sz w:val="24"/>
                <w:szCs w:val="24"/>
              </w:rPr>
              <w:t>2</w:t>
            </w:r>
            <w:r>
              <w:rPr>
                <w:rFonts w:hint="eastAsia" w:ascii="宋体" w:hAnsi="宋体"/>
                <w:color w:val="auto"/>
                <w:sz w:val="24"/>
                <w:szCs w:val="24"/>
                <w:lang w:val="zh-TW"/>
              </w:rPr>
              <w:t>）</w:t>
            </w:r>
            <w:r>
              <w:rPr>
                <w:rFonts w:hint="eastAsia" w:ascii="宋体" w:hAnsi="宋体"/>
                <w:color w:val="auto"/>
                <w:sz w:val="24"/>
                <w:szCs w:val="24"/>
                <w:lang w:val="zh-TW" w:eastAsia="zh-TW"/>
              </w:rPr>
              <w:t>人员配置</w:t>
            </w:r>
            <w:r>
              <w:rPr>
                <w:rFonts w:hint="eastAsia" w:ascii="宋体" w:hAnsi="宋体"/>
                <w:color w:val="auto"/>
                <w:sz w:val="24"/>
                <w:szCs w:val="24"/>
                <w:lang w:val="zh-TW"/>
              </w:rPr>
              <w:t>较</w:t>
            </w:r>
            <w:r>
              <w:rPr>
                <w:rFonts w:hint="eastAsia" w:ascii="宋体" w:hAnsi="宋体"/>
                <w:color w:val="auto"/>
                <w:sz w:val="24"/>
                <w:szCs w:val="24"/>
                <w:lang w:val="zh-TW" w:eastAsia="zh-TW"/>
              </w:rPr>
              <w:t>合理，</w:t>
            </w:r>
            <w:r>
              <w:rPr>
                <w:rFonts w:hint="eastAsia" w:ascii="宋体" w:hAnsi="宋体"/>
                <w:color w:val="auto"/>
                <w:sz w:val="24"/>
                <w:szCs w:val="24"/>
                <w:lang w:val="zh-TW"/>
              </w:rPr>
              <w:t>分工明确、人员结构合理，</w:t>
            </w:r>
            <w:r>
              <w:rPr>
                <w:rFonts w:hint="eastAsia" w:ascii="宋体" w:hAnsi="宋体" w:cs="宋体"/>
                <w:color w:val="auto"/>
                <w:sz w:val="24"/>
              </w:rPr>
              <w:t>岗位职责较明确、人员管理制度完整、合理的得</w:t>
            </w:r>
            <w:r>
              <w:rPr>
                <w:rFonts w:hint="eastAsia" w:ascii="宋体" w:hAnsi="宋体" w:cs="宋体"/>
                <w:color w:val="auto"/>
                <w:sz w:val="24"/>
                <w:lang w:val="en-US" w:eastAsia="zh-CN"/>
              </w:rPr>
              <w:t>6</w:t>
            </w:r>
            <w:r>
              <w:rPr>
                <w:rFonts w:hint="eastAsia" w:ascii="宋体" w:hAnsi="宋体" w:cs="宋体"/>
                <w:color w:val="auto"/>
                <w:sz w:val="24"/>
              </w:rPr>
              <w:t>分</w:t>
            </w:r>
            <w:r>
              <w:rPr>
                <w:rFonts w:hint="eastAsia" w:ascii="宋体" w:hAnsi="宋体"/>
                <w:color w:val="auto"/>
                <w:sz w:val="24"/>
                <w:szCs w:val="24"/>
                <w:lang w:val="zh-TW" w:eastAsia="zh-TW"/>
              </w:rPr>
              <w:t>；</w:t>
            </w:r>
          </w:p>
          <w:p w14:paraId="4FCB8502">
            <w:pPr>
              <w:widowControl/>
              <w:spacing w:line="360" w:lineRule="auto"/>
              <w:rPr>
                <w:rFonts w:ascii="宋体" w:hAnsi="宋体"/>
                <w:color w:val="auto"/>
                <w:sz w:val="24"/>
                <w:szCs w:val="24"/>
                <w:lang w:val="zh-TW" w:eastAsia="zh-TW"/>
              </w:rPr>
            </w:pPr>
            <w:r>
              <w:rPr>
                <w:rFonts w:hint="eastAsia" w:ascii="宋体" w:hAnsi="宋体"/>
                <w:color w:val="auto"/>
                <w:sz w:val="24"/>
                <w:szCs w:val="24"/>
                <w:lang w:val="zh-TW"/>
              </w:rPr>
              <w:t>（</w:t>
            </w:r>
            <w:r>
              <w:rPr>
                <w:rFonts w:hint="eastAsia" w:ascii="宋体" w:hAnsi="宋体"/>
                <w:color w:val="auto"/>
                <w:sz w:val="24"/>
                <w:szCs w:val="24"/>
              </w:rPr>
              <w:t>3</w:t>
            </w:r>
            <w:r>
              <w:rPr>
                <w:rFonts w:hint="eastAsia" w:ascii="宋体" w:hAnsi="宋体"/>
                <w:color w:val="auto"/>
                <w:sz w:val="24"/>
                <w:szCs w:val="24"/>
                <w:lang w:val="zh-TW"/>
              </w:rPr>
              <w:t>）</w:t>
            </w:r>
            <w:r>
              <w:rPr>
                <w:rFonts w:hint="eastAsia" w:ascii="宋体" w:hAnsi="宋体"/>
                <w:color w:val="auto"/>
                <w:sz w:val="24"/>
                <w:szCs w:val="24"/>
                <w:lang w:val="zh-TW" w:eastAsia="zh-TW"/>
              </w:rPr>
              <w:t>人员配置一般</w:t>
            </w:r>
            <w:r>
              <w:rPr>
                <w:rFonts w:hint="eastAsia" w:ascii="宋体" w:hAnsi="宋体"/>
                <w:color w:val="auto"/>
                <w:sz w:val="24"/>
                <w:szCs w:val="24"/>
                <w:lang w:val="zh-TW"/>
              </w:rPr>
              <w:t>或者人员管理制度一般的得</w:t>
            </w:r>
            <w:r>
              <w:rPr>
                <w:rFonts w:hint="eastAsia" w:ascii="宋体" w:hAnsi="宋体"/>
                <w:color w:val="auto"/>
                <w:sz w:val="24"/>
                <w:szCs w:val="24"/>
              </w:rPr>
              <w:t>4分</w:t>
            </w:r>
            <w:r>
              <w:rPr>
                <w:rFonts w:hint="eastAsia" w:ascii="宋体" w:hAnsi="宋体"/>
                <w:color w:val="auto"/>
                <w:sz w:val="24"/>
                <w:szCs w:val="24"/>
                <w:lang w:val="zh-TW" w:eastAsia="zh-TW"/>
              </w:rPr>
              <w:t xml:space="preserve">； </w:t>
            </w:r>
          </w:p>
          <w:p w14:paraId="0BA02094">
            <w:pPr>
              <w:widowControl/>
              <w:spacing w:line="360" w:lineRule="auto"/>
              <w:rPr>
                <w:rFonts w:ascii="宋体" w:hAnsi="宋体"/>
                <w:color w:val="auto"/>
                <w:sz w:val="24"/>
                <w:szCs w:val="24"/>
              </w:rPr>
            </w:pPr>
            <w:r>
              <w:rPr>
                <w:rFonts w:hint="eastAsia" w:ascii="宋体" w:hAnsi="宋体"/>
                <w:color w:val="auto"/>
                <w:sz w:val="24"/>
                <w:szCs w:val="24"/>
                <w:lang w:val="zh-TW"/>
              </w:rPr>
              <w:t>（</w:t>
            </w:r>
            <w:r>
              <w:rPr>
                <w:rFonts w:hint="eastAsia" w:ascii="宋体" w:hAnsi="宋体"/>
                <w:color w:val="auto"/>
                <w:sz w:val="24"/>
                <w:szCs w:val="24"/>
              </w:rPr>
              <w:t>4</w:t>
            </w:r>
            <w:r>
              <w:rPr>
                <w:rFonts w:hint="eastAsia" w:ascii="宋体" w:hAnsi="宋体"/>
                <w:color w:val="auto"/>
                <w:sz w:val="24"/>
                <w:szCs w:val="24"/>
                <w:lang w:val="zh-TW"/>
              </w:rPr>
              <w:t>）人员配置不全或者没有人员管理制度的得</w:t>
            </w:r>
            <w:r>
              <w:rPr>
                <w:rFonts w:hint="eastAsia" w:ascii="宋体" w:hAnsi="宋体"/>
                <w:color w:val="auto"/>
                <w:sz w:val="24"/>
                <w:szCs w:val="24"/>
                <w:lang w:val="en-US" w:eastAsia="zh-CN"/>
              </w:rPr>
              <w:t>2</w:t>
            </w:r>
            <w:r>
              <w:rPr>
                <w:rFonts w:hint="eastAsia" w:ascii="宋体" w:hAnsi="宋体"/>
                <w:color w:val="auto"/>
                <w:sz w:val="24"/>
                <w:szCs w:val="24"/>
              </w:rPr>
              <w:t>分；</w:t>
            </w:r>
          </w:p>
          <w:p w14:paraId="7AB492B4">
            <w:pPr>
              <w:widowControl/>
              <w:spacing w:line="360" w:lineRule="auto"/>
              <w:rPr>
                <w:rFonts w:hint="eastAsia" w:asciiTheme="minorEastAsia" w:hAnsiTheme="minorEastAsia" w:eastAsiaTheme="minorEastAsia" w:cstheme="minorEastAsia"/>
                <w:color w:val="auto"/>
                <w:sz w:val="24"/>
                <w:szCs w:val="24"/>
                <w:lang w:eastAsia="zh-CN"/>
              </w:rPr>
            </w:pPr>
            <w:r>
              <w:rPr>
                <w:rFonts w:hint="eastAsia" w:ascii="宋体" w:hAnsi="宋体"/>
                <w:color w:val="auto"/>
                <w:sz w:val="24"/>
                <w:szCs w:val="24"/>
                <w:lang w:val="zh-TW" w:eastAsia="zh-TW"/>
              </w:rPr>
              <w:t>缺项不得分。</w:t>
            </w:r>
          </w:p>
        </w:tc>
      </w:tr>
      <w:tr w14:paraId="5DD4E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898" w:type="dxa"/>
            <w:vMerge w:val="continue"/>
            <w:tcBorders>
              <w:left w:val="single" w:color="000000" w:sz="4" w:space="0"/>
              <w:right w:val="single" w:color="auto" w:sz="4" w:space="0"/>
            </w:tcBorders>
            <w:vAlign w:val="center"/>
          </w:tcPr>
          <w:p w14:paraId="1692F5D4">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CN" w:bidi="zh-TW"/>
              </w:rPr>
            </w:pPr>
          </w:p>
        </w:tc>
        <w:tc>
          <w:tcPr>
            <w:tcW w:w="1410" w:type="dxa"/>
            <w:tcBorders>
              <w:top w:val="single" w:color="000000" w:sz="4" w:space="0"/>
              <w:left w:val="single" w:color="auto" w:sz="4" w:space="0"/>
              <w:right w:val="single" w:color="000000" w:sz="4" w:space="0"/>
            </w:tcBorders>
            <w:vAlign w:val="center"/>
          </w:tcPr>
          <w:p w14:paraId="7C2AB292">
            <w:pPr>
              <w:widowControl/>
              <w:spacing w:line="240" w:lineRule="atLeas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cs="宋体"/>
                <w:sz w:val="24"/>
                <w:szCs w:val="24"/>
              </w:rPr>
              <w:t>突发状况应急处理方案</w:t>
            </w:r>
          </w:p>
        </w:tc>
        <w:tc>
          <w:tcPr>
            <w:tcW w:w="782" w:type="dxa"/>
            <w:tcBorders>
              <w:top w:val="single" w:color="000000" w:sz="4" w:space="0"/>
              <w:left w:val="single" w:color="000000" w:sz="4" w:space="0"/>
              <w:right w:val="single" w:color="000000" w:sz="4" w:space="0"/>
            </w:tcBorders>
            <w:vAlign w:val="center"/>
          </w:tcPr>
          <w:p w14:paraId="1130E345">
            <w:pPr>
              <w:widowControl/>
              <w:spacing w:line="240" w:lineRule="atLeast"/>
              <w:rPr>
                <w:rFonts w:hint="eastAsia" w:ascii="宋体" w:hAnsi="宋体"/>
                <w:color w:val="auto"/>
                <w:sz w:val="24"/>
                <w:szCs w:val="24"/>
                <w:lang w:val="en-US" w:eastAsia="zh-CN"/>
              </w:rPr>
            </w:pPr>
            <w:r>
              <w:rPr>
                <w:rFonts w:hint="eastAsia" w:ascii="宋体" w:hAnsi="宋体"/>
                <w:sz w:val="24"/>
                <w:szCs w:val="24"/>
                <w:lang w:val="en-US" w:eastAsia="zh-CN"/>
              </w:rPr>
              <w:t>8</w:t>
            </w:r>
            <w:r>
              <w:rPr>
                <w:rFonts w:hint="eastAsia" w:ascii="宋体" w:hAnsi="宋体"/>
                <w:sz w:val="24"/>
                <w:szCs w:val="24"/>
              </w:rPr>
              <w:t>分</w:t>
            </w:r>
          </w:p>
        </w:tc>
        <w:tc>
          <w:tcPr>
            <w:tcW w:w="6075" w:type="dxa"/>
            <w:tcBorders>
              <w:top w:val="single" w:color="000000" w:sz="4" w:space="0"/>
              <w:left w:val="single" w:color="000000" w:sz="4" w:space="0"/>
              <w:right w:val="single" w:color="auto" w:sz="4" w:space="0"/>
            </w:tcBorders>
            <w:vAlign w:val="top"/>
          </w:tcPr>
          <w:p w14:paraId="4EBBAF46">
            <w:pPr>
              <w:widowControl/>
              <w:spacing w:line="360" w:lineRule="auto"/>
              <w:rPr>
                <w:rFonts w:ascii="宋体" w:hAnsi="宋体"/>
                <w:sz w:val="24"/>
                <w:szCs w:val="24"/>
                <w:lang w:val="zh-TW" w:eastAsia="zh-TW"/>
              </w:rPr>
            </w:pPr>
            <w:r>
              <w:rPr>
                <w:rFonts w:hint="eastAsia" w:ascii="宋体" w:hAnsi="宋体"/>
                <w:sz w:val="24"/>
                <w:szCs w:val="24"/>
                <w:lang w:val="zh-TW" w:eastAsia="zh-TW"/>
              </w:rPr>
              <w:t>根据</w:t>
            </w:r>
            <w:r>
              <w:rPr>
                <w:rFonts w:hint="eastAsia" w:ascii="宋体" w:hAnsi="宋体"/>
                <w:sz w:val="24"/>
                <w:szCs w:val="24"/>
                <w:lang w:val="en-US" w:eastAsia="zh-CN"/>
              </w:rPr>
              <w:t>供应商</w:t>
            </w:r>
            <w:r>
              <w:rPr>
                <w:rFonts w:hint="eastAsia" w:ascii="宋体" w:hAnsi="宋体"/>
                <w:sz w:val="24"/>
                <w:szCs w:val="24"/>
                <w:lang w:val="zh-TW" w:eastAsia="zh-TW"/>
              </w:rPr>
              <w:t>针对本项目的突发事件</w:t>
            </w:r>
            <w:r>
              <w:rPr>
                <w:rFonts w:hint="eastAsia" w:ascii="宋体" w:hAnsi="宋体"/>
                <w:sz w:val="24"/>
                <w:szCs w:val="24"/>
                <w:lang w:val="zh-TW"/>
              </w:rPr>
              <w:t>种类</w:t>
            </w:r>
            <w:r>
              <w:rPr>
                <w:rFonts w:hint="eastAsia" w:ascii="宋体" w:hAnsi="宋体"/>
                <w:sz w:val="24"/>
                <w:szCs w:val="24"/>
                <w:highlight w:val="none"/>
                <w:lang w:val="zh-TW"/>
              </w:rPr>
              <w:t>（包含但不限于食品、消防安全、应急资源储备及应急调配响应）</w:t>
            </w:r>
            <w:r>
              <w:rPr>
                <w:rFonts w:hint="eastAsia" w:ascii="宋体" w:hAnsi="宋体"/>
                <w:sz w:val="24"/>
                <w:szCs w:val="24"/>
                <w:lang w:val="zh-TW"/>
              </w:rPr>
              <w:t>考虑的全面性，</w:t>
            </w:r>
            <w:r>
              <w:rPr>
                <w:rFonts w:hint="eastAsia" w:ascii="宋体" w:hAnsi="宋体"/>
                <w:sz w:val="24"/>
                <w:szCs w:val="24"/>
                <w:lang w:val="zh-TW" w:eastAsia="zh-TW"/>
              </w:rPr>
              <w:t>应急处理方案的可操作性、有效性、合理性进行打分。</w:t>
            </w:r>
          </w:p>
          <w:p w14:paraId="59BA6EA3">
            <w:pPr>
              <w:widowControl/>
              <w:spacing w:line="360" w:lineRule="auto"/>
              <w:rPr>
                <w:rFonts w:ascii="宋体" w:hAnsi="宋体"/>
                <w:sz w:val="24"/>
                <w:szCs w:val="24"/>
                <w:lang w:val="zh-TW" w:eastAsia="zh-TW"/>
              </w:rPr>
            </w:pPr>
            <w:r>
              <w:rPr>
                <w:rFonts w:hint="eastAsia" w:ascii="宋体" w:hAnsi="宋体"/>
                <w:sz w:val="24"/>
                <w:szCs w:val="24"/>
                <w:lang w:val="zh-TW"/>
              </w:rPr>
              <w:t>（</w:t>
            </w:r>
            <w:r>
              <w:rPr>
                <w:rFonts w:hint="eastAsia" w:ascii="宋体" w:hAnsi="宋体"/>
                <w:sz w:val="24"/>
                <w:szCs w:val="24"/>
              </w:rPr>
              <w:t>1</w:t>
            </w:r>
            <w:r>
              <w:rPr>
                <w:rFonts w:hint="eastAsia" w:ascii="宋体" w:hAnsi="宋体"/>
                <w:sz w:val="24"/>
                <w:szCs w:val="24"/>
                <w:lang w:val="zh-TW"/>
              </w:rPr>
              <w:t>）突发事件种类考虑全面、具体、实际，且</w:t>
            </w:r>
            <w:r>
              <w:rPr>
                <w:rFonts w:hint="eastAsia" w:ascii="宋体" w:hAnsi="宋体"/>
                <w:sz w:val="24"/>
                <w:szCs w:val="24"/>
                <w:lang w:val="zh-TW" w:eastAsia="zh-CN"/>
              </w:rPr>
              <w:t>相应</w:t>
            </w:r>
            <w:r>
              <w:rPr>
                <w:rFonts w:hint="eastAsia" w:ascii="宋体" w:hAnsi="宋体"/>
                <w:sz w:val="24"/>
                <w:szCs w:val="24"/>
                <w:lang w:val="zh-TW"/>
              </w:rPr>
              <w:t>的</w:t>
            </w:r>
            <w:r>
              <w:rPr>
                <w:rFonts w:hint="eastAsia" w:ascii="宋体" w:hAnsi="宋体"/>
                <w:sz w:val="24"/>
                <w:szCs w:val="24"/>
                <w:lang w:val="zh-TW" w:eastAsia="zh-TW"/>
              </w:rPr>
              <w:t>应急方案及措施可操作性强、非常有效、合理的得</w:t>
            </w:r>
            <w:r>
              <w:rPr>
                <w:rFonts w:hint="eastAsia" w:ascii="宋体" w:hAnsi="宋体"/>
                <w:sz w:val="24"/>
                <w:szCs w:val="24"/>
                <w:lang w:val="en-US" w:eastAsia="zh-CN"/>
              </w:rPr>
              <w:t>8</w:t>
            </w:r>
            <w:r>
              <w:rPr>
                <w:rFonts w:hint="eastAsia" w:ascii="宋体" w:hAnsi="宋体"/>
                <w:sz w:val="24"/>
                <w:szCs w:val="24"/>
                <w:lang w:val="zh-TW" w:eastAsia="zh-TW"/>
              </w:rPr>
              <w:t>分；</w:t>
            </w:r>
          </w:p>
          <w:p w14:paraId="0E47CADD">
            <w:pPr>
              <w:widowControl/>
              <w:spacing w:line="360" w:lineRule="auto"/>
              <w:rPr>
                <w:rFonts w:ascii="宋体" w:hAnsi="宋体"/>
                <w:sz w:val="24"/>
                <w:szCs w:val="24"/>
                <w:lang w:val="zh-TW" w:eastAsia="zh-TW"/>
              </w:rPr>
            </w:pPr>
            <w:r>
              <w:rPr>
                <w:rFonts w:hint="eastAsia" w:ascii="宋体" w:hAnsi="宋体"/>
                <w:sz w:val="24"/>
                <w:szCs w:val="24"/>
                <w:lang w:val="zh-TW"/>
              </w:rPr>
              <w:t>（</w:t>
            </w:r>
            <w:r>
              <w:rPr>
                <w:rFonts w:hint="eastAsia" w:ascii="宋体" w:hAnsi="宋体"/>
                <w:sz w:val="24"/>
                <w:szCs w:val="24"/>
              </w:rPr>
              <w:t>2</w:t>
            </w:r>
            <w:r>
              <w:rPr>
                <w:rFonts w:hint="eastAsia" w:ascii="宋体" w:hAnsi="宋体"/>
                <w:sz w:val="24"/>
                <w:szCs w:val="24"/>
                <w:lang w:val="zh-TW"/>
              </w:rPr>
              <w:t>）突发事件种类考虑较全面、</w:t>
            </w:r>
            <w:r>
              <w:rPr>
                <w:rFonts w:hint="eastAsia" w:ascii="宋体" w:hAnsi="宋体"/>
                <w:sz w:val="24"/>
                <w:szCs w:val="24"/>
                <w:lang w:val="zh-TW" w:eastAsia="zh-TW"/>
              </w:rPr>
              <w:t>应急方案及措施可操作性较强、较为有效、合理的得</w:t>
            </w:r>
            <w:r>
              <w:rPr>
                <w:rFonts w:hint="eastAsia" w:ascii="宋体" w:hAnsi="宋体"/>
                <w:sz w:val="24"/>
                <w:szCs w:val="24"/>
                <w:lang w:val="en-US" w:eastAsia="zh-CN"/>
              </w:rPr>
              <w:t>6</w:t>
            </w:r>
            <w:r>
              <w:rPr>
                <w:rFonts w:hint="eastAsia" w:ascii="宋体" w:hAnsi="宋体"/>
                <w:sz w:val="24"/>
                <w:szCs w:val="24"/>
                <w:lang w:val="zh-TW" w:eastAsia="zh-TW"/>
              </w:rPr>
              <w:t>分；</w:t>
            </w:r>
          </w:p>
          <w:p w14:paraId="029986A1">
            <w:pPr>
              <w:widowControl/>
              <w:spacing w:line="360" w:lineRule="auto"/>
              <w:rPr>
                <w:rFonts w:hint="eastAsia" w:ascii="宋体" w:hAnsi="宋体"/>
                <w:sz w:val="24"/>
                <w:szCs w:val="24"/>
              </w:rPr>
            </w:pPr>
            <w:r>
              <w:rPr>
                <w:rFonts w:hint="eastAsia" w:ascii="宋体" w:hAnsi="宋体"/>
                <w:sz w:val="24"/>
                <w:szCs w:val="24"/>
                <w:lang w:val="zh-TW"/>
              </w:rPr>
              <w:t>（</w:t>
            </w:r>
            <w:r>
              <w:rPr>
                <w:rFonts w:hint="eastAsia" w:ascii="宋体" w:hAnsi="宋体"/>
                <w:sz w:val="24"/>
                <w:szCs w:val="24"/>
              </w:rPr>
              <w:t>3</w:t>
            </w:r>
            <w:r>
              <w:rPr>
                <w:rFonts w:hint="eastAsia" w:ascii="宋体" w:hAnsi="宋体"/>
                <w:sz w:val="24"/>
                <w:szCs w:val="24"/>
                <w:lang w:val="zh-TW"/>
              </w:rPr>
              <w:t>）突发事件种类考虑简单或者</w:t>
            </w:r>
            <w:r>
              <w:rPr>
                <w:rFonts w:hint="eastAsia" w:ascii="宋体" w:hAnsi="宋体"/>
                <w:sz w:val="24"/>
                <w:szCs w:val="24"/>
                <w:lang w:val="zh-TW" w:eastAsia="zh-TW"/>
              </w:rPr>
              <w:t>应急方案及措施可操作性</w:t>
            </w:r>
            <w:r>
              <w:rPr>
                <w:rFonts w:hint="eastAsia" w:ascii="宋体" w:hAnsi="宋体"/>
                <w:sz w:val="24"/>
                <w:szCs w:val="24"/>
                <w:lang w:val="zh-TW"/>
              </w:rPr>
              <w:t>一般的得</w:t>
            </w:r>
            <w:r>
              <w:rPr>
                <w:rFonts w:hint="eastAsia" w:ascii="宋体" w:hAnsi="宋体"/>
                <w:sz w:val="24"/>
                <w:szCs w:val="24"/>
              </w:rPr>
              <w:t>4分</w:t>
            </w:r>
            <w:r>
              <w:rPr>
                <w:rFonts w:hint="eastAsia" w:ascii="宋体" w:hAnsi="宋体"/>
                <w:sz w:val="24"/>
                <w:szCs w:val="24"/>
                <w:lang w:eastAsia="zh-CN"/>
              </w:rPr>
              <w:t>；</w:t>
            </w:r>
          </w:p>
          <w:p w14:paraId="4961846B">
            <w:pPr>
              <w:widowControl/>
              <w:spacing w:line="360" w:lineRule="auto"/>
              <w:rPr>
                <w:rFonts w:hint="eastAsia" w:ascii="宋体" w:hAnsi="宋体"/>
                <w:sz w:val="24"/>
                <w:szCs w:val="24"/>
                <w:lang w:val="zh-TW"/>
              </w:rPr>
            </w:pPr>
            <w:r>
              <w:rPr>
                <w:rFonts w:hint="eastAsia" w:ascii="宋体" w:hAnsi="宋体"/>
                <w:sz w:val="24"/>
                <w:szCs w:val="24"/>
                <w:lang w:val="zh-TW"/>
              </w:rPr>
              <w:t>（</w:t>
            </w:r>
            <w:r>
              <w:rPr>
                <w:rFonts w:hint="eastAsia" w:ascii="宋体" w:hAnsi="宋体"/>
                <w:sz w:val="24"/>
                <w:szCs w:val="24"/>
              </w:rPr>
              <w:t>4</w:t>
            </w:r>
            <w:r>
              <w:rPr>
                <w:rFonts w:hint="eastAsia" w:ascii="宋体" w:hAnsi="宋体"/>
                <w:sz w:val="24"/>
                <w:szCs w:val="24"/>
                <w:lang w:val="zh-TW"/>
              </w:rPr>
              <w:t>）突发事件种类考虑单一或者</w:t>
            </w:r>
            <w:r>
              <w:rPr>
                <w:rFonts w:hint="eastAsia" w:ascii="宋体" w:hAnsi="宋体"/>
                <w:sz w:val="24"/>
                <w:szCs w:val="24"/>
                <w:lang w:val="zh-TW" w:eastAsia="zh-TW"/>
              </w:rPr>
              <w:t>应急方案及措施可操作性</w:t>
            </w:r>
            <w:r>
              <w:rPr>
                <w:rFonts w:hint="eastAsia" w:ascii="宋体" w:hAnsi="宋体"/>
                <w:sz w:val="24"/>
                <w:szCs w:val="24"/>
                <w:lang w:val="zh-TW"/>
              </w:rPr>
              <w:t>较差的得</w:t>
            </w:r>
            <w:r>
              <w:rPr>
                <w:rFonts w:hint="eastAsia" w:ascii="宋体" w:hAnsi="宋体"/>
                <w:sz w:val="24"/>
                <w:szCs w:val="24"/>
                <w:lang w:val="en-US" w:eastAsia="zh-CN"/>
              </w:rPr>
              <w:t>2</w:t>
            </w:r>
            <w:r>
              <w:rPr>
                <w:rFonts w:hint="eastAsia" w:ascii="宋体" w:hAnsi="宋体"/>
                <w:sz w:val="24"/>
                <w:szCs w:val="24"/>
              </w:rPr>
              <w:t>分</w:t>
            </w:r>
            <w:r>
              <w:rPr>
                <w:rFonts w:hint="eastAsia" w:ascii="宋体" w:hAnsi="宋体"/>
                <w:sz w:val="24"/>
                <w:szCs w:val="24"/>
                <w:lang w:eastAsia="zh-CN"/>
              </w:rPr>
              <w:t>；</w:t>
            </w:r>
          </w:p>
          <w:p w14:paraId="0E903BCC">
            <w:pPr>
              <w:widowControl/>
              <w:spacing w:line="360" w:lineRule="auto"/>
              <w:rPr>
                <w:rFonts w:hint="eastAsia" w:ascii="宋体" w:hAnsi="宋体"/>
                <w:color w:val="auto"/>
                <w:sz w:val="24"/>
                <w:szCs w:val="24"/>
                <w:lang w:val="zh-TW" w:eastAsia="zh-TW"/>
              </w:rPr>
            </w:pPr>
            <w:r>
              <w:rPr>
                <w:rFonts w:hint="eastAsia" w:ascii="宋体" w:hAnsi="宋体"/>
                <w:sz w:val="24"/>
                <w:szCs w:val="24"/>
                <w:lang w:val="zh-TW" w:eastAsia="zh-TW"/>
              </w:rPr>
              <w:t>缺项不得分。</w:t>
            </w:r>
          </w:p>
        </w:tc>
      </w:tr>
      <w:tr w14:paraId="2CEBD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4" w:hRule="atLeast"/>
        </w:trPr>
        <w:tc>
          <w:tcPr>
            <w:tcW w:w="898" w:type="dxa"/>
            <w:vMerge w:val="continue"/>
            <w:tcBorders>
              <w:left w:val="single" w:color="000000" w:sz="4" w:space="0"/>
              <w:right w:val="single" w:color="auto" w:sz="4" w:space="0"/>
            </w:tcBorders>
            <w:vAlign w:val="center"/>
          </w:tcPr>
          <w:p w14:paraId="518EB16B">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CN" w:bidi="zh-TW"/>
              </w:rPr>
            </w:pPr>
          </w:p>
        </w:tc>
        <w:tc>
          <w:tcPr>
            <w:tcW w:w="1410" w:type="dxa"/>
            <w:tcBorders>
              <w:top w:val="single" w:color="000000" w:sz="4" w:space="0"/>
              <w:left w:val="single" w:color="auto" w:sz="4" w:space="0"/>
              <w:right w:val="single" w:color="000000" w:sz="4" w:space="0"/>
            </w:tcBorders>
            <w:vAlign w:val="center"/>
          </w:tcPr>
          <w:p w14:paraId="61FDC466">
            <w:pPr>
              <w:widowControl/>
              <w:spacing w:line="240" w:lineRule="atLeas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cs="宋体"/>
                <w:sz w:val="24"/>
                <w:szCs w:val="24"/>
              </w:rPr>
              <w:t>菜品供应及价格方案</w:t>
            </w:r>
          </w:p>
        </w:tc>
        <w:tc>
          <w:tcPr>
            <w:tcW w:w="782" w:type="dxa"/>
            <w:tcBorders>
              <w:top w:val="single" w:color="000000" w:sz="4" w:space="0"/>
              <w:left w:val="single" w:color="000000" w:sz="4" w:space="0"/>
              <w:right w:val="single" w:color="000000" w:sz="4" w:space="0"/>
            </w:tcBorders>
            <w:vAlign w:val="center"/>
          </w:tcPr>
          <w:p w14:paraId="5EBA7367">
            <w:pPr>
              <w:widowControl/>
              <w:spacing w:line="240" w:lineRule="atLeast"/>
              <w:rPr>
                <w:rFonts w:hint="eastAsia" w:asciiTheme="minorEastAsia" w:hAnsiTheme="minorEastAsia" w:eastAsiaTheme="minorEastAsia" w:cstheme="minorEastAsia"/>
                <w:color w:val="auto"/>
                <w:sz w:val="24"/>
                <w:szCs w:val="24"/>
                <w:highlight w:val="none"/>
                <w:lang w:val="en-US" w:eastAsia="zh-CN" w:bidi="zh-TW"/>
              </w:rPr>
            </w:pPr>
            <w:r>
              <w:rPr>
                <w:rFonts w:hint="eastAsia" w:ascii="宋体" w:hAnsi="宋体"/>
                <w:sz w:val="24"/>
                <w:szCs w:val="24"/>
                <w:lang w:val="en-US" w:eastAsia="zh-CN"/>
              </w:rPr>
              <w:t>8</w:t>
            </w:r>
            <w:r>
              <w:rPr>
                <w:rFonts w:hint="eastAsia" w:ascii="宋体" w:hAnsi="宋体"/>
                <w:sz w:val="24"/>
                <w:szCs w:val="24"/>
              </w:rPr>
              <w:t>分</w:t>
            </w:r>
          </w:p>
        </w:tc>
        <w:tc>
          <w:tcPr>
            <w:tcW w:w="6075" w:type="dxa"/>
            <w:tcBorders>
              <w:top w:val="single" w:color="000000" w:sz="4" w:space="0"/>
              <w:left w:val="single" w:color="000000" w:sz="4" w:space="0"/>
              <w:right w:val="single" w:color="auto" w:sz="4" w:space="0"/>
            </w:tcBorders>
            <w:vAlign w:val="top"/>
          </w:tcPr>
          <w:p w14:paraId="000CAA9A">
            <w:pPr>
              <w:widowControl/>
              <w:spacing w:line="360" w:lineRule="auto"/>
              <w:rPr>
                <w:rFonts w:ascii="宋体" w:hAnsi="宋体"/>
                <w:sz w:val="24"/>
                <w:szCs w:val="24"/>
                <w:lang w:val="zh-TW" w:eastAsia="zh-TW"/>
              </w:rPr>
            </w:pPr>
            <w:r>
              <w:rPr>
                <w:rFonts w:hint="eastAsia" w:ascii="宋体" w:hAnsi="宋体"/>
                <w:sz w:val="24"/>
                <w:szCs w:val="24"/>
                <w:lang w:val="zh-TW" w:eastAsia="zh-TW"/>
              </w:rPr>
              <w:t>菜品供应方案及菜品价格制定方案（提供职工用餐、行政办公用餐（会议用餐、加班工作餐）、月子餐、特殊病人餐等早、中、晚餐的菜品供应方案及各菜品价格方案）：</w:t>
            </w:r>
          </w:p>
          <w:p w14:paraId="46927A4A">
            <w:pPr>
              <w:widowControl/>
              <w:spacing w:line="360" w:lineRule="auto"/>
              <w:rPr>
                <w:rFonts w:ascii="宋体" w:hAnsi="宋体"/>
                <w:sz w:val="24"/>
                <w:szCs w:val="24"/>
                <w:lang w:val="zh-TW" w:eastAsia="zh-TW"/>
              </w:rPr>
            </w:pPr>
            <w:r>
              <w:rPr>
                <w:rFonts w:hint="eastAsia" w:ascii="宋体" w:hAnsi="宋体"/>
                <w:sz w:val="24"/>
                <w:szCs w:val="24"/>
              </w:rPr>
              <w:t>（1）</w:t>
            </w:r>
            <w:r>
              <w:rPr>
                <w:rFonts w:hint="eastAsia" w:ascii="宋体" w:hAnsi="宋体"/>
                <w:sz w:val="24"/>
                <w:szCs w:val="24"/>
                <w:lang w:val="zh-TW" w:eastAsia="zh-TW"/>
              </w:rPr>
              <w:t>方案完整、科学、合理</w:t>
            </w:r>
            <w:r>
              <w:rPr>
                <w:rFonts w:hint="eastAsia" w:ascii="宋体" w:hAnsi="宋体"/>
                <w:sz w:val="24"/>
                <w:szCs w:val="24"/>
                <w:lang w:val="zh-TW"/>
              </w:rPr>
              <w:t>的</w:t>
            </w:r>
            <w:r>
              <w:rPr>
                <w:rFonts w:hint="eastAsia" w:ascii="宋体" w:hAnsi="宋体"/>
                <w:sz w:val="24"/>
                <w:szCs w:val="24"/>
                <w:lang w:val="zh-TW" w:eastAsia="zh-TW"/>
              </w:rPr>
              <w:t>得</w:t>
            </w:r>
            <w:r>
              <w:rPr>
                <w:rFonts w:hint="eastAsia" w:ascii="宋体" w:hAnsi="宋体"/>
                <w:sz w:val="24"/>
                <w:szCs w:val="24"/>
                <w:lang w:val="en-US" w:eastAsia="zh-CN"/>
              </w:rPr>
              <w:t>8</w:t>
            </w:r>
            <w:r>
              <w:rPr>
                <w:rFonts w:hint="eastAsia" w:ascii="宋体" w:hAnsi="宋体"/>
                <w:sz w:val="24"/>
                <w:szCs w:val="24"/>
                <w:lang w:val="zh-TW" w:eastAsia="zh-TW"/>
              </w:rPr>
              <w:t>分；</w:t>
            </w:r>
          </w:p>
          <w:p w14:paraId="57B5E713">
            <w:pPr>
              <w:widowControl/>
              <w:spacing w:line="360" w:lineRule="auto"/>
              <w:rPr>
                <w:rFonts w:ascii="宋体" w:hAnsi="宋体"/>
                <w:sz w:val="24"/>
                <w:szCs w:val="24"/>
                <w:lang w:val="zh-TW" w:eastAsia="zh-TW"/>
              </w:rPr>
            </w:pPr>
            <w:r>
              <w:rPr>
                <w:rFonts w:hint="eastAsia" w:ascii="宋体" w:hAnsi="宋体"/>
                <w:sz w:val="24"/>
                <w:szCs w:val="24"/>
              </w:rPr>
              <w:t>（2）</w:t>
            </w:r>
            <w:r>
              <w:rPr>
                <w:rFonts w:hint="eastAsia" w:ascii="宋体" w:hAnsi="宋体"/>
                <w:sz w:val="24"/>
                <w:szCs w:val="24"/>
                <w:lang w:val="zh-TW" w:eastAsia="zh-TW"/>
              </w:rPr>
              <w:t>方案较完整、合理</w:t>
            </w:r>
            <w:r>
              <w:rPr>
                <w:rFonts w:hint="eastAsia" w:ascii="宋体" w:hAnsi="宋体"/>
                <w:sz w:val="24"/>
                <w:szCs w:val="24"/>
                <w:lang w:val="zh-TW"/>
              </w:rPr>
              <w:t>的</w:t>
            </w:r>
            <w:r>
              <w:rPr>
                <w:rFonts w:hint="eastAsia" w:ascii="宋体" w:hAnsi="宋体"/>
                <w:sz w:val="24"/>
                <w:szCs w:val="24"/>
                <w:lang w:val="zh-TW" w:eastAsia="zh-TW"/>
              </w:rPr>
              <w:t>得</w:t>
            </w:r>
            <w:r>
              <w:rPr>
                <w:rFonts w:hint="eastAsia" w:ascii="宋体" w:hAnsi="宋体"/>
                <w:sz w:val="24"/>
                <w:szCs w:val="24"/>
                <w:lang w:val="en-US" w:eastAsia="zh-CN"/>
              </w:rPr>
              <w:t>6</w:t>
            </w:r>
            <w:r>
              <w:rPr>
                <w:rFonts w:hint="eastAsia" w:ascii="宋体" w:hAnsi="宋体"/>
                <w:sz w:val="24"/>
                <w:szCs w:val="24"/>
                <w:lang w:val="zh-TW" w:eastAsia="zh-TW"/>
              </w:rPr>
              <w:t>分；</w:t>
            </w:r>
          </w:p>
          <w:p w14:paraId="03BD8CC3">
            <w:pPr>
              <w:widowControl/>
              <w:spacing w:line="360" w:lineRule="auto"/>
              <w:rPr>
                <w:rFonts w:ascii="宋体" w:hAnsi="宋体"/>
                <w:sz w:val="24"/>
                <w:szCs w:val="24"/>
                <w:lang w:val="zh-TW" w:eastAsia="zh-TW"/>
              </w:rPr>
            </w:pPr>
            <w:r>
              <w:rPr>
                <w:rFonts w:hint="eastAsia" w:ascii="宋体" w:hAnsi="宋体"/>
                <w:sz w:val="24"/>
                <w:szCs w:val="24"/>
                <w:lang w:val="zh-TW" w:eastAsia="zh-TW"/>
              </w:rPr>
              <w:t>（</w:t>
            </w:r>
            <w:r>
              <w:rPr>
                <w:rFonts w:hint="eastAsia" w:ascii="宋体" w:hAnsi="宋体"/>
                <w:sz w:val="24"/>
                <w:szCs w:val="24"/>
                <w:lang w:eastAsia="zh-TW"/>
              </w:rPr>
              <w:t>3</w:t>
            </w:r>
            <w:r>
              <w:rPr>
                <w:rFonts w:hint="eastAsia" w:ascii="宋体" w:hAnsi="宋体"/>
                <w:sz w:val="24"/>
                <w:szCs w:val="24"/>
                <w:lang w:val="zh-TW" w:eastAsia="zh-TW"/>
              </w:rPr>
              <w:t>）方案基本完整、合理的得</w:t>
            </w:r>
            <w:r>
              <w:rPr>
                <w:rFonts w:hint="eastAsia" w:ascii="宋体" w:hAnsi="宋体"/>
                <w:sz w:val="24"/>
                <w:szCs w:val="24"/>
                <w:lang w:eastAsia="zh-TW"/>
              </w:rPr>
              <w:t>4</w:t>
            </w:r>
            <w:r>
              <w:rPr>
                <w:rFonts w:hint="eastAsia" w:ascii="宋体" w:hAnsi="宋体"/>
                <w:sz w:val="24"/>
                <w:szCs w:val="24"/>
                <w:lang w:val="zh-TW" w:eastAsia="zh-TW"/>
              </w:rPr>
              <w:t>分；</w:t>
            </w:r>
          </w:p>
          <w:p w14:paraId="566A5525">
            <w:pPr>
              <w:widowControl/>
              <w:spacing w:line="360" w:lineRule="auto"/>
              <w:rPr>
                <w:rFonts w:ascii="宋体" w:hAnsi="宋体"/>
                <w:sz w:val="24"/>
                <w:szCs w:val="24"/>
                <w:lang w:val="zh-TW" w:eastAsia="zh-TW"/>
              </w:rPr>
            </w:pPr>
            <w:r>
              <w:rPr>
                <w:rFonts w:hint="eastAsia" w:ascii="宋体" w:hAnsi="宋体"/>
                <w:sz w:val="24"/>
                <w:szCs w:val="24"/>
                <w:lang w:val="zh-TW"/>
              </w:rPr>
              <w:t>（</w:t>
            </w:r>
            <w:r>
              <w:rPr>
                <w:rFonts w:hint="eastAsia" w:ascii="宋体" w:hAnsi="宋体"/>
                <w:sz w:val="24"/>
                <w:szCs w:val="24"/>
              </w:rPr>
              <w:t>4</w:t>
            </w:r>
            <w:r>
              <w:rPr>
                <w:rFonts w:hint="eastAsia" w:ascii="宋体" w:hAnsi="宋体"/>
                <w:sz w:val="24"/>
                <w:szCs w:val="24"/>
                <w:lang w:val="zh-TW"/>
              </w:rPr>
              <w:t>）</w:t>
            </w:r>
            <w:r>
              <w:rPr>
                <w:rFonts w:hint="eastAsia" w:ascii="宋体" w:hAnsi="宋体"/>
                <w:sz w:val="24"/>
                <w:szCs w:val="24"/>
                <w:lang w:val="zh-TW" w:eastAsia="zh-TW"/>
              </w:rPr>
              <w:t>方案不完整</w:t>
            </w:r>
            <w:r>
              <w:rPr>
                <w:rFonts w:hint="eastAsia" w:ascii="宋体" w:hAnsi="宋体"/>
                <w:sz w:val="24"/>
                <w:szCs w:val="24"/>
                <w:lang w:val="zh-TW"/>
              </w:rPr>
              <w:t>或者</w:t>
            </w:r>
            <w:r>
              <w:rPr>
                <w:rFonts w:hint="eastAsia" w:ascii="宋体" w:hAnsi="宋体"/>
                <w:sz w:val="24"/>
                <w:szCs w:val="24"/>
                <w:lang w:val="zh-TW" w:eastAsia="zh-TW"/>
              </w:rPr>
              <w:t>不合理</w:t>
            </w:r>
            <w:r>
              <w:rPr>
                <w:rFonts w:hint="eastAsia" w:ascii="宋体" w:hAnsi="宋体"/>
                <w:sz w:val="24"/>
                <w:szCs w:val="24"/>
                <w:lang w:val="zh-TW"/>
              </w:rPr>
              <w:t>的</w:t>
            </w:r>
            <w:r>
              <w:rPr>
                <w:rFonts w:hint="eastAsia" w:ascii="宋体" w:hAnsi="宋体"/>
                <w:sz w:val="24"/>
                <w:szCs w:val="24"/>
                <w:lang w:val="zh-TW" w:eastAsia="zh-TW"/>
              </w:rPr>
              <w:t>得</w:t>
            </w:r>
            <w:r>
              <w:rPr>
                <w:rFonts w:hint="eastAsia" w:ascii="宋体" w:hAnsi="宋体"/>
                <w:sz w:val="24"/>
                <w:szCs w:val="24"/>
                <w:lang w:val="en-US" w:eastAsia="zh-CN"/>
              </w:rPr>
              <w:t>2</w:t>
            </w:r>
            <w:r>
              <w:rPr>
                <w:rFonts w:hint="eastAsia" w:ascii="宋体" w:hAnsi="宋体"/>
                <w:sz w:val="24"/>
                <w:szCs w:val="24"/>
                <w:lang w:val="zh-TW" w:eastAsia="zh-TW"/>
              </w:rPr>
              <w:t>分；</w:t>
            </w:r>
          </w:p>
          <w:p w14:paraId="1DDEECF7">
            <w:pPr>
              <w:widowControl/>
              <w:spacing w:line="360" w:lineRule="auto"/>
              <w:rPr>
                <w:rFonts w:hint="eastAsia" w:asciiTheme="minorEastAsia" w:hAnsiTheme="minorEastAsia" w:eastAsiaTheme="minorEastAsia" w:cstheme="minorEastAsia"/>
                <w:color w:val="auto"/>
                <w:sz w:val="24"/>
                <w:szCs w:val="24"/>
                <w:lang w:eastAsia="zh-CN"/>
              </w:rPr>
            </w:pPr>
            <w:r>
              <w:rPr>
                <w:rFonts w:hint="eastAsia" w:ascii="宋体" w:hAnsi="宋体"/>
                <w:sz w:val="24"/>
                <w:szCs w:val="24"/>
                <w:lang w:val="zh-TW" w:eastAsia="zh-TW"/>
              </w:rPr>
              <w:t>缺项不得分。</w:t>
            </w:r>
          </w:p>
        </w:tc>
      </w:tr>
      <w:tr w14:paraId="4EF66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8" w:hRule="atLeast"/>
        </w:trPr>
        <w:tc>
          <w:tcPr>
            <w:tcW w:w="898" w:type="dxa"/>
            <w:vMerge w:val="restart"/>
            <w:tcBorders>
              <w:left w:val="single" w:color="000000" w:sz="4" w:space="0"/>
              <w:right w:val="single" w:color="auto" w:sz="4" w:space="0"/>
            </w:tcBorders>
            <w:vAlign w:val="center"/>
          </w:tcPr>
          <w:p w14:paraId="4A56DE49">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en-US" w:eastAsia="zh-CN" w:bidi="zh-TW"/>
              </w:rPr>
            </w:pPr>
            <w:r>
              <w:rPr>
                <w:rFonts w:hint="eastAsia" w:asciiTheme="minorEastAsia" w:hAnsiTheme="minorEastAsia" w:eastAsiaTheme="minorEastAsia" w:cstheme="minorEastAsia"/>
                <w:color w:val="auto"/>
                <w:sz w:val="24"/>
                <w:szCs w:val="24"/>
                <w:highlight w:val="none"/>
                <w:lang w:val="zh-TW" w:eastAsia="zh-CN" w:bidi="zh-TW"/>
              </w:rPr>
              <w:t>商务部分（</w:t>
            </w:r>
            <w:r>
              <w:rPr>
                <w:rFonts w:hint="eastAsia" w:asciiTheme="minorEastAsia" w:hAnsiTheme="minorEastAsia" w:eastAsiaTheme="minorEastAsia" w:cstheme="minorEastAsia"/>
                <w:color w:val="auto"/>
                <w:sz w:val="24"/>
                <w:szCs w:val="24"/>
                <w:highlight w:val="none"/>
                <w:lang w:val="en-US" w:eastAsia="zh-CN" w:bidi="zh-TW"/>
              </w:rPr>
              <w:t>14分）</w:t>
            </w:r>
          </w:p>
        </w:tc>
        <w:tc>
          <w:tcPr>
            <w:tcW w:w="1410" w:type="dxa"/>
            <w:tcBorders>
              <w:top w:val="single" w:color="000000" w:sz="4" w:space="0"/>
              <w:left w:val="single" w:color="auto" w:sz="4" w:space="0"/>
              <w:bottom w:val="single" w:color="000000" w:sz="4" w:space="0"/>
              <w:right w:val="single" w:color="000000" w:sz="4" w:space="0"/>
            </w:tcBorders>
            <w:vAlign w:val="center"/>
          </w:tcPr>
          <w:p w14:paraId="600A71D6">
            <w:pPr>
              <w:widowControl/>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业绩</w:t>
            </w:r>
          </w:p>
        </w:tc>
        <w:tc>
          <w:tcPr>
            <w:tcW w:w="782" w:type="dxa"/>
            <w:tcBorders>
              <w:top w:val="single" w:color="000000" w:sz="4" w:space="0"/>
              <w:left w:val="single" w:color="000000" w:sz="4" w:space="0"/>
              <w:bottom w:val="single" w:color="000000" w:sz="4" w:space="0"/>
              <w:right w:val="single" w:color="000000" w:sz="4" w:space="0"/>
            </w:tcBorders>
            <w:vAlign w:val="center"/>
          </w:tcPr>
          <w:p w14:paraId="644F5E65">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en-US" w:eastAsia="zh-CN" w:bidi="zh-TW"/>
              </w:rPr>
            </w:pPr>
            <w:r>
              <w:rPr>
                <w:rFonts w:hint="eastAsia" w:asciiTheme="minorEastAsia" w:hAnsiTheme="minorEastAsia" w:eastAsiaTheme="minorEastAsia" w:cstheme="minorEastAsia"/>
                <w:color w:val="auto"/>
                <w:sz w:val="24"/>
                <w:szCs w:val="24"/>
                <w:highlight w:val="none"/>
                <w:lang w:val="en-US" w:eastAsia="zh-CN" w:bidi="zh-TW"/>
              </w:rPr>
              <w:t>4分</w:t>
            </w:r>
          </w:p>
        </w:tc>
        <w:tc>
          <w:tcPr>
            <w:tcW w:w="6075" w:type="dxa"/>
            <w:tcBorders>
              <w:top w:val="single" w:color="000000" w:sz="4" w:space="0"/>
              <w:left w:val="single" w:color="000000" w:sz="4" w:space="0"/>
              <w:bottom w:val="single" w:color="000000" w:sz="4" w:space="0"/>
              <w:right w:val="single" w:color="auto" w:sz="4" w:space="0"/>
            </w:tcBorders>
            <w:vAlign w:val="center"/>
          </w:tcPr>
          <w:p w14:paraId="27B723D8">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供应商提供2022年7月以来签订的类似业绩，每提供一份完成的得 2分，最高得4分。（需提供合同复印件并加盖公章，以合同签订时间为准。）</w:t>
            </w:r>
          </w:p>
        </w:tc>
      </w:tr>
      <w:tr w14:paraId="0075D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898" w:type="dxa"/>
            <w:vMerge w:val="continue"/>
            <w:tcBorders>
              <w:left w:val="single" w:color="000000" w:sz="4" w:space="0"/>
              <w:right w:val="single" w:color="auto" w:sz="4" w:space="0"/>
            </w:tcBorders>
            <w:vAlign w:val="center"/>
          </w:tcPr>
          <w:p w14:paraId="33FA7F7F">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CN" w:bidi="zh-TW"/>
              </w:rPr>
            </w:pPr>
          </w:p>
        </w:tc>
        <w:tc>
          <w:tcPr>
            <w:tcW w:w="1410" w:type="dxa"/>
            <w:tcBorders>
              <w:top w:val="single" w:color="000000" w:sz="4" w:space="0"/>
              <w:left w:val="single" w:color="auto" w:sz="4" w:space="0"/>
              <w:bottom w:val="single" w:color="000000" w:sz="4" w:space="0"/>
              <w:right w:val="single" w:color="000000" w:sz="4" w:space="0"/>
            </w:tcBorders>
            <w:vAlign w:val="center"/>
          </w:tcPr>
          <w:p w14:paraId="54D46936">
            <w:pPr>
              <w:keepNext w:val="0"/>
              <w:keepLines w:val="0"/>
              <w:widowControl/>
              <w:suppressLineNumbers w:val="0"/>
              <w:jc w:val="center"/>
              <w:rPr>
                <w:rFonts w:hint="default"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auto"/>
                <w:sz w:val="24"/>
                <w:lang w:bidi="zh-TW"/>
              </w:rPr>
              <w:t>实质性优惠承诺及措施</w:t>
            </w:r>
          </w:p>
        </w:tc>
        <w:tc>
          <w:tcPr>
            <w:tcW w:w="782" w:type="dxa"/>
            <w:tcBorders>
              <w:top w:val="single" w:color="000000" w:sz="4" w:space="0"/>
              <w:left w:val="single" w:color="000000" w:sz="4" w:space="0"/>
              <w:bottom w:val="single" w:color="000000" w:sz="4" w:space="0"/>
              <w:right w:val="single" w:color="000000" w:sz="4" w:space="0"/>
            </w:tcBorders>
            <w:vAlign w:val="center"/>
          </w:tcPr>
          <w:p w14:paraId="055AE578">
            <w:pPr>
              <w:tabs>
                <w:tab w:val="center" w:pos="4153"/>
                <w:tab w:val="right" w:pos="8306"/>
              </w:tabs>
              <w:snapToGrid w:val="0"/>
              <w:rPr>
                <w:rFonts w:hint="default" w:asciiTheme="minorEastAsia" w:hAnsiTheme="minorEastAsia" w:eastAsiaTheme="minorEastAsia" w:cstheme="minorEastAsia"/>
                <w:color w:val="auto"/>
                <w:sz w:val="24"/>
                <w:szCs w:val="24"/>
                <w:highlight w:val="none"/>
                <w:lang w:val="en-US" w:eastAsia="zh-CN" w:bidi="zh-TW"/>
              </w:rPr>
            </w:pPr>
            <w:r>
              <w:rPr>
                <w:rFonts w:hint="eastAsia" w:asciiTheme="minorEastAsia" w:hAnsiTheme="minorEastAsia" w:eastAsiaTheme="minorEastAsia" w:cstheme="minorEastAsia"/>
                <w:color w:val="auto"/>
                <w:sz w:val="24"/>
                <w:szCs w:val="24"/>
                <w:highlight w:val="none"/>
                <w:lang w:val="en-US" w:eastAsia="zh-CN" w:bidi="zh-TW"/>
              </w:rPr>
              <w:t>5分</w:t>
            </w:r>
          </w:p>
        </w:tc>
        <w:tc>
          <w:tcPr>
            <w:tcW w:w="6075" w:type="dxa"/>
            <w:tcBorders>
              <w:top w:val="single" w:color="000000" w:sz="4" w:space="0"/>
              <w:left w:val="single" w:color="000000" w:sz="4" w:space="0"/>
              <w:bottom w:val="single" w:color="000000" w:sz="4" w:space="0"/>
              <w:right w:val="single" w:color="auto" w:sz="4" w:space="0"/>
            </w:tcBorders>
            <w:vAlign w:val="center"/>
          </w:tcPr>
          <w:p w14:paraId="0E7F4491">
            <w:pPr>
              <w:numPr>
                <w:ilvl w:val="0"/>
                <w:numId w:val="1"/>
              </w:numPr>
              <w:tabs>
                <w:tab w:val="center" w:pos="4153"/>
                <w:tab w:val="right" w:pos="8306"/>
              </w:tabs>
              <w:adjustRightInd w:val="0"/>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针对性强，</w:t>
            </w:r>
            <w:r>
              <w:rPr>
                <w:rFonts w:hint="eastAsia" w:ascii="宋体" w:hAnsi="宋体" w:cs="宋体"/>
                <w:color w:val="auto"/>
                <w:sz w:val="24"/>
                <w:lang w:eastAsia="zh-CN"/>
              </w:rPr>
              <w:t>且</w:t>
            </w:r>
            <w:r>
              <w:rPr>
                <w:rFonts w:hint="eastAsia" w:ascii="宋体" w:hAnsi="宋体" w:eastAsia="宋体" w:cs="宋体"/>
                <w:color w:val="auto"/>
                <w:sz w:val="24"/>
              </w:rPr>
              <w:t>能结合</w:t>
            </w:r>
            <w:r>
              <w:rPr>
                <w:rFonts w:hint="eastAsia" w:ascii="宋体" w:hAnsi="宋体" w:eastAsia="宋体" w:cs="宋体"/>
                <w:color w:val="auto"/>
                <w:sz w:val="24"/>
                <w:lang w:val="en-US" w:eastAsia="zh-CN"/>
              </w:rPr>
              <w:t>采购人</w:t>
            </w:r>
            <w:r>
              <w:rPr>
                <w:rFonts w:hint="eastAsia" w:ascii="宋体" w:hAnsi="宋体" w:eastAsia="宋体" w:cs="宋体"/>
                <w:color w:val="auto"/>
                <w:sz w:val="24"/>
              </w:rPr>
              <w:t>实际情况</w:t>
            </w:r>
            <w:r>
              <w:rPr>
                <w:rFonts w:hint="eastAsia" w:ascii="宋体" w:hAnsi="宋体" w:cs="宋体"/>
                <w:color w:val="auto"/>
                <w:sz w:val="24"/>
                <w:lang w:eastAsia="zh-CN"/>
              </w:rPr>
              <w:t>给予</w:t>
            </w:r>
            <w:r>
              <w:rPr>
                <w:rFonts w:hint="eastAsia" w:ascii="宋体" w:hAnsi="宋体" w:eastAsia="宋体" w:cs="宋体"/>
                <w:color w:val="auto"/>
                <w:sz w:val="24"/>
                <w:lang w:eastAsia="zh-CN"/>
              </w:rPr>
              <w:t>采购人</w:t>
            </w:r>
            <w:r>
              <w:rPr>
                <w:rFonts w:hint="eastAsia" w:ascii="宋体" w:hAnsi="宋体" w:eastAsia="宋体" w:cs="宋体"/>
                <w:color w:val="auto"/>
                <w:sz w:val="24"/>
              </w:rPr>
              <w:t>实质性优惠及帮助的承诺或措施的得</w:t>
            </w:r>
            <w:r>
              <w:rPr>
                <w:rFonts w:hint="eastAsia" w:ascii="宋体" w:hAnsi="宋体" w:eastAsia="宋体" w:cs="宋体"/>
                <w:color w:val="auto"/>
                <w:sz w:val="24"/>
                <w:lang w:val="en-US" w:eastAsia="zh-CN"/>
              </w:rPr>
              <w:t>5</w:t>
            </w:r>
            <w:r>
              <w:rPr>
                <w:rFonts w:hint="eastAsia" w:ascii="宋体" w:hAnsi="宋体" w:eastAsia="宋体" w:cs="宋体"/>
                <w:color w:val="auto"/>
                <w:sz w:val="24"/>
              </w:rPr>
              <w:t>分；</w:t>
            </w:r>
          </w:p>
          <w:p w14:paraId="43136356">
            <w:pPr>
              <w:numPr>
                <w:ilvl w:val="0"/>
                <w:numId w:val="1"/>
              </w:numPr>
              <w:tabs>
                <w:tab w:val="center" w:pos="4153"/>
                <w:tab w:val="right" w:pos="8306"/>
              </w:tabs>
              <w:adjustRightInd w:val="0"/>
              <w:snapToGrid w:val="0"/>
              <w:spacing w:line="360" w:lineRule="auto"/>
              <w:ind w:firstLine="240" w:firstLineChars="100"/>
              <w:rPr>
                <w:rFonts w:hint="eastAsia" w:ascii="宋体" w:hAnsi="宋体" w:eastAsia="宋体" w:cs="宋体"/>
                <w:color w:val="auto"/>
                <w:sz w:val="24"/>
                <w:lang w:eastAsia="zh-CN"/>
              </w:rPr>
            </w:pPr>
            <w:r>
              <w:rPr>
                <w:rFonts w:hint="eastAsia" w:ascii="宋体" w:hAnsi="宋体" w:eastAsia="宋体" w:cs="宋体"/>
                <w:color w:val="auto"/>
                <w:sz w:val="24"/>
              </w:rPr>
              <w:t>针对性一般，对</w:t>
            </w:r>
            <w:r>
              <w:rPr>
                <w:rFonts w:hint="eastAsia" w:ascii="宋体" w:hAnsi="宋体" w:eastAsia="宋体" w:cs="宋体"/>
                <w:color w:val="auto"/>
                <w:sz w:val="24"/>
                <w:lang w:eastAsia="zh-CN"/>
              </w:rPr>
              <w:t>采购人</w:t>
            </w:r>
            <w:r>
              <w:rPr>
                <w:rFonts w:hint="eastAsia" w:ascii="宋体" w:hAnsi="宋体" w:eastAsia="宋体" w:cs="宋体"/>
                <w:color w:val="auto"/>
                <w:sz w:val="24"/>
              </w:rPr>
              <w:t>有一定优惠或帮助的承诺或措施的得</w:t>
            </w:r>
            <w:r>
              <w:rPr>
                <w:rFonts w:hint="eastAsia" w:ascii="宋体" w:hAnsi="宋体" w:eastAsia="宋体" w:cs="宋体"/>
                <w:color w:val="auto"/>
                <w:sz w:val="24"/>
                <w:lang w:val="en-US" w:eastAsia="zh-CN"/>
              </w:rPr>
              <w:t>2</w:t>
            </w:r>
            <w:r>
              <w:rPr>
                <w:rFonts w:hint="eastAsia" w:ascii="宋体" w:hAnsi="宋体" w:eastAsia="宋体" w:cs="宋体"/>
                <w:color w:val="auto"/>
                <w:sz w:val="24"/>
              </w:rPr>
              <w:t>分；</w:t>
            </w:r>
          </w:p>
          <w:p w14:paraId="6BDD0766">
            <w:pPr>
              <w:numPr>
                <w:ilvl w:val="0"/>
                <w:numId w:val="0"/>
              </w:numPr>
              <w:tabs>
                <w:tab w:val="center" w:pos="4153"/>
                <w:tab w:val="right" w:pos="8306"/>
              </w:tabs>
              <w:adjustRightInd w:val="0"/>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未提供的不得分。</w:t>
            </w:r>
          </w:p>
        </w:tc>
      </w:tr>
      <w:tr w14:paraId="1BB11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7" w:hRule="atLeast"/>
        </w:trPr>
        <w:tc>
          <w:tcPr>
            <w:tcW w:w="898" w:type="dxa"/>
            <w:vMerge w:val="continue"/>
            <w:tcBorders>
              <w:left w:val="single" w:color="000000" w:sz="4" w:space="0"/>
              <w:right w:val="single" w:color="auto" w:sz="4" w:space="0"/>
            </w:tcBorders>
            <w:vAlign w:val="center"/>
          </w:tcPr>
          <w:p w14:paraId="0AC7CEBD">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CN" w:bidi="zh-TW"/>
              </w:rPr>
            </w:pPr>
          </w:p>
        </w:tc>
        <w:tc>
          <w:tcPr>
            <w:tcW w:w="1410" w:type="dxa"/>
            <w:tcBorders>
              <w:top w:val="single" w:color="000000" w:sz="4" w:space="0"/>
              <w:left w:val="single" w:color="auto" w:sz="4" w:space="0"/>
              <w:bottom w:val="single" w:color="000000" w:sz="4" w:space="0"/>
              <w:right w:val="single" w:color="000000" w:sz="4" w:space="0"/>
            </w:tcBorders>
            <w:vAlign w:val="center"/>
          </w:tcPr>
          <w:p w14:paraId="545C8191">
            <w:pPr>
              <w:keepNext w:val="0"/>
              <w:keepLines w:val="0"/>
              <w:widowControl/>
              <w:suppressLineNumbers w:val="0"/>
              <w:spacing w:before="0" w:beforeAutospacing="0" w:after="0" w:afterAutospacing="0" w:line="240" w:lineRule="atLeast"/>
              <w:ind w:left="0" w:leftChars="0" w:right="0" w:rightChars="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服务措施及承诺</w:t>
            </w:r>
          </w:p>
        </w:tc>
        <w:tc>
          <w:tcPr>
            <w:tcW w:w="782" w:type="dxa"/>
            <w:tcBorders>
              <w:top w:val="single" w:color="000000" w:sz="4" w:space="0"/>
              <w:left w:val="single" w:color="000000" w:sz="4" w:space="0"/>
              <w:bottom w:val="single" w:color="000000" w:sz="4" w:space="0"/>
              <w:right w:val="single" w:color="000000" w:sz="4" w:space="0"/>
            </w:tcBorders>
            <w:vAlign w:val="center"/>
          </w:tcPr>
          <w:p w14:paraId="29DD769E">
            <w:pPr>
              <w:keepNext w:val="0"/>
              <w:keepLines w:val="0"/>
              <w:widowControl/>
              <w:suppressLineNumbers w:val="0"/>
              <w:spacing w:before="0" w:beforeAutospacing="0" w:after="0" w:afterAutospacing="0" w:line="240" w:lineRule="atLeast"/>
              <w:ind w:left="0" w:leftChars="0" w:right="0" w:rightChars="0"/>
              <w:rPr>
                <w:rFonts w:hint="eastAsia" w:ascii="宋体" w:hAnsi="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分</w:t>
            </w:r>
          </w:p>
        </w:tc>
        <w:tc>
          <w:tcPr>
            <w:tcW w:w="6075" w:type="dxa"/>
            <w:tcBorders>
              <w:top w:val="single" w:color="000000" w:sz="4" w:space="0"/>
              <w:left w:val="single" w:color="000000" w:sz="4" w:space="0"/>
              <w:bottom w:val="single" w:color="000000" w:sz="4" w:space="0"/>
              <w:right w:val="single" w:color="auto" w:sz="4" w:space="0"/>
            </w:tcBorders>
            <w:vAlign w:val="center"/>
          </w:tcPr>
          <w:p w14:paraId="4551D5B6">
            <w:pPr>
              <w:tabs>
                <w:tab w:val="center" w:pos="4153"/>
                <w:tab w:val="right" w:pos="8306"/>
              </w:tabs>
              <w:adjustRightInd w:val="0"/>
              <w:snapToGrid w:val="0"/>
              <w:spacing w:line="360" w:lineRule="auto"/>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根据各供应商提供的针对本项目的服务措施及承诺的内容进行打分，</w:t>
            </w:r>
            <w:r>
              <w:rPr>
                <w:rFonts w:hint="eastAsia" w:ascii="宋体" w:hAnsi="宋体" w:eastAsia="宋体" w:cs="宋体"/>
                <w:color w:val="auto"/>
                <w:sz w:val="24"/>
                <w:lang w:val="en-US" w:eastAsia="zh-TW"/>
              </w:rPr>
              <w:t>包括</w:t>
            </w:r>
            <w:r>
              <w:rPr>
                <w:rFonts w:hint="eastAsia" w:ascii="宋体" w:hAnsi="宋体" w:eastAsia="宋体" w:cs="宋体"/>
                <w:color w:val="auto"/>
                <w:sz w:val="24"/>
                <w:lang w:val="en-US" w:eastAsia="zh-CN"/>
              </w:rPr>
              <w:t>但不限于接到工作任务后，积极配合各方工作，投入充足人员、设备，保证服务质量的承诺和措施，主动做好各项协调工作，保证工作顺利进行的承诺和措施以及本项目的售后服务承诺：</w:t>
            </w:r>
          </w:p>
          <w:p w14:paraId="1385847E">
            <w:pPr>
              <w:tabs>
                <w:tab w:val="center" w:pos="4153"/>
                <w:tab w:val="right" w:pos="8306"/>
              </w:tabs>
              <w:adjustRightInd w:val="0"/>
              <w:snapToGrid w:val="0"/>
              <w:spacing w:line="360" w:lineRule="auto"/>
              <w:ind w:firstLine="240" w:firstLineChars="100"/>
              <w:rPr>
                <w:rFonts w:hint="eastAsia" w:ascii="宋体" w:hAnsi="宋体" w:eastAsia="宋体" w:cs="宋体"/>
                <w:color w:val="auto"/>
                <w:sz w:val="24"/>
                <w:lang w:val="en-US" w:eastAsia="zh-CN"/>
              </w:rPr>
            </w:pPr>
            <w:r>
              <w:rPr>
                <w:rFonts w:hint="eastAsia" w:ascii="宋体" w:hAnsi="宋体"/>
                <w:sz w:val="24"/>
                <w:szCs w:val="24"/>
              </w:rPr>
              <w:t>（1）</w:t>
            </w:r>
            <w:r>
              <w:rPr>
                <w:rFonts w:hint="eastAsia" w:ascii="宋体" w:hAnsi="宋体" w:eastAsia="宋体" w:cs="宋体"/>
                <w:color w:val="auto"/>
                <w:sz w:val="24"/>
                <w:lang w:val="en-US" w:eastAsia="zh-CN"/>
              </w:rPr>
              <w:t>服务措施及承诺内容全面、有针对性、合理可行、可实施性强，得</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 xml:space="preserve">分； </w:t>
            </w:r>
          </w:p>
          <w:p w14:paraId="49C69DF0">
            <w:pPr>
              <w:tabs>
                <w:tab w:val="center" w:pos="4153"/>
                <w:tab w:val="right" w:pos="8306"/>
              </w:tabs>
              <w:adjustRightInd w:val="0"/>
              <w:snapToGrid w:val="0"/>
              <w:spacing w:line="360" w:lineRule="auto"/>
              <w:ind w:firstLine="240" w:firstLineChars="100"/>
              <w:rPr>
                <w:rFonts w:hint="eastAsia" w:ascii="宋体" w:hAnsi="宋体" w:eastAsia="宋体" w:cs="宋体"/>
                <w:color w:val="auto"/>
                <w:sz w:val="24"/>
                <w:lang w:val="en-US" w:eastAsia="zh-CN"/>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w:t>
            </w:r>
            <w:r>
              <w:rPr>
                <w:rFonts w:hint="eastAsia" w:ascii="宋体" w:hAnsi="宋体" w:eastAsia="宋体" w:cs="宋体"/>
                <w:color w:val="auto"/>
                <w:sz w:val="24"/>
                <w:lang w:val="en-US" w:eastAsia="zh-CN"/>
              </w:rPr>
              <w:t>服务措施及承诺内容基本完整、措施基本可行、可实践实施，得</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 xml:space="preserve">分； </w:t>
            </w:r>
          </w:p>
          <w:p w14:paraId="2CF1F873">
            <w:pPr>
              <w:tabs>
                <w:tab w:val="center" w:pos="4153"/>
                <w:tab w:val="right" w:pos="8306"/>
              </w:tabs>
              <w:adjustRightInd w:val="0"/>
              <w:snapToGrid w:val="0"/>
              <w:spacing w:line="360" w:lineRule="auto"/>
              <w:ind w:firstLine="240" w:firstLineChars="100"/>
              <w:rPr>
                <w:rFonts w:hint="eastAsia" w:ascii="宋体" w:hAnsi="宋体" w:eastAsia="宋体" w:cs="宋体"/>
                <w:color w:val="auto"/>
                <w:sz w:val="24"/>
                <w:lang w:val="en-US" w:eastAsia="zh-CN"/>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w:t>
            </w:r>
            <w:r>
              <w:rPr>
                <w:rFonts w:hint="eastAsia" w:ascii="宋体" w:hAnsi="宋体" w:eastAsia="宋体" w:cs="宋体"/>
                <w:color w:val="auto"/>
                <w:sz w:val="24"/>
                <w:lang w:val="en-US" w:eastAsia="zh-CN"/>
              </w:rPr>
              <w:t>服务措施及承诺内容简单、不具有实践实施性，或均为通用性的说明，得</w:t>
            </w: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 xml:space="preserve">分； </w:t>
            </w:r>
          </w:p>
          <w:p w14:paraId="686BBC03">
            <w:pPr>
              <w:tabs>
                <w:tab w:val="center" w:pos="4153"/>
                <w:tab w:val="right" w:pos="8306"/>
              </w:tabs>
              <w:adjustRightInd w:val="0"/>
              <w:snapToGrid w:val="0"/>
              <w:spacing w:line="360" w:lineRule="auto"/>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未提供的不得分。</w:t>
            </w:r>
          </w:p>
        </w:tc>
      </w:tr>
    </w:tbl>
    <w:p w14:paraId="70D1EC1B">
      <w:pPr>
        <w:ind w:firstLine="281" w:firstLineChars="100"/>
        <w:rPr>
          <w:rFonts w:ascii="宋体" w:hAnsi="宋体" w:cs="宋体"/>
          <w:b/>
          <w:bCs/>
          <w:sz w:val="28"/>
          <w:szCs w:val="28"/>
          <w:lang w:val="zh-TW" w:bidi="zh-TW"/>
        </w:rPr>
      </w:pPr>
      <w:r>
        <w:rPr>
          <w:rFonts w:hint="eastAsia" w:ascii="宋体" w:hAnsi="宋体" w:cs="宋体"/>
          <w:b/>
          <w:bCs/>
          <w:sz w:val="28"/>
          <w:szCs w:val="28"/>
          <w:lang w:val="zh-TW" w:bidi="zh-TW"/>
        </w:rPr>
        <w:t>评审方法</w:t>
      </w:r>
    </w:p>
    <w:p w14:paraId="4F371876">
      <w:pPr>
        <w:adjustRightInd w:val="0"/>
        <w:snapToGrid w:val="0"/>
        <w:spacing w:line="360" w:lineRule="auto"/>
        <w:ind w:firstLine="480" w:firstLineChars="200"/>
        <w:jc w:val="left"/>
        <w:rPr>
          <w:rFonts w:ascii="宋体" w:hAnsi="宋体" w:cs="宋体"/>
          <w:sz w:val="24"/>
        </w:rPr>
      </w:pPr>
      <w:bookmarkStart w:id="102" w:name="_Toc26533"/>
      <w:bookmarkStart w:id="103" w:name="_Toc30895"/>
      <w:bookmarkStart w:id="104" w:name="_Toc6135"/>
      <w:bookmarkStart w:id="105" w:name="_Toc17219"/>
      <w:bookmarkStart w:id="106" w:name="_Toc9376"/>
      <w:bookmarkStart w:id="107" w:name="_Toc3406"/>
      <w:bookmarkStart w:id="108" w:name="_Toc5920"/>
      <w:bookmarkStart w:id="109" w:name="_Toc30234"/>
      <w:bookmarkStart w:id="110" w:name="_Toc4003"/>
      <w:bookmarkStart w:id="111" w:name="_Toc13454"/>
      <w:r>
        <w:rPr>
          <w:rFonts w:hint="eastAsia" w:ascii="宋体" w:hAnsi="宋体" w:cs="宋体"/>
          <w:sz w:val="24"/>
        </w:rPr>
        <w:t>本次项目的评审方法采用《政府采购竞争性磋商采购方式管理暂行办法》中的“综合评分法”，由磋商小组采用综合评分法对提交最后报价的供应商的响应文件和最后报价进行综合评分，响应文件满足磋商文件全部实质性要求且按评审因素的量化指标评审得分最高的供应商为成交供应商。</w:t>
      </w:r>
    </w:p>
    <w:p w14:paraId="63AE2023">
      <w:pPr>
        <w:adjustRightInd w:val="0"/>
        <w:snapToGrid w:val="0"/>
        <w:spacing w:line="360" w:lineRule="auto"/>
        <w:jc w:val="left"/>
        <w:rPr>
          <w:rFonts w:ascii="宋体" w:hAnsi="宋体" w:cs="宋体"/>
          <w:b/>
          <w:bCs/>
          <w:sz w:val="24"/>
        </w:rPr>
      </w:pPr>
      <w:r>
        <w:rPr>
          <w:rFonts w:hint="eastAsia" w:ascii="宋体" w:hAnsi="宋体" w:cs="宋体"/>
          <w:b/>
          <w:bCs/>
          <w:sz w:val="24"/>
        </w:rPr>
        <w:t>1、评审标准</w:t>
      </w:r>
      <w:bookmarkEnd w:id="102"/>
      <w:bookmarkEnd w:id="103"/>
      <w:bookmarkEnd w:id="104"/>
      <w:bookmarkEnd w:id="105"/>
      <w:bookmarkEnd w:id="106"/>
      <w:bookmarkEnd w:id="107"/>
      <w:bookmarkEnd w:id="108"/>
      <w:bookmarkEnd w:id="109"/>
      <w:bookmarkEnd w:id="110"/>
      <w:bookmarkEnd w:id="111"/>
    </w:p>
    <w:p w14:paraId="1FF29F72">
      <w:pPr>
        <w:adjustRightInd w:val="0"/>
        <w:snapToGrid w:val="0"/>
        <w:spacing w:line="360" w:lineRule="auto"/>
        <w:jc w:val="left"/>
        <w:rPr>
          <w:rFonts w:ascii="宋体" w:hAnsi="宋体" w:cs="宋体"/>
          <w:b/>
          <w:bCs/>
          <w:sz w:val="24"/>
        </w:rPr>
      </w:pPr>
      <w:bookmarkStart w:id="112" w:name="_Toc11754"/>
      <w:bookmarkStart w:id="113" w:name="_Toc25181"/>
      <w:bookmarkStart w:id="114" w:name="_Toc10856"/>
      <w:bookmarkStart w:id="115" w:name="_Toc29139"/>
      <w:bookmarkStart w:id="116" w:name="_Toc6724"/>
      <w:bookmarkStart w:id="117" w:name="_Toc28336"/>
      <w:bookmarkStart w:id="118" w:name="_Toc31651"/>
      <w:bookmarkStart w:id="119" w:name="_Toc5467"/>
      <w:bookmarkStart w:id="120" w:name="_Toc17735"/>
      <w:bookmarkStart w:id="121" w:name="_Toc7259"/>
      <w:bookmarkStart w:id="122" w:name="_Toc27094"/>
      <w:r>
        <w:rPr>
          <w:rFonts w:hint="eastAsia" w:ascii="宋体" w:hAnsi="宋体" w:cs="宋体"/>
          <w:b/>
          <w:bCs/>
          <w:sz w:val="24"/>
        </w:rPr>
        <w:t>1.1初步评审标准</w:t>
      </w:r>
      <w:bookmarkEnd w:id="112"/>
      <w:bookmarkEnd w:id="113"/>
    </w:p>
    <w:p w14:paraId="1EC66422">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1.1.1 资格评审标准：见评审办法前附表。</w:t>
      </w:r>
    </w:p>
    <w:p w14:paraId="699A04C4">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1.1.2 符合性评审标准：见评审办法前附表。</w:t>
      </w:r>
    </w:p>
    <w:bookmarkEnd w:id="114"/>
    <w:bookmarkEnd w:id="115"/>
    <w:bookmarkEnd w:id="116"/>
    <w:bookmarkEnd w:id="117"/>
    <w:bookmarkEnd w:id="118"/>
    <w:bookmarkEnd w:id="119"/>
    <w:bookmarkEnd w:id="120"/>
    <w:bookmarkEnd w:id="121"/>
    <w:bookmarkEnd w:id="122"/>
    <w:p w14:paraId="2AAB35EC">
      <w:pPr>
        <w:adjustRightInd w:val="0"/>
        <w:snapToGrid w:val="0"/>
        <w:spacing w:line="360" w:lineRule="auto"/>
        <w:jc w:val="left"/>
        <w:rPr>
          <w:rFonts w:ascii="宋体" w:hAnsi="宋体" w:cs="宋体"/>
          <w:b/>
          <w:bCs/>
          <w:sz w:val="24"/>
        </w:rPr>
      </w:pPr>
      <w:r>
        <w:rPr>
          <w:rFonts w:hint="eastAsia" w:ascii="宋体" w:hAnsi="宋体" w:cs="宋体"/>
          <w:b/>
          <w:bCs/>
          <w:sz w:val="24"/>
        </w:rPr>
        <w:t>1.2评分标准</w:t>
      </w:r>
    </w:p>
    <w:p w14:paraId="0B13F0BC">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1.2.1 评分标准：见评审办法前附表。</w:t>
      </w:r>
    </w:p>
    <w:p w14:paraId="0D508689">
      <w:pPr>
        <w:adjustRightInd w:val="0"/>
        <w:snapToGrid w:val="0"/>
        <w:spacing w:line="360" w:lineRule="auto"/>
        <w:jc w:val="left"/>
        <w:rPr>
          <w:rFonts w:ascii="宋体" w:hAnsi="宋体" w:cs="宋体"/>
          <w:b/>
          <w:bCs/>
          <w:sz w:val="24"/>
        </w:rPr>
      </w:pPr>
      <w:bookmarkStart w:id="123" w:name="_Toc22175"/>
      <w:bookmarkStart w:id="124" w:name="_Toc1740"/>
      <w:bookmarkStart w:id="125" w:name="_Toc21732"/>
      <w:bookmarkStart w:id="126" w:name="_Toc5149"/>
      <w:bookmarkStart w:id="127" w:name="_Toc28724"/>
      <w:bookmarkStart w:id="128" w:name="_Toc5605"/>
      <w:bookmarkStart w:id="129" w:name="_Toc26726"/>
      <w:bookmarkStart w:id="130" w:name="_Toc4338"/>
      <w:bookmarkStart w:id="131" w:name="_Toc29125"/>
      <w:bookmarkStart w:id="132" w:name="_Toc16356"/>
      <w:r>
        <w:rPr>
          <w:rFonts w:hint="eastAsia" w:ascii="宋体" w:hAnsi="宋体" w:cs="宋体"/>
          <w:b/>
          <w:bCs/>
          <w:sz w:val="24"/>
        </w:rPr>
        <w:t>2、评审程序</w:t>
      </w:r>
      <w:bookmarkEnd w:id="123"/>
      <w:bookmarkEnd w:id="124"/>
      <w:bookmarkEnd w:id="125"/>
      <w:bookmarkEnd w:id="126"/>
      <w:bookmarkEnd w:id="127"/>
      <w:bookmarkEnd w:id="128"/>
      <w:bookmarkEnd w:id="129"/>
      <w:bookmarkEnd w:id="130"/>
      <w:bookmarkEnd w:id="131"/>
      <w:bookmarkEnd w:id="132"/>
    </w:p>
    <w:p w14:paraId="19AD7C94">
      <w:pPr>
        <w:adjustRightInd w:val="0"/>
        <w:snapToGrid w:val="0"/>
        <w:spacing w:line="360" w:lineRule="auto"/>
        <w:jc w:val="left"/>
        <w:rPr>
          <w:rFonts w:ascii="宋体" w:hAnsi="宋体" w:cs="宋体"/>
          <w:b/>
          <w:bCs/>
          <w:sz w:val="24"/>
        </w:rPr>
      </w:pPr>
      <w:bookmarkStart w:id="133" w:name="_Toc7036"/>
      <w:bookmarkStart w:id="134" w:name="_Toc26056"/>
      <w:bookmarkStart w:id="135" w:name="_Toc18983"/>
      <w:bookmarkStart w:id="136" w:name="_Toc1654"/>
      <w:bookmarkStart w:id="137" w:name="_Toc3824"/>
      <w:bookmarkStart w:id="138" w:name="_Toc9443"/>
      <w:bookmarkStart w:id="139" w:name="_Toc17957"/>
      <w:bookmarkStart w:id="140" w:name="_Toc10682"/>
      <w:bookmarkStart w:id="141" w:name="_Toc5708"/>
      <w:bookmarkStart w:id="142" w:name="_Toc9613"/>
      <w:bookmarkStart w:id="143" w:name="_Toc32083"/>
      <w:r>
        <w:rPr>
          <w:rFonts w:hint="eastAsia" w:ascii="宋体" w:hAnsi="宋体" w:cs="宋体"/>
          <w:b/>
          <w:bCs/>
          <w:sz w:val="24"/>
        </w:rPr>
        <w:t>2.1初步评审</w:t>
      </w:r>
      <w:bookmarkEnd w:id="133"/>
      <w:bookmarkEnd w:id="134"/>
      <w:bookmarkEnd w:id="135"/>
      <w:bookmarkEnd w:id="136"/>
      <w:bookmarkEnd w:id="137"/>
      <w:bookmarkEnd w:id="138"/>
      <w:bookmarkEnd w:id="139"/>
      <w:bookmarkEnd w:id="140"/>
      <w:bookmarkEnd w:id="141"/>
      <w:bookmarkEnd w:id="142"/>
      <w:bookmarkEnd w:id="143"/>
    </w:p>
    <w:p w14:paraId="58B56CA0">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2.1.1 磋商小组依据本章评审办法前附表规定的标准，对供应商的响应文件进行初步评审，以确定其是否满足竞争性磋商文件的实质性要求，有一项不符合评审标准的，磋商小组应当认定其响应文件无效，并及时告知有关供应商。</w:t>
      </w:r>
    </w:p>
    <w:p w14:paraId="594D0F6C">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2.1.2 磋商报价有算术错误及其他错误的，磋商小组按以下原则要求供应商对磋商报价进行修正。</w:t>
      </w:r>
    </w:p>
    <w:p w14:paraId="1237D6DE">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（1）大写金额和小写金额不一致的，以大写金额为准，但大写金额文字存在错误的，应当先对大写金额的文字错误进行澄清、说明或者更正，再行修正。</w:t>
      </w:r>
    </w:p>
    <w:p w14:paraId="41A66D1B">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（2）总价金额与按单价汇总金额不一致的，以单价金额计算结果为准，但单价或者单价汇总金额存在数字或者文字错误的，应当先对数字或者文字错误进行澄清、说明或者更正，再行修正。</w:t>
      </w:r>
    </w:p>
    <w:p w14:paraId="7554F828">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（3）单价金额小数点或者百分比有明显错误的，以总价为准，修正单价。</w:t>
      </w:r>
    </w:p>
    <w:p w14:paraId="5EEBD0DC">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同时出现两种以上不一致的，按照上述规定的顺序修正。修正后的报价应当采用书面形式，并加盖公章或者由法定代表人或其授权的代表签字，供应商不确认的，其</w:t>
      </w:r>
      <w:r>
        <w:rPr>
          <w:rFonts w:hint="eastAsia" w:ascii="宋体" w:hAnsi="宋体" w:cs="宋体"/>
          <w:sz w:val="24"/>
          <w:lang w:eastAsia="zh-CN"/>
        </w:rPr>
        <w:t>响应</w:t>
      </w:r>
      <w:r>
        <w:rPr>
          <w:rFonts w:hint="eastAsia" w:ascii="宋体" w:hAnsi="宋体" w:cs="宋体"/>
          <w:sz w:val="24"/>
        </w:rPr>
        <w:t>无效。</w:t>
      </w:r>
    </w:p>
    <w:p w14:paraId="15B0957B">
      <w:pPr>
        <w:adjustRightInd w:val="0"/>
        <w:snapToGrid w:val="0"/>
        <w:spacing w:line="360" w:lineRule="auto"/>
        <w:jc w:val="left"/>
        <w:rPr>
          <w:rFonts w:ascii="宋体" w:hAnsi="宋体" w:cs="宋体"/>
          <w:b/>
          <w:bCs/>
          <w:sz w:val="24"/>
        </w:rPr>
      </w:pPr>
      <w:r>
        <w:rPr>
          <w:rFonts w:hint="eastAsia" w:ascii="宋体" w:hAnsi="宋体" w:cs="宋体"/>
          <w:b/>
          <w:bCs/>
          <w:sz w:val="24"/>
        </w:rPr>
        <w:t>2.2磋商</w:t>
      </w:r>
    </w:p>
    <w:p w14:paraId="39C83AEA">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2.2.1 磋商小组集中与单一供应商分别进行磋商。但磋商的任何一方不得透露与磋商有关的其他供应商的商业秘密、技术资料、价格和其他信息。</w:t>
      </w:r>
    </w:p>
    <w:p w14:paraId="64CE4C1C">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2.2.2 在磋商过程中，磋商小组可以根据竞争性磋商文件和磋商情况实质性变动采购需求中的技术、服务要求以及合同草案条款，但不得变动竞争性磋商文件中的其他内容。实质性变动的内容，须经采购人代表确认。</w:t>
      </w:r>
    </w:p>
    <w:p w14:paraId="3FF0C7AC">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2.2.3 对竞争性磋商文件作出的实质性变动是竞争性磋商文件的有效组成部分，磋商小组应当以书面形式同时通知所有参加磋商的供应商。</w:t>
      </w:r>
    </w:p>
    <w:p w14:paraId="790134DA">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2.2.4 竞争性磋商文件能够详细列明采购标的的技术、服务要求的，磋商结束后，磋商小组应当要求所有实质性响应的供应商在规定时间内提交最后报价，提交最后报价的供应商不得少于3家。</w:t>
      </w:r>
    </w:p>
    <w:p w14:paraId="706742FF">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2.2.5 最后报价是供应商响应文件的有效组成部分。经磋商确定最终采购需求和提交最后报价的供应商后，由磋商小组采用综合评分法对提交最后报价的供应商的响应文件和最后报价进行综合评分。</w:t>
      </w:r>
    </w:p>
    <w:p w14:paraId="482477FC">
      <w:pPr>
        <w:adjustRightInd w:val="0"/>
        <w:snapToGrid w:val="0"/>
        <w:spacing w:line="360" w:lineRule="auto"/>
        <w:jc w:val="left"/>
        <w:rPr>
          <w:rFonts w:ascii="宋体" w:hAnsi="宋体" w:cs="宋体"/>
          <w:b/>
          <w:bCs/>
          <w:sz w:val="24"/>
        </w:rPr>
      </w:pPr>
      <w:bookmarkStart w:id="144" w:name="_Toc30428"/>
      <w:bookmarkStart w:id="145" w:name="_Toc18705"/>
      <w:bookmarkStart w:id="146" w:name="_Toc1221"/>
      <w:bookmarkStart w:id="147" w:name="_Toc8285"/>
      <w:bookmarkStart w:id="148" w:name="_Toc18430"/>
      <w:bookmarkStart w:id="149" w:name="_Toc26213"/>
      <w:bookmarkStart w:id="150" w:name="_Toc22449"/>
      <w:bookmarkStart w:id="151" w:name="_Toc10132"/>
      <w:bookmarkStart w:id="152" w:name="_Toc13336"/>
      <w:bookmarkStart w:id="153" w:name="_Toc24391"/>
      <w:bookmarkStart w:id="154" w:name="_Toc12089"/>
      <w:r>
        <w:rPr>
          <w:rFonts w:hint="eastAsia" w:ascii="宋体" w:hAnsi="宋体" w:cs="宋体"/>
          <w:b/>
          <w:bCs/>
          <w:sz w:val="24"/>
        </w:rPr>
        <w:t>2.3详细评审</w:t>
      </w:r>
      <w:bookmarkEnd w:id="144"/>
      <w:bookmarkEnd w:id="145"/>
      <w:bookmarkEnd w:id="146"/>
      <w:bookmarkEnd w:id="147"/>
      <w:bookmarkEnd w:id="148"/>
      <w:bookmarkEnd w:id="149"/>
      <w:bookmarkEnd w:id="150"/>
      <w:bookmarkEnd w:id="151"/>
      <w:bookmarkEnd w:id="152"/>
      <w:bookmarkEnd w:id="153"/>
      <w:bookmarkEnd w:id="154"/>
    </w:p>
    <w:p w14:paraId="34A3996F">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2.3.1 磋商小组按本章评审方法规定的量化因素和分值进行打分，并计算出综合得分。</w:t>
      </w:r>
    </w:p>
    <w:p w14:paraId="14D4603D">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（1）按本章规定的评审因素和分值对报价得分计算出得分A；</w:t>
      </w:r>
    </w:p>
    <w:p w14:paraId="70D4096E">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（2）按本章规定的评审因素和分值对技术部分算出得分B；</w:t>
      </w:r>
    </w:p>
    <w:p w14:paraId="3F8F3A50">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（3）按本章规定的评审因素和分值对商务部分算出得分C。</w:t>
      </w:r>
    </w:p>
    <w:p w14:paraId="5B797EC7">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2.3.2 评分分值计算保留小数点后两位，小数点后第三位“四舍五入”。</w:t>
      </w:r>
    </w:p>
    <w:p w14:paraId="2FCC3DF7">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2.3.3 供应商得分=A+B+C。</w:t>
      </w:r>
    </w:p>
    <w:p w14:paraId="361DB541">
      <w:pPr>
        <w:adjustRightInd w:val="0"/>
        <w:snapToGrid w:val="0"/>
        <w:spacing w:line="360" w:lineRule="auto"/>
        <w:jc w:val="left"/>
        <w:rPr>
          <w:rFonts w:ascii="宋体" w:hAnsi="宋体" w:cs="宋体"/>
          <w:b/>
          <w:bCs/>
          <w:sz w:val="24"/>
        </w:rPr>
      </w:pPr>
      <w:bookmarkStart w:id="155" w:name="_Toc5640"/>
      <w:bookmarkStart w:id="156" w:name="_Toc18381"/>
      <w:bookmarkStart w:id="157" w:name="_Toc12279"/>
      <w:bookmarkStart w:id="158" w:name="_Toc30364"/>
      <w:bookmarkStart w:id="159" w:name="_Toc11722"/>
      <w:bookmarkStart w:id="160" w:name="_Toc7845"/>
      <w:bookmarkStart w:id="161" w:name="_Toc9150"/>
      <w:bookmarkStart w:id="162" w:name="_Toc18083"/>
      <w:bookmarkStart w:id="163" w:name="_Toc2162"/>
      <w:bookmarkStart w:id="164" w:name="_Toc6048"/>
      <w:r>
        <w:rPr>
          <w:rFonts w:hint="eastAsia" w:ascii="宋体" w:hAnsi="宋体" w:cs="宋体"/>
          <w:b/>
          <w:bCs/>
          <w:sz w:val="24"/>
        </w:rPr>
        <w:t>2.4响应文件的澄清</w:t>
      </w:r>
      <w:bookmarkEnd w:id="155"/>
      <w:bookmarkEnd w:id="156"/>
      <w:bookmarkEnd w:id="157"/>
      <w:bookmarkEnd w:id="158"/>
      <w:bookmarkEnd w:id="159"/>
      <w:bookmarkEnd w:id="160"/>
      <w:bookmarkEnd w:id="161"/>
      <w:bookmarkEnd w:id="162"/>
      <w:bookmarkEnd w:id="163"/>
      <w:bookmarkEnd w:id="164"/>
    </w:p>
    <w:p w14:paraId="7300B102">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2.4.1 在评审过程中，磋商小组可以书面形式要求供应商对响应文件中含义不明确、对同类问题表述不一致或者有明显文字和计算错误的内容</w:t>
      </w:r>
      <w:r>
        <w:rPr>
          <w:rFonts w:hint="eastAsia" w:ascii="宋体" w:hAnsi="宋体" w:cs="宋体"/>
          <w:sz w:val="24"/>
          <w:lang w:eastAsia="zh-CN"/>
        </w:rPr>
        <w:t>做必要</w:t>
      </w:r>
      <w:r>
        <w:rPr>
          <w:rFonts w:hint="eastAsia" w:ascii="宋体" w:hAnsi="宋体" w:cs="宋体"/>
          <w:sz w:val="24"/>
        </w:rPr>
        <w:t>的澄清、说明或补正。澄清、说明或补正应以书面方式进行，并加盖公章，或者由法定代表人或其授权的代表签字。磋商小组不接受供应商主动提出的澄清、说明或补正。</w:t>
      </w:r>
    </w:p>
    <w:p w14:paraId="777DACAA">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2.4.2 澄清、说明或补正不得超出响应文件的范围且不得改变响应文件的实质性内容，并构成响应文件的组成部分。</w:t>
      </w:r>
    </w:p>
    <w:p w14:paraId="3ACBB6CF">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2.4.3 磋商小组对供应商提交的澄清、说明或补正有疑问的，可以要求供应商进一步澄清、说明或补正，直至满足磋商小组的要求。</w:t>
      </w:r>
    </w:p>
    <w:p w14:paraId="2F8707EA">
      <w:pPr>
        <w:adjustRightInd w:val="0"/>
        <w:snapToGrid w:val="0"/>
        <w:spacing w:line="360" w:lineRule="auto"/>
        <w:jc w:val="left"/>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2.5相同品牌产品磋商的规定</w:t>
      </w:r>
      <w:r>
        <w:rPr>
          <w:rFonts w:hint="eastAsia" w:ascii="宋体" w:hAnsi="宋体" w:cs="宋体"/>
          <w:b/>
          <w:bCs/>
          <w:sz w:val="24"/>
          <w:highlight w:val="none"/>
          <w:lang w:val="en-US" w:eastAsia="zh-CN"/>
        </w:rPr>
        <w:t>(本条适用于货物）</w:t>
      </w:r>
    </w:p>
    <w:p w14:paraId="674F4B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2.5.1采用最低评标价法的采购项目，提供相同品牌产品的不同供应商参加同一合同项下响应的，以其中通过资格审查、符合性审查且报价最低的参加评审；报价相同的，由采购人或者采购人委托磋商小组按照磋商文件规定的方式确定一个参加评审的供应商，磋商文件未规定的采取随机抽取方式确定，其他响应无效。</w:t>
      </w:r>
    </w:p>
    <w:p w14:paraId="140070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2.5.2使用综合评分法的采购项目，提供相同品牌产品且通过资格审查、符合性审查的不同供应商参加同一合同项下响应的，按一家供应商计算，评审后得分最高的同品牌供应商获得成交人推荐资格；评审得分相同的，报价最低的同品牌供应商获得成交人推荐资格，报价也相同或者磋商文件未规定的采取随机抽取方式确定，其他同品牌供应商不作为成交候选人。</w:t>
      </w:r>
    </w:p>
    <w:p w14:paraId="137D50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2.5.3非单一产品采购项目，采购人应当根据采购项目技术构成、产品价格比重等合理确定核心产品，并在磋商文件中载明。多家供应商提供的核心产品品牌相同的，按前两款规定处理。</w:t>
      </w:r>
    </w:p>
    <w:p w14:paraId="615539F2">
      <w:pPr>
        <w:adjustRightInd w:val="0"/>
        <w:snapToGrid w:val="0"/>
        <w:spacing w:line="360" w:lineRule="auto"/>
        <w:jc w:val="left"/>
        <w:rPr>
          <w:rFonts w:ascii="宋体" w:hAnsi="宋体" w:cs="宋体"/>
          <w:b/>
          <w:bCs/>
          <w:sz w:val="24"/>
          <w:highlight w:val="none"/>
        </w:rPr>
      </w:pPr>
      <w:r>
        <w:rPr>
          <w:rFonts w:hint="eastAsia" w:ascii="宋体" w:hAnsi="宋体" w:cs="宋体"/>
          <w:b/>
          <w:bCs/>
          <w:sz w:val="24"/>
          <w:highlight w:val="none"/>
        </w:rPr>
        <w:t>2.</w:t>
      </w:r>
      <w:r>
        <w:rPr>
          <w:rFonts w:hint="eastAsia" w:ascii="宋体" w:hAnsi="宋体" w:cs="宋体"/>
          <w:b/>
          <w:bCs/>
          <w:sz w:val="24"/>
          <w:highlight w:val="none"/>
          <w:lang w:val="en-US" w:eastAsia="zh-CN"/>
        </w:rPr>
        <w:t>6</w:t>
      </w:r>
      <w:r>
        <w:rPr>
          <w:rFonts w:hint="eastAsia" w:ascii="宋体" w:hAnsi="宋体" w:cs="宋体"/>
          <w:b/>
          <w:bCs/>
          <w:sz w:val="24"/>
          <w:highlight w:val="none"/>
        </w:rPr>
        <w:t>评审结果</w:t>
      </w:r>
    </w:p>
    <w:p w14:paraId="6818607A">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磋商小组应当根据综合评分情况，按照评审得分由高到低顺序推荐3名成交候选供应商，并编写评审报告。评审得分相同的，按照最后报价由</w:t>
      </w:r>
      <w:r>
        <w:rPr>
          <w:rFonts w:hint="eastAsia" w:ascii="宋体" w:hAnsi="宋体" w:cs="宋体"/>
          <w:sz w:val="24"/>
          <w:lang w:val="en-US" w:eastAsia="zh-CN"/>
        </w:rPr>
        <w:t>高</w:t>
      </w:r>
      <w:r>
        <w:rPr>
          <w:rFonts w:hint="eastAsia" w:ascii="宋体" w:hAnsi="宋体" w:cs="宋体"/>
          <w:sz w:val="24"/>
        </w:rPr>
        <w:t>到</w:t>
      </w:r>
      <w:r>
        <w:rPr>
          <w:rFonts w:hint="eastAsia" w:ascii="宋体" w:hAnsi="宋体" w:cs="宋体"/>
          <w:sz w:val="24"/>
          <w:lang w:val="en-US" w:eastAsia="zh-CN"/>
        </w:rPr>
        <w:t>低</w:t>
      </w:r>
      <w:r>
        <w:rPr>
          <w:rFonts w:hint="eastAsia" w:ascii="宋体" w:hAnsi="宋体" w:cs="宋体"/>
          <w:sz w:val="24"/>
        </w:rPr>
        <w:t>的顺序推荐。评审得分且最后报价相同的，按照技术指标优劣顺序推荐。</w:t>
      </w:r>
    </w:p>
    <w:p w14:paraId="76BC0FE2">
      <w:pPr>
        <w:adjustRightInd w:val="0"/>
        <w:snapToGrid w:val="0"/>
        <w:spacing w:line="360" w:lineRule="auto"/>
        <w:jc w:val="left"/>
        <w:rPr>
          <w:rFonts w:ascii="宋体" w:hAnsi="宋体" w:cs="宋体"/>
          <w:b/>
          <w:bCs/>
          <w:sz w:val="24"/>
        </w:rPr>
      </w:pPr>
      <w:r>
        <w:rPr>
          <w:rFonts w:hint="eastAsia" w:ascii="宋体" w:hAnsi="宋体" w:cs="宋体"/>
          <w:b/>
          <w:bCs/>
          <w:sz w:val="24"/>
        </w:rPr>
        <w:t>3.执行政府相关政策</w:t>
      </w:r>
    </w:p>
    <w:p w14:paraId="59C741DE">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采购人应当在货物服务招标投标活动中落实节约能源、保护环境、扶持不发达地区和少数民族地区、促进中小企业发展等政府采购政策之规定，制定以下优惠政策： </w:t>
      </w:r>
    </w:p>
    <w:p w14:paraId="2C46957B">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3.1 评审过程中，在同等条件下，优先采购具有环境标志、节能产品。（环境标志是指由财政部、国家环境保护总局颁布的“环境标志产品政府采购清单”中的有效期内的产品；节能产品是指由财政部、国家发展和改革委员会颁布的“节能产品政府采购清单”中的有效期内的产品）。</w:t>
      </w:r>
    </w:p>
    <w:p w14:paraId="319377AA">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3.2 根据《政府采购促进中小企业发展</w:t>
      </w:r>
      <w:r>
        <w:rPr>
          <w:rFonts w:hint="eastAsia" w:ascii="宋体" w:hAnsi="宋体" w:cs="宋体"/>
          <w:sz w:val="24"/>
          <w:lang w:val="en-US" w:eastAsia="zh-CN"/>
        </w:rPr>
        <w:t>管理</w:t>
      </w:r>
      <w:r>
        <w:rPr>
          <w:rFonts w:hint="eastAsia" w:ascii="宋体" w:hAnsi="宋体" w:cs="宋体"/>
          <w:sz w:val="24"/>
        </w:rPr>
        <w:t>办法》（财库</w:t>
      </w:r>
      <w:r>
        <w:rPr>
          <w:rFonts w:hint="eastAsia" w:ascii="宋体" w:hAnsi="宋体" w:cs="宋体"/>
          <w:sz w:val="24"/>
          <w:lang w:eastAsia="zh-CN"/>
        </w:rPr>
        <w:t>〔2020〕46号</w:t>
      </w:r>
      <w:r>
        <w:rPr>
          <w:rFonts w:hint="eastAsia" w:ascii="宋体" w:hAnsi="宋体" w:cs="宋体"/>
          <w:sz w:val="24"/>
        </w:rPr>
        <w:t>），属小型、微型企业制造的货物（产品），享受价格扣除。供应商须提供企业出具的《中小企业声明函》并加盖企业公章，其划型标准严格按照国家工信部、国家统计局、</w:t>
      </w:r>
      <w:r>
        <w:rPr>
          <w:rFonts w:hint="eastAsia" w:ascii="宋体" w:hAnsi="宋体" w:cs="宋体"/>
          <w:sz w:val="24"/>
          <w:lang w:eastAsia="zh-CN"/>
        </w:rPr>
        <w:t>国家发展改革委</w:t>
      </w:r>
      <w:r>
        <w:rPr>
          <w:rFonts w:hint="eastAsia" w:ascii="宋体" w:hAnsi="宋体" w:cs="宋体"/>
          <w:sz w:val="24"/>
        </w:rPr>
        <w:t>、财政部出台的《中小企业划型标准规定》（工信部联企业</w:t>
      </w:r>
      <w:r>
        <w:rPr>
          <w:rFonts w:hint="eastAsia" w:ascii="宋体" w:hAnsi="宋体" w:cs="宋体"/>
          <w:sz w:val="24"/>
          <w:lang w:eastAsia="zh-CN"/>
        </w:rPr>
        <w:t>〔2011〕300号</w:t>
      </w:r>
      <w:r>
        <w:rPr>
          <w:rFonts w:hint="eastAsia" w:ascii="宋体" w:hAnsi="宋体" w:cs="宋体"/>
          <w:sz w:val="24"/>
        </w:rPr>
        <w:t>）执行。供应商提供的《小型、微型企业声明函》资料必须真实，否则，按照有关规定予以处理。</w:t>
      </w:r>
    </w:p>
    <w:p w14:paraId="5CF3FC5A">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3.3 根据财政部、民政部、中国残疾人联合会《关于促进残疾人就业政府采购政策的通知》（财库〔2017〕141号）规定，属残疾人福利性单位制造的货物（产品），享受价格扣除。供应商须提供企业出具的《残疾人福利性单位声明函》并加盖企业公章。供应商提供的《残疾人福利性单位声明函》资料必须真实，否则，按照有关规定予以处理。</w:t>
      </w:r>
    </w:p>
    <w:p w14:paraId="3FCE807D">
      <w:pPr>
        <w:pStyle w:val="77"/>
        <w:spacing w:line="360" w:lineRule="auto"/>
        <w:ind w:firstLine="240" w:firstLineChars="100"/>
        <w:rPr>
          <w:rFonts w:hint="eastAsia" w:ascii="宋体" w:hAnsi="宋体" w:cs="宋体"/>
        </w:rPr>
      </w:pPr>
      <w:r>
        <w:rPr>
          <w:rFonts w:hint="eastAsia" w:ascii="宋体" w:hAnsi="宋体" w:cs="宋体"/>
        </w:rPr>
        <w:t>3.4 根据财政部、司法部《关于政府采购支持监狱企业发展有关问题的通知》（财库〔2014〕68号）规定，监狱企业视同小型、微型企业，享受预留份额、</w:t>
      </w:r>
      <w:r>
        <w:rPr>
          <w:rFonts w:hint="eastAsia" w:ascii="宋体" w:hAnsi="宋体" w:cs="宋体"/>
          <w:lang w:eastAsia="zh-CN"/>
        </w:rPr>
        <w:t>评审</w:t>
      </w:r>
      <w:r>
        <w:rPr>
          <w:rFonts w:hint="eastAsia" w:ascii="宋体" w:hAnsi="宋体" w:cs="宋体"/>
        </w:rPr>
        <w:t>价格扣除等政府采购促进中小企业发展的政府采购政策。监狱企业参加政府采购活动时</w:t>
      </w:r>
      <w:r>
        <w:rPr>
          <w:rFonts w:hint="eastAsia" w:ascii="宋体" w:hAnsi="宋体" w:cs="宋体"/>
          <w:lang w:eastAsia="zh-CN"/>
        </w:rPr>
        <w:t>，</w:t>
      </w:r>
      <w:r>
        <w:rPr>
          <w:rFonts w:hint="eastAsia" w:ascii="宋体" w:hAnsi="宋体" w:cs="宋体"/>
        </w:rPr>
        <w:t>应当提供由省级以上监狱管理局、戒毒管理局</w:t>
      </w:r>
      <w:r>
        <w:rPr>
          <w:rFonts w:hint="eastAsia" w:ascii="宋体" w:hAnsi="宋体" w:cs="宋体"/>
          <w:lang w:eastAsia="zh-CN"/>
        </w:rPr>
        <w:t>（</w:t>
      </w:r>
      <w:r>
        <w:rPr>
          <w:rFonts w:hint="eastAsia" w:ascii="宋体" w:hAnsi="宋体" w:cs="宋体"/>
        </w:rPr>
        <w:t>含新疆生产建设兵团</w:t>
      </w:r>
      <w:r>
        <w:rPr>
          <w:rFonts w:hint="eastAsia" w:ascii="宋体" w:hAnsi="宋体" w:cs="宋体"/>
          <w:lang w:eastAsia="zh-CN"/>
        </w:rPr>
        <w:t>）</w:t>
      </w:r>
      <w:r>
        <w:rPr>
          <w:rFonts w:hint="eastAsia" w:ascii="宋体" w:hAnsi="宋体" w:cs="宋体"/>
        </w:rPr>
        <w:t>出具的属于监狱企业的证明文件</w:t>
      </w:r>
      <w:r>
        <w:rPr>
          <w:rFonts w:hint="eastAsia" w:ascii="宋体" w:hAnsi="宋体" w:cs="宋体"/>
          <w:lang w:eastAsia="zh-CN"/>
        </w:rPr>
        <w:t>，</w:t>
      </w:r>
      <w:r>
        <w:rPr>
          <w:rFonts w:hint="eastAsia" w:ascii="宋体" w:hAnsi="宋体" w:cs="宋体"/>
        </w:rPr>
        <w:t>材料不全的不予折扣。经评委会审核确认投标供应商属于监狱企业的</w:t>
      </w:r>
      <w:r>
        <w:rPr>
          <w:rFonts w:hint="eastAsia" w:ascii="宋体" w:hAnsi="宋体" w:cs="宋体"/>
          <w:lang w:eastAsia="zh-CN"/>
        </w:rPr>
        <w:t>，</w:t>
      </w:r>
      <w:r>
        <w:rPr>
          <w:rFonts w:hint="eastAsia" w:ascii="宋体" w:hAnsi="宋体" w:cs="宋体"/>
        </w:rPr>
        <w:t>在评审时视同小微企业。</w:t>
      </w:r>
    </w:p>
    <w:p w14:paraId="744D7A7E">
      <w:pPr>
        <w:pStyle w:val="77"/>
        <w:spacing w:line="360" w:lineRule="auto"/>
        <w:ind w:firstLine="240" w:firstLineChars="100"/>
        <w:rPr>
          <w:rFonts w:hint="eastAsia" w:ascii="宋体" w:hAnsi="宋体" w:cs="宋体"/>
        </w:rPr>
      </w:pPr>
      <w:r>
        <w:rPr>
          <w:rFonts w:hint="eastAsia" w:ascii="宋体" w:hAnsi="宋体" w:cs="宋体"/>
        </w:rPr>
        <w:t xml:space="preserve">   3.5 其他政策：本项目优先采购向我国企业转让技术、与我国企业签订消化吸收再创新方案的供应商的进口产品（本条适用于进口产品）。</w:t>
      </w:r>
    </w:p>
    <w:p w14:paraId="1AF0CCA9">
      <w:pPr>
        <w:rPr>
          <w:rFonts w:hint="eastAsia" w:ascii="宋体" w:hAnsi="宋体" w:cs="宋体"/>
        </w:rPr>
      </w:pPr>
      <w:r>
        <w:rPr>
          <w:rFonts w:hint="eastAsia" w:ascii="宋体" w:hAnsi="宋体" w:cs="宋体"/>
        </w:rPr>
        <w:br w:type="page"/>
      </w:r>
    </w:p>
    <w:p w14:paraId="37CA67EB">
      <w:pPr>
        <w:pStyle w:val="78"/>
        <w:rPr>
          <w:rFonts w:hint="eastAsia"/>
        </w:rPr>
      </w:pPr>
    </w:p>
    <w:bookmarkEnd w:id="64"/>
    <w:bookmarkEnd w:id="90"/>
    <w:bookmarkEnd w:id="91"/>
    <w:bookmarkEnd w:id="92"/>
    <w:bookmarkEnd w:id="93"/>
    <w:bookmarkEnd w:id="94"/>
    <w:bookmarkEnd w:id="95"/>
    <w:bookmarkEnd w:id="96"/>
    <w:bookmarkEnd w:id="97"/>
    <w:bookmarkEnd w:id="98"/>
    <w:bookmarkEnd w:id="99"/>
    <w:bookmarkEnd w:id="100"/>
    <w:bookmarkEnd w:id="101"/>
    <w:p w14:paraId="7929FD0A">
      <w:pPr>
        <w:pStyle w:val="3"/>
        <w:numPr>
          <w:ilvl w:val="0"/>
          <w:numId w:val="2"/>
        </w:numPr>
        <w:spacing w:line="440" w:lineRule="exact"/>
        <w:jc w:val="center"/>
        <w:rPr>
          <w:rFonts w:hint="eastAsia" w:ascii="宋体" w:hAnsi="宋体" w:eastAsia="宋体" w:cs="Times New Roman"/>
          <w:bCs/>
          <w:color w:val="auto"/>
          <w:sz w:val="36"/>
          <w:szCs w:val="36"/>
          <w:highlight w:val="none"/>
          <w:lang w:val="en-US" w:eastAsia="zh-CN"/>
        </w:rPr>
      </w:pPr>
      <w:bookmarkStart w:id="165" w:name="_Toc2854"/>
      <w:bookmarkStart w:id="166" w:name="_Toc26257"/>
      <w:bookmarkStart w:id="167" w:name="_Toc16556"/>
      <w:bookmarkStart w:id="168" w:name="_Toc29868"/>
      <w:bookmarkStart w:id="169" w:name="_Toc2212"/>
      <w:bookmarkStart w:id="170" w:name="_Toc56315406"/>
      <w:bookmarkStart w:id="171" w:name="_Toc5549"/>
      <w:bookmarkStart w:id="172" w:name="_Toc31974"/>
      <w:r>
        <w:rPr>
          <w:rFonts w:hint="eastAsia" w:ascii="宋体" w:hAnsi="宋体" w:eastAsia="宋体" w:cs="Times New Roman"/>
          <w:bCs/>
          <w:color w:val="auto"/>
          <w:sz w:val="36"/>
          <w:szCs w:val="36"/>
          <w:highlight w:val="none"/>
          <w:lang w:val="en-US" w:eastAsia="zh-CN"/>
        </w:rPr>
        <w:t xml:space="preserve"> </w:t>
      </w:r>
      <w:bookmarkStart w:id="173" w:name="_Toc90"/>
      <w:r>
        <w:rPr>
          <w:rFonts w:hint="eastAsia" w:ascii="宋体" w:hAnsi="宋体" w:eastAsia="宋体" w:cs="Times New Roman"/>
          <w:bCs/>
          <w:color w:val="auto"/>
          <w:sz w:val="36"/>
          <w:szCs w:val="36"/>
          <w:highlight w:val="none"/>
          <w:lang w:val="en-US" w:eastAsia="zh-CN"/>
        </w:rPr>
        <w:t>合同条款及格式</w:t>
      </w:r>
      <w:bookmarkEnd w:id="165"/>
      <w:bookmarkEnd w:id="166"/>
      <w:bookmarkEnd w:id="167"/>
      <w:bookmarkEnd w:id="168"/>
      <w:bookmarkEnd w:id="169"/>
      <w:bookmarkEnd w:id="170"/>
      <w:bookmarkEnd w:id="171"/>
      <w:bookmarkEnd w:id="172"/>
      <w:bookmarkEnd w:id="173"/>
    </w:p>
    <w:p w14:paraId="05D02C42">
      <w:pPr>
        <w:numPr>
          <w:ilvl w:val="0"/>
          <w:numId w:val="0"/>
        </w:numPr>
        <w:jc w:val="center"/>
        <w:rPr>
          <w:rFonts w:hint="eastAsia"/>
          <w:lang w:val="zh-CN"/>
        </w:rPr>
      </w:pPr>
      <w:r>
        <w:rPr>
          <w:rFonts w:hint="eastAsia"/>
          <w:sz w:val="28"/>
          <w:szCs w:val="36"/>
          <w:lang w:val="en-US" w:eastAsia="zh-CN"/>
        </w:rPr>
        <w:t>（本合同为参考格式 ，以最终签订合同为准 ）</w:t>
      </w:r>
    </w:p>
    <w:p w14:paraId="343C1991">
      <w:pPr>
        <w:pStyle w:val="3"/>
        <w:numPr>
          <w:ilvl w:val="0"/>
          <w:numId w:val="2"/>
        </w:numPr>
        <w:spacing w:line="440" w:lineRule="exact"/>
        <w:jc w:val="center"/>
        <w:rPr>
          <w:rFonts w:hint="eastAsia" w:ascii="宋体" w:hAnsi="宋体" w:eastAsia="宋体" w:cs="Times New Roman"/>
          <w:bCs/>
          <w:color w:val="auto"/>
          <w:sz w:val="36"/>
          <w:szCs w:val="36"/>
          <w:highlight w:val="none"/>
          <w:lang w:val="en-US" w:eastAsia="zh-CN"/>
        </w:rPr>
      </w:pPr>
      <w:r>
        <w:rPr>
          <w:rFonts w:hint="eastAsia" w:ascii="宋体" w:hAnsi="宋体" w:eastAsia="宋体" w:cs="Times New Roman"/>
          <w:bCs/>
          <w:color w:val="auto"/>
          <w:sz w:val="36"/>
          <w:szCs w:val="36"/>
          <w:highlight w:val="none"/>
          <w:lang w:val="en-US" w:eastAsia="zh-CN"/>
        </w:rPr>
        <w:t>合同条款及格式</w:t>
      </w:r>
    </w:p>
    <w:p w14:paraId="14559BA2">
      <w:pPr>
        <w:pStyle w:val="41"/>
        <w:rPr>
          <w:rFonts w:hint="default"/>
          <w:sz w:val="24"/>
          <w:szCs w:val="24"/>
          <w:lang w:eastAsia="zh-CN"/>
        </w:rPr>
      </w:pPr>
    </w:p>
    <w:p w14:paraId="6FD2DC80">
      <w:pPr>
        <w:jc w:val="center"/>
        <w:outlineLvl w:val="1"/>
        <w:rPr>
          <w:rFonts w:hint="eastAsia" w:ascii="宋体" w:hAnsi="宋体"/>
          <w:b/>
          <w:bCs/>
          <w:sz w:val="36"/>
          <w:szCs w:val="36"/>
          <w:highlight w:val="none"/>
        </w:rPr>
      </w:pPr>
      <w:r>
        <w:rPr>
          <w:rFonts w:hint="eastAsia" w:ascii="微软雅黑" w:hAnsi="微软雅黑"/>
          <w:b/>
          <w:bCs/>
          <w:sz w:val="36"/>
          <w:szCs w:val="36"/>
          <w:highlight w:val="none"/>
          <w:lang w:val="en-US" w:eastAsia="zh-CN"/>
        </w:rPr>
        <w:t>睢县妇幼保健院营养餐厅运营管理合同</w:t>
      </w:r>
    </w:p>
    <w:p w14:paraId="5A5B3CD4">
      <w:pPr>
        <w:spacing w:line="360"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招标编号：</w:t>
      </w:r>
    </w:p>
    <w:p w14:paraId="5C6AF121">
      <w:pPr>
        <w:spacing w:line="360" w:lineRule="auto"/>
        <w:jc w:val="both"/>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甲方</w:t>
      </w:r>
      <w:r>
        <w:rPr>
          <w:rFonts w:hint="eastAsia" w:ascii="宋体" w:hAnsi="宋体" w:eastAsia="宋体" w:cs="宋体"/>
          <w:b w:val="0"/>
          <w:bCs w:val="0"/>
          <w:sz w:val="24"/>
          <w:szCs w:val="24"/>
          <w:highlight w:val="none"/>
          <w:lang w:eastAsia="zh-CN"/>
        </w:rPr>
        <w:t>：</w:t>
      </w:r>
      <w:r>
        <w:rPr>
          <w:rFonts w:hint="eastAsia" w:ascii="宋体" w:hAnsi="宋体" w:cs="宋体"/>
          <w:b w:val="0"/>
          <w:bCs w:val="0"/>
          <w:sz w:val="24"/>
          <w:szCs w:val="24"/>
          <w:highlight w:val="none"/>
          <w:lang w:eastAsia="zh-CN"/>
        </w:rPr>
        <w:t>睢县妇幼保健院</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z w:val="24"/>
          <w:szCs w:val="24"/>
          <w:highlight w:val="none"/>
          <w:lang w:val="en-US" w:eastAsia="zh-CN"/>
        </w:rPr>
        <w:t xml:space="preserve">  </w:t>
      </w:r>
      <w:r>
        <w:rPr>
          <w:rFonts w:hint="eastAsia" w:ascii="宋体" w:hAnsi="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乙方</w:t>
      </w:r>
      <w:r>
        <w:rPr>
          <w:rFonts w:hint="eastAsia" w:ascii="宋体" w:hAnsi="宋体" w:eastAsia="宋体" w:cs="宋体"/>
          <w:b w:val="0"/>
          <w:bCs w:val="0"/>
          <w:sz w:val="24"/>
          <w:szCs w:val="24"/>
          <w:highlight w:val="none"/>
          <w:lang w:eastAsia="zh-CN"/>
        </w:rPr>
        <w:t>：</w:t>
      </w:r>
    </w:p>
    <w:p w14:paraId="12334BE8">
      <w:pPr>
        <w:spacing w:line="360" w:lineRule="auto"/>
        <w:jc w:val="both"/>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地址：</w:t>
      </w:r>
      <w:r>
        <w:rPr>
          <w:rFonts w:hint="eastAsia" w:ascii="宋体" w:hAnsi="宋体" w:cs="宋体"/>
          <w:b w:val="0"/>
          <w:bCs w:val="0"/>
          <w:sz w:val="24"/>
          <w:szCs w:val="24"/>
          <w:highlight w:val="none"/>
          <w:lang w:eastAsia="zh-CN"/>
        </w:rPr>
        <w:t>睢县南环路中段路北</w:t>
      </w:r>
      <w:r>
        <w:rPr>
          <w:rFonts w:hint="eastAsia" w:ascii="宋体" w:hAnsi="宋体" w:eastAsia="宋体" w:cs="宋体"/>
          <w:b w:val="0"/>
          <w:bCs w:val="0"/>
          <w:sz w:val="24"/>
          <w:szCs w:val="24"/>
          <w:highlight w:val="none"/>
        </w:rPr>
        <w:t xml:space="preserve">   </w:t>
      </w:r>
      <w:r>
        <w:rPr>
          <w:rFonts w:hint="eastAsia" w:ascii="宋体" w:hAnsi="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地址：</w:t>
      </w:r>
    </w:p>
    <w:p w14:paraId="64407BD9">
      <w:pPr>
        <w:spacing w:line="360" w:lineRule="auto"/>
        <w:jc w:val="both"/>
        <w:rPr>
          <w:rFonts w:hint="eastAsia" w:ascii="宋体" w:hAnsi="宋体" w:eastAsia="宋体" w:cs="宋体"/>
          <w:b/>
          <w:bCs/>
          <w:sz w:val="24"/>
          <w:szCs w:val="24"/>
          <w:highlight w:val="none"/>
          <w:lang w:val="en-US" w:eastAsia="zh-CN"/>
        </w:rPr>
      </w:pPr>
      <w:r>
        <w:rPr>
          <w:rFonts w:hint="eastAsia" w:ascii="宋体" w:hAnsi="宋体" w:eastAsia="宋体" w:cs="宋体"/>
          <w:b w:val="0"/>
          <w:bCs w:val="0"/>
          <w:sz w:val="24"/>
          <w:szCs w:val="24"/>
          <w:highlight w:val="none"/>
        </w:rPr>
        <w:t>联系电话：037</w:t>
      </w:r>
      <w:r>
        <w:rPr>
          <w:rFonts w:hint="eastAsia" w:ascii="宋体" w:hAnsi="宋体" w:cs="宋体"/>
          <w:b w:val="0"/>
          <w:bCs w:val="0"/>
          <w:sz w:val="24"/>
          <w:szCs w:val="24"/>
          <w:highlight w:val="none"/>
          <w:lang w:val="en-US" w:eastAsia="zh-CN"/>
        </w:rPr>
        <w:t>0</w:t>
      </w: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val="en-US" w:eastAsia="zh-CN"/>
        </w:rPr>
        <w:t>8111356</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 xml:space="preserve"> 联系电话：</w:t>
      </w:r>
      <w:r>
        <w:rPr>
          <w:rFonts w:hint="eastAsia" w:ascii="宋体" w:hAnsi="宋体" w:eastAsia="宋体" w:cs="宋体"/>
          <w:b/>
          <w:bCs/>
          <w:sz w:val="24"/>
          <w:szCs w:val="24"/>
          <w:highlight w:val="none"/>
          <w:lang w:val="en-US" w:eastAsia="zh-CN"/>
        </w:rPr>
        <w:t xml:space="preserve">           </w:t>
      </w:r>
    </w:p>
    <w:p w14:paraId="32681335">
      <w:pPr>
        <w:spacing w:line="360" w:lineRule="auto"/>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根据《中华人民共和国</w:t>
      </w:r>
      <w:r>
        <w:rPr>
          <w:rFonts w:hint="eastAsia" w:ascii="宋体" w:hAnsi="宋体" w:eastAsia="宋体" w:cs="宋体"/>
          <w:sz w:val="24"/>
          <w:szCs w:val="24"/>
          <w:highlight w:val="none"/>
          <w:lang w:val="en-US" w:eastAsia="zh-CN"/>
        </w:rPr>
        <w:t>民法典</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食品安全法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以及相关</w:t>
      </w:r>
      <w:r>
        <w:rPr>
          <w:rFonts w:hint="eastAsia" w:ascii="宋体" w:hAnsi="宋体" w:eastAsia="宋体" w:cs="宋体"/>
          <w:sz w:val="24"/>
          <w:szCs w:val="24"/>
          <w:highlight w:val="none"/>
        </w:rPr>
        <w:t>法律法规</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规定，甲乙双方本着互利互惠，合作共赢的原则，在平等自愿、协商一致、诚实信用的基础上，就</w:t>
      </w:r>
      <w:r>
        <w:rPr>
          <w:rFonts w:hint="eastAsia" w:ascii="宋体" w:hAnsi="宋体" w:cs="宋体"/>
          <w:b w:val="0"/>
          <w:bCs w:val="0"/>
          <w:sz w:val="24"/>
          <w:szCs w:val="24"/>
          <w:highlight w:val="none"/>
          <w:lang w:val="en-US" w:eastAsia="zh-CN"/>
        </w:rPr>
        <w:t>睢县妇幼保健院营养餐厅运营管理</w:t>
      </w:r>
      <w:r>
        <w:rPr>
          <w:rFonts w:hint="eastAsia" w:ascii="宋体" w:hAnsi="宋体" w:eastAsia="宋体" w:cs="宋体"/>
          <w:b w:val="0"/>
          <w:bCs w:val="0"/>
          <w:sz w:val="24"/>
          <w:szCs w:val="24"/>
          <w:highlight w:val="none"/>
          <w:lang w:val="en-US" w:eastAsia="zh-CN"/>
        </w:rPr>
        <w:t>项目</w:t>
      </w:r>
      <w:r>
        <w:rPr>
          <w:rFonts w:hint="eastAsia" w:ascii="宋体" w:hAnsi="宋体" w:eastAsia="宋体" w:cs="宋体"/>
          <w:b w:val="0"/>
          <w:bCs w:val="0"/>
          <w:sz w:val="24"/>
          <w:szCs w:val="24"/>
          <w:highlight w:val="none"/>
        </w:rPr>
        <w:t>一</w:t>
      </w:r>
      <w:r>
        <w:rPr>
          <w:rFonts w:hint="eastAsia" w:ascii="宋体" w:hAnsi="宋体" w:eastAsia="宋体" w:cs="宋体"/>
          <w:sz w:val="24"/>
          <w:szCs w:val="24"/>
          <w:highlight w:val="none"/>
        </w:rPr>
        <w:t>事达成一致意见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自愿签订如下合同</w:t>
      </w:r>
      <w:r>
        <w:rPr>
          <w:rFonts w:hint="eastAsia" w:ascii="宋体" w:hAnsi="宋体" w:cs="宋体"/>
          <w:sz w:val="24"/>
          <w:szCs w:val="24"/>
          <w:highlight w:val="none"/>
          <w:lang w:eastAsia="zh-CN"/>
        </w:rPr>
        <w:t>：</w:t>
      </w:r>
    </w:p>
    <w:p w14:paraId="17B09980">
      <w:pPr>
        <w:spacing w:line="360" w:lineRule="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w:t>
      </w:r>
      <w:r>
        <w:rPr>
          <w:rFonts w:hint="eastAsia" w:ascii="宋体" w:hAnsi="宋体" w:cs="宋体"/>
          <w:b/>
          <w:bCs/>
          <w:sz w:val="24"/>
          <w:szCs w:val="24"/>
          <w:highlight w:val="none"/>
          <w:lang w:val="en-US" w:eastAsia="zh-CN"/>
        </w:rPr>
        <w:t>运营内容</w:t>
      </w:r>
    </w:p>
    <w:p w14:paraId="656EBD71">
      <w:pPr>
        <w:spacing w:line="360" w:lineRule="auto"/>
        <w:ind w:firstLine="480" w:firstLineChars="200"/>
        <w:outlineLvl w:val="2"/>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事项：</w:t>
      </w:r>
      <w:r>
        <w:rPr>
          <w:rFonts w:hint="eastAsia" w:ascii="宋体" w:hAnsi="宋体" w:cs="宋体"/>
          <w:b w:val="0"/>
          <w:bCs w:val="0"/>
          <w:sz w:val="24"/>
          <w:szCs w:val="24"/>
          <w:highlight w:val="none"/>
          <w:lang w:val="en-US" w:eastAsia="zh-CN"/>
        </w:rPr>
        <w:t>睢县妇幼保健院营养餐厅运营管理</w:t>
      </w:r>
    </w:p>
    <w:p w14:paraId="1D8F006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w:t>
      </w:r>
      <w:r>
        <w:rPr>
          <w:rFonts w:hint="eastAsia" w:ascii="宋体" w:hAnsi="宋体" w:cs="宋体"/>
          <w:sz w:val="24"/>
          <w:szCs w:val="24"/>
          <w:highlight w:val="none"/>
          <w:lang w:val="en-US" w:eastAsia="zh-CN"/>
        </w:rPr>
        <w:t>睢县妇幼保健院</w:t>
      </w:r>
      <w:r>
        <w:rPr>
          <w:rFonts w:hint="eastAsia" w:ascii="宋体" w:hAnsi="宋体" w:eastAsia="宋体" w:cs="宋体"/>
          <w:sz w:val="24"/>
          <w:szCs w:val="24"/>
          <w:highlight w:val="none"/>
          <w:lang w:val="en-US" w:eastAsia="zh-CN"/>
        </w:rPr>
        <w:t>院内（</w:t>
      </w:r>
      <w:r>
        <w:rPr>
          <w:rFonts w:hint="eastAsia" w:ascii="宋体" w:hAnsi="宋体" w:cs="宋体"/>
          <w:sz w:val="24"/>
          <w:szCs w:val="24"/>
          <w:highlight w:val="none"/>
          <w:lang w:val="en-US" w:eastAsia="zh-CN"/>
        </w:rPr>
        <w:t>睢县南环路中段路北</w:t>
      </w:r>
      <w:r>
        <w:rPr>
          <w:rFonts w:hint="eastAsia" w:ascii="宋体" w:hAnsi="宋体" w:eastAsia="宋体" w:cs="宋体"/>
          <w:sz w:val="24"/>
          <w:szCs w:val="24"/>
          <w:highlight w:val="none"/>
          <w:lang w:val="en-US" w:eastAsia="zh-CN"/>
        </w:rPr>
        <w:t>）</w:t>
      </w:r>
    </w:p>
    <w:p w14:paraId="6633188A">
      <w:pPr>
        <w:spacing w:line="360" w:lineRule="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二、承包期限</w:t>
      </w:r>
    </w:p>
    <w:p w14:paraId="0308D469">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运营管理期限为贰年，本次合同期限为   年  月  日至   年  月  日。</w:t>
      </w:r>
    </w:p>
    <w:p w14:paraId="72A98BA5">
      <w:pPr>
        <w:spacing w:line="360" w:lineRule="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三、甲方基本权利与义务</w:t>
      </w:r>
    </w:p>
    <w:p w14:paraId="04F0085F">
      <w:pPr>
        <w:spacing w:line="360" w:lineRule="auto"/>
        <w:ind w:firstLine="480" w:firstLineChars="200"/>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cs="宋体"/>
          <w:color w:val="auto"/>
          <w:kern w:val="0"/>
          <w:sz w:val="24"/>
          <w:szCs w:val="24"/>
          <w:lang w:eastAsia="zh-CN"/>
        </w:rPr>
        <w:t>甲方</w:t>
      </w:r>
      <w:r>
        <w:rPr>
          <w:rFonts w:hint="eastAsia" w:ascii="宋体" w:hAnsi="宋体" w:eastAsia="宋体" w:cs="宋体"/>
          <w:color w:val="auto"/>
          <w:kern w:val="0"/>
          <w:sz w:val="24"/>
          <w:szCs w:val="24"/>
          <w:lang w:eastAsia="zh-CN"/>
        </w:rPr>
        <w:t>组建</w:t>
      </w:r>
      <w:r>
        <w:rPr>
          <w:rFonts w:hint="eastAsia" w:ascii="宋体" w:hAnsi="宋体" w:cs="宋体"/>
          <w:color w:val="auto"/>
          <w:kern w:val="0"/>
          <w:sz w:val="24"/>
          <w:szCs w:val="24"/>
          <w:lang w:eastAsia="zh-CN"/>
        </w:rPr>
        <w:t>由院内</w:t>
      </w:r>
      <w:r>
        <w:rPr>
          <w:rFonts w:hint="eastAsia" w:ascii="宋体" w:hAnsi="宋体" w:eastAsia="宋体" w:cs="宋体"/>
          <w:color w:val="auto"/>
          <w:kern w:val="0"/>
          <w:sz w:val="24"/>
          <w:szCs w:val="24"/>
          <w:lang w:eastAsia="zh-CN"/>
        </w:rPr>
        <w:t>营养、财务、国资、后勤等科室成员组成的餐厅监督管理委员会，对餐厅从原材料采购到食品加工到销售的所有环节进行监管，对安全生产、从业人员资质、服务质量及环境卫生进行督导，对所售饭菜的价格进行审核确认等</w:t>
      </w:r>
      <w:r>
        <w:rPr>
          <w:rFonts w:hint="eastAsia" w:ascii="宋体" w:hAnsi="宋体" w:cs="宋体"/>
          <w:color w:val="auto"/>
          <w:kern w:val="0"/>
          <w:sz w:val="24"/>
          <w:szCs w:val="24"/>
          <w:lang w:eastAsia="zh-CN"/>
        </w:rPr>
        <w:t>。</w:t>
      </w:r>
    </w:p>
    <w:p w14:paraId="0EBE1B18">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甲方向乙方提供食堂、厨房、仓库等房屋，</w:t>
      </w:r>
      <w:r>
        <w:rPr>
          <w:rFonts w:hint="eastAsia" w:ascii="宋体" w:hAnsi="宋体" w:cs="宋体"/>
          <w:sz w:val="24"/>
          <w:szCs w:val="24"/>
          <w:highlight w:val="none"/>
          <w:lang w:val="en-US" w:eastAsia="zh-CN"/>
        </w:rPr>
        <w:t>保障</w:t>
      </w:r>
      <w:r>
        <w:rPr>
          <w:rFonts w:hint="eastAsia" w:ascii="宋体" w:hAnsi="宋体" w:eastAsia="宋体" w:cs="宋体"/>
          <w:sz w:val="24"/>
          <w:szCs w:val="24"/>
          <w:highlight w:val="none"/>
          <w:lang w:val="en-US" w:eastAsia="zh-CN"/>
        </w:rPr>
        <w:t>水、电的开通。如遇相关供水、供电等部门的计划性停水、停电等情况，甲方应及时通知乙方采取相关应急措施，因不可抗力造成的停水停电除外。</w:t>
      </w:r>
    </w:p>
    <w:p w14:paraId="10F40B8B">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乙方饭菜价格定价要低于市场价格10%</w:t>
      </w:r>
      <w:r>
        <w:rPr>
          <w:rFonts w:hint="eastAsia" w:ascii="宋体" w:hAnsi="宋体" w:cs="宋体"/>
          <w:sz w:val="24"/>
          <w:szCs w:val="24"/>
          <w:highlight w:val="none"/>
          <w:lang w:val="en-US" w:eastAsia="zh-CN"/>
        </w:rPr>
        <w:t>以上</w:t>
      </w:r>
      <w:r>
        <w:rPr>
          <w:rFonts w:hint="eastAsia" w:ascii="宋体" w:hAnsi="宋体" w:eastAsia="宋体" w:cs="宋体"/>
          <w:sz w:val="24"/>
          <w:szCs w:val="24"/>
          <w:highlight w:val="none"/>
          <w:lang w:val="en-US" w:eastAsia="zh-CN"/>
        </w:rPr>
        <w:t>，甲方检查监督乙方购买食品原材料的质量、数量，杜绝浪费。</w:t>
      </w:r>
    </w:p>
    <w:p w14:paraId="0DAD7E89">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甲方对乙方制订的每周食谱提出建议。如遇甲方临时性放假等特殊情况，造成就餐人数会有大的波动时，甲方提前一天通知乙方。甲方可根据实际需要，向乙方提出变更就餐时间或安排加餐。</w:t>
      </w:r>
    </w:p>
    <w:p w14:paraId="47CD289E">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甲方代表对食堂的饭菜品种、卫生、质量、服务、安全等进行日常检查监督，并实时向乙方提出书面或口头整改意见或建议。</w:t>
      </w:r>
    </w:p>
    <w:p w14:paraId="7D9B3217">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在就餐者中不定期开展就餐满意度调查，调查的内容包括饭菜的质量、卫生、安全、服务态度等。甲方针对调查中发现的问题，向乙方提出整改意见，拒不改正者每次罚款</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000元。</w:t>
      </w:r>
    </w:p>
    <w:p w14:paraId="143B097B">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除食堂管理人员外，甲方员工不得私自进入厨房，影响乙方工作。</w:t>
      </w:r>
    </w:p>
    <w:p w14:paraId="7B6A721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甲方有权利根据医院食堂管理要求，对乙方在服务质量、卫生状况、食品安全、生产安全、食品价格、职工病人投诉、落实上级交办的工作任务等方面出现的问题进行处罚，处罚包括警告、责令改正、罚款等，问题严重的甲方可予以解除合同，并追究乙方法律责任。</w:t>
      </w:r>
    </w:p>
    <w:p w14:paraId="13E1B12A">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甲方定期对乙方服务质量、卫生状况、食品安全、生产安全、食品价格等方面进行考核，如乙方连续三次考核不合格，甲方可无条件解除合同。</w:t>
      </w:r>
    </w:p>
    <w:p w14:paraId="4401B513">
      <w:pPr>
        <w:spacing w:line="360" w:lineRule="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四、乙方基本权利与义务</w:t>
      </w:r>
    </w:p>
    <w:p w14:paraId="4BE5B5B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w:t>
      </w:r>
      <w:r>
        <w:rPr>
          <w:rFonts w:hint="eastAsia" w:ascii="宋体" w:hAnsi="宋体" w:cs="宋体"/>
          <w:sz w:val="24"/>
          <w:szCs w:val="24"/>
          <w:highlight w:val="none"/>
          <w:lang w:val="en-US" w:eastAsia="zh-CN"/>
        </w:rPr>
        <w:t>运营营养餐厅应</w:t>
      </w:r>
      <w:r>
        <w:rPr>
          <w:rFonts w:hint="eastAsia" w:ascii="宋体" w:hAnsi="宋体" w:eastAsia="宋体" w:cs="宋体"/>
          <w:sz w:val="24"/>
          <w:szCs w:val="24"/>
          <w:highlight w:val="none"/>
          <w:lang w:val="en-US" w:eastAsia="zh-CN"/>
        </w:rPr>
        <w:t>以为甲方提供优良的餐饮服务为目的，</w:t>
      </w:r>
      <w:r>
        <w:rPr>
          <w:rFonts w:hint="eastAsia" w:ascii="宋体" w:hAnsi="宋体" w:cs="宋体"/>
          <w:sz w:val="24"/>
          <w:szCs w:val="24"/>
          <w:highlight w:val="none"/>
          <w:lang w:val="en-US" w:eastAsia="zh-CN"/>
        </w:rPr>
        <w:t>在运营过程中无条件接受甲方餐厅管理委员会的监督管理</w:t>
      </w:r>
      <w:r>
        <w:rPr>
          <w:rFonts w:hint="eastAsia" w:ascii="宋体" w:hAnsi="宋体" w:eastAsia="宋体" w:cs="宋体"/>
          <w:sz w:val="24"/>
          <w:szCs w:val="24"/>
          <w:highlight w:val="none"/>
          <w:lang w:val="en-US" w:eastAsia="zh-CN"/>
        </w:rPr>
        <w:t>。</w:t>
      </w:r>
    </w:p>
    <w:p w14:paraId="11CA2142">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职工</w:t>
      </w:r>
      <w:r>
        <w:rPr>
          <w:rFonts w:hint="eastAsia" w:ascii="宋体" w:hAnsi="宋体" w:cs="宋体"/>
          <w:sz w:val="24"/>
          <w:szCs w:val="24"/>
          <w:highlight w:val="none"/>
          <w:lang w:val="en-US" w:eastAsia="zh-CN"/>
        </w:rPr>
        <w:t>及病人</w:t>
      </w:r>
      <w:r>
        <w:rPr>
          <w:rFonts w:hint="eastAsia" w:ascii="宋体" w:hAnsi="宋体" w:eastAsia="宋体" w:cs="宋体"/>
          <w:sz w:val="24"/>
          <w:szCs w:val="24"/>
          <w:highlight w:val="none"/>
          <w:lang w:val="en-US" w:eastAsia="zh-CN"/>
        </w:rPr>
        <w:t>用餐：一日三餐、营养配餐、专业配餐，遇特殊任务、雨雪天气的情况下，医院根据需要，向承包方提出变更就餐时间，承包方应积极配合，必须按时开餐，做到饭热菜香</w:t>
      </w:r>
      <w:r>
        <w:rPr>
          <w:rFonts w:hint="eastAsia" w:ascii="宋体" w:hAnsi="宋体" w:cs="宋体"/>
          <w:sz w:val="24"/>
          <w:szCs w:val="24"/>
          <w:highlight w:val="none"/>
          <w:lang w:val="en-US" w:eastAsia="zh-CN"/>
        </w:rPr>
        <w:t>。院内职工用餐需按正常销售价格的80%收费（可采用刷脸等方式确认为职工本人）。</w:t>
      </w:r>
    </w:p>
    <w:p w14:paraId="35B81490">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在甲方监督管理下，乙方自主经营、自负盈亏、自担风险。乙方应严格遵守相关法律法规、严格按照餐饮服务行业相关标准、规章制度、操作规程等开展工作，守法经营，因违法违规经营造成的损失由乙方自行承担。乙方自行承担经营期间的水费、电费、天然气费等费用。</w:t>
      </w:r>
    </w:p>
    <w:p w14:paraId="7159AB6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w:t>
      </w:r>
      <w:r>
        <w:rPr>
          <w:rFonts w:hint="eastAsia" w:ascii="宋体" w:hAnsi="宋体" w:eastAsia="宋体" w:cs="宋体"/>
          <w:color w:val="auto"/>
          <w:sz w:val="24"/>
          <w:szCs w:val="24"/>
          <w:highlight w:val="none"/>
          <w:lang w:val="en-US" w:eastAsia="zh-CN"/>
        </w:rPr>
        <w:t>乙方入场前详细记录甲方交管的设备明细，妥善使用和保管甲方提供的各种设备设施，</w:t>
      </w:r>
      <w:r>
        <w:rPr>
          <w:rFonts w:hint="eastAsia" w:ascii="宋体" w:hAnsi="宋体" w:cs="宋体"/>
          <w:color w:val="auto"/>
          <w:sz w:val="24"/>
          <w:szCs w:val="24"/>
          <w:highlight w:val="none"/>
          <w:lang w:val="en-US" w:eastAsia="zh-CN"/>
        </w:rPr>
        <w:t>乙方运营期间</w:t>
      </w:r>
      <w:r>
        <w:rPr>
          <w:rFonts w:hint="eastAsia" w:ascii="宋体" w:hAnsi="宋体" w:eastAsia="宋体" w:cs="宋体"/>
          <w:color w:val="auto"/>
          <w:sz w:val="24"/>
          <w:szCs w:val="24"/>
          <w:highlight w:val="none"/>
          <w:lang w:val="en-US" w:eastAsia="zh-CN"/>
        </w:rPr>
        <w:t>承担设施维修的所有费用，服务期内如有设备损坏，乙方负责维修更换。</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负责合同执行期内房屋及水电燃气设施的维护等事宜，经营期内乙方不得损坏房屋的基本结构，合同终止后，乙方应完好交还甲方。</w:t>
      </w:r>
    </w:p>
    <w:p w14:paraId="358AE12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运营期间乙方如需对餐厅进行装修或增加基础设施需要征得甲方同意</w:t>
      </w:r>
      <w:r>
        <w:rPr>
          <w:rFonts w:hint="eastAsia" w:ascii="宋体" w:hAnsi="宋体" w:eastAsia="宋体" w:cs="宋体"/>
          <w:color w:val="auto"/>
          <w:sz w:val="24"/>
          <w:szCs w:val="24"/>
          <w:highlight w:val="none"/>
          <w:lang w:val="en-US" w:eastAsia="zh-CN"/>
        </w:rPr>
        <w:t>，乙方</w:t>
      </w:r>
      <w:r>
        <w:rPr>
          <w:rFonts w:hint="eastAsia" w:ascii="宋体" w:hAnsi="宋体" w:cs="宋体"/>
          <w:color w:val="auto"/>
          <w:sz w:val="24"/>
          <w:szCs w:val="24"/>
          <w:highlight w:val="none"/>
          <w:lang w:val="en-US" w:eastAsia="zh-CN"/>
        </w:rPr>
        <w:t>需</w:t>
      </w:r>
      <w:r>
        <w:rPr>
          <w:rFonts w:hint="eastAsia" w:ascii="宋体" w:hAnsi="宋体" w:eastAsia="宋体" w:cs="宋体"/>
          <w:color w:val="auto"/>
          <w:sz w:val="24"/>
          <w:szCs w:val="24"/>
          <w:highlight w:val="none"/>
          <w:lang w:val="en-US" w:eastAsia="zh-CN"/>
        </w:rPr>
        <w:t>自主承担</w:t>
      </w:r>
      <w:r>
        <w:rPr>
          <w:rFonts w:hint="eastAsia" w:ascii="宋体" w:hAnsi="宋体" w:cs="宋体"/>
          <w:color w:val="auto"/>
          <w:sz w:val="24"/>
          <w:szCs w:val="24"/>
          <w:highlight w:val="none"/>
          <w:lang w:val="en-US" w:eastAsia="zh-CN"/>
        </w:rPr>
        <w:t>餐厅装修</w:t>
      </w:r>
      <w:r>
        <w:rPr>
          <w:rFonts w:hint="eastAsia" w:ascii="宋体" w:hAnsi="宋体" w:eastAsia="宋体" w:cs="宋体"/>
          <w:color w:val="auto"/>
          <w:sz w:val="24"/>
          <w:szCs w:val="24"/>
          <w:highlight w:val="none"/>
          <w:lang w:val="en-US" w:eastAsia="zh-CN"/>
        </w:rPr>
        <w:t>的设计、装修、改造费用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乙方自主承担自行购置设备、设施、桌椅及餐具等物资的费用。合同</w:t>
      </w:r>
      <w:r>
        <w:rPr>
          <w:rFonts w:hint="eastAsia" w:ascii="宋体" w:hAnsi="宋体" w:cs="宋体"/>
          <w:color w:val="auto"/>
          <w:sz w:val="24"/>
          <w:szCs w:val="24"/>
          <w:highlight w:val="none"/>
          <w:lang w:val="en-US" w:eastAsia="zh-CN"/>
        </w:rPr>
        <w:t>到期</w:t>
      </w:r>
      <w:r>
        <w:rPr>
          <w:rFonts w:hint="eastAsia" w:ascii="宋体" w:hAnsi="宋体" w:eastAsia="宋体" w:cs="宋体"/>
          <w:color w:val="auto"/>
          <w:sz w:val="24"/>
          <w:szCs w:val="24"/>
          <w:highlight w:val="none"/>
          <w:lang w:val="en-US" w:eastAsia="zh-CN"/>
        </w:rPr>
        <w:t>后，乙方在本合同期间新增购置的餐桌、餐具、电器、办公设备等可移动以及可拆除的物品由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自行处理。装修及</w:t>
      </w:r>
      <w:r>
        <w:rPr>
          <w:rFonts w:hint="eastAsia" w:ascii="宋体" w:hAnsi="宋体" w:cs="宋体"/>
          <w:color w:val="auto"/>
          <w:sz w:val="24"/>
          <w:szCs w:val="24"/>
          <w:highlight w:val="none"/>
          <w:lang w:val="en-US" w:eastAsia="zh-CN"/>
        </w:rPr>
        <w:t>其他附属的不可移动的设施设备</w:t>
      </w:r>
      <w:r>
        <w:rPr>
          <w:rFonts w:hint="eastAsia" w:ascii="宋体" w:hAnsi="宋体" w:eastAsia="宋体" w:cs="宋体"/>
          <w:color w:val="auto"/>
          <w:sz w:val="24"/>
          <w:szCs w:val="24"/>
          <w:highlight w:val="none"/>
          <w:lang w:val="en-US" w:eastAsia="zh-CN"/>
        </w:rPr>
        <w:t>归甲方所有</w:t>
      </w:r>
      <w:r>
        <w:rPr>
          <w:rFonts w:hint="eastAsia" w:ascii="宋体" w:hAnsi="宋体" w:cs="宋体"/>
          <w:color w:val="auto"/>
          <w:sz w:val="24"/>
          <w:szCs w:val="24"/>
          <w:highlight w:val="none"/>
          <w:lang w:val="en-US" w:eastAsia="zh-CN"/>
        </w:rPr>
        <w:t>。</w:t>
      </w:r>
    </w:p>
    <w:p w14:paraId="3E74F31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合同期内乙方因食堂经营与外界发生的一切债权、债务等纠纷与甲方无关。</w:t>
      </w:r>
    </w:p>
    <w:p w14:paraId="334FEF15">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根据需要向甲方提供用餐服务：甲方的误餐、会务及各种活动用餐、职工医务人员平时用餐等，误餐按照甲方通知，以桌餐保障；会务用餐以自助餐盒送餐为主，职工医务人员平时用餐，送餐到科室或职工到餐厅就餐均可，重点科室（如：手术室、重症监护室等）以送餐为主</w:t>
      </w:r>
      <w:r>
        <w:rPr>
          <w:rFonts w:hint="eastAsia" w:ascii="宋体" w:hAnsi="宋体" w:cs="宋体"/>
          <w:sz w:val="24"/>
          <w:szCs w:val="24"/>
          <w:highlight w:val="none"/>
          <w:lang w:val="en-US" w:eastAsia="zh-CN"/>
        </w:rPr>
        <w:t>,体检科体检人员用餐按要求做好保障</w:t>
      </w:r>
      <w:r>
        <w:rPr>
          <w:rFonts w:hint="eastAsia" w:ascii="宋体" w:hAnsi="宋体" w:eastAsia="宋体" w:cs="宋体"/>
          <w:sz w:val="24"/>
          <w:szCs w:val="24"/>
          <w:highlight w:val="none"/>
          <w:lang w:val="en-US" w:eastAsia="zh-CN"/>
        </w:rPr>
        <w:t>。</w:t>
      </w:r>
    </w:p>
    <w:p w14:paraId="55A18FBD">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、餐厅</w:t>
      </w:r>
      <w:r>
        <w:rPr>
          <w:rFonts w:hint="eastAsia" w:ascii="宋体" w:hAnsi="宋体" w:eastAsia="宋体" w:cs="宋体"/>
          <w:sz w:val="24"/>
          <w:szCs w:val="24"/>
          <w:highlight w:val="none"/>
          <w:lang w:val="en-US" w:eastAsia="zh-CN"/>
        </w:rPr>
        <w:t>内的工作人员属于乙方的员工，与甲方不存在任何雇佣、委托等劳动关系。</w:t>
      </w:r>
      <w:r>
        <w:rPr>
          <w:rFonts w:hint="eastAsia" w:ascii="宋体" w:hAnsi="宋体" w:cs="宋体"/>
          <w:sz w:val="24"/>
          <w:szCs w:val="24"/>
          <w:highlight w:val="none"/>
          <w:lang w:val="en-US" w:eastAsia="zh-CN"/>
        </w:rPr>
        <w:t>餐厅</w:t>
      </w:r>
      <w:r>
        <w:rPr>
          <w:rFonts w:hint="eastAsia" w:ascii="宋体" w:hAnsi="宋体" w:eastAsia="宋体" w:cs="宋体"/>
          <w:sz w:val="24"/>
          <w:szCs w:val="24"/>
          <w:highlight w:val="none"/>
          <w:lang w:val="en-US" w:eastAsia="zh-CN"/>
        </w:rPr>
        <w:t>工作人员的福利待遇、人员培训、体检、丧残疾病等所有费用均由乙方自行承担，乙方承担经营场所内的独立法律责任。</w:t>
      </w:r>
      <w:r>
        <w:rPr>
          <w:rFonts w:hint="eastAsia" w:ascii="宋体" w:hAnsi="宋体" w:cs="宋体"/>
          <w:sz w:val="24"/>
          <w:szCs w:val="24"/>
          <w:highlight w:val="none"/>
          <w:lang w:val="en-US" w:eastAsia="zh-CN"/>
        </w:rPr>
        <w:t>餐厅</w:t>
      </w:r>
      <w:r>
        <w:rPr>
          <w:rFonts w:hint="eastAsia" w:ascii="宋体" w:hAnsi="宋体" w:eastAsia="宋体" w:cs="宋体"/>
          <w:sz w:val="24"/>
          <w:szCs w:val="24"/>
          <w:highlight w:val="none"/>
          <w:lang w:val="en-US" w:eastAsia="zh-CN"/>
        </w:rPr>
        <w:t>工作人员的安全责任由乙方负责。乙方制定并严格落实营养食堂相关管理制度，做好日常管理。</w:t>
      </w:r>
    </w:p>
    <w:p w14:paraId="4C833750">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HYPERLINK "http://www.so.com/s?q=%E4%BB%8E%E4%B8%9A%E4%BA%BA%E5%91%98&amp;ie=utf-8&amp;src=internal_wenda_recommend_textn" \t "_blank"</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从业人员</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须持有效健康证明并完成卫生知识培训合格后方能上岗，乙方承担该费用。如乙方从业人员有发热、咳嗽、腹泻等症状及</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HYPERLINK "http://www.so.com/s?q=%E5%8C%96%E8%84%93%E6%80%A7%E7%9A%AE%E8%82%A4%E7%97%85&amp;ie=utf-8&amp;src=internal_wenda_recommend_textn" \t "_blank"</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化脓性皮肤病</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者应立即暂停其工作。乙方工作人员需统一服装，戴口罩、戴帽子，做好个人卫生，不得与职工、患者及家属发生争吵或冲突，如有违规者医院追究经营者的责任。</w:t>
      </w:r>
    </w:p>
    <w:p w14:paraId="54C422F8">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乙方在经营过程中要不断对员工进行教育培训，提高服务技能，规范服务程序，自觉遵守院规院纪，自觉接受监督。</w:t>
      </w:r>
    </w:p>
    <w:p w14:paraId="5459787E">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乙方负责</w:t>
      </w:r>
      <w:r>
        <w:rPr>
          <w:rFonts w:hint="eastAsia" w:ascii="宋体" w:hAnsi="宋体" w:cs="宋体"/>
          <w:sz w:val="24"/>
          <w:szCs w:val="24"/>
          <w:highlight w:val="none"/>
          <w:lang w:val="en-US" w:eastAsia="zh-CN"/>
        </w:rPr>
        <w:t>餐厅</w:t>
      </w:r>
      <w:r>
        <w:rPr>
          <w:rFonts w:hint="eastAsia" w:ascii="宋体" w:hAnsi="宋体" w:eastAsia="宋体" w:cs="宋体"/>
          <w:sz w:val="24"/>
          <w:szCs w:val="24"/>
          <w:highlight w:val="none"/>
          <w:lang w:val="en-US" w:eastAsia="zh-CN"/>
        </w:rPr>
        <w:t xml:space="preserve">食材统一采购管理，乙方应选择有实力、有资质、有保障的供应商所提供的食品原材料，确保原料新鲜、干净、安全、卫生以及菜价的稳定。   </w:t>
      </w:r>
    </w:p>
    <w:p w14:paraId="7B5D080D">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乙方对所购买的食品原材料建立台账登记，严格遵守索证索票制度，确保原材料质量和卫生标准符合要求。乙方</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HYPERLINK "http://www.so.com/s?q=%E4%BB%93%E5%BA%93&amp;ie=utf-8&amp;src=internal_wenda_recommend_textn" \t "_blank"</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仓库</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 xml:space="preserve">必须分类设立、保持通风、干燥、干净卫生、整齐有序，每天专人负责定时清洁。注意防盗、防火、防虫害，人离开时必须锁好仓库门，按规定定期杀虫灭鼠，确保无苍蝇、蚊子、老鼠、蟑螂等害虫。   </w:t>
      </w:r>
    </w:p>
    <w:p w14:paraId="675FDE54">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乙方不得在</w:t>
      </w:r>
      <w:r>
        <w:rPr>
          <w:rFonts w:hint="eastAsia" w:ascii="宋体" w:hAnsi="宋体" w:cs="宋体"/>
          <w:color w:val="auto"/>
          <w:sz w:val="24"/>
          <w:szCs w:val="24"/>
          <w:highlight w:val="none"/>
          <w:lang w:eastAsia="zh-CN"/>
        </w:rPr>
        <w:t>餐厅</w:t>
      </w:r>
      <w:r>
        <w:rPr>
          <w:rFonts w:hint="eastAsia" w:ascii="宋体" w:hAnsi="宋体" w:eastAsia="宋体" w:cs="宋体"/>
          <w:color w:val="auto"/>
          <w:sz w:val="24"/>
          <w:szCs w:val="24"/>
          <w:highlight w:val="none"/>
        </w:rPr>
        <w:t>销售非食堂加工的外来成品或半成品食物（包括各类饮品</w:t>
      </w:r>
      <w:r>
        <w:rPr>
          <w:rFonts w:hint="eastAsia" w:ascii="宋体" w:hAnsi="宋体" w:eastAsia="宋体" w:cs="宋体"/>
          <w:color w:val="auto"/>
          <w:sz w:val="24"/>
          <w:szCs w:val="24"/>
          <w:highlight w:val="none"/>
          <w:lang w:val="en-US" w:eastAsia="zh-CN"/>
        </w:rPr>
        <w:t>），特殊情况需要销售外来食物的，须经过甲方同意并保证食物安全。</w:t>
      </w:r>
    </w:p>
    <w:p w14:paraId="7091CDEA">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生、熟食品使用的刀具、砧板严格分开使用，原材料、半成品、成品容器分开使用，干货、</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"http://www.so.com/s?q=%E7%93%9C%E6%9E%9C%E8%94%AC%E8%8F%9C&amp;ie=utf-8&amp;src=internal_wenda_recommend_textn" \t "_blank"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瓜果蔬菜</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、肉类食品的清洗池分开使用，避免交叉污染。餐后认真清洗餐具并进行消毒。</w:t>
      </w:r>
    </w:p>
    <w:p w14:paraId="745AB882">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乙方严格遵守《食品安全卫生法》等相关法律、法规，严格按照投标文件及合同条款履行相关义务。</w:t>
      </w:r>
    </w:p>
    <w:p w14:paraId="188282D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r>
        <w:rPr>
          <w:rFonts w:hint="eastAsia" w:ascii="宋体" w:hAnsi="宋体" w:cs="宋体"/>
          <w:sz w:val="24"/>
          <w:szCs w:val="24"/>
          <w:highlight w:val="none"/>
          <w:lang w:val="en-US" w:eastAsia="zh-CN"/>
        </w:rPr>
        <w:t>、餐厅</w:t>
      </w:r>
      <w:r>
        <w:rPr>
          <w:rFonts w:hint="eastAsia" w:ascii="宋体" w:hAnsi="宋体" w:eastAsia="宋体" w:cs="宋体"/>
          <w:sz w:val="24"/>
          <w:szCs w:val="24"/>
          <w:highlight w:val="none"/>
          <w:lang w:val="en-US" w:eastAsia="zh-CN"/>
        </w:rPr>
        <w:t>的食品卫生安全、消防安全、交通安全等各项安全责任由乙方承担。</w:t>
      </w:r>
    </w:p>
    <w:p w14:paraId="0D6018AE">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在合同期间内发生食物中毒、火灾、爆炸等安全事故，押金不再退还，乙方承担由此造成的一切经济损失和法律责任，甲方有权无条件终止合同。</w:t>
      </w:r>
    </w:p>
    <w:p w14:paraId="1B47BFFD">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乙方饭菜不符合安全卫生标准，造成食用者生病的，乙方负全部责任，甲方有权要求乙方进行整改至整改完成，情节严重的甲方可扣除部分或全部风险抵押金，并有权单方面无条件解除合同。</w:t>
      </w:r>
    </w:p>
    <w:p w14:paraId="6F9DB9AD">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重视就餐人员的意见和建议，做好交流沟通。对甲方书面提出的整改意见，乙方应按甲方要求的期限整改。</w:t>
      </w:r>
    </w:p>
    <w:p w14:paraId="658C215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乙方不得将</w:t>
      </w:r>
      <w:r>
        <w:rPr>
          <w:rFonts w:hint="eastAsia" w:ascii="宋体" w:hAnsi="宋体" w:cs="宋体"/>
          <w:sz w:val="24"/>
          <w:szCs w:val="24"/>
          <w:highlight w:val="none"/>
          <w:lang w:val="en-US" w:eastAsia="zh-CN"/>
        </w:rPr>
        <w:t>餐厅运营管理</w:t>
      </w:r>
      <w:r>
        <w:rPr>
          <w:rFonts w:hint="eastAsia" w:ascii="宋体" w:hAnsi="宋体" w:eastAsia="宋体" w:cs="宋体"/>
          <w:sz w:val="24"/>
          <w:szCs w:val="24"/>
          <w:highlight w:val="none"/>
          <w:lang w:val="en-US" w:eastAsia="zh-CN"/>
        </w:rPr>
        <w:t>转让给第三方。乙方指派专人管理食堂并负责与甲方联络沟通，落实甲方管理要求。</w:t>
      </w:r>
    </w:p>
    <w:p w14:paraId="1F7FDFB0">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乙方自觉维护医院声誉，不得有损毁医院声誉的行为。如发生损毁医院声誉的事情，乙方应及时采取措施消除不良影响；甲方有权利进一步追究乙</w:t>
      </w:r>
      <w:r>
        <w:rPr>
          <w:rFonts w:hint="eastAsia" w:ascii="宋体" w:hAnsi="宋体" w:eastAsia="宋体" w:cs="宋体"/>
          <w:sz w:val="24"/>
          <w:szCs w:val="24"/>
          <w:highlight w:val="none"/>
        </w:rPr>
        <w:t>方责</w:t>
      </w:r>
      <w:r>
        <w:rPr>
          <w:rFonts w:hint="eastAsia" w:ascii="宋体" w:hAnsi="宋体" w:eastAsia="宋体" w:cs="宋体"/>
          <w:sz w:val="24"/>
          <w:szCs w:val="24"/>
          <w:highlight w:val="none"/>
          <w:lang w:val="en-US" w:eastAsia="zh-CN"/>
        </w:rPr>
        <w:t>任，一切经济损失及法律后果由乙方承担。</w:t>
      </w:r>
    </w:p>
    <w:p w14:paraId="6586EDD9">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乙方使用的员工年龄不得超过</w:t>
      </w:r>
      <w:r>
        <w:rPr>
          <w:rFonts w:hint="eastAsia" w:ascii="宋体" w:hAnsi="宋体" w:cs="宋体"/>
          <w:sz w:val="24"/>
          <w:szCs w:val="24"/>
          <w:highlight w:val="none"/>
          <w:lang w:val="en-US" w:eastAsia="zh-CN"/>
        </w:rPr>
        <w:t>60</w:t>
      </w:r>
      <w:r>
        <w:rPr>
          <w:rFonts w:hint="eastAsia" w:ascii="宋体" w:hAnsi="宋体" w:eastAsia="宋体" w:cs="宋体"/>
          <w:sz w:val="24"/>
          <w:szCs w:val="24"/>
          <w:highlight w:val="none"/>
          <w:lang w:val="en-US" w:eastAsia="zh-CN"/>
        </w:rPr>
        <w:t>周岁，确有特殊专长的，年龄可适当放宽，经甲方认可后方能使用。厨师长需具有两年以上工作经验，厨师长及厨师持有二级或二级以上厨师证书，管理人员须具有两年以上餐饮行业工作经验并持有餐饮职业经理人资格证书。</w:t>
      </w:r>
    </w:p>
    <w:p w14:paraId="311073BB">
      <w:pPr>
        <w:pStyle w:val="28"/>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乙方需严格执行食品留样制度，取样分量及留样时间必须符合相关要求。每餐、每个品种留样量不少于100g，分别盛放于清洗消毒后的密闭专用容器内。留样食品一般保存48小时，进餐者如无异常，即可处理留样的食品；如有异常，立即封存，送食品卫生安全部门查验。做好每餐每样留样食品的记录，包括食品样源、食品名称、留样时间、目测样状等，以备检查。食品留样冰箱为专用设备，严禁存放与留样食品无关的物品。</w:t>
      </w:r>
    </w:p>
    <w:p w14:paraId="47C9B654">
      <w:pPr>
        <w:pStyle w:val="28"/>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22、如乙方违反本合同规定，除了承担违约金外，还要承担甲方向乙方追究违约责任所</w:t>
      </w:r>
      <w:r>
        <w:rPr>
          <w:rFonts w:hint="eastAsia" w:ascii="宋体" w:hAnsi="宋体" w:eastAsia="宋体" w:cs="宋体"/>
          <w:sz w:val="24"/>
          <w:szCs w:val="24"/>
          <w:highlight w:val="none"/>
          <w:lang w:val="en-US" w:eastAsia="zh-CN"/>
        </w:rPr>
        <w:t>支付的一切费用，包括但不限于律师费、诉讼费、保全费、公告费、鉴定费、交通食宿费等。</w:t>
      </w:r>
    </w:p>
    <w:p w14:paraId="6D4AB67D">
      <w:pPr>
        <w:pStyle w:val="28"/>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23、乙方应具备停水停电，设备异常，恶劣天气，食物中毒，储存食材无法使用等突发情况的应急预案。</w:t>
      </w:r>
    </w:p>
    <w:p w14:paraId="3420AFBC">
      <w:pPr>
        <w:spacing w:line="360" w:lineRule="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五、费用：</w:t>
      </w:r>
    </w:p>
    <w:p w14:paraId="698A90AB">
      <w:pPr>
        <w:spacing w:line="360" w:lineRule="auto"/>
        <w:ind w:firstLine="480" w:firstLineChars="200"/>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、合同签订时乙方需向甲方缴纳押金壹万元（</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10000.00</w:t>
      </w:r>
      <w:r>
        <w:rPr>
          <w:rFonts w:hint="eastAsia" w:ascii="宋体" w:hAnsi="宋体" w:cs="宋体"/>
          <w:sz w:val="24"/>
          <w:szCs w:val="24"/>
          <w:highlight w:val="none"/>
          <w:lang w:val="en-US" w:eastAsia="zh-CN"/>
        </w:rPr>
        <w:t>），该押金用于日常检查罚款及合同到期后的清偿水电费等，如无罚款及其他欠费则合同到期后无利息退还给乙方。</w:t>
      </w:r>
    </w:p>
    <w:p w14:paraId="51C4A2B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乙方向甲方</w:t>
      </w:r>
      <w:r>
        <w:rPr>
          <w:rFonts w:hint="eastAsia" w:ascii="宋体" w:hAnsi="宋体" w:cs="宋体"/>
          <w:sz w:val="24"/>
          <w:szCs w:val="24"/>
          <w:highlight w:val="none"/>
          <w:lang w:val="en-US" w:eastAsia="zh-CN"/>
        </w:rPr>
        <w:t>每月</w:t>
      </w:r>
      <w:r>
        <w:rPr>
          <w:rFonts w:hint="eastAsia" w:ascii="宋体" w:hAnsi="宋体" w:eastAsia="宋体" w:cs="宋体"/>
          <w:sz w:val="24"/>
          <w:szCs w:val="24"/>
          <w:highlight w:val="none"/>
          <w:lang w:val="en-US" w:eastAsia="zh-CN"/>
        </w:rPr>
        <w:t>缴纳</w:t>
      </w:r>
      <w:r>
        <w:rPr>
          <w:rFonts w:hint="eastAsia" w:ascii="宋体" w:hAnsi="宋体" w:cs="宋体"/>
          <w:sz w:val="24"/>
          <w:szCs w:val="24"/>
          <w:highlight w:val="none"/>
          <w:lang w:val="en-US" w:eastAsia="zh-CN"/>
        </w:rPr>
        <w:t>管理费</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元整（小写¥</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每月25号前向甲方财务科缴纳当月管理费</w:t>
      </w:r>
      <w:r>
        <w:rPr>
          <w:rFonts w:hint="eastAsia" w:ascii="宋体" w:hAnsi="宋体" w:eastAsia="宋体" w:cs="宋体"/>
          <w:sz w:val="24"/>
          <w:szCs w:val="24"/>
          <w:highlight w:val="none"/>
          <w:lang w:val="en-US" w:eastAsia="zh-CN"/>
        </w:rPr>
        <w:t>。</w:t>
      </w:r>
    </w:p>
    <w:p w14:paraId="2D5C83F6">
      <w:pPr>
        <w:spacing w:line="360" w:lineRule="auto"/>
        <w:outlineLvl w:val="1"/>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六、支付方式：</w:t>
      </w:r>
    </w:p>
    <w:p w14:paraId="66927117">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医院</w:t>
      </w:r>
      <w:r>
        <w:rPr>
          <w:rFonts w:hint="eastAsia" w:ascii="宋体" w:hAnsi="宋体" w:cs="宋体"/>
          <w:sz w:val="24"/>
          <w:szCs w:val="24"/>
          <w:highlight w:val="none"/>
          <w:lang w:val="en-US" w:eastAsia="zh-CN"/>
        </w:rPr>
        <w:t>安排的</w:t>
      </w:r>
      <w:r>
        <w:rPr>
          <w:rFonts w:hint="eastAsia" w:ascii="宋体" w:hAnsi="宋体" w:eastAsia="宋体" w:cs="宋体"/>
          <w:sz w:val="24"/>
          <w:szCs w:val="24"/>
          <w:highlight w:val="none"/>
          <w:lang w:val="en-US" w:eastAsia="zh-CN"/>
        </w:rPr>
        <w:t>各项</w:t>
      </w:r>
      <w:r>
        <w:rPr>
          <w:rFonts w:hint="eastAsia" w:ascii="宋体" w:hAnsi="宋体" w:cs="宋体"/>
          <w:sz w:val="24"/>
          <w:szCs w:val="24"/>
          <w:highlight w:val="none"/>
          <w:lang w:val="en-US" w:eastAsia="zh-CN"/>
        </w:rPr>
        <w:t>就餐费用乙方每月10号前报甲方审核，甲方审核确认后</w:t>
      </w:r>
      <w:r>
        <w:rPr>
          <w:rFonts w:hint="eastAsia" w:ascii="宋体" w:hAnsi="宋体" w:eastAsia="宋体" w:cs="宋体"/>
          <w:sz w:val="24"/>
          <w:szCs w:val="24"/>
          <w:highlight w:val="none"/>
          <w:lang w:val="en-US" w:eastAsia="zh-CN"/>
        </w:rPr>
        <w:t>据实结算</w:t>
      </w:r>
      <w:r>
        <w:rPr>
          <w:rFonts w:hint="eastAsia" w:ascii="宋体" w:hAnsi="宋体" w:cs="宋体"/>
          <w:sz w:val="24"/>
          <w:szCs w:val="24"/>
          <w:highlight w:val="none"/>
          <w:lang w:val="en-US" w:eastAsia="zh-CN"/>
        </w:rPr>
        <w:t>，乙方按照审核结果向甲方开具相应的发票，甲方每月20号前</w:t>
      </w:r>
      <w:r>
        <w:rPr>
          <w:rFonts w:hint="eastAsia" w:ascii="宋体" w:hAnsi="宋体" w:eastAsia="宋体" w:cs="宋体"/>
          <w:sz w:val="24"/>
          <w:szCs w:val="24"/>
          <w:highlight w:val="none"/>
          <w:lang w:val="en-US" w:eastAsia="zh-CN"/>
        </w:rPr>
        <w:t>向乙方支付</w:t>
      </w:r>
      <w:r>
        <w:rPr>
          <w:rFonts w:hint="eastAsia" w:ascii="宋体" w:hAnsi="宋体" w:cs="宋体"/>
          <w:sz w:val="24"/>
          <w:szCs w:val="24"/>
          <w:highlight w:val="none"/>
          <w:lang w:val="en-US" w:eastAsia="zh-CN"/>
        </w:rPr>
        <w:t>上月的</w:t>
      </w:r>
      <w:r>
        <w:rPr>
          <w:rFonts w:hint="eastAsia" w:ascii="宋体" w:hAnsi="宋体" w:eastAsia="宋体" w:cs="宋体"/>
          <w:sz w:val="24"/>
          <w:szCs w:val="24"/>
          <w:highlight w:val="none"/>
          <w:lang w:val="en-US" w:eastAsia="zh-CN"/>
        </w:rPr>
        <w:t>各项</w:t>
      </w:r>
      <w:r>
        <w:rPr>
          <w:rFonts w:hint="eastAsia" w:ascii="宋体" w:hAnsi="宋体" w:cs="宋体"/>
          <w:sz w:val="24"/>
          <w:szCs w:val="24"/>
          <w:highlight w:val="none"/>
          <w:lang w:val="en-US" w:eastAsia="zh-CN"/>
        </w:rPr>
        <w:t>就餐费用</w:t>
      </w:r>
      <w:r>
        <w:rPr>
          <w:rFonts w:hint="eastAsia" w:ascii="宋体" w:hAnsi="宋体" w:eastAsia="宋体" w:cs="宋体"/>
          <w:sz w:val="24"/>
          <w:szCs w:val="24"/>
          <w:highlight w:val="none"/>
          <w:lang w:val="en-US" w:eastAsia="zh-CN"/>
        </w:rPr>
        <w:t>。</w:t>
      </w:r>
    </w:p>
    <w:p w14:paraId="4D6DCB65">
      <w:pPr>
        <w:spacing w:line="360" w:lineRule="auto"/>
        <w:ind w:firstLine="480" w:firstLineChars="200"/>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医务人员平时用餐</w:t>
      </w:r>
      <w:r>
        <w:rPr>
          <w:rFonts w:hint="eastAsia" w:ascii="宋体" w:hAnsi="宋体" w:cs="宋体"/>
          <w:sz w:val="24"/>
          <w:szCs w:val="24"/>
          <w:highlight w:val="none"/>
          <w:lang w:val="en-US" w:eastAsia="zh-CN"/>
        </w:rPr>
        <w:t>费用按照定价标准的80%进行优惠收取，优惠方式为职工本人现场消费。其他人员就餐按照餐厅定价标准收取费用。</w:t>
      </w:r>
    </w:p>
    <w:p w14:paraId="0AD8FB22">
      <w:pPr>
        <w:spacing w:line="360" w:lineRule="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七、违约责任：</w:t>
      </w:r>
    </w:p>
    <w:p w14:paraId="4E67622D">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合作期间甲乙双方应积极履行本合同，无特殊原因任何一方不准单方终止合同，如确需提前终止合同的，应提前</w:t>
      </w:r>
      <w:r>
        <w:rPr>
          <w:rFonts w:hint="eastAsia" w:ascii="宋体" w:hAnsi="宋体" w:eastAsia="宋体" w:cs="宋体"/>
          <w:sz w:val="24"/>
          <w:szCs w:val="24"/>
          <w:highlight w:val="none"/>
          <w:u w:val="single"/>
          <w:lang w:val="en-US" w:eastAsia="zh-CN"/>
        </w:rPr>
        <w:t>60</w:t>
      </w:r>
      <w:r>
        <w:rPr>
          <w:rFonts w:hint="eastAsia" w:ascii="宋体" w:hAnsi="宋体" w:eastAsia="宋体" w:cs="宋体"/>
          <w:sz w:val="24"/>
          <w:szCs w:val="24"/>
          <w:highlight w:val="none"/>
          <w:lang w:val="en-US" w:eastAsia="zh-CN"/>
        </w:rPr>
        <w:t>天书面通知对方，经双方友好协商后方可解除合同。如甲方无故违约终止本合同，应赔偿乙方违约金伍万元。如乙方无故违约终止本合同，应赔偿甲方违约金伍万元。</w:t>
      </w:r>
    </w:p>
    <w:p w14:paraId="39BB44B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乙方在履行本合同的过程中，违反相关法律法规、损害医院利益或明显违反合同约定的，甲方有权单方面无条件解除合同，所造成的损失由乙方负责，并追究乙方的法律责任。</w:t>
      </w:r>
    </w:p>
    <w:p w14:paraId="7FD99475">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甲、乙任何一方由于不可抗力原因不能履行合同或部分不能履行合同时，应及时向对方通报不能履行或不能完全履行的理由，以减轻可能给对方造成的损失，并于不可抗力发生之日起</w:t>
      </w:r>
      <w:r>
        <w:rPr>
          <w:rFonts w:hint="eastAsia" w:ascii="宋体" w:hAnsi="宋体" w:eastAsia="宋体" w:cs="宋体"/>
          <w:sz w:val="24"/>
          <w:szCs w:val="24"/>
          <w:highlight w:val="none"/>
          <w:u w:val="single" w:color="000000"/>
          <w:lang w:val="en-US" w:eastAsia="zh-CN"/>
        </w:rPr>
        <w:t>14</w:t>
      </w:r>
      <w:r>
        <w:rPr>
          <w:rFonts w:hint="eastAsia" w:ascii="宋体" w:hAnsi="宋体" w:eastAsia="宋体" w:cs="宋体"/>
          <w:sz w:val="24"/>
          <w:szCs w:val="24"/>
          <w:highlight w:val="none"/>
          <w:lang w:val="en-US" w:eastAsia="zh-CN"/>
        </w:rPr>
        <w:t>日内向另一方出具政府或相关部门出具的不可抗力的证明，双方友好协商，部分或全部免除因不可抗力造成的违约责任。</w:t>
      </w:r>
    </w:p>
    <w:p w14:paraId="19468EEB">
      <w:pPr>
        <w:spacing w:line="360" w:lineRule="auto"/>
        <w:outlineLvl w:val="1"/>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八</w:t>
      </w:r>
      <w:r>
        <w:rPr>
          <w:rFonts w:hint="eastAsia" w:ascii="宋体" w:hAnsi="宋体" w:eastAsia="宋体" w:cs="宋体"/>
          <w:b/>
          <w:bCs/>
          <w:sz w:val="24"/>
          <w:szCs w:val="24"/>
          <w:highlight w:val="none"/>
          <w:lang w:val="en-US" w:eastAsia="zh-CN"/>
        </w:rPr>
        <w:t>、其他条款</w:t>
      </w:r>
    </w:p>
    <w:p w14:paraId="77DC657D">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甲乙双方因本合同履行或未尽事宜产生纠纷应协商解决，由甲方与乙双方协商解决，或按《中华人民共和国民法典》有关条款执行，协商不成的，由甲方住所地</w:t>
      </w:r>
      <w:r>
        <w:rPr>
          <w:rFonts w:hint="eastAsia" w:ascii="宋体" w:hAnsi="宋体" w:eastAsia="宋体" w:cs="宋体"/>
          <w:sz w:val="24"/>
          <w:szCs w:val="24"/>
          <w:highlight w:val="none"/>
          <w:u w:val="single"/>
          <w:lang w:val="en-US" w:eastAsia="zh-CN"/>
        </w:rPr>
        <w:t>人民法院</w:t>
      </w:r>
      <w:r>
        <w:rPr>
          <w:rFonts w:hint="eastAsia" w:ascii="宋体" w:hAnsi="宋体" w:eastAsia="宋体" w:cs="宋体"/>
          <w:sz w:val="24"/>
          <w:szCs w:val="24"/>
          <w:highlight w:val="none"/>
          <w:lang w:val="en-US" w:eastAsia="zh-CN"/>
        </w:rPr>
        <w:t>管辖。如果双方将来就其他事宜另行签订补充协议时在约定管辖方面与本合同的约定管辖存在冲突，则补充协议变更的约定管辖无效，除非双方专门就约定管辖事宜签订单独的补充协议。在诉讼期间，本合同不涉及争议部分的条款仍须履行。</w:t>
      </w:r>
    </w:p>
    <w:p w14:paraId="1C082E98">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本合同</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一</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式</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lang w:val="en-US" w:eastAsia="zh-CN"/>
        </w:rPr>
        <w:t>份，甲方执</w:t>
      </w:r>
      <w:r>
        <w:rPr>
          <w:rFonts w:hint="eastAsia" w:ascii="宋体" w:hAnsi="宋体" w:cs="宋体"/>
          <w:sz w:val="24"/>
          <w:szCs w:val="24"/>
          <w:highlight w:val="none"/>
          <w:u w:val="single"/>
          <w:lang w:val="en-US" w:eastAsia="zh-CN"/>
        </w:rPr>
        <w:t>2</w:t>
      </w:r>
      <w:r>
        <w:rPr>
          <w:rFonts w:hint="eastAsia" w:ascii="宋体" w:hAnsi="宋体" w:eastAsia="宋体" w:cs="宋体"/>
          <w:sz w:val="24"/>
          <w:szCs w:val="24"/>
          <w:highlight w:val="none"/>
          <w:lang w:val="en-US" w:eastAsia="zh-CN"/>
        </w:rPr>
        <w:t>份，乙方执</w:t>
      </w:r>
      <w:r>
        <w:rPr>
          <w:rFonts w:hint="eastAsia" w:ascii="宋体" w:hAnsi="宋体" w:cs="宋体"/>
          <w:sz w:val="24"/>
          <w:szCs w:val="24"/>
          <w:highlight w:val="none"/>
          <w:u w:val="single"/>
          <w:lang w:val="en-US" w:eastAsia="zh-CN"/>
        </w:rPr>
        <w:t>2</w:t>
      </w:r>
      <w:r>
        <w:rPr>
          <w:rFonts w:hint="eastAsia" w:ascii="宋体" w:hAnsi="宋体" w:eastAsia="宋体" w:cs="宋体"/>
          <w:sz w:val="24"/>
          <w:szCs w:val="24"/>
          <w:highlight w:val="none"/>
          <w:lang w:val="en-US" w:eastAsia="zh-CN"/>
        </w:rPr>
        <w:t>份，自甲、乙双方签字盖章之日起生效。</w:t>
      </w:r>
    </w:p>
    <w:p w14:paraId="61F15706">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招标文件、投标书、评标过程中有关澄清文件及中标通知书均为合同不可分割的一部分。</w:t>
      </w:r>
    </w:p>
    <w:p w14:paraId="5A63E76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经甲乙双方友好协商，本合同可做修改或补充，修改或补充合同应以书面形式进行，并由甲、乙双方合法授权代表签署后生效，与本合同具有同等法律效力。</w:t>
      </w:r>
    </w:p>
    <w:p w14:paraId="760149E1">
      <w:pPr>
        <w:spacing w:line="360" w:lineRule="auto"/>
        <w:ind w:firstLine="480" w:firstLineChars="200"/>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5、合同附件：中标通知书</w:t>
      </w:r>
    </w:p>
    <w:p w14:paraId="100533E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sz w:val="18"/>
          <w:szCs w:val="18"/>
        </w:rPr>
      </w:pPr>
    </w:p>
    <w:p w14:paraId="7F81763C">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b w:val="0"/>
          <w:bCs w:val="0"/>
        </w:rPr>
      </w:pPr>
      <w:r>
        <w:rPr>
          <w:rFonts w:hint="eastAsia"/>
          <w:sz w:val="24"/>
          <w:szCs w:val="24"/>
        </w:rPr>
        <w:t>甲方（盖章）：</w:t>
      </w:r>
    </w:p>
    <w:p w14:paraId="0CA8F649">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sz w:val="24"/>
          <w:szCs w:val="24"/>
        </w:rPr>
      </w:pPr>
      <w:r>
        <w:rPr>
          <w:rFonts w:hint="eastAsia"/>
          <w:sz w:val="24"/>
          <w:szCs w:val="24"/>
          <w:lang w:eastAsia="zh-CN"/>
        </w:rPr>
        <w:t>甲方代表人</w:t>
      </w:r>
      <w:r>
        <w:rPr>
          <w:rFonts w:hint="eastAsia"/>
          <w:sz w:val="24"/>
          <w:szCs w:val="24"/>
        </w:rPr>
        <w:t>：</w:t>
      </w:r>
      <w:r>
        <w:rPr>
          <w:rFonts w:hint="eastAsia"/>
          <w:sz w:val="24"/>
          <w:szCs w:val="24"/>
          <w:lang w:val="en-US" w:eastAsia="zh-CN"/>
        </w:rPr>
        <w:t xml:space="preserve">               </w:t>
      </w:r>
    </w:p>
    <w:p w14:paraId="2D24BA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0D0D0D" w:themeColor="text1" w:themeTint="F2"/>
          <w:sz w:val="24"/>
          <w:szCs w:val="24"/>
          <w14:textFill>
            <w14:solidFill>
              <w14:schemeClr w14:val="tx1">
                <w14:lumMod w14:val="95000"/>
                <w14:lumOff w14:val="5000"/>
              </w14:schemeClr>
            </w14:solidFill>
          </w14:textFill>
        </w:rPr>
      </w:pPr>
    </w:p>
    <w:p w14:paraId="710F7E1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乙方（盖章）：</w:t>
      </w:r>
    </w:p>
    <w:p w14:paraId="31F23A74">
      <w:pPr>
        <w:rPr>
          <w:rFonts w:hint="default" w:eastAsia="宋体"/>
          <w:lang w:val="en-US" w:eastAsia="zh-CN"/>
        </w:rPr>
      </w:pPr>
      <w:r>
        <w:rPr>
          <w:rFonts w:hint="eastAsia"/>
          <w:b w:val="0"/>
          <w:bCs w:val="0"/>
          <w:sz w:val="24"/>
          <w:szCs w:val="24"/>
          <w:lang w:val="en-US" w:eastAsia="zh-CN"/>
        </w:rPr>
        <w:t xml:space="preserve">乙方代表人：                                          </w:t>
      </w:r>
    </w:p>
    <w:p w14:paraId="37181905">
      <w:pPr>
        <w:jc w:val="left"/>
        <w:rPr>
          <w:rFonts w:hint="eastAsia" w:ascii="宋体" w:hAnsi="宋体" w:eastAsia="宋体" w:cs="宋体"/>
          <w:sz w:val="21"/>
          <w:szCs w:val="24"/>
          <w:lang w:eastAsia="zh-CN"/>
        </w:rPr>
      </w:pPr>
    </w:p>
    <w:p w14:paraId="37D39111">
      <w:pPr>
        <w:pStyle w:val="41"/>
        <w:rPr>
          <w:rFonts w:hint="default"/>
          <w:sz w:val="24"/>
          <w:szCs w:val="24"/>
          <w:lang w:eastAsia="zh-CN"/>
        </w:rPr>
      </w:pPr>
      <w:r>
        <w:rPr>
          <w:rFonts w:hint="eastAsia" w:ascii="宋体" w:hAnsi="宋体" w:cs="宋体"/>
          <w:color w:val="000000"/>
          <w:sz w:val="24"/>
          <w:szCs w:val="24"/>
          <w:lang w:val="en-US" w:eastAsia="zh-CN"/>
        </w:rPr>
        <w:t xml:space="preserve">                                               年   月   日</w:t>
      </w:r>
    </w:p>
    <w:p w14:paraId="27F2A37D">
      <w:pPr>
        <w:pStyle w:val="41"/>
        <w:rPr>
          <w:rFonts w:hint="default"/>
          <w:sz w:val="24"/>
          <w:szCs w:val="24"/>
          <w:lang w:eastAsia="zh-CN"/>
        </w:rPr>
      </w:pPr>
    </w:p>
    <w:p w14:paraId="6262F69F">
      <w:pPr>
        <w:pStyle w:val="41"/>
        <w:rPr>
          <w:rFonts w:hint="default"/>
          <w:sz w:val="24"/>
          <w:szCs w:val="24"/>
          <w:lang w:eastAsia="zh-CN"/>
        </w:rPr>
      </w:pPr>
    </w:p>
    <w:p w14:paraId="42FB7484">
      <w:pPr>
        <w:pStyle w:val="41"/>
        <w:rPr>
          <w:rFonts w:hint="default"/>
          <w:sz w:val="24"/>
          <w:szCs w:val="24"/>
          <w:lang w:eastAsia="zh-CN"/>
        </w:rPr>
      </w:pPr>
    </w:p>
    <w:p w14:paraId="4D292E1A">
      <w:pPr>
        <w:pStyle w:val="41"/>
        <w:rPr>
          <w:rFonts w:hint="default"/>
          <w:sz w:val="24"/>
          <w:szCs w:val="24"/>
          <w:lang w:eastAsia="zh-CN"/>
        </w:rPr>
      </w:pPr>
    </w:p>
    <w:p w14:paraId="63803F66">
      <w:pPr>
        <w:pStyle w:val="41"/>
        <w:rPr>
          <w:rFonts w:hint="default"/>
          <w:sz w:val="24"/>
          <w:szCs w:val="24"/>
          <w:lang w:eastAsia="zh-CN"/>
        </w:rPr>
      </w:pPr>
    </w:p>
    <w:p w14:paraId="3C2CDD5A">
      <w:pPr>
        <w:pStyle w:val="41"/>
        <w:rPr>
          <w:rFonts w:hint="default"/>
          <w:sz w:val="24"/>
          <w:szCs w:val="24"/>
          <w:lang w:eastAsia="zh-CN"/>
        </w:rPr>
      </w:pPr>
    </w:p>
    <w:p w14:paraId="166CCBBB">
      <w:pPr>
        <w:pStyle w:val="41"/>
        <w:rPr>
          <w:rFonts w:hint="default"/>
          <w:sz w:val="24"/>
          <w:szCs w:val="24"/>
          <w:lang w:eastAsia="zh-CN"/>
        </w:rPr>
      </w:pPr>
    </w:p>
    <w:p w14:paraId="6395CDF3">
      <w:pPr>
        <w:pStyle w:val="41"/>
        <w:rPr>
          <w:rFonts w:hint="default"/>
          <w:sz w:val="24"/>
          <w:szCs w:val="24"/>
          <w:lang w:eastAsia="zh-CN"/>
        </w:rPr>
      </w:pPr>
    </w:p>
    <w:p w14:paraId="5F7A0C22">
      <w:pPr>
        <w:pStyle w:val="41"/>
        <w:rPr>
          <w:rFonts w:hint="default"/>
          <w:sz w:val="24"/>
          <w:szCs w:val="24"/>
          <w:lang w:eastAsia="zh-CN"/>
        </w:rPr>
      </w:pPr>
    </w:p>
    <w:p w14:paraId="69CD8389">
      <w:pPr>
        <w:pStyle w:val="41"/>
        <w:rPr>
          <w:rFonts w:hint="default"/>
          <w:sz w:val="24"/>
          <w:szCs w:val="24"/>
          <w:lang w:eastAsia="zh-CN"/>
        </w:rPr>
      </w:pPr>
    </w:p>
    <w:p w14:paraId="16E92359">
      <w:pPr>
        <w:pStyle w:val="41"/>
        <w:rPr>
          <w:rFonts w:hint="default"/>
          <w:sz w:val="24"/>
          <w:szCs w:val="24"/>
          <w:lang w:eastAsia="zh-CN"/>
        </w:rPr>
      </w:pPr>
    </w:p>
    <w:p w14:paraId="0F8D7CB0">
      <w:pPr>
        <w:pStyle w:val="41"/>
        <w:rPr>
          <w:rFonts w:hint="default"/>
          <w:sz w:val="24"/>
          <w:szCs w:val="24"/>
          <w:lang w:eastAsia="zh-CN"/>
        </w:rPr>
      </w:pPr>
    </w:p>
    <w:p w14:paraId="2753F7FC">
      <w:pPr>
        <w:pStyle w:val="41"/>
        <w:rPr>
          <w:rFonts w:hint="default"/>
          <w:sz w:val="24"/>
          <w:szCs w:val="24"/>
          <w:lang w:eastAsia="zh-CN"/>
        </w:rPr>
      </w:pPr>
    </w:p>
    <w:p w14:paraId="4481ECBB">
      <w:pPr>
        <w:pStyle w:val="41"/>
        <w:rPr>
          <w:rFonts w:hint="default"/>
          <w:sz w:val="24"/>
          <w:szCs w:val="24"/>
          <w:lang w:eastAsia="zh-CN"/>
        </w:rPr>
      </w:pPr>
    </w:p>
    <w:p w14:paraId="735C0377">
      <w:pPr>
        <w:pStyle w:val="41"/>
        <w:rPr>
          <w:rFonts w:hint="default"/>
          <w:sz w:val="24"/>
          <w:szCs w:val="24"/>
          <w:lang w:eastAsia="zh-CN"/>
        </w:rPr>
      </w:pPr>
    </w:p>
    <w:p w14:paraId="591649C1">
      <w:pPr>
        <w:pStyle w:val="41"/>
        <w:rPr>
          <w:rFonts w:hint="default"/>
          <w:sz w:val="24"/>
          <w:szCs w:val="24"/>
          <w:lang w:eastAsia="zh-CN"/>
        </w:rPr>
      </w:pPr>
    </w:p>
    <w:p w14:paraId="159FC3A2">
      <w:pPr>
        <w:pStyle w:val="41"/>
        <w:rPr>
          <w:rFonts w:hint="default"/>
          <w:sz w:val="24"/>
          <w:szCs w:val="24"/>
          <w:lang w:eastAsia="zh-CN"/>
        </w:rPr>
      </w:pPr>
    </w:p>
    <w:p w14:paraId="5BD4E323">
      <w:pPr>
        <w:pStyle w:val="41"/>
        <w:rPr>
          <w:rFonts w:hint="default"/>
          <w:sz w:val="24"/>
          <w:szCs w:val="24"/>
          <w:lang w:eastAsia="zh-CN"/>
        </w:rPr>
      </w:pPr>
    </w:p>
    <w:p w14:paraId="4AB6711E">
      <w:pPr>
        <w:pStyle w:val="3"/>
        <w:numPr>
          <w:ilvl w:val="0"/>
          <w:numId w:val="3"/>
        </w:numPr>
        <w:bidi w:val="0"/>
        <w:rPr>
          <w:rFonts w:hint="eastAsia"/>
          <w:color w:val="auto"/>
          <w:lang w:val="en-US" w:eastAsia="zh-CN"/>
        </w:rPr>
      </w:pPr>
      <w:r>
        <w:rPr>
          <w:rFonts w:hint="eastAsia"/>
          <w:color w:val="auto"/>
          <w:highlight w:val="none"/>
          <w:lang w:val="en-US" w:eastAsia="zh-CN"/>
        </w:rPr>
        <w:t xml:space="preserve"> </w:t>
      </w:r>
      <w:bookmarkStart w:id="174" w:name="_Toc23364"/>
      <w:r>
        <w:rPr>
          <w:rFonts w:hint="eastAsia"/>
          <w:color w:val="auto"/>
          <w:highlight w:val="none"/>
          <w:lang w:val="en-US" w:eastAsia="zh-CN"/>
        </w:rPr>
        <w:t>采购需求</w:t>
      </w:r>
      <w:bookmarkEnd w:id="174"/>
    </w:p>
    <w:p w14:paraId="38EF26BC">
      <w:pPr>
        <w:widowControl/>
        <w:shd w:val="clear" w:color="auto" w:fill="FFFFFF"/>
        <w:spacing w:line="360" w:lineRule="auto"/>
        <w:jc w:val="left"/>
        <w:rPr>
          <w:rFonts w:hint="eastAsia" w:ascii="宋体" w:hAnsi="宋体" w:eastAsia="宋体" w:cs="宋体"/>
          <w:kern w:val="0"/>
          <w:sz w:val="24"/>
          <w:szCs w:val="24"/>
        </w:rPr>
      </w:pPr>
      <w:r>
        <w:rPr>
          <w:rFonts w:hint="eastAsia" w:ascii="宋体" w:hAnsi="宋体" w:eastAsia="宋体" w:cs="宋体"/>
          <w:b/>
          <w:sz w:val="24"/>
          <w:szCs w:val="24"/>
        </w:rPr>
        <w:t>1、项目概述</w:t>
      </w:r>
      <w:r>
        <w:rPr>
          <w:rFonts w:hint="eastAsia" w:ascii="宋体" w:hAnsi="宋体" w:eastAsia="宋体" w:cs="宋体"/>
          <w:sz w:val="24"/>
          <w:szCs w:val="24"/>
        </w:rPr>
        <w:t>：</w:t>
      </w:r>
    </w:p>
    <w:p w14:paraId="46F9B33B">
      <w:pPr>
        <w:adjustRightInd w:val="0"/>
        <w:snapToGrid w:val="0"/>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睢县妇幼保健</w:t>
      </w:r>
      <w:r>
        <w:rPr>
          <w:rFonts w:hint="eastAsia" w:ascii="宋体" w:hAnsi="宋体" w:eastAsia="宋体" w:cs="宋体"/>
          <w:kern w:val="0"/>
          <w:sz w:val="24"/>
          <w:szCs w:val="24"/>
        </w:rPr>
        <w:t>院营养餐厅</w:t>
      </w:r>
      <w:r>
        <w:rPr>
          <w:rFonts w:hint="eastAsia" w:ascii="宋体" w:hAnsi="宋体" w:eastAsia="宋体" w:cs="宋体"/>
          <w:color w:val="auto"/>
          <w:sz w:val="24"/>
          <w:szCs w:val="24"/>
          <w:lang w:val="en-US" w:eastAsia="zh-CN"/>
        </w:rPr>
        <w:t>使用面积约680㎡</w:t>
      </w:r>
      <w:r>
        <w:rPr>
          <w:rFonts w:hint="eastAsia" w:ascii="宋体" w:hAnsi="宋体" w:eastAsia="宋体" w:cs="宋体"/>
          <w:kern w:val="0"/>
          <w:sz w:val="24"/>
          <w:szCs w:val="24"/>
        </w:rPr>
        <w:t>，承担病患及其家属用餐、职工用餐、重点科室送餐、会议和加班用餐，拥有一定的应急储备能力应对突发事件</w:t>
      </w:r>
      <w:r>
        <w:rPr>
          <w:rFonts w:hint="eastAsia" w:ascii="宋体" w:hAnsi="宋体" w:eastAsia="宋体" w:cs="宋体"/>
          <w:kern w:val="0"/>
          <w:sz w:val="24"/>
          <w:szCs w:val="24"/>
          <w:lang w:eastAsia="zh-CN"/>
        </w:rPr>
        <w:t>。</w:t>
      </w:r>
    </w:p>
    <w:p w14:paraId="2E546420">
      <w:pPr>
        <w:widowControl/>
        <w:shd w:val="clear" w:color="auto" w:fill="FFFFFF"/>
        <w:spacing w:line="360" w:lineRule="auto"/>
        <w:jc w:val="left"/>
        <w:rPr>
          <w:rFonts w:hint="eastAsia" w:ascii="宋体" w:hAnsi="宋体" w:eastAsia="宋体" w:cs="宋体"/>
          <w:b/>
          <w:sz w:val="24"/>
          <w:szCs w:val="24"/>
        </w:rPr>
      </w:pPr>
      <w:r>
        <w:rPr>
          <w:rFonts w:hint="eastAsia" w:ascii="宋体" w:hAnsi="宋体" w:eastAsia="宋体" w:cs="宋体"/>
          <w:b/>
          <w:sz w:val="24"/>
          <w:szCs w:val="24"/>
        </w:rPr>
        <w:t>2、服务要求：</w:t>
      </w:r>
    </w:p>
    <w:p w14:paraId="2A67DA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根据业务需要如需对餐厅进行装修改造需经甲方同意。</w:t>
      </w:r>
    </w:p>
    <w:p w14:paraId="39BA6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2、中标方缴纳保证金</w:t>
      </w:r>
      <w:r>
        <w:rPr>
          <w:rFonts w:hint="eastAsia" w:ascii="宋体" w:hAnsi="宋体" w:eastAsia="宋体" w:cs="宋体"/>
          <w:kern w:val="0"/>
          <w:sz w:val="24"/>
          <w:szCs w:val="24"/>
          <w:lang w:val="en-US" w:eastAsia="zh-CN"/>
        </w:rPr>
        <w:t>贰</w:t>
      </w:r>
      <w:r>
        <w:rPr>
          <w:rFonts w:hint="eastAsia" w:ascii="宋体" w:hAnsi="宋体" w:eastAsia="宋体" w:cs="宋体"/>
          <w:kern w:val="0"/>
          <w:sz w:val="24"/>
          <w:szCs w:val="24"/>
        </w:rPr>
        <w:t>万元，服务期满无息退还。</w:t>
      </w:r>
    </w:p>
    <w:p w14:paraId="537CDB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3、水电气费由中标方自行承担。</w:t>
      </w:r>
    </w:p>
    <w:p w14:paraId="6794EE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4、服务期结束后餐厅所有装修设施</w:t>
      </w:r>
      <w:r>
        <w:rPr>
          <w:rFonts w:hint="eastAsia" w:ascii="宋体" w:hAnsi="宋体" w:eastAsia="宋体" w:cs="宋体"/>
          <w:kern w:val="0"/>
          <w:sz w:val="24"/>
          <w:szCs w:val="24"/>
          <w:lang w:eastAsia="zh-CN"/>
        </w:rPr>
        <w:t>归</w:t>
      </w:r>
      <w:r>
        <w:rPr>
          <w:rFonts w:hint="eastAsia" w:ascii="宋体" w:hAnsi="宋体" w:eastAsia="宋体" w:cs="宋体"/>
          <w:kern w:val="0"/>
          <w:sz w:val="24"/>
          <w:szCs w:val="24"/>
        </w:rPr>
        <w:t>甲方所有</w:t>
      </w:r>
    </w:p>
    <w:p w14:paraId="7E5D61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eastAsia="zh-CN"/>
        </w:rPr>
        <w:t>餐厅所售饭</w:t>
      </w:r>
      <w:r>
        <w:rPr>
          <w:rFonts w:hint="eastAsia" w:ascii="宋体" w:hAnsi="宋体" w:eastAsia="宋体" w:cs="宋体"/>
          <w:kern w:val="0"/>
          <w:sz w:val="24"/>
          <w:szCs w:val="24"/>
        </w:rPr>
        <w:t>菜</w:t>
      </w:r>
      <w:r>
        <w:rPr>
          <w:rFonts w:hint="eastAsia" w:ascii="宋体" w:hAnsi="宋体" w:eastAsia="宋体" w:cs="宋体"/>
          <w:kern w:val="0"/>
          <w:sz w:val="24"/>
          <w:szCs w:val="24"/>
          <w:lang w:eastAsia="zh-CN"/>
        </w:rPr>
        <w:t>价格</w:t>
      </w:r>
      <w:r>
        <w:rPr>
          <w:rFonts w:hint="eastAsia" w:ascii="宋体" w:hAnsi="宋体" w:eastAsia="宋体" w:cs="宋体"/>
          <w:kern w:val="0"/>
          <w:sz w:val="24"/>
          <w:szCs w:val="24"/>
        </w:rPr>
        <w:t>需低于附近饭店10%</w:t>
      </w:r>
      <w:r>
        <w:rPr>
          <w:rFonts w:hint="eastAsia" w:ascii="宋体" w:hAnsi="宋体" w:eastAsia="宋体" w:cs="宋体"/>
          <w:kern w:val="0"/>
          <w:sz w:val="24"/>
          <w:szCs w:val="24"/>
          <w:lang w:eastAsia="zh-CN"/>
        </w:rPr>
        <w:t>以上</w:t>
      </w:r>
      <w:r>
        <w:rPr>
          <w:rFonts w:hint="eastAsia" w:ascii="宋体" w:hAnsi="宋体" w:eastAsia="宋体" w:cs="宋体"/>
          <w:kern w:val="0"/>
          <w:sz w:val="24"/>
          <w:szCs w:val="24"/>
        </w:rPr>
        <w:t>。</w:t>
      </w:r>
    </w:p>
    <w:p w14:paraId="0A16ACE1">
      <w:pPr>
        <w:spacing w:line="360" w:lineRule="auto"/>
        <w:rPr>
          <w:rFonts w:hint="eastAsia" w:ascii="宋体" w:hAnsi="宋体" w:eastAsia="宋体" w:cs="宋体"/>
          <w:b/>
          <w:sz w:val="24"/>
          <w:szCs w:val="24"/>
          <w:lang w:eastAsia="zh-CN"/>
        </w:rPr>
      </w:pPr>
      <w:r>
        <w:rPr>
          <w:rFonts w:hint="eastAsia" w:ascii="宋体" w:hAnsi="宋体" w:eastAsia="宋体" w:cs="宋体"/>
          <w:b/>
          <w:sz w:val="24"/>
          <w:szCs w:val="24"/>
        </w:rPr>
        <w:t>3、采购项目服务期限：</w:t>
      </w:r>
      <w:r>
        <w:rPr>
          <w:rFonts w:hint="eastAsia" w:ascii="宋体" w:hAnsi="宋体" w:eastAsia="宋体" w:cs="宋体"/>
          <w:b/>
          <w:sz w:val="24"/>
          <w:szCs w:val="24"/>
          <w:lang w:val="en-US" w:eastAsia="zh-CN"/>
        </w:rPr>
        <w:t>2</w:t>
      </w:r>
      <w:r>
        <w:rPr>
          <w:rFonts w:hint="eastAsia" w:ascii="宋体" w:hAnsi="宋体" w:eastAsia="宋体" w:cs="宋体"/>
          <w:b/>
          <w:sz w:val="24"/>
          <w:szCs w:val="24"/>
        </w:rPr>
        <w:t>年</w:t>
      </w:r>
      <w:r>
        <w:rPr>
          <w:rFonts w:hint="eastAsia" w:ascii="宋体" w:hAnsi="宋体" w:eastAsia="宋体" w:cs="宋体"/>
          <w:b/>
          <w:sz w:val="24"/>
          <w:szCs w:val="24"/>
          <w:lang w:eastAsia="zh-CN"/>
        </w:rPr>
        <w:t>。</w:t>
      </w:r>
    </w:p>
    <w:p w14:paraId="613BB01E">
      <w:pPr>
        <w:spacing w:line="360" w:lineRule="auto"/>
        <w:rPr>
          <w:rFonts w:hint="eastAsia" w:ascii="宋体" w:hAnsi="宋体" w:eastAsia="宋体" w:cs="宋体"/>
          <w:kern w:val="0"/>
          <w:sz w:val="24"/>
          <w:szCs w:val="24"/>
          <w:lang w:eastAsia="zh-CN"/>
        </w:rPr>
      </w:pPr>
      <w:r>
        <w:rPr>
          <w:rFonts w:hint="eastAsia" w:ascii="宋体" w:hAnsi="宋体" w:eastAsia="宋体" w:cs="宋体"/>
          <w:b/>
          <w:sz w:val="24"/>
          <w:szCs w:val="24"/>
        </w:rPr>
        <w:t>4、采购项目服务地点：</w:t>
      </w:r>
      <w:r>
        <w:rPr>
          <w:rFonts w:hint="eastAsia" w:ascii="宋体" w:hAnsi="宋体" w:eastAsia="宋体" w:cs="宋体"/>
          <w:kern w:val="0"/>
          <w:sz w:val="24"/>
          <w:szCs w:val="24"/>
          <w:lang w:eastAsia="zh-CN"/>
        </w:rPr>
        <w:t>睢县妇幼保健院</w:t>
      </w:r>
    </w:p>
    <w:p w14:paraId="798F8460">
      <w:pPr>
        <w:widowControl/>
        <w:shd w:val="clear" w:color="auto" w:fill="FFFFFF"/>
        <w:spacing w:line="360" w:lineRule="auto"/>
        <w:jc w:val="left"/>
        <w:rPr>
          <w:rFonts w:hint="eastAsia" w:ascii="宋体" w:hAnsi="宋体" w:eastAsia="宋体" w:cs="宋体"/>
          <w:sz w:val="24"/>
          <w:szCs w:val="24"/>
        </w:rPr>
      </w:pPr>
      <w:r>
        <w:rPr>
          <w:rFonts w:hint="eastAsia" w:ascii="宋体" w:hAnsi="宋体" w:eastAsia="宋体" w:cs="宋体"/>
          <w:b/>
          <w:sz w:val="24"/>
          <w:szCs w:val="24"/>
        </w:rPr>
        <w:t>5、技术/服务标准</w:t>
      </w:r>
      <w:r>
        <w:rPr>
          <w:rFonts w:hint="eastAsia" w:ascii="宋体" w:hAnsi="宋体" w:eastAsia="宋体" w:cs="宋体"/>
          <w:sz w:val="24"/>
          <w:szCs w:val="24"/>
        </w:rPr>
        <w:t xml:space="preserve">： </w:t>
      </w:r>
    </w:p>
    <w:p w14:paraId="03485D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1、提供一日三餐、营养配餐、专业配餐、病区送餐遇特殊任务、雨雪天气的情况下，医院根据需要，向承包方提出变更就餐时间，承包方应积极配合，必须按时开餐，做到饭热菜香。</w:t>
      </w:r>
    </w:p>
    <w:p w14:paraId="72D781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甲方监督管理下，乙方自主经营、自负盈亏、自担风险。乙方应严格遵守相关法律法规、严格按照餐饮服务行业相关标准、规章制度、操作规程等开展工作，守法经营，因违法违规经营造成的损失由乙方自行承担。乙方自行承担经营期间的水费、电费、天然气费等费用。</w:t>
      </w:r>
    </w:p>
    <w:p w14:paraId="5FA030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3、根据</w:t>
      </w:r>
      <w:r>
        <w:rPr>
          <w:rFonts w:hint="eastAsia" w:ascii="宋体" w:hAnsi="宋体" w:eastAsia="宋体" w:cs="宋体"/>
          <w:sz w:val="24"/>
          <w:szCs w:val="24"/>
          <w:lang w:eastAsia="zh-CN"/>
        </w:rPr>
        <w:t>经营需求，如需对餐厅进行</w:t>
      </w:r>
      <w:r>
        <w:rPr>
          <w:rFonts w:hint="eastAsia" w:ascii="宋体" w:hAnsi="宋体" w:eastAsia="宋体" w:cs="宋体"/>
          <w:sz w:val="24"/>
          <w:szCs w:val="24"/>
        </w:rPr>
        <w:t>装修，</w:t>
      </w:r>
      <w:r>
        <w:rPr>
          <w:rFonts w:hint="eastAsia" w:ascii="宋体" w:hAnsi="宋体" w:eastAsia="宋体" w:cs="宋体"/>
          <w:sz w:val="24"/>
          <w:szCs w:val="24"/>
          <w:lang w:eastAsia="zh-CN"/>
        </w:rPr>
        <w:t>乙方在征得甲方同意后对餐厅进行装修改造，乙方需</w:t>
      </w:r>
      <w:r>
        <w:rPr>
          <w:rFonts w:hint="eastAsia" w:ascii="宋体" w:hAnsi="宋体" w:eastAsia="宋体" w:cs="宋体"/>
          <w:sz w:val="24"/>
          <w:szCs w:val="24"/>
        </w:rPr>
        <w:t>承担</w:t>
      </w:r>
      <w:r>
        <w:rPr>
          <w:rFonts w:hint="eastAsia" w:ascii="宋体" w:hAnsi="宋体" w:eastAsia="宋体" w:cs="宋体"/>
          <w:sz w:val="24"/>
          <w:szCs w:val="24"/>
          <w:lang w:eastAsia="zh-CN"/>
        </w:rPr>
        <w:t>餐厅装修改造的全部费用，</w:t>
      </w:r>
      <w:r>
        <w:rPr>
          <w:rFonts w:hint="eastAsia" w:ascii="宋体" w:hAnsi="宋体" w:eastAsia="宋体" w:cs="宋体"/>
          <w:sz w:val="24"/>
          <w:szCs w:val="24"/>
        </w:rPr>
        <w:t>合同期满后装修及</w:t>
      </w:r>
      <w:r>
        <w:rPr>
          <w:rFonts w:hint="eastAsia" w:ascii="宋体" w:hAnsi="宋体" w:eastAsia="宋体" w:cs="宋体"/>
          <w:sz w:val="24"/>
          <w:szCs w:val="24"/>
          <w:lang w:eastAsia="zh-CN"/>
        </w:rPr>
        <w:t>附属无法移动的设施</w:t>
      </w:r>
      <w:r>
        <w:rPr>
          <w:rFonts w:hint="eastAsia" w:ascii="宋体" w:hAnsi="宋体" w:eastAsia="宋体" w:cs="宋体"/>
          <w:sz w:val="24"/>
          <w:szCs w:val="24"/>
        </w:rPr>
        <w:t>归甲方所有</w:t>
      </w:r>
      <w:r>
        <w:rPr>
          <w:rFonts w:hint="eastAsia" w:ascii="宋体" w:hAnsi="宋体" w:eastAsia="宋体" w:cs="宋体"/>
          <w:sz w:val="24"/>
          <w:szCs w:val="24"/>
          <w:lang w:eastAsia="zh-CN"/>
        </w:rPr>
        <w:t>，</w:t>
      </w:r>
      <w:r>
        <w:rPr>
          <w:rFonts w:hint="eastAsia" w:ascii="宋体" w:hAnsi="宋体" w:eastAsia="宋体" w:cs="宋体"/>
          <w:sz w:val="24"/>
          <w:szCs w:val="24"/>
        </w:rPr>
        <w:t>乙方不得损坏房屋的基本结构</w:t>
      </w:r>
      <w:r>
        <w:rPr>
          <w:rFonts w:hint="eastAsia" w:ascii="宋体" w:hAnsi="宋体" w:eastAsia="宋体" w:cs="宋体"/>
          <w:sz w:val="24"/>
          <w:szCs w:val="24"/>
          <w:lang w:eastAsia="zh-CN"/>
        </w:rPr>
        <w:t>。乙方</w:t>
      </w:r>
      <w:r>
        <w:rPr>
          <w:rFonts w:hint="eastAsia" w:ascii="宋体" w:hAnsi="宋体" w:eastAsia="宋体" w:cs="宋体"/>
          <w:sz w:val="24"/>
          <w:szCs w:val="24"/>
        </w:rPr>
        <w:t>乙方自主承担购置设备、设施、桌椅及餐具等物资的费用。</w:t>
      </w:r>
    </w:p>
    <w:p w14:paraId="4DD19F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乙方经营期间负责餐厅</w:t>
      </w:r>
      <w:r>
        <w:rPr>
          <w:rFonts w:hint="eastAsia" w:ascii="宋体" w:hAnsi="宋体" w:eastAsia="宋体" w:cs="宋体"/>
          <w:sz w:val="24"/>
          <w:szCs w:val="24"/>
        </w:rPr>
        <w:t>内房屋及水电燃气设施的维护等事宜，服务期内如有设备损坏，乙方负责维修更换</w:t>
      </w:r>
      <w:r>
        <w:rPr>
          <w:rFonts w:hint="eastAsia" w:ascii="宋体" w:hAnsi="宋体" w:eastAsia="宋体" w:cs="宋体"/>
          <w:sz w:val="24"/>
          <w:szCs w:val="24"/>
          <w:lang w:eastAsia="zh-CN"/>
        </w:rPr>
        <w:t>并承担相关费用</w:t>
      </w:r>
      <w:r>
        <w:rPr>
          <w:rFonts w:hint="eastAsia" w:ascii="宋体" w:hAnsi="宋体" w:eastAsia="宋体" w:cs="宋体"/>
          <w:sz w:val="24"/>
          <w:szCs w:val="24"/>
        </w:rPr>
        <w:t>。合同期内乙方因食堂经营与外界发生的一切债权、债务等纠纷与甲方无关。</w:t>
      </w:r>
    </w:p>
    <w:p w14:paraId="4D2660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乙方根据需要向甲方提供用餐服务：甲方的误餐、会务及各种活动用餐、职工医务人员平时用餐等，误餐按照甲方通知，以桌餐保障；会务用餐以自助餐盒送餐为主，职工医务人员平时用餐，送餐到科室或职工到餐厅就餐均可，重点科室：（如：手术室、重症监护室等）以送餐为主。根据甲方工作需要，乙方须承担送餐到岗服务。</w:t>
      </w:r>
    </w:p>
    <w:p w14:paraId="1F6BEF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食堂内的工作人员属于乙方的员工，与甲方不存在任何雇佣、委托等劳动关系。食堂工作人员的福利待遇、人员培训、体检、丧残疾病等所有费用均由乙方自行承担，乙方承担经营场所内的独立法律责任。食堂工作人员的安全责任由乙方负责。乙方制定并严格落实营养食堂相关管理制度，做好日常管理。</w:t>
      </w:r>
    </w:p>
    <w:p w14:paraId="0F7215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从业人员须持有效健康证明并完成卫生知识培训合格后方能上岗，乙方承担该费用。如乙方从业人员有发热、咳嗽、腹泻等症状及化脓性皮肤病者应立即暂停其工作。乙方工作人员需统一服装，戴口罩、戴帽子，做好个人卫生，不得与职工、患者及家属发生争吵或冲突，如有违规者医院追究经营者的责任。</w:t>
      </w:r>
    </w:p>
    <w:p w14:paraId="5F818D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乙方在经营过程中要不断对员工进行教育培训，提高服务技能，规范服务程序，自觉遵守院规院纪，自觉接受监督。</w:t>
      </w:r>
    </w:p>
    <w:p w14:paraId="280AEE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乙方负责食堂食材统一采购管理，乙方应选择有实力、有资质、有保障的供应商所提供的食品原材料，确保原料新鲜、干净、安全、卫生以及菜价的稳定。   </w:t>
      </w:r>
    </w:p>
    <w:p w14:paraId="0ED04A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乙方对所购买的食品原材料建立台账登记，严格遵守索证索票制度，确保原材料质量和卫生标准符合要求。乙方仓库必须分类设立、保持通风、干燥、干净卫生、整齐有序，每天专人负责定时清洁。注意防盗、防火、防虫害，人离开时必须锁好仓库门，按规定定期杀虫灭鼠，确保无苍蝇、蚊子、老鼠、蟑螂等害虫。   </w:t>
      </w:r>
    </w:p>
    <w:p w14:paraId="01CEEB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乙方不得在医院销售非食堂加工的外来成品或半成品食物（包括各类饮品），特殊情况需要销售外来食物的，须经过甲方同意并保证食物安全。</w:t>
      </w:r>
    </w:p>
    <w:p w14:paraId="2C933F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生、熟食品使用的刀具、砧板严格分开使用，原材料、半成品、成品容器分开使用，干货、瓜果蔬菜、肉类食品的清洗池分开使用，避免交叉污染。餐后认真清洗餐具并进行消毒。</w:t>
      </w:r>
    </w:p>
    <w:p w14:paraId="29CB2E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乙方严格遵守《食品安全卫生法》等相关法律、法规，严格按照投标文件及合同条款履行相关义务。</w:t>
      </w:r>
    </w:p>
    <w:p w14:paraId="7340C1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食堂的食品卫生安全、消防安全、交通安全等各项安全责任由乙方承担。</w:t>
      </w:r>
    </w:p>
    <w:p w14:paraId="22F6D2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在合同期间内发生食物中毒、火灾、爆炸等安全事故，押金不再退还，乙方承担由此造成的一切经济损失和法律责任，甲方有权无条件终止合同。</w:t>
      </w:r>
    </w:p>
    <w:p w14:paraId="665C56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乙方饭菜不符合安全卫生标准，造成食用者生病的，乙方负全部责任，甲方有权要求乙方进行整改至整改完成，情节严重的甲方可扣除部分或全部风险抵押金，并有权单方面无条件解除合同。</w:t>
      </w:r>
    </w:p>
    <w:p w14:paraId="34CB76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重视就餐人员的意见和建议，做好交流沟通。对甲方书面提出的整改意见，乙方应按甲方要求的期限整改。</w:t>
      </w:r>
    </w:p>
    <w:p w14:paraId="3B15F0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乙方不得将食堂承包经营权转让给第三方。乙方指派专人管理食堂并负责与甲方联络沟通，落实甲方管理要求。</w:t>
      </w:r>
    </w:p>
    <w:p w14:paraId="049A8D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乙方自觉维护医院声誉，不得有损毁医院声誉的行为。如发生损毁医院声誉的事情，乙方应及时采取措施消除不良影响；甲方有权利进一步追究乙方责任，一切经济损失及法律后果由乙方承担。</w:t>
      </w:r>
    </w:p>
    <w:p w14:paraId="37C940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乙方使用的员工年龄不得超过</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周岁，确有特殊专长的，年龄可适当放宽，经甲方认可后方能使用。</w:t>
      </w:r>
    </w:p>
    <w:p w14:paraId="4C9484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需严格执行食品留样制度，取样分量及留样时间必须符合相关要求。每餐、每个品种留样量不少于100g，分别盛放于清洗消毒后的密闭专用容器内。留样食品一般保存48小时，进餐者如无异常，即可处理留样的食品；如有异常，立即封存，送食品卫生安全部门查验。做好每餐每样留样食品的记录，包括食品样源、食品名称、留样时间、目测样状等，以备检查。食品留样冰箱为专用设备，严禁存放与留样食品无关的物品。</w:t>
      </w:r>
    </w:p>
    <w:p w14:paraId="723664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如乙方违反本合同规定，除了承担违约金外，还要承担甲方向乙方追究违约责任所支付的一切费用，包括但不限于律师费、诉讼费、保全费、公告费、鉴定费、交通食宿费等。</w:t>
      </w:r>
    </w:p>
    <w:p w14:paraId="29768C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乙方应具备停水停电，设备异常，恶劣天气，食物中毒，储存食材无法使用等突发情况的应急预案。</w:t>
      </w:r>
    </w:p>
    <w:p w14:paraId="470A9195">
      <w:pPr>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sz w:val="24"/>
          <w:szCs w:val="24"/>
        </w:rPr>
        <w:t>6、项目人员要求</w:t>
      </w:r>
      <w:r>
        <w:rPr>
          <w:rFonts w:hint="eastAsia" w:ascii="宋体" w:hAnsi="宋体" w:eastAsia="宋体" w:cs="宋体"/>
          <w:color w:val="000000" w:themeColor="text1"/>
          <w:sz w:val="24"/>
          <w:szCs w:val="24"/>
          <w14:textFill>
            <w14:solidFill>
              <w14:schemeClr w14:val="tx1"/>
            </w14:solidFill>
          </w14:textFill>
        </w:rPr>
        <w:t>：</w:t>
      </w:r>
    </w:p>
    <w:p w14:paraId="6F946904">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乙方使用的员工年龄不得超过</w:t>
      </w:r>
      <w:r>
        <w:rPr>
          <w:rFonts w:hint="eastAsia" w:ascii="宋体" w:hAnsi="宋体" w:eastAsia="宋体" w:cs="宋体"/>
          <w:color w:val="000000" w:themeColor="text1"/>
          <w:kern w:val="0"/>
          <w:sz w:val="24"/>
          <w:szCs w:val="24"/>
          <w:lang w:val="en-US" w:eastAsia="zh-CN"/>
          <w14:textFill>
            <w14:solidFill>
              <w14:schemeClr w14:val="tx1"/>
            </w14:solidFill>
          </w14:textFill>
        </w:rPr>
        <w:t>60</w:t>
      </w:r>
      <w:r>
        <w:rPr>
          <w:rFonts w:hint="eastAsia" w:ascii="宋体" w:hAnsi="宋体" w:eastAsia="宋体" w:cs="宋体"/>
          <w:color w:val="000000" w:themeColor="text1"/>
          <w:kern w:val="0"/>
          <w:sz w:val="24"/>
          <w:szCs w:val="24"/>
          <w14:textFill>
            <w14:solidFill>
              <w14:schemeClr w14:val="tx1"/>
            </w14:solidFill>
          </w14:textFill>
        </w:rPr>
        <w:t>周岁，确有特殊专长的，年龄可适当放宽，经甲方认可后方能使用。厨师长需具有两年以上工作经验，厨师长及厨师持有二级或二级以上厨师证书，营养师持有二级或二级以上公共营养师证书，管理人员须具有两年以上餐饮行业工作经验，并持有餐饮职业经理人资格证书</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1AC1BC3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7、乙方需针对该餐厅项目资金设立共管账户，由甲乙双方共管，经院方同意后可随时支取。</w:t>
      </w:r>
    </w:p>
    <w:p w14:paraId="472F3BC8">
      <w:pPr>
        <w:rPr>
          <w:rFonts w:hint="eastAsia"/>
          <w:color w:val="auto"/>
          <w:lang w:val="en-US" w:eastAsia="zh-CN"/>
        </w:rPr>
      </w:pPr>
      <w:r>
        <w:rPr>
          <w:rFonts w:hint="eastAsia"/>
          <w:color w:val="auto"/>
          <w:lang w:val="en-US" w:eastAsia="zh-CN"/>
        </w:rPr>
        <w:br w:type="page"/>
      </w:r>
    </w:p>
    <w:p w14:paraId="5E3D5335">
      <w:pPr>
        <w:rPr>
          <w:rFonts w:hint="eastAsia"/>
          <w:lang w:val="en-US" w:eastAsia="zh-CN"/>
        </w:rPr>
      </w:pPr>
    </w:p>
    <w:p w14:paraId="2D163C05">
      <w:pPr>
        <w:rPr>
          <w:rFonts w:hint="eastAsia"/>
          <w:lang w:val="en-US" w:eastAsia="zh-CN"/>
        </w:rPr>
      </w:pPr>
    </w:p>
    <w:p w14:paraId="33F8FD60">
      <w:pPr>
        <w:pStyle w:val="8"/>
        <w:rPr>
          <w:rFonts w:hint="eastAsia"/>
          <w:color w:val="auto"/>
          <w:lang w:val="en-US" w:eastAsia="zh-CN"/>
        </w:rPr>
      </w:pPr>
    </w:p>
    <w:p w14:paraId="2C78F090">
      <w:pPr>
        <w:pStyle w:val="3"/>
        <w:spacing w:line="440" w:lineRule="exact"/>
        <w:jc w:val="center"/>
        <w:rPr>
          <w:rFonts w:hint="eastAsia" w:ascii="宋体" w:hAnsi="宋体" w:eastAsia="宋体" w:cs="Times New Roman"/>
          <w:bCs/>
          <w:color w:val="auto"/>
          <w:sz w:val="36"/>
          <w:szCs w:val="36"/>
          <w:highlight w:val="none"/>
          <w:lang w:val="en-US" w:eastAsia="zh-CN"/>
        </w:rPr>
      </w:pPr>
      <w:bookmarkStart w:id="175" w:name="_Toc26415"/>
      <w:r>
        <w:rPr>
          <w:rFonts w:hint="eastAsia" w:ascii="宋体" w:hAnsi="宋体" w:eastAsia="宋体" w:cs="Times New Roman"/>
          <w:bCs/>
          <w:color w:val="auto"/>
          <w:sz w:val="36"/>
          <w:szCs w:val="36"/>
          <w:highlight w:val="none"/>
          <w:lang w:val="en-US" w:eastAsia="zh-CN"/>
        </w:rPr>
        <w:t>第六章  响应文件格式</w:t>
      </w:r>
      <w:bookmarkEnd w:id="175"/>
      <w:bookmarkStart w:id="176" w:name="_Toc8087"/>
    </w:p>
    <w:bookmarkEnd w:id="176"/>
    <w:p w14:paraId="3DB0651D">
      <w:pPr>
        <w:rPr>
          <w:color w:val="auto"/>
          <w:highlight w:val="none"/>
        </w:rPr>
      </w:pPr>
    </w:p>
    <w:p w14:paraId="5106E82F">
      <w:pPr>
        <w:pStyle w:val="8"/>
        <w:rPr>
          <w:rFonts w:hint="eastAsia" w:ascii="宋体" w:hAnsi="宋体" w:eastAsia="宋体" w:cs="宋体"/>
          <w:b w:val="0"/>
          <w:bCs/>
          <w:color w:val="auto"/>
          <w:highlight w:val="none"/>
        </w:rPr>
      </w:pPr>
    </w:p>
    <w:p w14:paraId="4FF456D5">
      <w:pPr>
        <w:rPr>
          <w:rFonts w:hint="eastAsia" w:ascii="宋体" w:hAnsi="宋体" w:eastAsia="宋体" w:cs="宋体"/>
          <w:b w:val="0"/>
          <w:bCs/>
          <w:color w:val="auto"/>
          <w:highlight w:val="none"/>
        </w:rPr>
      </w:pPr>
    </w:p>
    <w:p w14:paraId="23ECAFED">
      <w:pPr>
        <w:pStyle w:val="8"/>
        <w:rPr>
          <w:rFonts w:hint="eastAsia"/>
          <w:color w:val="auto"/>
          <w:highlight w:val="none"/>
        </w:rPr>
      </w:pPr>
    </w:p>
    <w:p w14:paraId="06D8A72B">
      <w:pPr>
        <w:ind w:right="210" w:firstLine="2160" w:firstLineChars="900"/>
        <w:jc w:val="left"/>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（项目名</w:t>
      </w:r>
      <w:r>
        <w:rPr>
          <w:rFonts w:hint="eastAsia" w:ascii="宋体" w:hAnsi="宋体" w:eastAsia="宋体" w:cs="宋体"/>
          <w:b w:val="0"/>
          <w:bCs/>
          <w:color w:val="auto"/>
          <w:sz w:val="24"/>
          <w:szCs w:val="24"/>
          <w:highlight w:val="none"/>
          <w:u w:val="none"/>
        </w:rPr>
        <w:t>称）</w:t>
      </w:r>
    </w:p>
    <w:p w14:paraId="5397FA98">
      <w:pPr>
        <w:ind w:right="105"/>
        <w:jc w:val="both"/>
        <w:rPr>
          <w:rFonts w:hint="eastAsia" w:ascii="宋体" w:hAnsi="宋体" w:eastAsia="宋体" w:cs="宋体"/>
          <w:b w:val="0"/>
          <w:bCs/>
          <w:color w:val="auto"/>
          <w:sz w:val="32"/>
          <w:szCs w:val="32"/>
          <w:highlight w:val="none"/>
        </w:rPr>
      </w:pPr>
    </w:p>
    <w:p w14:paraId="38B71553">
      <w:pPr>
        <w:pStyle w:val="24"/>
        <w:rPr>
          <w:rFonts w:hint="eastAsia" w:ascii="宋体" w:hAnsi="宋体" w:eastAsia="宋体" w:cs="宋体"/>
          <w:b w:val="0"/>
          <w:bCs/>
          <w:color w:val="auto"/>
          <w:sz w:val="32"/>
          <w:szCs w:val="32"/>
          <w:highlight w:val="none"/>
        </w:rPr>
      </w:pPr>
    </w:p>
    <w:p w14:paraId="1E98A633">
      <w:pPr>
        <w:pStyle w:val="24"/>
        <w:rPr>
          <w:rFonts w:hint="eastAsia" w:ascii="宋体" w:hAnsi="宋体" w:eastAsia="宋体" w:cs="宋体"/>
          <w:b w:val="0"/>
          <w:bCs/>
          <w:color w:val="auto"/>
          <w:sz w:val="32"/>
          <w:szCs w:val="32"/>
          <w:highlight w:val="none"/>
        </w:rPr>
      </w:pPr>
    </w:p>
    <w:p w14:paraId="44201D2A">
      <w:pPr>
        <w:pStyle w:val="24"/>
        <w:rPr>
          <w:rFonts w:hint="eastAsia" w:ascii="宋体" w:hAnsi="宋体" w:eastAsia="宋体" w:cs="宋体"/>
          <w:b w:val="0"/>
          <w:bCs/>
          <w:color w:val="auto"/>
          <w:sz w:val="32"/>
          <w:szCs w:val="32"/>
          <w:highlight w:val="none"/>
        </w:rPr>
      </w:pPr>
    </w:p>
    <w:p w14:paraId="1BB36920">
      <w:pPr>
        <w:ind w:right="105"/>
        <w:jc w:val="center"/>
        <w:rPr>
          <w:rFonts w:hint="eastAsia" w:ascii="宋体" w:hAnsi="宋体" w:eastAsia="宋体" w:cs="宋体"/>
          <w:b w:val="0"/>
          <w:bCs/>
          <w:color w:val="auto"/>
          <w:sz w:val="96"/>
          <w:szCs w:val="96"/>
          <w:highlight w:val="none"/>
        </w:rPr>
      </w:pPr>
      <w:bookmarkStart w:id="177" w:name="_Toc496"/>
      <w:bookmarkStart w:id="178" w:name="_Toc7914"/>
      <w:r>
        <w:rPr>
          <w:rFonts w:hint="eastAsia" w:ascii="宋体" w:hAnsi="宋体" w:eastAsia="宋体" w:cs="宋体"/>
          <w:b w:val="0"/>
          <w:bCs/>
          <w:color w:val="auto"/>
          <w:sz w:val="96"/>
          <w:szCs w:val="96"/>
          <w:highlight w:val="none"/>
        </w:rPr>
        <w:t>响应文件</w:t>
      </w:r>
      <w:bookmarkEnd w:id="177"/>
      <w:bookmarkEnd w:id="178"/>
    </w:p>
    <w:p w14:paraId="5613FD00">
      <w:pPr>
        <w:rPr>
          <w:rFonts w:hint="eastAsia" w:ascii="宋体" w:hAnsi="宋体" w:eastAsia="宋体" w:cs="宋体"/>
          <w:b w:val="0"/>
          <w:bCs/>
          <w:color w:val="auto"/>
          <w:sz w:val="24"/>
          <w:szCs w:val="24"/>
          <w:highlight w:val="none"/>
        </w:rPr>
      </w:pPr>
    </w:p>
    <w:p w14:paraId="0C480CD2">
      <w:pPr>
        <w:pStyle w:val="8"/>
        <w:rPr>
          <w:rFonts w:hint="eastAsia" w:ascii="宋体" w:hAnsi="宋体" w:eastAsia="宋体" w:cs="宋体"/>
          <w:b w:val="0"/>
          <w:bCs/>
          <w:color w:val="auto"/>
          <w:sz w:val="24"/>
          <w:szCs w:val="24"/>
          <w:highlight w:val="none"/>
        </w:rPr>
      </w:pPr>
    </w:p>
    <w:p w14:paraId="0A79043B">
      <w:pPr>
        <w:rPr>
          <w:rFonts w:hint="eastAsia" w:ascii="宋体" w:hAnsi="宋体" w:eastAsia="宋体" w:cs="宋体"/>
          <w:b w:val="0"/>
          <w:bCs/>
          <w:color w:val="auto"/>
          <w:sz w:val="24"/>
          <w:szCs w:val="24"/>
          <w:highlight w:val="none"/>
        </w:rPr>
      </w:pPr>
    </w:p>
    <w:p w14:paraId="1BAFDD4C">
      <w:pPr>
        <w:pStyle w:val="8"/>
        <w:rPr>
          <w:rFonts w:hint="eastAsia" w:ascii="宋体" w:hAnsi="宋体" w:eastAsia="宋体" w:cs="宋体"/>
          <w:b w:val="0"/>
          <w:bCs/>
          <w:color w:val="auto"/>
          <w:sz w:val="24"/>
          <w:szCs w:val="24"/>
          <w:highlight w:val="none"/>
        </w:rPr>
      </w:pPr>
    </w:p>
    <w:p w14:paraId="443A46A1">
      <w:pPr>
        <w:rPr>
          <w:rFonts w:hint="eastAsia" w:ascii="宋体" w:hAnsi="宋体" w:eastAsia="宋体" w:cs="宋体"/>
          <w:b w:val="0"/>
          <w:bCs/>
          <w:color w:val="auto"/>
          <w:sz w:val="24"/>
          <w:szCs w:val="24"/>
          <w:highlight w:val="none"/>
        </w:rPr>
      </w:pPr>
    </w:p>
    <w:p w14:paraId="007F14F9">
      <w:pPr>
        <w:tabs>
          <w:tab w:val="left" w:pos="5176"/>
        </w:tabs>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b/>
      </w:r>
    </w:p>
    <w:p w14:paraId="7E660AC9">
      <w:pPr>
        <w:rPr>
          <w:rFonts w:hint="eastAsia" w:ascii="宋体" w:hAnsi="宋体" w:eastAsia="宋体" w:cs="宋体"/>
          <w:b w:val="0"/>
          <w:bCs/>
          <w:color w:val="auto"/>
          <w:sz w:val="24"/>
          <w:szCs w:val="24"/>
          <w:highlight w:val="none"/>
        </w:rPr>
      </w:pPr>
    </w:p>
    <w:p w14:paraId="117A5163">
      <w:pPr>
        <w:ind w:firstLine="1560" w:firstLineChars="650"/>
        <w:rPr>
          <w:rFonts w:hint="eastAsia" w:ascii="宋体" w:hAnsi="宋体" w:eastAsia="宋体" w:cs="宋体"/>
          <w:b w:val="0"/>
          <w:bCs/>
          <w:color w:val="auto"/>
          <w:sz w:val="24"/>
          <w:szCs w:val="24"/>
          <w:highlight w:val="none"/>
        </w:rPr>
      </w:pPr>
    </w:p>
    <w:p w14:paraId="4E6F6A89">
      <w:pPr>
        <w:ind w:firstLine="1560" w:firstLineChars="650"/>
        <w:rPr>
          <w:rFonts w:hint="eastAsia" w:ascii="宋体" w:hAnsi="宋体" w:eastAsia="宋体" w:cs="宋体"/>
          <w:b w:val="0"/>
          <w:bCs/>
          <w:color w:val="auto"/>
          <w:sz w:val="24"/>
          <w:szCs w:val="24"/>
          <w:highlight w:val="none"/>
        </w:rPr>
      </w:pPr>
    </w:p>
    <w:p w14:paraId="32F5BFF9">
      <w:pPr>
        <w:ind w:firstLine="1560" w:firstLineChars="650"/>
        <w:rPr>
          <w:rFonts w:hint="eastAsia" w:ascii="宋体" w:hAnsi="宋体" w:eastAsia="宋体" w:cs="宋体"/>
          <w:b w:val="0"/>
          <w:bCs/>
          <w:color w:val="auto"/>
          <w:sz w:val="24"/>
          <w:szCs w:val="24"/>
          <w:highlight w:val="none"/>
        </w:rPr>
      </w:pPr>
    </w:p>
    <w:p w14:paraId="4B1A7EF3">
      <w:pPr>
        <w:spacing w:line="360" w:lineRule="auto"/>
        <w:ind w:firstLine="1560" w:firstLineChars="650"/>
        <w:rPr>
          <w:rFonts w:hint="eastAsia" w:ascii="宋体" w:hAnsi="宋体" w:eastAsia="宋体" w:cs="宋体"/>
          <w:b w:val="0"/>
          <w:bCs/>
          <w:color w:val="auto"/>
          <w:sz w:val="24"/>
          <w:szCs w:val="24"/>
          <w:highlight w:val="none"/>
        </w:rPr>
      </w:pPr>
      <w:bookmarkStart w:id="179" w:name="_Toc11831"/>
      <w:bookmarkStart w:id="180" w:name="_Toc32465"/>
      <w:r>
        <w:rPr>
          <w:rFonts w:hint="eastAsia" w:ascii="宋体" w:hAnsi="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（盖章）</w:t>
      </w:r>
      <w:bookmarkEnd w:id="179"/>
      <w:bookmarkEnd w:id="180"/>
      <w:r>
        <w:rPr>
          <w:rFonts w:hint="eastAsia" w:ascii="宋体" w:hAnsi="宋体" w:eastAsia="宋体" w:cs="宋体"/>
          <w:b w:val="0"/>
          <w:bCs/>
          <w:color w:val="auto"/>
          <w:sz w:val="24"/>
          <w:szCs w:val="24"/>
          <w:highlight w:val="none"/>
        </w:rPr>
        <w:t xml:space="preserve">            </w:t>
      </w:r>
    </w:p>
    <w:p w14:paraId="174EC7F0">
      <w:pPr>
        <w:spacing w:line="360" w:lineRule="auto"/>
        <w:ind w:firstLine="1560" w:firstLineChars="650"/>
        <w:rPr>
          <w:rFonts w:hint="eastAsia" w:ascii="宋体" w:hAnsi="宋体" w:eastAsia="宋体" w:cs="宋体"/>
          <w:b w:val="0"/>
          <w:bCs/>
          <w:color w:val="auto"/>
          <w:sz w:val="24"/>
          <w:szCs w:val="24"/>
          <w:highlight w:val="none"/>
        </w:rPr>
      </w:pPr>
      <w:bookmarkStart w:id="181" w:name="_Toc11003"/>
      <w:bookmarkStart w:id="182" w:name="_Toc11842"/>
      <w:r>
        <w:rPr>
          <w:rFonts w:hint="eastAsia" w:ascii="宋体" w:hAnsi="宋体" w:eastAsia="宋体" w:cs="宋体"/>
          <w:b w:val="0"/>
          <w:bCs/>
          <w:color w:val="auto"/>
          <w:sz w:val="24"/>
          <w:szCs w:val="24"/>
          <w:highlight w:val="none"/>
        </w:rPr>
        <w:t>法定代表人或其委托代理人：</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（签字或盖章）</w:t>
      </w:r>
      <w:bookmarkEnd w:id="181"/>
      <w:bookmarkEnd w:id="182"/>
    </w:p>
    <w:p w14:paraId="0C7D1C2C">
      <w:pPr>
        <w:spacing w:line="360" w:lineRule="auto"/>
        <w:ind w:firstLine="2640" w:firstLineChars="11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u w:val="single"/>
        </w:rPr>
        <w:t xml:space="preserve">        </w:t>
      </w:r>
      <w:bookmarkStart w:id="183" w:name="_Toc16410"/>
      <w:bookmarkStart w:id="184" w:name="_Toc17010"/>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月</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日</w:t>
      </w:r>
      <w:bookmarkEnd w:id="183"/>
      <w:bookmarkEnd w:id="184"/>
    </w:p>
    <w:p w14:paraId="76FDF6FA">
      <w:pPr>
        <w:rPr>
          <w:rFonts w:hint="eastAsia"/>
          <w:lang w:val="en-US" w:eastAsia="zh-CN"/>
        </w:rPr>
      </w:pPr>
      <w:r>
        <w:rPr>
          <w:rFonts w:hint="eastAsia"/>
          <w:color w:val="auto"/>
          <w:highlight w:val="none"/>
          <w:lang w:val="en-US" w:eastAsia="zh-CN"/>
        </w:rPr>
        <w:br w:type="page"/>
      </w:r>
    </w:p>
    <w:p w14:paraId="0D3489FE">
      <w:pPr>
        <w:rPr>
          <w:color w:val="auto"/>
          <w:highlight w:val="none"/>
        </w:rPr>
      </w:pPr>
    </w:p>
    <w:p w14:paraId="61F2FBFA">
      <w:pPr>
        <w:spacing w:after="0" w:line="360" w:lineRule="auto"/>
        <w:jc w:val="center"/>
        <w:rPr>
          <w:rFonts w:ascii="宋体"/>
          <w:b w:val="0"/>
          <w:bCs/>
          <w:color w:val="auto"/>
          <w:sz w:val="28"/>
          <w:szCs w:val="28"/>
          <w:highlight w:val="none"/>
        </w:rPr>
      </w:pPr>
      <w:r>
        <w:rPr>
          <w:rFonts w:hint="eastAsia" w:ascii="宋体" w:hAnsi="宋体"/>
          <w:b w:val="0"/>
          <w:bCs/>
          <w:color w:val="auto"/>
          <w:sz w:val="28"/>
          <w:szCs w:val="28"/>
          <w:highlight w:val="none"/>
        </w:rPr>
        <w:t>目</w:t>
      </w:r>
      <w:r>
        <w:rPr>
          <w:rFonts w:ascii="宋体" w:hAnsi="宋体"/>
          <w:b w:val="0"/>
          <w:bCs/>
          <w:color w:val="auto"/>
          <w:sz w:val="28"/>
          <w:szCs w:val="28"/>
          <w:highlight w:val="none"/>
        </w:rPr>
        <w:t xml:space="preserve">  </w:t>
      </w:r>
      <w:r>
        <w:rPr>
          <w:rFonts w:hint="eastAsia" w:ascii="宋体" w:hAnsi="宋体"/>
          <w:b w:val="0"/>
          <w:bCs/>
          <w:color w:val="auto"/>
          <w:sz w:val="28"/>
          <w:szCs w:val="28"/>
          <w:highlight w:val="none"/>
        </w:rPr>
        <w:t>录</w:t>
      </w:r>
    </w:p>
    <w:p w14:paraId="71910F95">
      <w:pPr>
        <w:spacing w:after="0" w:line="360" w:lineRule="auto"/>
        <w:rPr>
          <w:rFonts w:hint="eastAsia" w:ascii="宋体"/>
          <w:b w:val="0"/>
          <w:bCs/>
          <w:color w:val="auto"/>
          <w:sz w:val="24"/>
          <w:szCs w:val="24"/>
          <w:highlight w:val="none"/>
        </w:rPr>
      </w:pPr>
      <w:r>
        <w:rPr>
          <w:rFonts w:hint="eastAsia" w:ascii="宋体"/>
          <w:b w:val="0"/>
          <w:bCs/>
          <w:color w:val="auto"/>
          <w:sz w:val="24"/>
          <w:szCs w:val="24"/>
          <w:highlight w:val="none"/>
        </w:rPr>
        <w:t>一、</w:t>
      </w:r>
      <w:r>
        <w:rPr>
          <w:rFonts w:hint="eastAsia" w:ascii="宋体"/>
          <w:b w:val="0"/>
          <w:bCs/>
          <w:color w:val="auto"/>
          <w:sz w:val="24"/>
          <w:szCs w:val="24"/>
          <w:highlight w:val="none"/>
          <w:lang w:eastAsia="zh-CN"/>
        </w:rPr>
        <w:t>响应函</w:t>
      </w:r>
    </w:p>
    <w:p w14:paraId="12947675">
      <w:pPr>
        <w:spacing w:after="0" w:line="360" w:lineRule="auto"/>
        <w:rPr>
          <w:rFonts w:hint="eastAsia" w:ascii="宋体"/>
          <w:b w:val="0"/>
          <w:bCs/>
          <w:color w:val="auto"/>
          <w:sz w:val="24"/>
          <w:szCs w:val="24"/>
          <w:highlight w:val="none"/>
        </w:rPr>
      </w:pPr>
      <w:r>
        <w:rPr>
          <w:rFonts w:hint="eastAsia" w:ascii="宋体"/>
          <w:b w:val="0"/>
          <w:bCs/>
          <w:color w:val="auto"/>
          <w:sz w:val="24"/>
          <w:szCs w:val="24"/>
          <w:highlight w:val="none"/>
        </w:rPr>
        <w:t>二、法定代表人身份证明或附有法定代表人身份证明的企业法定代表人授权书</w:t>
      </w:r>
    </w:p>
    <w:p w14:paraId="42A33950">
      <w:pPr>
        <w:spacing w:after="0" w:line="360" w:lineRule="auto"/>
        <w:rPr>
          <w:rFonts w:hint="eastAsia" w:ascii="宋体"/>
          <w:b w:val="0"/>
          <w:bCs/>
          <w:color w:val="auto"/>
          <w:sz w:val="24"/>
          <w:szCs w:val="24"/>
          <w:highlight w:val="none"/>
        </w:rPr>
      </w:pPr>
      <w:r>
        <w:rPr>
          <w:rFonts w:hint="eastAsia" w:ascii="宋体"/>
          <w:b w:val="0"/>
          <w:bCs/>
          <w:color w:val="auto"/>
          <w:sz w:val="24"/>
          <w:szCs w:val="24"/>
          <w:highlight w:val="none"/>
        </w:rPr>
        <w:t>三、</w:t>
      </w:r>
      <w:r>
        <w:rPr>
          <w:rFonts w:hint="eastAsia" w:ascii="宋体"/>
          <w:b w:val="0"/>
          <w:bCs/>
          <w:color w:val="auto"/>
          <w:sz w:val="24"/>
          <w:szCs w:val="24"/>
          <w:highlight w:val="none"/>
          <w:lang w:eastAsia="zh-CN"/>
        </w:rPr>
        <w:t>磋商</w:t>
      </w:r>
      <w:r>
        <w:rPr>
          <w:rFonts w:hint="eastAsia" w:ascii="宋体"/>
          <w:b w:val="0"/>
          <w:bCs/>
          <w:color w:val="auto"/>
          <w:sz w:val="24"/>
          <w:szCs w:val="24"/>
          <w:highlight w:val="none"/>
        </w:rPr>
        <w:t>（第一次报价）一览表</w:t>
      </w:r>
    </w:p>
    <w:p w14:paraId="23AA4F46">
      <w:pPr>
        <w:spacing w:after="0" w:line="360" w:lineRule="auto"/>
        <w:rPr>
          <w:rFonts w:hint="eastAsia" w:ascii="宋体"/>
          <w:b w:val="0"/>
          <w:bCs/>
          <w:color w:val="auto"/>
          <w:sz w:val="24"/>
          <w:szCs w:val="24"/>
          <w:highlight w:val="none"/>
        </w:rPr>
      </w:pPr>
      <w:r>
        <w:rPr>
          <w:rFonts w:hint="eastAsia" w:ascii="宋体"/>
          <w:b w:val="0"/>
          <w:bCs/>
          <w:color w:val="auto"/>
          <w:sz w:val="24"/>
          <w:szCs w:val="24"/>
          <w:highlight w:val="none"/>
          <w:lang w:val="en-US" w:eastAsia="zh-CN"/>
        </w:rPr>
        <w:t>四</w:t>
      </w:r>
      <w:r>
        <w:rPr>
          <w:rFonts w:hint="eastAsia" w:ascii="宋体"/>
          <w:b w:val="0"/>
          <w:bCs/>
          <w:color w:val="auto"/>
          <w:sz w:val="24"/>
          <w:szCs w:val="24"/>
          <w:highlight w:val="none"/>
        </w:rPr>
        <w:t>、</w:t>
      </w:r>
      <w:r>
        <w:rPr>
          <w:rFonts w:hint="eastAsia" w:ascii="宋体"/>
          <w:b w:val="0"/>
          <w:bCs/>
          <w:color w:val="auto"/>
          <w:sz w:val="24"/>
          <w:szCs w:val="24"/>
          <w:highlight w:val="none"/>
          <w:lang w:eastAsia="zh-CN"/>
        </w:rPr>
        <w:t>磋商</w:t>
      </w:r>
      <w:r>
        <w:rPr>
          <w:rFonts w:hint="eastAsia" w:ascii="宋体"/>
          <w:b w:val="0"/>
          <w:bCs/>
          <w:color w:val="auto"/>
          <w:sz w:val="24"/>
          <w:szCs w:val="24"/>
          <w:highlight w:val="none"/>
        </w:rPr>
        <w:t>承诺函</w:t>
      </w:r>
    </w:p>
    <w:p w14:paraId="5B96CF73">
      <w:pPr>
        <w:spacing w:after="0" w:line="360" w:lineRule="auto"/>
        <w:rPr>
          <w:rFonts w:hint="eastAsia" w:ascii="宋体"/>
          <w:b w:val="0"/>
          <w:bCs/>
          <w:color w:val="auto"/>
          <w:sz w:val="24"/>
          <w:szCs w:val="24"/>
          <w:highlight w:val="none"/>
        </w:rPr>
      </w:pPr>
      <w:r>
        <w:rPr>
          <w:rFonts w:hint="eastAsia" w:ascii="宋体"/>
          <w:b w:val="0"/>
          <w:bCs/>
          <w:color w:val="auto"/>
          <w:sz w:val="24"/>
          <w:szCs w:val="24"/>
          <w:highlight w:val="none"/>
          <w:lang w:val="en-US" w:eastAsia="zh-CN"/>
        </w:rPr>
        <w:t>五</w:t>
      </w:r>
      <w:r>
        <w:rPr>
          <w:rFonts w:hint="eastAsia" w:ascii="宋体"/>
          <w:b w:val="0"/>
          <w:bCs/>
          <w:color w:val="auto"/>
          <w:sz w:val="24"/>
          <w:szCs w:val="24"/>
          <w:highlight w:val="none"/>
        </w:rPr>
        <w:t>、资格证明材料</w:t>
      </w:r>
    </w:p>
    <w:p w14:paraId="0EB317D6">
      <w:pPr>
        <w:spacing w:after="0" w:line="360" w:lineRule="auto"/>
        <w:rPr>
          <w:rFonts w:hint="eastAsia" w:ascii="宋体"/>
          <w:b w:val="0"/>
          <w:bCs/>
          <w:color w:val="auto"/>
          <w:sz w:val="24"/>
          <w:szCs w:val="24"/>
          <w:highlight w:val="none"/>
        </w:rPr>
      </w:pPr>
      <w:r>
        <w:rPr>
          <w:rFonts w:hint="eastAsia" w:ascii="宋体"/>
          <w:b w:val="0"/>
          <w:bCs/>
          <w:color w:val="auto"/>
          <w:sz w:val="24"/>
          <w:szCs w:val="24"/>
          <w:highlight w:val="none"/>
          <w:lang w:val="en-US" w:eastAsia="zh-CN"/>
        </w:rPr>
        <w:t>六</w:t>
      </w:r>
      <w:r>
        <w:rPr>
          <w:rFonts w:hint="eastAsia" w:ascii="宋体"/>
          <w:b w:val="0"/>
          <w:bCs/>
          <w:color w:val="auto"/>
          <w:sz w:val="24"/>
          <w:szCs w:val="24"/>
          <w:highlight w:val="none"/>
        </w:rPr>
        <w:t>、商务部分资料</w:t>
      </w:r>
    </w:p>
    <w:p w14:paraId="79B83F5D">
      <w:pPr>
        <w:spacing w:after="0" w:line="360" w:lineRule="auto"/>
        <w:rPr>
          <w:rFonts w:hint="eastAsia" w:ascii="宋体"/>
          <w:b w:val="0"/>
          <w:bCs/>
          <w:color w:val="auto"/>
          <w:sz w:val="24"/>
          <w:szCs w:val="24"/>
          <w:highlight w:val="none"/>
        </w:rPr>
      </w:pPr>
      <w:r>
        <w:rPr>
          <w:rFonts w:hint="eastAsia" w:ascii="宋体"/>
          <w:b w:val="0"/>
          <w:bCs/>
          <w:color w:val="auto"/>
          <w:sz w:val="24"/>
          <w:szCs w:val="24"/>
          <w:highlight w:val="none"/>
          <w:lang w:val="en-US" w:eastAsia="zh-CN"/>
        </w:rPr>
        <w:t>七</w:t>
      </w:r>
      <w:r>
        <w:rPr>
          <w:rFonts w:hint="eastAsia" w:ascii="宋体"/>
          <w:b w:val="0"/>
          <w:bCs/>
          <w:color w:val="auto"/>
          <w:sz w:val="24"/>
          <w:szCs w:val="24"/>
          <w:highlight w:val="none"/>
        </w:rPr>
        <w:t>、技术部分资料</w:t>
      </w:r>
    </w:p>
    <w:p w14:paraId="51F9B72A">
      <w:pPr>
        <w:spacing w:after="0" w:line="360" w:lineRule="auto"/>
        <w:rPr>
          <w:rFonts w:hint="eastAsia" w:ascii="宋体"/>
          <w:b w:val="0"/>
          <w:bCs/>
          <w:color w:val="auto"/>
          <w:sz w:val="24"/>
          <w:szCs w:val="24"/>
          <w:highlight w:val="none"/>
        </w:rPr>
      </w:pPr>
      <w:r>
        <w:rPr>
          <w:rFonts w:hint="eastAsia" w:ascii="宋体"/>
          <w:b w:val="0"/>
          <w:bCs/>
          <w:color w:val="auto"/>
          <w:sz w:val="24"/>
          <w:szCs w:val="24"/>
          <w:highlight w:val="none"/>
          <w:lang w:val="en-US" w:eastAsia="zh-CN"/>
        </w:rPr>
        <w:t>八</w:t>
      </w:r>
      <w:r>
        <w:rPr>
          <w:rFonts w:hint="eastAsia" w:ascii="宋体"/>
          <w:b w:val="0"/>
          <w:bCs/>
          <w:color w:val="auto"/>
          <w:sz w:val="24"/>
          <w:szCs w:val="24"/>
          <w:highlight w:val="none"/>
        </w:rPr>
        <w:t>、其他资料</w:t>
      </w:r>
    </w:p>
    <w:p w14:paraId="11837DFD">
      <w:pPr>
        <w:spacing w:after="0" w:line="360" w:lineRule="auto"/>
        <w:rPr>
          <w:rFonts w:hint="eastAsia" w:ascii="宋体"/>
          <w:b/>
          <w:color w:val="auto"/>
          <w:sz w:val="24"/>
          <w:szCs w:val="24"/>
          <w:highlight w:val="none"/>
        </w:rPr>
      </w:pPr>
    </w:p>
    <w:p w14:paraId="036B92E9">
      <w:pPr>
        <w:spacing w:after="0" w:line="360" w:lineRule="auto"/>
        <w:rPr>
          <w:rFonts w:ascii="宋体"/>
          <w:b/>
          <w:color w:val="auto"/>
          <w:sz w:val="24"/>
          <w:szCs w:val="24"/>
          <w:highlight w:val="none"/>
        </w:rPr>
      </w:pPr>
    </w:p>
    <w:p w14:paraId="04B4F11C">
      <w:pPr>
        <w:spacing w:after="0" w:line="360" w:lineRule="auto"/>
        <w:rPr>
          <w:rFonts w:ascii="宋体"/>
          <w:b/>
          <w:color w:val="auto"/>
          <w:sz w:val="24"/>
          <w:szCs w:val="24"/>
          <w:highlight w:val="none"/>
        </w:rPr>
      </w:pPr>
    </w:p>
    <w:p w14:paraId="6C55EDA5">
      <w:pPr>
        <w:spacing w:after="0" w:line="360" w:lineRule="auto"/>
        <w:rPr>
          <w:rFonts w:ascii="宋体"/>
          <w:b/>
          <w:color w:val="auto"/>
          <w:sz w:val="24"/>
          <w:szCs w:val="24"/>
          <w:highlight w:val="none"/>
        </w:rPr>
      </w:pPr>
    </w:p>
    <w:p w14:paraId="28CD188A">
      <w:pPr>
        <w:spacing w:after="0" w:line="360" w:lineRule="auto"/>
        <w:rPr>
          <w:rFonts w:ascii="宋体"/>
          <w:b/>
          <w:color w:val="auto"/>
          <w:sz w:val="24"/>
          <w:szCs w:val="24"/>
          <w:highlight w:val="none"/>
        </w:rPr>
      </w:pPr>
    </w:p>
    <w:p w14:paraId="1D6C5F86">
      <w:pPr>
        <w:spacing w:after="0" w:line="360" w:lineRule="auto"/>
        <w:rPr>
          <w:rFonts w:ascii="宋体"/>
          <w:b/>
          <w:color w:val="auto"/>
          <w:sz w:val="24"/>
          <w:szCs w:val="24"/>
          <w:highlight w:val="none"/>
        </w:rPr>
      </w:pPr>
    </w:p>
    <w:p w14:paraId="354C249B">
      <w:pPr>
        <w:spacing w:after="0" w:line="360" w:lineRule="auto"/>
        <w:rPr>
          <w:rFonts w:ascii="宋体"/>
          <w:b/>
          <w:color w:val="auto"/>
          <w:sz w:val="24"/>
          <w:szCs w:val="24"/>
          <w:highlight w:val="none"/>
        </w:rPr>
      </w:pPr>
    </w:p>
    <w:p w14:paraId="3E0A9269">
      <w:pPr>
        <w:spacing w:after="0" w:line="360" w:lineRule="auto"/>
        <w:rPr>
          <w:rFonts w:ascii="宋体"/>
          <w:b/>
          <w:color w:val="auto"/>
          <w:sz w:val="24"/>
          <w:szCs w:val="24"/>
          <w:highlight w:val="none"/>
        </w:rPr>
      </w:pPr>
    </w:p>
    <w:p w14:paraId="3787CBC0">
      <w:pPr>
        <w:pStyle w:val="4"/>
        <w:spacing w:line="360" w:lineRule="auto"/>
        <w:jc w:val="center"/>
        <w:rPr>
          <w:rFonts w:hint="eastAsia" w:ascii="宋体" w:hAnsi="宋体" w:eastAsia="宋体" w:cs="宋体"/>
          <w:sz w:val="28"/>
          <w:szCs w:val="28"/>
          <w:lang w:eastAsia="zh-CN"/>
        </w:rPr>
      </w:pPr>
      <w:r>
        <w:rPr>
          <w:rFonts w:ascii="宋体"/>
          <w:b/>
          <w:color w:val="auto"/>
          <w:sz w:val="24"/>
          <w:szCs w:val="24"/>
          <w:highlight w:val="none"/>
        </w:rPr>
        <w:br w:type="page"/>
      </w:r>
      <w:bookmarkStart w:id="185" w:name="_Toc4922"/>
      <w:bookmarkStart w:id="186" w:name="_Toc12330"/>
      <w:bookmarkStart w:id="187" w:name="_Toc8840"/>
      <w:bookmarkStart w:id="188" w:name="_Toc22098_WPSOffice_Level1"/>
      <w:bookmarkStart w:id="189" w:name="_Toc4448_WPSOffice_Level1"/>
      <w:r>
        <w:rPr>
          <w:rFonts w:hint="eastAsia" w:ascii="宋体" w:hAnsi="宋体" w:cs="宋体"/>
          <w:bCs w:val="0"/>
          <w:sz w:val="32"/>
        </w:rPr>
        <w:t>一、</w:t>
      </w:r>
      <w:bookmarkEnd w:id="185"/>
      <w:bookmarkEnd w:id="186"/>
      <w:bookmarkEnd w:id="187"/>
      <w:bookmarkEnd w:id="188"/>
      <w:bookmarkEnd w:id="189"/>
      <w:r>
        <w:rPr>
          <w:rFonts w:hint="eastAsia" w:ascii="宋体" w:hAnsi="宋体" w:cs="宋体"/>
          <w:bCs w:val="0"/>
          <w:sz w:val="32"/>
          <w:lang w:eastAsia="zh-CN"/>
        </w:rPr>
        <w:t>响应函</w:t>
      </w:r>
    </w:p>
    <w:p w14:paraId="10D3198C">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（采购人）         </w:t>
      </w:r>
    </w:p>
    <w:p w14:paraId="13DC4C47">
      <w:pPr>
        <w:spacing w:line="360" w:lineRule="auto"/>
        <w:ind w:firstLine="480"/>
        <w:rPr>
          <w:rFonts w:ascii="宋体" w:hAnsi="宋体" w:cs="宋体"/>
          <w:sz w:val="24"/>
        </w:rPr>
      </w:pPr>
      <w:r>
        <w:rPr>
          <w:rFonts w:hint="eastAsia" w:ascii="宋体" w:hAnsi="宋体" w:cs="宋体"/>
          <w:sz w:val="24"/>
        </w:rPr>
        <w:t>我方已仔细阅读并研究了</w:t>
      </w:r>
      <w:r>
        <w:rPr>
          <w:rFonts w:hint="eastAsia" w:ascii="宋体" w:hAnsi="宋体" w:cs="宋体"/>
          <w:sz w:val="24"/>
          <w:u w:val="single"/>
          <w:lang w:val="en-US" w:eastAsia="zh-CN"/>
        </w:rPr>
        <w:t xml:space="preserve">    </w:t>
      </w:r>
      <w:r>
        <w:rPr>
          <w:rFonts w:hint="eastAsia" w:ascii="宋体" w:hAnsi="宋体" w:cs="宋体"/>
          <w:sz w:val="24"/>
          <w:u w:val="single"/>
        </w:rPr>
        <w:t>（项目名称）</w:t>
      </w:r>
      <w:r>
        <w:rPr>
          <w:rFonts w:hint="eastAsia" w:ascii="宋体" w:hAnsi="宋体" w:cs="宋体"/>
          <w:sz w:val="24"/>
          <w:u w:val="single"/>
          <w:lang w:val="en-US" w:eastAsia="zh-CN"/>
        </w:rPr>
        <w:t xml:space="preserve">   </w:t>
      </w:r>
      <w:r>
        <w:rPr>
          <w:rFonts w:hint="eastAsia" w:ascii="宋体" w:hAnsi="宋体" w:cs="宋体"/>
          <w:sz w:val="24"/>
        </w:rPr>
        <w:t>磋商文件的全部内容（包含本项目的所有补遗、澄清和变更资料），我们完全熟悉其中的要求、条款和条件，愿意以</w:t>
      </w:r>
      <w:r>
        <w:rPr>
          <w:rFonts w:hint="eastAsia" w:ascii="宋体" w:hAnsi="宋体" w:eastAsia="宋体" w:cs="宋体"/>
          <w:color w:val="auto"/>
          <w:sz w:val="24"/>
          <w:highlight w:val="none"/>
          <w:u w:val="single"/>
        </w:rPr>
        <w:t>（大写）</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元每年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（小写</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 xml:space="preserve">  元/年</w:t>
      </w:r>
      <w:r>
        <w:rPr>
          <w:rFonts w:hint="eastAsia" w:ascii="宋体" w:hAnsi="宋体" w:eastAsia="宋体" w:cs="宋体"/>
          <w:color w:val="auto"/>
          <w:sz w:val="24"/>
          <w:highlight w:val="none"/>
          <w:u w:val="single"/>
        </w:rPr>
        <w:t>）</w:t>
      </w:r>
      <w:r>
        <w:rPr>
          <w:rFonts w:hint="eastAsia" w:ascii="宋体" w:hAnsi="宋体" w:cs="宋体"/>
          <w:sz w:val="24"/>
        </w:rPr>
        <w:t>的磋商报价，服务期限</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完全响应采购需求中要求的</w:t>
      </w:r>
      <w:r>
        <w:rPr>
          <w:rFonts w:hint="eastAsia" w:ascii="宋体" w:hAnsi="宋体" w:cs="宋体"/>
          <w:sz w:val="24"/>
          <w:lang w:val="en-US" w:eastAsia="zh-CN"/>
        </w:rPr>
        <w:t>所有</w:t>
      </w:r>
      <w:r>
        <w:rPr>
          <w:rFonts w:hint="eastAsia" w:ascii="宋体" w:hAnsi="宋体" w:cs="宋体"/>
          <w:sz w:val="24"/>
          <w:lang w:eastAsia="zh-CN"/>
        </w:rPr>
        <w:t>内容，</w:t>
      </w:r>
      <w:r>
        <w:rPr>
          <w:rFonts w:hint="eastAsia" w:ascii="宋体" w:hAnsi="宋体" w:cs="宋体"/>
          <w:sz w:val="24"/>
        </w:rPr>
        <w:t xml:space="preserve">按合同约定完成全部工作，同时做出以下声明： </w:t>
      </w:r>
    </w:p>
    <w:p w14:paraId="47CDA409">
      <w:pPr>
        <w:spacing w:line="360" w:lineRule="auto"/>
        <w:ind w:firstLine="480"/>
        <w:rPr>
          <w:rFonts w:ascii="宋体" w:hAnsi="宋体" w:cs="宋体"/>
          <w:sz w:val="24"/>
        </w:rPr>
      </w:pPr>
      <w:r>
        <w:rPr>
          <w:rFonts w:hint="eastAsia" w:ascii="宋体" w:hAnsi="宋体" w:cs="宋体"/>
          <w:sz w:val="24"/>
        </w:rPr>
        <w:t xml:space="preserve">1.我方按磋商文件的要求编制响应文件。 </w:t>
      </w:r>
    </w:p>
    <w:p w14:paraId="43A227F8">
      <w:pPr>
        <w:spacing w:line="360" w:lineRule="auto"/>
        <w:ind w:firstLine="480"/>
        <w:rPr>
          <w:rFonts w:ascii="宋体" w:hAnsi="宋体" w:cs="宋体"/>
          <w:sz w:val="24"/>
        </w:rPr>
      </w:pPr>
      <w:r>
        <w:rPr>
          <w:rFonts w:hint="eastAsia" w:ascii="宋体" w:hAnsi="宋体" w:cs="宋体"/>
          <w:sz w:val="24"/>
        </w:rPr>
        <w:t>2.我方</w:t>
      </w:r>
      <w:r>
        <w:rPr>
          <w:rFonts w:hint="eastAsia" w:ascii="宋体" w:hAnsi="宋体" w:cs="宋体"/>
          <w:sz w:val="24"/>
          <w:lang w:eastAsia="zh-CN"/>
        </w:rPr>
        <w:t>磋商</w:t>
      </w:r>
      <w:r>
        <w:rPr>
          <w:rFonts w:hint="eastAsia" w:ascii="宋体" w:hAnsi="宋体" w:cs="宋体"/>
          <w:sz w:val="24"/>
        </w:rPr>
        <w:t xml:space="preserve">有效期为递交响应文件截止之日起 </w:t>
      </w:r>
      <w:r>
        <w:rPr>
          <w:rFonts w:hint="eastAsia" w:ascii="宋体" w:hAnsi="宋体" w:cs="宋体"/>
          <w:sz w:val="24"/>
          <w:u w:val="single"/>
        </w:rPr>
        <w:t>60</w:t>
      </w:r>
      <w:r>
        <w:rPr>
          <w:rFonts w:hint="eastAsia" w:ascii="宋体" w:hAnsi="宋体" w:cs="宋体"/>
          <w:sz w:val="24"/>
        </w:rPr>
        <w:t xml:space="preserve"> 日历天。 </w:t>
      </w:r>
    </w:p>
    <w:p w14:paraId="15C5DFD5">
      <w:pPr>
        <w:spacing w:line="360" w:lineRule="auto"/>
        <w:ind w:firstLine="480"/>
        <w:rPr>
          <w:rFonts w:ascii="宋体" w:hAnsi="宋体" w:cs="宋体"/>
          <w:sz w:val="24"/>
        </w:rPr>
      </w:pPr>
      <w:r>
        <w:rPr>
          <w:rFonts w:hint="eastAsia" w:ascii="宋体" w:hAnsi="宋体" w:cs="宋体"/>
          <w:sz w:val="24"/>
        </w:rPr>
        <w:t xml:space="preserve">3.我方承诺与采购人聘请的为此项目提供咨询服务的公司及任何附属机构均无关联，我方不是采购人的附属机构。 </w:t>
      </w:r>
    </w:p>
    <w:p w14:paraId="5F3A432D">
      <w:pPr>
        <w:spacing w:line="360" w:lineRule="auto"/>
        <w:ind w:firstLine="480"/>
        <w:rPr>
          <w:rFonts w:ascii="宋体" w:hAnsi="宋体" w:cs="宋体"/>
          <w:sz w:val="24"/>
        </w:rPr>
      </w:pPr>
      <w:r>
        <w:rPr>
          <w:rFonts w:hint="eastAsia" w:ascii="宋体" w:hAnsi="宋体" w:cs="宋体"/>
          <w:sz w:val="24"/>
        </w:rPr>
        <w:t>4.我方将</w:t>
      </w:r>
      <w:r>
        <w:rPr>
          <w:rFonts w:hint="eastAsia" w:ascii="宋体" w:hAnsi="宋体" w:cs="宋体"/>
          <w:sz w:val="24"/>
          <w:lang w:eastAsia="zh-CN"/>
        </w:rPr>
        <w:t>按照</w:t>
      </w:r>
      <w:r>
        <w:rPr>
          <w:rFonts w:hint="eastAsia" w:ascii="宋体" w:hAnsi="宋体" w:cs="宋体"/>
          <w:sz w:val="24"/>
        </w:rPr>
        <w:t xml:space="preserve">磋商文件的规定履行合同责任和义务。 </w:t>
      </w:r>
    </w:p>
    <w:p w14:paraId="683F4952">
      <w:pPr>
        <w:spacing w:line="360" w:lineRule="auto"/>
        <w:ind w:firstLine="480"/>
        <w:rPr>
          <w:rFonts w:ascii="宋体" w:hAnsi="宋体" w:cs="宋体"/>
          <w:sz w:val="24"/>
        </w:rPr>
      </w:pPr>
      <w:r>
        <w:rPr>
          <w:rFonts w:hint="eastAsia" w:ascii="宋体" w:hAnsi="宋体" w:cs="宋体"/>
          <w:sz w:val="24"/>
        </w:rPr>
        <w:t xml:space="preserve">5.我方同意提供贵方可能要求的与其磋商有关的一切数据或资料。 </w:t>
      </w:r>
    </w:p>
    <w:p w14:paraId="3A023888">
      <w:pPr>
        <w:spacing w:line="360" w:lineRule="auto"/>
        <w:ind w:firstLine="480"/>
        <w:rPr>
          <w:rFonts w:ascii="宋体" w:hAnsi="宋体" w:cs="宋体"/>
          <w:sz w:val="24"/>
        </w:rPr>
      </w:pPr>
      <w:r>
        <w:rPr>
          <w:rFonts w:hint="eastAsia" w:ascii="宋体" w:hAnsi="宋体" w:cs="宋体"/>
          <w:sz w:val="24"/>
        </w:rPr>
        <w:t>6.我方完全理解贵方不一定接受最</w:t>
      </w:r>
      <w:r>
        <w:rPr>
          <w:rFonts w:hint="eastAsia" w:ascii="宋体" w:hAnsi="宋体" w:cs="宋体"/>
          <w:sz w:val="24"/>
          <w:lang w:val="en-US" w:eastAsia="zh-CN"/>
        </w:rPr>
        <w:t>高</w:t>
      </w:r>
      <w:r>
        <w:rPr>
          <w:rFonts w:hint="eastAsia" w:ascii="宋体" w:hAnsi="宋体" w:cs="宋体"/>
          <w:sz w:val="24"/>
        </w:rPr>
        <w:t xml:space="preserve">价的响应或收到的任何响应。 </w:t>
      </w:r>
    </w:p>
    <w:p w14:paraId="30E9E991">
      <w:pPr>
        <w:spacing w:line="360" w:lineRule="auto"/>
        <w:ind w:firstLine="480"/>
        <w:rPr>
          <w:rFonts w:ascii="宋体" w:hAnsi="宋体" w:cs="宋体"/>
          <w:sz w:val="24"/>
        </w:rPr>
      </w:pPr>
      <w:r>
        <w:rPr>
          <w:rFonts w:hint="eastAsia" w:ascii="宋体" w:hAnsi="宋体" w:cs="宋体"/>
          <w:sz w:val="24"/>
        </w:rPr>
        <w:t xml:space="preserve">7.我方承诺不泄露磋商活动中获取的项目信息、商业秘密。 </w:t>
      </w:r>
    </w:p>
    <w:p w14:paraId="148601FD">
      <w:pPr>
        <w:spacing w:line="360" w:lineRule="auto"/>
        <w:ind w:firstLine="480"/>
        <w:rPr>
          <w:rFonts w:ascii="宋体" w:hAnsi="宋体" w:cs="宋体"/>
          <w:sz w:val="24"/>
        </w:rPr>
      </w:pPr>
      <w:r>
        <w:rPr>
          <w:rFonts w:hint="eastAsia" w:ascii="宋体" w:hAnsi="宋体" w:cs="宋体"/>
          <w:sz w:val="24"/>
        </w:rPr>
        <w:t>8.我方在此声明，所递交的响应文件及有关资料内容完整、真实和准确完全响应磋商文件实质性要求，且不存在第二章“供应商须知”总则中第 2.2 项规定的任何一种情形。</w:t>
      </w:r>
    </w:p>
    <w:p w14:paraId="00541B57">
      <w:pPr>
        <w:spacing w:line="360" w:lineRule="auto"/>
        <w:ind w:firstLine="480"/>
        <w:rPr>
          <w:rFonts w:ascii="宋体" w:hAnsi="宋体" w:cs="宋体"/>
          <w:sz w:val="24"/>
        </w:rPr>
      </w:pPr>
    </w:p>
    <w:p w14:paraId="31E78AE7">
      <w:pPr>
        <w:spacing w:line="360" w:lineRule="auto"/>
        <w:ind w:firstLine="607" w:firstLineChars="253"/>
        <w:rPr>
          <w:rFonts w:ascii="宋体" w:hAnsi="宋体" w:cs="宋体"/>
          <w:sz w:val="24"/>
        </w:rPr>
      </w:pPr>
      <w:r>
        <w:rPr>
          <w:rFonts w:hint="eastAsia" w:ascii="宋体" w:hAnsi="宋体" w:cs="宋体"/>
          <w:sz w:val="24"/>
        </w:rPr>
        <w:t xml:space="preserve">  </w:t>
      </w:r>
    </w:p>
    <w:p w14:paraId="41A0C73A">
      <w:pPr>
        <w:spacing w:line="360" w:lineRule="auto"/>
        <w:ind w:firstLine="688" w:firstLineChars="287"/>
        <w:rPr>
          <w:rFonts w:ascii="宋体" w:hAnsi="宋体" w:cs="宋体"/>
          <w:kern w:val="0"/>
          <w:sz w:val="24"/>
        </w:rPr>
      </w:pPr>
    </w:p>
    <w:p w14:paraId="00095081">
      <w:pPr>
        <w:spacing w:line="360" w:lineRule="auto"/>
        <w:ind w:firstLine="4320" w:firstLineChars="1800"/>
        <w:rPr>
          <w:rFonts w:ascii="宋体" w:hAnsi="宋体" w:cs="宋体"/>
          <w:kern w:val="0"/>
          <w:sz w:val="24"/>
        </w:rPr>
      </w:pPr>
      <w:r>
        <w:rPr>
          <w:rFonts w:hint="eastAsia" w:ascii="宋体" w:hAnsi="宋体" w:cs="宋体"/>
          <w:kern w:val="0"/>
          <w:sz w:val="24"/>
        </w:rPr>
        <w:t>供应商名称：（盖章）</w:t>
      </w:r>
    </w:p>
    <w:p w14:paraId="3A2AA1E7">
      <w:pPr>
        <w:spacing w:line="360" w:lineRule="auto"/>
        <w:ind w:firstLine="4320" w:firstLineChars="1800"/>
        <w:rPr>
          <w:rFonts w:ascii="宋体" w:hAnsi="宋体" w:cs="宋体"/>
          <w:kern w:val="0"/>
          <w:sz w:val="24"/>
        </w:rPr>
      </w:pPr>
      <w:r>
        <w:rPr>
          <w:rFonts w:hint="eastAsia" w:ascii="宋体" w:hAnsi="宋体" w:cs="宋体"/>
          <w:sz w:val="24"/>
        </w:rPr>
        <w:t>法定代表人或其委托代理人：（签字或盖章）</w:t>
      </w:r>
      <w:r>
        <w:rPr>
          <w:rFonts w:hint="eastAsia" w:ascii="宋体" w:hAnsi="宋体" w:cs="宋体"/>
          <w:kern w:val="0"/>
          <w:sz w:val="24"/>
        </w:rPr>
        <w:t xml:space="preserve">                  </w:t>
      </w:r>
    </w:p>
    <w:p w14:paraId="21A098FF">
      <w:pPr>
        <w:pStyle w:val="73"/>
        <w:spacing w:line="360" w:lineRule="auto"/>
        <w:ind w:firstLine="5520" w:firstLineChars="2300"/>
        <w:rPr>
          <w:rFonts w:ascii="宋体" w:hAnsi="宋体" w:cs="宋体"/>
        </w:rPr>
      </w:pPr>
      <w:r>
        <w:rPr>
          <w:rFonts w:hint="eastAsia" w:ascii="宋体" w:hAnsi="宋体" w:cs="宋体"/>
          <w:sz w:val="24"/>
        </w:rPr>
        <w:t>年     月    日</w:t>
      </w:r>
    </w:p>
    <w:p w14:paraId="3E0ECDCC">
      <w:pPr>
        <w:pStyle w:val="73"/>
        <w:spacing w:line="360" w:lineRule="auto"/>
        <w:ind w:firstLine="4830" w:firstLineChars="2300"/>
        <w:rPr>
          <w:rFonts w:hint="eastAsia" w:ascii="宋体" w:hAnsi="宋体" w:eastAsia="宋体" w:cs="宋体"/>
          <w:color w:val="auto"/>
          <w:highlight w:val="none"/>
        </w:rPr>
      </w:pPr>
    </w:p>
    <w:p w14:paraId="61D3E0B7">
      <w:pPr>
        <w:pStyle w:val="73"/>
        <w:spacing w:line="360" w:lineRule="auto"/>
        <w:ind w:firstLine="840" w:firstLineChars="400"/>
        <w:rPr>
          <w:color w:val="auto"/>
          <w:highlight w:val="none"/>
        </w:rPr>
      </w:pPr>
    </w:p>
    <w:p w14:paraId="3D4B0970">
      <w:pPr>
        <w:rPr>
          <w:color w:val="auto"/>
          <w:highlight w:val="none"/>
        </w:rPr>
      </w:pPr>
      <w:r>
        <w:rPr>
          <w:color w:val="auto"/>
          <w:highlight w:val="none"/>
        </w:rPr>
        <w:br w:type="page"/>
      </w:r>
    </w:p>
    <w:p w14:paraId="16BFC619">
      <w:pPr>
        <w:spacing w:line="360" w:lineRule="auto"/>
        <w:ind w:firstLine="321" w:firstLineChars="100"/>
        <w:outlineLvl w:val="1"/>
        <w:rPr>
          <w:rFonts w:ascii="宋体" w:hAnsi="宋体" w:cs="宋体"/>
          <w:b/>
          <w:sz w:val="32"/>
          <w:szCs w:val="32"/>
        </w:rPr>
      </w:pPr>
      <w:r>
        <w:rPr>
          <w:rFonts w:hint="eastAsia" w:ascii="宋体" w:hAnsi="宋体" w:cs="宋体"/>
          <w:b/>
          <w:sz w:val="32"/>
          <w:szCs w:val="32"/>
        </w:rPr>
        <w:t>二、法定代表人身份证明或附有法定代表人身份证明的企业</w:t>
      </w:r>
    </w:p>
    <w:p w14:paraId="002CF236">
      <w:pPr>
        <w:spacing w:line="360" w:lineRule="auto"/>
        <w:jc w:val="center"/>
        <w:rPr>
          <w:rFonts w:ascii="宋体" w:hAnsi="宋体" w:cs="宋体"/>
          <w:b/>
          <w:sz w:val="32"/>
          <w:szCs w:val="32"/>
        </w:rPr>
      </w:pPr>
      <w:bookmarkStart w:id="190" w:name="_Toc4427"/>
      <w:r>
        <w:rPr>
          <w:rFonts w:hint="eastAsia" w:ascii="宋体" w:hAnsi="宋体" w:cs="宋体"/>
          <w:b/>
          <w:sz w:val="32"/>
          <w:szCs w:val="32"/>
        </w:rPr>
        <w:t>法定代表人授权书</w:t>
      </w:r>
      <w:bookmarkEnd w:id="190"/>
    </w:p>
    <w:p w14:paraId="0FBC4A31">
      <w:pPr>
        <w:spacing w:line="360" w:lineRule="auto"/>
        <w:jc w:val="center"/>
        <w:rPr>
          <w:rFonts w:ascii="宋体" w:hAnsi="宋体" w:cs="宋体"/>
          <w:b/>
          <w:bCs/>
          <w:sz w:val="28"/>
          <w:szCs w:val="28"/>
        </w:rPr>
      </w:pPr>
      <w:bookmarkStart w:id="191" w:name="_Toc6838"/>
      <w:r>
        <w:rPr>
          <w:rFonts w:hint="eastAsia" w:ascii="宋体" w:hAnsi="宋体" w:cs="宋体"/>
          <w:b/>
          <w:bCs/>
          <w:sz w:val="28"/>
          <w:szCs w:val="28"/>
        </w:rPr>
        <w:t>1.法定代表人身份证明</w:t>
      </w:r>
      <w:bookmarkEnd w:id="191"/>
    </w:p>
    <w:p w14:paraId="30F874A8">
      <w:pPr>
        <w:spacing w:line="360" w:lineRule="auto"/>
        <w:ind w:left="718" w:leftChars="342"/>
        <w:rPr>
          <w:rFonts w:ascii="宋体" w:hAnsi="宋体" w:cs="宋体"/>
          <w:sz w:val="24"/>
        </w:rPr>
      </w:pPr>
    </w:p>
    <w:p w14:paraId="65CCA48D">
      <w:pPr>
        <w:spacing w:line="360" w:lineRule="auto"/>
        <w:ind w:left="718" w:leftChars="342"/>
        <w:rPr>
          <w:rFonts w:ascii="宋体" w:hAnsi="宋体" w:cs="宋体"/>
          <w:sz w:val="24"/>
          <w:u w:val="single"/>
        </w:rPr>
      </w:pPr>
      <w:r>
        <w:rPr>
          <w:rFonts w:hint="eastAsia" w:ascii="宋体" w:hAnsi="宋体" w:cs="宋体"/>
          <w:sz w:val="24"/>
        </w:rPr>
        <w:t>供应商名称：</w:t>
      </w:r>
      <w:r>
        <w:rPr>
          <w:rFonts w:hint="eastAsia" w:ascii="宋体" w:hAnsi="宋体" w:cs="宋体"/>
          <w:sz w:val="24"/>
          <w:u w:val="single"/>
        </w:rPr>
        <w:t xml:space="preserve">                                 </w:t>
      </w:r>
    </w:p>
    <w:p w14:paraId="08B84332">
      <w:pPr>
        <w:spacing w:line="360" w:lineRule="auto"/>
        <w:ind w:left="718" w:leftChars="342"/>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p>
    <w:p w14:paraId="3D3B1EBC">
      <w:pPr>
        <w:spacing w:line="360" w:lineRule="auto"/>
        <w:ind w:left="718" w:leftChars="342"/>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057EE5FC">
      <w:pPr>
        <w:spacing w:line="360" w:lineRule="auto"/>
        <w:ind w:left="718" w:leftChars="342"/>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F6D116A">
      <w:pPr>
        <w:spacing w:line="360" w:lineRule="auto"/>
        <w:ind w:left="718" w:leftChars="342"/>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14:paraId="07A4C1DD">
      <w:pPr>
        <w:spacing w:line="360" w:lineRule="auto"/>
        <w:ind w:left="718" w:leftChars="342"/>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身份证号：</w:t>
      </w:r>
      <w:r>
        <w:rPr>
          <w:rFonts w:hint="eastAsia" w:ascii="宋体" w:hAnsi="宋体" w:cs="宋体"/>
          <w:sz w:val="24"/>
          <w:u w:val="single"/>
        </w:rPr>
        <w:t xml:space="preserve">               </w:t>
      </w:r>
    </w:p>
    <w:p w14:paraId="7F6C4B7D">
      <w:pPr>
        <w:spacing w:line="360" w:lineRule="auto"/>
        <w:ind w:left="718" w:leftChars="342"/>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（供应商名称）的法定代表人。</w:t>
      </w:r>
    </w:p>
    <w:p w14:paraId="02E9AC99">
      <w:pPr>
        <w:spacing w:line="360" w:lineRule="auto"/>
        <w:ind w:left="718" w:leftChars="342" w:firstLine="240" w:firstLineChars="100"/>
        <w:rPr>
          <w:rFonts w:ascii="宋体" w:hAnsi="宋体" w:cs="宋体"/>
          <w:sz w:val="24"/>
        </w:rPr>
      </w:pPr>
      <w:r>
        <w:rPr>
          <w:rFonts w:hint="eastAsia" w:ascii="宋体" w:hAnsi="宋体" w:cs="宋体"/>
          <w:sz w:val="24"/>
        </w:rPr>
        <w:t>特此证明。</w:t>
      </w:r>
    </w:p>
    <w:p w14:paraId="0BF882AB">
      <w:pPr>
        <w:spacing w:line="360" w:lineRule="auto"/>
        <w:ind w:firstLine="2640" w:firstLineChars="1100"/>
        <w:rPr>
          <w:rFonts w:ascii="宋体" w:hAnsi="宋体" w:cs="宋体"/>
          <w:sz w:val="24"/>
        </w:rPr>
      </w:pPr>
    </w:p>
    <w:p w14:paraId="3A09BC31">
      <w:pPr>
        <w:spacing w:line="360" w:lineRule="auto"/>
        <w:ind w:firstLine="2640" w:firstLineChars="1100"/>
        <w:rPr>
          <w:rFonts w:ascii="宋体" w:hAnsi="宋体" w:cs="宋体"/>
          <w:sz w:val="24"/>
        </w:rPr>
      </w:pPr>
    </w:p>
    <w:p w14:paraId="1ACF07F6">
      <w:pPr>
        <w:spacing w:line="360" w:lineRule="auto"/>
        <w:ind w:firstLine="3600" w:firstLineChars="15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（盖章）</w:t>
      </w:r>
    </w:p>
    <w:p w14:paraId="64075931">
      <w:pPr>
        <w:spacing w:line="360" w:lineRule="auto"/>
        <w:ind w:firstLine="4800" w:firstLineChars="20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0073A0F">
      <w:pPr>
        <w:spacing w:line="360" w:lineRule="auto"/>
        <w:rPr>
          <w:rFonts w:ascii="宋体" w:hAnsi="宋体" w:cs="宋体"/>
          <w:szCs w:val="21"/>
        </w:rPr>
      </w:pPr>
    </w:p>
    <w:p w14:paraId="4533CF0F">
      <w:pPr>
        <w:spacing w:line="440" w:lineRule="exact"/>
        <w:rPr>
          <w:rFonts w:ascii="宋体" w:hAnsi="宋体" w:cs="宋体"/>
          <w:szCs w:val="21"/>
        </w:rPr>
      </w:pPr>
    </w:p>
    <w:p w14:paraId="430D7E54">
      <w:pPr>
        <w:spacing w:line="440" w:lineRule="exact"/>
        <w:rPr>
          <w:rFonts w:ascii="宋体" w:hAnsi="宋体" w:cs="宋体"/>
          <w:szCs w:val="21"/>
        </w:rPr>
      </w:pPr>
    </w:p>
    <w:p w14:paraId="6B61E6D7">
      <w:pPr>
        <w:rPr>
          <w:rFonts w:ascii="宋体" w:hAnsi="宋体" w:cs="宋体"/>
          <w:b/>
          <w:bCs/>
          <w:sz w:val="28"/>
          <w:szCs w:val="28"/>
        </w:rPr>
      </w:pPr>
      <w:bookmarkStart w:id="192" w:name="_Toc22390"/>
      <w:r>
        <w:rPr>
          <w:rFonts w:hint="eastAsia" w:ascii="宋体" w:hAnsi="宋体" w:cs="宋体"/>
          <w:sz w:val="24"/>
        </w:rPr>
        <w:br w:type="page"/>
      </w:r>
    </w:p>
    <w:p w14:paraId="498F8561">
      <w:pPr>
        <w:spacing w:line="360" w:lineRule="auto"/>
        <w:jc w:val="center"/>
        <w:rPr>
          <w:rFonts w:ascii="宋体" w:hAnsi="宋体" w:cs="宋体"/>
          <w:b/>
          <w:bCs/>
          <w:sz w:val="28"/>
          <w:szCs w:val="28"/>
        </w:rPr>
      </w:pPr>
      <w:r>
        <w:rPr>
          <w:rFonts w:hint="eastAsia" w:ascii="宋体" w:hAnsi="宋体" w:cs="宋体"/>
          <w:b/>
          <w:bCs/>
          <w:sz w:val="28"/>
          <w:szCs w:val="28"/>
        </w:rPr>
        <w:t>2.企业法定代表人授权书</w:t>
      </w:r>
      <w:bookmarkEnd w:id="192"/>
    </w:p>
    <w:p w14:paraId="48CDBCA2">
      <w:pPr>
        <w:pStyle w:val="77"/>
        <w:rPr>
          <w:rFonts w:hint="eastAsia" w:ascii="仿宋" w:hAnsi="仿宋" w:eastAsia="仿宋" w:cs="仿宋"/>
          <w:sz w:val="24"/>
          <w:szCs w:val="24"/>
        </w:rPr>
      </w:pPr>
    </w:p>
    <w:p w14:paraId="331D80A6">
      <w:pPr>
        <w:pStyle w:val="12"/>
        <w:spacing w:line="560" w:lineRule="exact"/>
        <w:rPr>
          <w:rFonts w:hint="eastAsia" w:asciiTheme="minorEastAsia" w:hAnsiTheme="minorEastAsia" w:eastAsiaTheme="minorEastAsia" w:cstheme="minorEastAsia"/>
          <w:color w:val="000000"/>
          <w:sz w:val="24"/>
          <w:szCs w:val="24"/>
        </w:rPr>
      </w:pPr>
      <w:r>
        <w:rPr>
          <w:rFonts w:hint="eastAsia" w:ascii="仿宋" w:hAnsi="仿宋" w:eastAsia="仿宋" w:cs="仿宋"/>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本人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（姓名）系</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i/>
          <w:color w:val="000000"/>
          <w:sz w:val="24"/>
          <w:szCs w:val="24"/>
        </w:rPr>
        <w:t>（</w:t>
      </w:r>
      <w:r>
        <w:rPr>
          <w:rFonts w:hint="eastAsia" w:asciiTheme="minorEastAsia" w:hAnsiTheme="minorEastAsia" w:eastAsiaTheme="minorEastAsia" w:cstheme="minorEastAsia"/>
          <w:color w:val="000000"/>
          <w:sz w:val="24"/>
          <w:szCs w:val="24"/>
        </w:rPr>
        <w:t>供应商名称</w:t>
      </w:r>
      <w:r>
        <w:rPr>
          <w:rFonts w:hint="eastAsia" w:asciiTheme="minorEastAsia" w:hAnsiTheme="minorEastAsia" w:eastAsiaTheme="minorEastAsia" w:cstheme="minorEastAsia"/>
          <w:i/>
          <w:color w:val="000000"/>
          <w:sz w:val="24"/>
          <w:szCs w:val="24"/>
        </w:rPr>
        <w:t>）</w:t>
      </w:r>
      <w:r>
        <w:rPr>
          <w:rFonts w:hint="eastAsia" w:asciiTheme="minorEastAsia" w:hAnsiTheme="minorEastAsia" w:eastAsiaTheme="minorEastAsia" w:cstheme="minorEastAsia"/>
          <w:color w:val="000000"/>
          <w:sz w:val="24"/>
          <w:szCs w:val="24"/>
        </w:rPr>
        <w:t>的法定代表人，代表我单位授权</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（委托代理人的姓名、职务）</w:t>
      </w:r>
      <w:r>
        <w:rPr>
          <w:rFonts w:hint="eastAsia" w:asciiTheme="minorEastAsia" w:hAnsiTheme="minorEastAsia" w:eastAsiaTheme="minorEastAsia" w:cstheme="minorEastAsia"/>
          <w:iCs/>
          <w:color w:val="000000"/>
          <w:sz w:val="24"/>
          <w:szCs w:val="24"/>
        </w:rPr>
        <w:t>为我单位的合法代理人，就</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（项目名称）以本单位名义处理</w:t>
      </w:r>
      <w:r>
        <w:rPr>
          <w:rFonts w:hint="eastAsia" w:asciiTheme="minorEastAsia" w:hAnsiTheme="minorEastAsia" w:eastAsiaTheme="minorEastAsia" w:cstheme="minorEastAsia"/>
          <w:color w:val="000000"/>
          <w:sz w:val="24"/>
          <w:szCs w:val="24"/>
          <w:lang w:eastAsia="zh-CN"/>
        </w:rPr>
        <w:t>投标（</w:t>
      </w:r>
      <w:r>
        <w:rPr>
          <w:rFonts w:hint="eastAsia" w:asciiTheme="minorEastAsia" w:hAnsiTheme="minorEastAsia" w:eastAsiaTheme="minorEastAsia" w:cstheme="minorEastAsia"/>
          <w:color w:val="000000"/>
          <w:sz w:val="24"/>
          <w:szCs w:val="24"/>
        </w:rPr>
        <w:t>响应</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文件的递交、</w:t>
      </w:r>
      <w:r>
        <w:rPr>
          <w:rFonts w:hint="eastAsia" w:asciiTheme="minorEastAsia" w:hAnsiTheme="minorEastAsia" w:eastAsiaTheme="minorEastAsia" w:cstheme="minorEastAsia"/>
          <w:color w:val="000000"/>
          <w:sz w:val="24"/>
          <w:szCs w:val="24"/>
          <w:lang w:val="en-US" w:eastAsia="zh-CN"/>
        </w:rPr>
        <w:t>开标、</w:t>
      </w:r>
      <w:r>
        <w:rPr>
          <w:rFonts w:hint="eastAsia" w:asciiTheme="minorEastAsia" w:hAnsiTheme="minorEastAsia" w:eastAsiaTheme="minorEastAsia" w:cstheme="minorEastAsia"/>
          <w:color w:val="000000"/>
          <w:sz w:val="24"/>
          <w:szCs w:val="24"/>
        </w:rPr>
        <w:t>澄清、修改、撤销等有关</w:t>
      </w:r>
      <w:r>
        <w:rPr>
          <w:rFonts w:hint="eastAsia" w:asciiTheme="minorEastAsia" w:hAnsiTheme="minorEastAsia" w:eastAsiaTheme="minorEastAsia" w:cstheme="minorEastAsia"/>
          <w:color w:val="000000"/>
          <w:sz w:val="24"/>
          <w:szCs w:val="24"/>
          <w:lang w:val="en-US" w:eastAsia="zh-CN"/>
        </w:rPr>
        <w:t>投标</w:t>
      </w:r>
      <w:r>
        <w:rPr>
          <w:rFonts w:hint="eastAsia" w:asciiTheme="minorEastAsia" w:hAnsiTheme="minorEastAsia" w:eastAsiaTheme="minorEastAsia" w:cstheme="minorEastAsia"/>
          <w:color w:val="000000"/>
          <w:sz w:val="24"/>
          <w:szCs w:val="24"/>
        </w:rPr>
        <w:t>的一切事务。</w:t>
      </w:r>
    </w:p>
    <w:p w14:paraId="7B5F1C18">
      <w:pPr>
        <w:pStyle w:val="12"/>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委托日期：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val="en-US" w:eastAsia="zh-CN"/>
        </w:rPr>
        <w:t xml:space="preserve">年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val="en-US" w:eastAsia="zh-CN"/>
        </w:rPr>
        <w:t xml:space="preserve">月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val="en-US" w:eastAsia="zh-CN"/>
        </w:rPr>
        <w:t>日至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val="en-US" w:eastAsia="zh-CN"/>
        </w:rPr>
        <w:t xml:space="preserve">年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val="en-US" w:eastAsia="zh-CN"/>
        </w:rPr>
        <w:t xml:space="preserve">月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val="en-US" w:eastAsia="zh-CN"/>
        </w:rPr>
        <w:t>日止</w:t>
      </w:r>
    </w:p>
    <w:p w14:paraId="0619C5D7">
      <w:pPr>
        <w:pStyle w:val="12"/>
        <w:spacing w:line="56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代理人无转委托权。</w:t>
      </w:r>
    </w:p>
    <w:p w14:paraId="332EA2DB">
      <w:pPr>
        <w:pStyle w:val="12"/>
        <w:spacing w:line="56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14:paraId="41A8691A">
      <w:pPr>
        <w:pStyle w:val="12"/>
        <w:spacing w:line="560" w:lineRule="exact"/>
        <w:rPr>
          <w:rFonts w:hint="eastAsia" w:asciiTheme="minorEastAsia" w:hAnsiTheme="minorEastAsia" w:eastAsiaTheme="minorEastAsia" w:cstheme="minorEastAsia"/>
          <w:color w:val="000000"/>
          <w:sz w:val="24"/>
          <w:szCs w:val="24"/>
        </w:rPr>
      </w:pPr>
    </w:p>
    <w:p w14:paraId="3076E6A7">
      <w:pPr>
        <w:pStyle w:val="12"/>
        <w:spacing w:line="5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供 应 商</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（盖章）    </w:t>
      </w:r>
      <w:r>
        <w:rPr>
          <w:rFonts w:hint="eastAsia" w:asciiTheme="minorEastAsia" w:hAnsiTheme="minorEastAsia" w:eastAsiaTheme="minorEastAsia" w:cstheme="minorEastAsia"/>
          <w:color w:val="000000"/>
          <w:sz w:val="24"/>
          <w:szCs w:val="24"/>
          <w:lang w:val="en-US" w:eastAsia="zh-CN"/>
        </w:rPr>
        <w:t xml:space="preserve">                   </w:t>
      </w:r>
    </w:p>
    <w:p w14:paraId="25DABB6B">
      <w:pPr>
        <w:pStyle w:val="12"/>
        <w:spacing w:line="560" w:lineRule="exact"/>
        <w:rPr>
          <w:rFonts w:hint="eastAsia" w:asciiTheme="minorEastAsia" w:hAnsiTheme="minorEastAsia" w:eastAsiaTheme="minorEastAsia" w:cstheme="minorEastAsia"/>
          <w:color w:val="000000"/>
          <w:spacing w:val="14"/>
          <w:sz w:val="24"/>
          <w:szCs w:val="24"/>
        </w:rPr>
      </w:pPr>
      <w:r>
        <w:rPr>
          <w:rFonts w:hint="eastAsia" w:asciiTheme="minorEastAsia" w:hAnsiTheme="minorEastAsia" w:eastAsiaTheme="minorEastAsia" w:cstheme="minorEastAsia"/>
          <w:color w:val="000000"/>
          <w:spacing w:val="14"/>
          <w:sz w:val="24"/>
          <w:szCs w:val="24"/>
        </w:rPr>
        <w:t>法定代表人</w:t>
      </w:r>
      <w:r>
        <w:rPr>
          <w:rFonts w:hint="eastAsia" w:asciiTheme="minorEastAsia" w:hAnsiTheme="minorEastAsia" w:eastAsiaTheme="minorEastAsia" w:cstheme="minorEastAsia"/>
          <w:color w:val="000000"/>
          <w:spacing w:val="14"/>
          <w:sz w:val="24"/>
          <w:szCs w:val="24"/>
          <w:lang w:eastAsia="zh-CN"/>
        </w:rPr>
        <w:t>：</w:t>
      </w:r>
      <w:r>
        <w:rPr>
          <w:rFonts w:hint="eastAsia" w:asciiTheme="minorEastAsia" w:hAnsiTheme="minorEastAsia" w:eastAsiaTheme="minorEastAsia" w:cstheme="minorEastAsia"/>
          <w:color w:val="000000"/>
          <w:spacing w:val="14"/>
          <w:sz w:val="24"/>
          <w:szCs w:val="24"/>
          <w:u w:val="single"/>
        </w:rPr>
        <w:t xml:space="preserve">                 （签字或盖章）</w:t>
      </w:r>
    </w:p>
    <w:p w14:paraId="653B7628">
      <w:pPr>
        <w:pStyle w:val="12"/>
        <w:spacing w:line="5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身份证号码：</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val="en-US" w:eastAsia="zh-CN"/>
        </w:rPr>
        <w:t xml:space="preserve"> </w:t>
      </w:r>
    </w:p>
    <w:p w14:paraId="4F1921C0">
      <w:pPr>
        <w:pStyle w:val="12"/>
        <w:spacing w:line="560" w:lineRule="exact"/>
        <w:rPr>
          <w:rFonts w:hint="eastAsia" w:asciiTheme="minorEastAsia" w:hAnsiTheme="minorEastAsia" w:eastAsiaTheme="minorEastAsia" w:cstheme="minorEastAsia"/>
          <w:color w:val="000000"/>
          <w:spacing w:val="14"/>
          <w:sz w:val="24"/>
          <w:szCs w:val="24"/>
          <w:u w:val="single"/>
        </w:rPr>
      </w:pPr>
      <w:r>
        <w:rPr>
          <w:rFonts w:hint="eastAsia" w:asciiTheme="minorEastAsia" w:hAnsiTheme="minorEastAsia" w:eastAsiaTheme="minorEastAsia" w:cstheme="minorEastAsia"/>
          <w:color w:val="000000"/>
          <w:spacing w:val="14"/>
          <w:sz w:val="24"/>
          <w:szCs w:val="24"/>
        </w:rPr>
        <w:t>授权代表人</w:t>
      </w:r>
      <w:r>
        <w:rPr>
          <w:rFonts w:hint="eastAsia" w:asciiTheme="minorEastAsia" w:hAnsiTheme="minorEastAsia" w:eastAsiaTheme="minorEastAsia" w:cstheme="minorEastAsia"/>
          <w:color w:val="000000"/>
          <w:spacing w:val="14"/>
          <w:sz w:val="24"/>
          <w:szCs w:val="24"/>
          <w:lang w:eastAsia="zh-CN"/>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pacing w:val="14"/>
          <w:sz w:val="24"/>
          <w:szCs w:val="24"/>
          <w:u w:val="single"/>
        </w:rPr>
        <w:t>（签字或盖章）</w:t>
      </w:r>
    </w:p>
    <w:p w14:paraId="4EB80C83">
      <w:pPr>
        <w:pStyle w:val="12"/>
        <w:spacing w:line="5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身份证号码：</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val="en-US" w:eastAsia="zh-CN"/>
        </w:rPr>
        <w:t xml:space="preserve">  </w:t>
      </w:r>
    </w:p>
    <w:p w14:paraId="013435FD">
      <w:pPr>
        <w:pStyle w:val="12"/>
        <w:spacing w:line="5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联系电话：</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val="en-US" w:eastAsia="zh-CN"/>
        </w:rPr>
        <w:t xml:space="preserve">                    </w:t>
      </w:r>
    </w:p>
    <w:p w14:paraId="5FF4D45B">
      <w:pPr>
        <w:spacing w:line="360" w:lineRule="auto"/>
        <w:rPr>
          <w:rFonts w:hint="eastAsia" w:asciiTheme="minorEastAsia" w:hAnsiTheme="minorEastAsia" w:eastAsiaTheme="minorEastAsia" w:cstheme="minorEastAsia"/>
          <w:sz w:val="24"/>
          <w:szCs w:val="24"/>
        </w:rPr>
      </w:pPr>
    </w:p>
    <w:p w14:paraId="03798269">
      <w:pPr>
        <w:pStyle w:val="12"/>
        <w:spacing w:line="560" w:lineRule="exact"/>
        <w:rPr>
          <w:rFonts w:hint="eastAsia" w:asciiTheme="minorEastAsia" w:hAnsiTheme="minorEastAsia" w:eastAsiaTheme="minorEastAsia" w:cstheme="minorEastAsia"/>
          <w:color w:val="000000"/>
          <w:spacing w:val="14"/>
          <w:sz w:val="24"/>
          <w:szCs w:val="24"/>
        </w:rPr>
      </w:pPr>
      <w:r>
        <w:rPr>
          <w:rFonts w:hint="eastAsia" w:asciiTheme="minorEastAsia" w:hAnsiTheme="minorEastAsia" w:eastAsiaTheme="minorEastAsia" w:cstheme="minorEastAsia"/>
          <w:color w:val="000000"/>
          <w:spacing w:val="14"/>
          <w:sz w:val="24"/>
          <w:szCs w:val="24"/>
        </w:rPr>
        <w:t>附：法定代表人和授权代表的身份证明复印件</w:t>
      </w:r>
    </w:p>
    <w:p w14:paraId="006DF750">
      <w:pPr>
        <w:spacing w:line="360" w:lineRule="auto"/>
        <w:ind w:firstLine="3360" w:firstLineChars="1400"/>
        <w:rPr>
          <w:rFonts w:ascii="宋体" w:hAnsi="宋体" w:cs="宋体"/>
          <w:sz w:val="24"/>
        </w:rPr>
      </w:pPr>
    </w:p>
    <w:p w14:paraId="1A15C38A">
      <w:pPr>
        <w:spacing w:line="360" w:lineRule="auto"/>
        <w:ind w:firstLine="3360" w:firstLineChars="1400"/>
        <w:rPr>
          <w:rFonts w:ascii="宋体" w:hAnsi="宋体" w:cs="宋体"/>
          <w:sz w:val="24"/>
        </w:rPr>
      </w:pPr>
    </w:p>
    <w:p w14:paraId="1155B8D4">
      <w:pPr>
        <w:spacing w:line="360" w:lineRule="auto"/>
        <w:ind w:firstLine="3360" w:firstLineChars="1400"/>
        <w:rPr>
          <w:rFonts w:ascii="宋体" w:hAnsi="宋体" w:cs="宋体"/>
          <w:sz w:val="24"/>
        </w:rPr>
      </w:pPr>
    </w:p>
    <w:p w14:paraId="6345EB51">
      <w:pPr>
        <w:spacing w:line="360" w:lineRule="auto"/>
        <w:ind w:firstLine="3600" w:firstLineChars="15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（盖章）</w:t>
      </w:r>
    </w:p>
    <w:p w14:paraId="7735BAF5">
      <w:pPr>
        <w:tabs>
          <w:tab w:val="left" w:pos="4467"/>
        </w:tabs>
        <w:spacing w:line="360" w:lineRule="auto"/>
        <w:ind w:firstLine="4560" w:firstLineChars="1900"/>
        <w:rPr>
          <w:rFonts w:ascii="宋体" w:hAnsi="宋体" w:cs="宋体"/>
          <w:sz w:val="24"/>
        </w:rPr>
      </w:pP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736B10C">
      <w:pPr>
        <w:spacing w:line="360" w:lineRule="auto"/>
        <w:rPr>
          <w:rFonts w:ascii="宋体" w:hAnsi="宋体" w:cs="宋体"/>
          <w:szCs w:val="21"/>
        </w:rPr>
      </w:pPr>
    </w:p>
    <w:p w14:paraId="0CC1757C">
      <w:pPr>
        <w:pStyle w:val="8"/>
        <w:spacing w:line="360" w:lineRule="auto"/>
        <w:ind w:firstLine="480" w:firstLineChars="200"/>
        <w:rPr>
          <w:rFonts w:ascii="宋体" w:hAnsi="宋体" w:cs="宋体"/>
          <w:bCs/>
        </w:rPr>
      </w:pPr>
      <w:r>
        <w:rPr>
          <w:rFonts w:hint="eastAsia" w:ascii="宋体" w:hAnsi="宋体" w:cs="宋体"/>
          <w:bCs/>
        </w:rPr>
        <w:t>注：无委托代理人的无须提供企业法定代表人授权书，仅提供法定代表人身份证明即可。</w:t>
      </w:r>
    </w:p>
    <w:p w14:paraId="64348B8C">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p>
    <w:p w14:paraId="5E4CB91A">
      <w:pPr>
        <w:spacing w:line="360" w:lineRule="auto"/>
        <w:jc w:val="center"/>
        <w:rPr>
          <w:rFonts w:hint="eastAsia" w:ascii="宋体" w:hAnsi="宋体" w:cs="仿宋_GB2312"/>
          <w:b/>
          <w:bCs/>
          <w:color w:val="auto"/>
          <w:sz w:val="28"/>
          <w:szCs w:val="28"/>
          <w:highlight w:val="none"/>
        </w:rPr>
      </w:pPr>
      <w:bookmarkStart w:id="193" w:name="_Toc28712"/>
      <w:bookmarkStart w:id="194" w:name="_Toc11772_WPSOffice_Level1"/>
      <w:bookmarkStart w:id="195" w:name="_Toc29584"/>
      <w:bookmarkStart w:id="196" w:name="_Toc20721_WPSOffice_Level1"/>
      <w:bookmarkStart w:id="197" w:name="_Toc7153"/>
      <w:r>
        <w:rPr>
          <w:rFonts w:hint="eastAsia" w:ascii="宋体" w:hAnsi="宋体" w:cs="仿宋_GB2312"/>
          <w:b/>
          <w:bCs/>
          <w:color w:val="auto"/>
          <w:sz w:val="28"/>
          <w:szCs w:val="28"/>
          <w:highlight w:val="none"/>
        </w:rPr>
        <w:t>三、</w:t>
      </w:r>
      <w:bookmarkEnd w:id="193"/>
      <w:bookmarkEnd w:id="194"/>
      <w:bookmarkEnd w:id="195"/>
      <w:bookmarkEnd w:id="196"/>
      <w:bookmarkEnd w:id="197"/>
      <w:r>
        <w:rPr>
          <w:rFonts w:hint="eastAsia" w:ascii="宋体" w:hAnsi="宋体" w:cs="宋体"/>
          <w:b/>
          <w:bCs/>
          <w:sz w:val="32"/>
          <w:szCs w:val="32"/>
          <w:lang w:eastAsia="zh-CN"/>
        </w:rPr>
        <w:t>磋商</w:t>
      </w:r>
      <w:r>
        <w:rPr>
          <w:rFonts w:hint="eastAsia" w:ascii="宋体" w:hAnsi="宋体" w:cs="宋体"/>
          <w:b/>
          <w:bCs/>
          <w:sz w:val="32"/>
          <w:szCs w:val="32"/>
        </w:rPr>
        <w:t>（第一次报价）一览表</w:t>
      </w:r>
    </w:p>
    <w:p w14:paraId="6FB78667">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14:paraId="43475920">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编号：</w:t>
      </w:r>
    </w:p>
    <w:tbl>
      <w:tblPr>
        <w:tblStyle w:val="3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2925"/>
        <w:gridCol w:w="1290"/>
        <w:gridCol w:w="3135"/>
      </w:tblGrid>
      <w:tr w14:paraId="3DA5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650" w:type="dxa"/>
            <w:vAlign w:val="center"/>
          </w:tcPr>
          <w:p w14:paraId="13F603EE">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highlight w:val="none"/>
                <w:vertAlign w:val="baseline"/>
              </w:rPr>
            </w:pP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名称</w:t>
            </w:r>
          </w:p>
        </w:tc>
        <w:tc>
          <w:tcPr>
            <w:tcW w:w="7350" w:type="dxa"/>
            <w:gridSpan w:val="3"/>
            <w:vAlign w:val="center"/>
          </w:tcPr>
          <w:p w14:paraId="5844619D">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sz w:val="24"/>
                <w:szCs w:val="24"/>
                <w:highlight w:val="none"/>
                <w:lang w:eastAsia="zh-CN"/>
              </w:rPr>
            </w:pPr>
          </w:p>
        </w:tc>
      </w:tr>
      <w:tr w14:paraId="3E5C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50" w:type="dxa"/>
            <w:vAlign w:val="center"/>
          </w:tcPr>
          <w:p w14:paraId="2387F0B1">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sz w:val="24"/>
                <w:szCs w:val="24"/>
                <w:highlight w:val="none"/>
                <w:lang w:eastAsia="zh-CN"/>
              </w:rPr>
            </w:pPr>
            <w:r>
              <w:rPr>
                <w:rFonts w:hint="eastAsia" w:ascii="宋体" w:hAnsi="宋体" w:cs="宋体"/>
                <w:b/>
                <w:bCs/>
                <w:lang w:eastAsia="zh-CN"/>
              </w:rPr>
              <w:t>响应</w:t>
            </w:r>
            <w:r>
              <w:rPr>
                <w:rFonts w:hint="eastAsia" w:ascii="宋体" w:hAnsi="宋体" w:cs="宋体"/>
                <w:b/>
                <w:bCs/>
              </w:rPr>
              <w:t>内容</w:t>
            </w:r>
          </w:p>
        </w:tc>
        <w:tc>
          <w:tcPr>
            <w:tcW w:w="7350" w:type="dxa"/>
            <w:gridSpan w:val="3"/>
            <w:vAlign w:val="center"/>
          </w:tcPr>
          <w:p w14:paraId="47F9F278">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sz w:val="24"/>
                <w:szCs w:val="24"/>
                <w:highlight w:val="none"/>
                <w:lang w:eastAsia="zh-CN"/>
              </w:rPr>
            </w:pPr>
          </w:p>
        </w:tc>
      </w:tr>
      <w:tr w14:paraId="0394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50" w:type="dxa"/>
            <w:vAlign w:val="center"/>
          </w:tcPr>
          <w:p w14:paraId="221F5758">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default"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eastAsia="zh-CN"/>
              </w:rPr>
              <w:t>磋商</w:t>
            </w:r>
            <w:r>
              <w:rPr>
                <w:rFonts w:hint="eastAsia" w:ascii="宋体" w:hAnsi="宋体" w:cs="宋体"/>
                <w:b/>
                <w:bCs/>
                <w:color w:val="auto"/>
                <w:highlight w:val="none"/>
                <w:vertAlign w:val="baseline"/>
                <w:lang w:val="en-US" w:eastAsia="zh-CN"/>
              </w:rPr>
              <w:t>报价（元/年）</w:t>
            </w:r>
          </w:p>
        </w:tc>
        <w:tc>
          <w:tcPr>
            <w:tcW w:w="7350" w:type="dxa"/>
            <w:gridSpan w:val="3"/>
            <w:vAlign w:val="center"/>
          </w:tcPr>
          <w:p w14:paraId="252CA3FF">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highlight w:val="none"/>
                <w:vertAlign w:val="baseline"/>
                <w:lang w:eastAsia="zh-CN"/>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元每年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（小写</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元/年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tc>
      </w:tr>
      <w:tr w14:paraId="1FBD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650" w:type="dxa"/>
            <w:vAlign w:val="center"/>
          </w:tcPr>
          <w:p w14:paraId="06D60360">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default" w:ascii="宋体" w:hAnsi="宋体" w:eastAsia="宋体" w:cs="宋体"/>
                <w:b/>
                <w:bCs/>
                <w:color w:val="auto"/>
                <w:highlight w:val="none"/>
                <w:vertAlign w:val="baseline"/>
                <w:lang w:val="en-US"/>
              </w:rPr>
            </w:pPr>
            <w:r>
              <w:rPr>
                <w:rFonts w:hint="eastAsia" w:ascii="宋体" w:hAnsi="宋体" w:eastAsia="宋体" w:cs="宋体"/>
                <w:b/>
                <w:bCs/>
                <w:color w:val="auto"/>
                <w:sz w:val="24"/>
                <w:szCs w:val="24"/>
                <w:highlight w:val="none"/>
                <w:lang w:eastAsia="zh-CN"/>
              </w:rPr>
              <w:t>服务</w:t>
            </w:r>
            <w:r>
              <w:rPr>
                <w:rFonts w:hint="eastAsia" w:ascii="宋体" w:hAnsi="宋体" w:eastAsia="宋体" w:cs="宋体"/>
                <w:b/>
                <w:bCs/>
                <w:color w:val="auto"/>
                <w:sz w:val="24"/>
                <w:szCs w:val="24"/>
                <w:highlight w:val="none"/>
                <w:lang w:val="en-US" w:eastAsia="zh-CN"/>
              </w:rPr>
              <w:t>期限</w:t>
            </w:r>
          </w:p>
        </w:tc>
        <w:tc>
          <w:tcPr>
            <w:tcW w:w="2925" w:type="dxa"/>
            <w:vAlign w:val="center"/>
          </w:tcPr>
          <w:p w14:paraId="61700849">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sz w:val="24"/>
                <w:szCs w:val="24"/>
                <w:highlight w:val="none"/>
              </w:rPr>
            </w:pPr>
          </w:p>
        </w:tc>
        <w:tc>
          <w:tcPr>
            <w:tcW w:w="1290" w:type="dxa"/>
            <w:vAlign w:val="center"/>
          </w:tcPr>
          <w:p w14:paraId="5ADF29FF">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highlight w:val="none"/>
                <w:vertAlign w:val="baseline"/>
              </w:rPr>
            </w:pPr>
            <w:r>
              <w:rPr>
                <w:rFonts w:hint="eastAsia" w:ascii="宋体" w:hAnsi="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地点</w:t>
            </w:r>
          </w:p>
        </w:tc>
        <w:tc>
          <w:tcPr>
            <w:tcW w:w="3135" w:type="dxa"/>
            <w:vAlign w:val="center"/>
          </w:tcPr>
          <w:p w14:paraId="70FD51FC">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highlight w:val="none"/>
                <w:vertAlign w:val="baseline"/>
              </w:rPr>
            </w:pPr>
          </w:p>
        </w:tc>
      </w:tr>
      <w:tr w14:paraId="4BAE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650" w:type="dxa"/>
            <w:vAlign w:val="center"/>
          </w:tcPr>
          <w:p w14:paraId="1F5EA4BA">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default" w:ascii="宋体" w:hAnsi="宋体" w:eastAsia="宋体" w:cs="宋体"/>
                <w:b/>
                <w:bCs/>
                <w:color w:val="auto"/>
                <w:sz w:val="24"/>
                <w:szCs w:val="24"/>
                <w:highlight w:val="none"/>
                <w:lang w:val="en-US" w:eastAsia="zh-CN"/>
              </w:rPr>
            </w:pPr>
            <w:bookmarkStart w:id="198" w:name="_Toc31572"/>
            <w:bookmarkStart w:id="199" w:name="_Toc266431147"/>
            <w:bookmarkStart w:id="200" w:name="_Toc359330015"/>
            <w:r>
              <w:rPr>
                <w:rFonts w:hint="eastAsia" w:ascii="宋体" w:hAnsi="宋体" w:cs="宋体"/>
                <w:b/>
                <w:bCs/>
                <w:color w:val="auto"/>
                <w:sz w:val="24"/>
                <w:szCs w:val="24"/>
                <w:highlight w:val="none"/>
                <w:lang w:val="en-US" w:eastAsia="zh-CN"/>
              </w:rPr>
              <w:t>质量要求</w:t>
            </w:r>
          </w:p>
        </w:tc>
        <w:tc>
          <w:tcPr>
            <w:tcW w:w="7350" w:type="dxa"/>
            <w:gridSpan w:val="3"/>
            <w:vAlign w:val="center"/>
          </w:tcPr>
          <w:p w14:paraId="71625303">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highlight w:val="none"/>
                <w:vertAlign w:val="baseline"/>
              </w:rPr>
            </w:pPr>
          </w:p>
        </w:tc>
      </w:tr>
      <w:tr w14:paraId="54BB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50" w:type="dxa"/>
            <w:vAlign w:val="center"/>
          </w:tcPr>
          <w:p w14:paraId="778FCD72">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lang w:eastAsia="zh-CN"/>
              </w:rPr>
              <w:t>磋商</w:t>
            </w:r>
            <w:r>
              <w:rPr>
                <w:rFonts w:hint="eastAsia" w:ascii="宋体" w:hAnsi="宋体" w:cs="宋体"/>
                <w:b/>
                <w:bCs/>
              </w:rPr>
              <w:t>有效期</w:t>
            </w:r>
          </w:p>
        </w:tc>
        <w:tc>
          <w:tcPr>
            <w:tcW w:w="7350" w:type="dxa"/>
            <w:gridSpan w:val="3"/>
            <w:vAlign w:val="center"/>
          </w:tcPr>
          <w:p w14:paraId="5F6C6392">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highlight w:val="none"/>
                <w:vertAlign w:val="baseline"/>
              </w:rPr>
            </w:pPr>
          </w:p>
        </w:tc>
      </w:tr>
      <w:tr w14:paraId="3007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650" w:type="dxa"/>
            <w:vAlign w:val="center"/>
          </w:tcPr>
          <w:p w14:paraId="449E0762">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highlight w:val="none"/>
                <w:vertAlign w:val="baseline"/>
              </w:rPr>
            </w:pPr>
            <w:r>
              <w:rPr>
                <w:rFonts w:hint="eastAsia" w:ascii="宋体" w:hAnsi="宋体" w:eastAsia="宋体" w:cs="宋体"/>
                <w:b/>
                <w:bCs/>
                <w:color w:val="auto"/>
                <w:sz w:val="24"/>
                <w:szCs w:val="24"/>
                <w:highlight w:val="none"/>
              </w:rPr>
              <w:t>备  注</w:t>
            </w:r>
            <w:bookmarkEnd w:id="198"/>
            <w:bookmarkEnd w:id="199"/>
            <w:bookmarkEnd w:id="200"/>
          </w:p>
        </w:tc>
        <w:tc>
          <w:tcPr>
            <w:tcW w:w="7350" w:type="dxa"/>
            <w:gridSpan w:val="3"/>
            <w:vAlign w:val="center"/>
          </w:tcPr>
          <w:p w14:paraId="250E0A0E">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highlight w:val="none"/>
                <w:vertAlign w:val="baseline"/>
              </w:rPr>
            </w:pPr>
          </w:p>
        </w:tc>
      </w:tr>
    </w:tbl>
    <w:p w14:paraId="7D156642">
      <w:pPr>
        <w:pStyle w:val="29"/>
        <w:ind w:left="0" w:leftChars="0" w:firstLine="0" w:firstLineChars="0"/>
        <w:rPr>
          <w:rFonts w:hint="eastAsia" w:ascii="宋体" w:hAnsi="宋体" w:eastAsia="宋体" w:cs="宋体"/>
          <w:color w:val="auto"/>
          <w:highlight w:val="none"/>
        </w:rPr>
      </w:pPr>
    </w:p>
    <w:p w14:paraId="79DA30D9">
      <w:pPr>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本</w:t>
      </w:r>
      <w:r>
        <w:rPr>
          <w:rFonts w:hint="eastAsia" w:ascii="宋体" w:hAnsi="宋体" w:cs="宋体"/>
          <w:bCs/>
          <w:color w:val="auto"/>
          <w:sz w:val="24"/>
          <w:highlight w:val="none"/>
          <w:lang w:val="en-US" w:eastAsia="zh-CN"/>
        </w:rPr>
        <w:t>磋商</w:t>
      </w:r>
      <w:r>
        <w:rPr>
          <w:rFonts w:hint="eastAsia" w:ascii="宋体" w:hAnsi="宋体" w:eastAsia="宋体" w:cs="宋体"/>
          <w:bCs/>
          <w:color w:val="auto"/>
          <w:sz w:val="24"/>
          <w:highlight w:val="none"/>
        </w:rPr>
        <w:t>报价为完成项目全部内容所需的所有费用</w:t>
      </w:r>
      <w:r>
        <w:rPr>
          <w:rFonts w:hint="eastAsia" w:ascii="宋体" w:hAnsi="宋体" w:eastAsia="宋体" w:cs="宋体"/>
          <w:color w:val="auto"/>
          <w:sz w:val="24"/>
          <w:highlight w:val="none"/>
        </w:rPr>
        <w:t>。</w:t>
      </w:r>
    </w:p>
    <w:p w14:paraId="3E88DD03">
      <w:pPr>
        <w:spacing w:line="360" w:lineRule="auto"/>
        <w:ind w:firstLine="960" w:firstLineChars="4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cs="宋体"/>
          <w:sz w:val="24"/>
        </w:rPr>
        <w:t>以上内容缺一不可，格式、内容和签署、盖章必须完整，否则为无效</w:t>
      </w:r>
      <w:r>
        <w:rPr>
          <w:rFonts w:hint="eastAsia" w:ascii="宋体" w:hAnsi="宋体" w:cs="宋体"/>
          <w:sz w:val="24"/>
          <w:lang w:eastAsia="zh-CN"/>
        </w:rPr>
        <w:t>响应</w:t>
      </w:r>
      <w:r>
        <w:rPr>
          <w:rFonts w:hint="eastAsia" w:ascii="宋体" w:hAnsi="宋体" w:eastAsia="宋体" w:cs="宋体"/>
          <w:color w:val="auto"/>
          <w:sz w:val="24"/>
          <w:highlight w:val="none"/>
        </w:rPr>
        <w:t>。</w:t>
      </w:r>
    </w:p>
    <w:p w14:paraId="31B56020">
      <w:pPr>
        <w:spacing w:line="360" w:lineRule="auto"/>
        <w:rPr>
          <w:rFonts w:hint="eastAsia" w:ascii="宋体" w:hAnsi="宋体" w:eastAsia="宋体" w:cs="宋体"/>
          <w:b/>
          <w:bCs/>
          <w:color w:val="auto"/>
          <w:sz w:val="24"/>
          <w:highlight w:val="none"/>
        </w:rPr>
      </w:pPr>
    </w:p>
    <w:p w14:paraId="634A62E0">
      <w:pPr>
        <w:pStyle w:val="13"/>
        <w:spacing w:line="360" w:lineRule="auto"/>
        <w:ind w:left="5248" w:leftChars="1504" w:right="57" w:hanging="2090"/>
        <w:rPr>
          <w:rFonts w:hint="eastAsia" w:ascii="宋体" w:hAnsi="宋体" w:eastAsia="宋体" w:cs="宋体"/>
          <w:color w:val="auto"/>
          <w:sz w:val="24"/>
          <w:szCs w:val="24"/>
          <w:highlight w:val="none"/>
        </w:rPr>
      </w:pPr>
    </w:p>
    <w:p w14:paraId="31883278">
      <w:pPr>
        <w:spacing w:line="360" w:lineRule="auto"/>
        <w:ind w:firstLine="4320" w:firstLineChars="1800"/>
        <w:rPr>
          <w:rFonts w:hint="eastAsia" w:ascii="宋体" w:hAnsi="宋体" w:eastAsia="宋体" w:cs="宋体"/>
          <w:color w:val="auto"/>
          <w:kern w:val="0"/>
          <w:sz w:val="24"/>
          <w:highlight w:val="none"/>
          <w:lang w:eastAsia="zh-CN"/>
        </w:rPr>
      </w:pPr>
    </w:p>
    <w:p w14:paraId="3C58AC28">
      <w:pPr>
        <w:spacing w:line="360" w:lineRule="auto"/>
        <w:ind w:firstLine="4320" w:firstLineChars="1800"/>
        <w:rPr>
          <w:rFonts w:hint="eastAsia" w:ascii="宋体" w:hAnsi="宋体" w:eastAsia="宋体" w:cs="宋体"/>
          <w:color w:val="auto"/>
          <w:kern w:val="0"/>
          <w:sz w:val="24"/>
          <w:highlight w:val="none"/>
          <w:lang w:eastAsia="zh-CN"/>
        </w:rPr>
      </w:pPr>
    </w:p>
    <w:p w14:paraId="4BB606D3">
      <w:pPr>
        <w:spacing w:line="360" w:lineRule="auto"/>
        <w:ind w:firstLine="4320" w:firstLineChars="1800"/>
        <w:rPr>
          <w:rFonts w:ascii="宋体" w:hAnsi="宋体" w:cs="宋体"/>
          <w:kern w:val="0"/>
          <w:sz w:val="24"/>
        </w:rPr>
      </w:pPr>
      <w:r>
        <w:rPr>
          <w:rFonts w:hint="eastAsia" w:ascii="宋体" w:hAnsi="宋体" w:cs="宋体"/>
          <w:kern w:val="0"/>
          <w:sz w:val="24"/>
        </w:rPr>
        <w:t>供应商名称：（盖章）</w:t>
      </w:r>
    </w:p>
    <w:p w14:paraId="03C5B3C4">
      <w:pPr>
        <w:spacing w:line="360" w:lineRule="auto"/>
        <w:ind w:firstLine="4320" w:firstLineChars="1800"/>
        <w:rPr>
          <w:rFonts w:ascii="宋体" w:hAnsi="宋体" w:cs="宋体"/>
          <w:kern w:val="0"/>
          <w:sz w:val="24"/>
        </w:rPr>
      </w:pPr>
      <w:r>
        <w:rPr>
          <w:rFonts w:hint="eastAsia" w:ascii="宋体" w:hAnsi="宋体" w:cs="宋体"/>
          <w:sz w:val="24"/>
        </w:rPr>
        <w:t>法定代表人或其委托代理人：（签字或盖章）</w:t>
      </w:r>
      <w:r>
        <w:rPr>
          <w:rFonts w:hint="eastAsia" w:ascii="宋体" w:hAnsi="宋体" w:cs="宋体"/>
          <w:kern w:val="0"/>
          <w:sz w:val="24"/>
        </w:rPr>
        <w:t xml:space="preserve">                  </w:t>
      </w:r>
    </w:p>
    <w:p w14:paraId="6D479AAF">
      <w:pPr>
        <w:pStyle w:val="73"/>
        <w:spacing w:line="360" w:lineRule="auto"/>
        <w:ind w:firstLine="5520" w:firstLineChars="2300"/>
        <w:rPr>
          <w:rFonts w:ascii="宋体" w:hAnsi="宋体" w:cs="宋体"/>
        </w:rPr>
      </w:pPr>
      <w:r>
        <w:rPr>
          <w:rFonts w:hint="eastAsia" w:ascii="宋体" w:hAnsi="宋体" w:cs="宋体"/>
          <w:sz w:val="24"/>
        </w:rPr>
        <w:t>年     月    日</w:t>
      </w:r>
    </w:p>
    <w:p w14:paraId="4267C26B">
      <w:pPr>
        <w:rPr>
          <w:rFonts w:hint="eastAsia"/>
          <w:color w:val="auto"/>
        </w:rPr>
      </w:pPr>
    </w:p>
    <w:p w14:paraId="212ABCEB">
      <w:pPr>
        <w:rPr>
          <w:rFonts w:hint="eastAsia"/>
          <w:color w:val="auto"/>
        </w:rPr>
      </w:pPr>
    </w:p>
    <w:p w14:paraId="2F8EFEBF">
      <w:pPr>
        <w:pStyle w:val="4"/>
        <w:tabs>
          <w:tab w:val="left" w:pos="2988"/>
          <w:tab w:val="left" w:pos="3252"/>
          <w:tab w:val="center" w:pos="4452"/>
        </w:tabs>
        <w:ind w:firstLine="2811" w:firstLineChars="1000"/>
        <w:rPr>
          <w:rFonts w:ascii="宋体" w:hAnsi="宋体" w:cs="宋体"/>
          <w:sz w:val="28"/>
          <w:szCs w:val="28"/>
        </w:rPr>
      </w:pPr>
      <w:r>
        <w:rPr>
          <w:rFonts w:hint="eastAsia" w:ascii="宋体" w:hAnsi="宋体" w:cs="宋体"/>
          <w:color w:val="auto"/>
          <w:sz w:val="28"/>
          <w:szCs w:val="28"/>
          <w:highlight w:val="none"/>
          <w:lang w:val="en-US" w:eastAsia="zh-CN"/>
        </w:rPr>
        <w:t>四</w:t>
      </w:r>
      <w:r>
        <w:rPr>
          <w:rFonts w:hint="eastAsia" w:ascii="宋体" w:hAnsi="宋体" w:eastAsia="宋体" w:cs="宋体"/>
          <w:color w:val="auto"/>
          <w:sz w:val="28"/>
          <w:szCs w:val="28"/>
          <w:highlight w:val="none"/>
          <w:lang w:eastAsia="zh-CN"/>
        </w:rPr>
        <w:t>、</w:t>
      </w:r>
      <w:r>
        <w:rPr>
          <w:rFonts w:hint="eastAsia" w:ascii="宋体" w:hAnsi="宋体" w:cs="宋体"/>
          <w:sz w:val="32"/>
          <w:lang w:eastAsia="zh-CN"/>
        </w:rPr>
        <w:t>磋商</w:t>
      </w:r>
      <w:r>
        <w:rPr>
          <w:rFonts w:hint="eastAsia" w:ascii="宋体" w:hAnsi="宋体" w:cs="宋体"/>
          <w:sz w:val="32"/>
        </w:rPr>
        <w:t>承诺函</w:t>
      </w:r>
    </w:p>
    <w:p w14:paraId="2C240518">
      <w:pPr>
        <w:spacing w:line="360" w:lineRule="auto"/>
        <w:jc w:val="center"/>
        <w:rPr>
          <w:rFonts w:ascii="宋体" w:hAnsi="宋体" w:cs="宋体"/>
          <w:b/>
          <w:bCs/>
          <w:sz w:val="27"/>
          <w:szCs w:val="22"/>
        </w:rPr>
      </w:pPr>
    </w:p>
    <w:p w14:paraId="3409F6C7">
      <w:pPr>
        <w:tabs>
          <w:tab w:val="left" w:pos="0"/>
        </w:tabs>
        <w:spacing w:line="360" w:lineRule="auto"/>
        <w:ind w:right="-26"/>
        <w:jc w:val="lef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（采购人），我方承诺如下：</w:t>
      </w:r>
    </w:p>
    <w:p w14:paraId="32DE9C0F">
      <w:pPr>
        <w:tabs>
          <w:tab w:val="left" w:pos="0"/>
        </w:tabs>
        <w:spacing w:line="360" w:lineRule="auto"/>
        <w:ind w:right="-26" w:firstLine="480" w:firstLineChars="200"/>
        <w:jc w:val="left"/>
        <w:rPr>
          <w:rFonts w:ascii="宋体" w:hAnsi="宋体" w:cs="宋体"/>
          <w:sz w:val="24"/>
        </w:rPr>
      </w:pPr>
      <w:r>
        <w:rPr>
          <w:rFonts w:hint="eastAsia" w:ascii="宋体" w:hAnsi="宋体" w:cs="宋体"/>
          <w:sz w:val="24"/>
        </w:rPr>
        <w:t>1、完全理解和接受磋商文件的一切规定和要求。</w:t>
      </w:r>
    </w:p>
    <w:p w14:paraId="5B1E7C7A">
      <w:pPr>
        <w:tabs>
          <w:tab w:val="left" w:pos="0"/>
        </w:tabs>
        <w:spacing w:line="360" w:lineRule="auto"/>
        <w:ind w:right="-26"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lang w:eastAsia="zh-CN"/>
        </w:rPr>
        <w:t>磋商</w:t>
      </w:r>
      <w:r>
        <w:rPr>
          <w:rFonts w:hint="eastAsia" w:ascii="宋体" w:hAnsi="宋体" w:cs="宋体"/>
          <w:sz w:val="24"/>
        </w:rPr>
        <w:t>报价在</w:t>
      </w:r>
      <w:r>
        <w:rPr>
          <w:rFonts w:hint="eastAsia" w:ascii="宋体" w:hAnsi="宋体" w:cs="宋体"/>
          <w:sz w:val="24"/>
          <w:lang w:eastAsia="zh-CN"/>
        </w:rPr>
        <w:t>磋商</w:t>
      </w:r>
      <w:r>
        <w:rPr>
          <w:rFonts w:hint="eastAsia" w:ascii="宋体" w:hAnsi="宋体" w:cs="宋体"/>
          <w:sz w:val="24"/>
        </w:rPr>
        <w:t>有效期和合同有效期内，该报价固定不变。</w:t>
      </w:r>
    </w:p>
    <w:p w14:paraId="0A913D05">
      <w:pPr>
        <w:tabs>
          <w:tab w:val="left" w:pos="0"/>
        </w:tabs>
        <w:spacing w:line="360" w:lineRule="auto"/>
        <w:ind w:right="-26" w:firstLine="480" w:firstLineChars="200"/>
        <w:jc w:val="left"/>
        <w:rPr>
          <w:rFonts w:ascii="宋体" w:hAnsi="宋体" w:cs="宋体"/>
          <w:sz w:val="24"/>
        </w:rPr>
      </w:pPr>
      <w:r>
        <w:rPr>
          <w:rFonts w:hint="eastAsia" w:ascii="宋体" w:hAnsi="宋体" w:cs="宋体"/>
          <w:sz w:val="24"/>
        </w:rPr>
        <w:t>3、若</w:t>
      </w:r>
      <w:r>
        <w:rPr>
          <w:rFonts w:hint="eastAsia" w:ascii="宋体" w:hAnsi="宋体" w:cs="宋体"/>
          <w:sz w:val="24"/>
          <w:lang w:eastAsia="zh-CN"/>
        </w:rPr>
        <w:t>成交</w:t>
      </w:r>
      <w:r>
        <w:rPr>
          <w:rFonts w:hint="eastAsia" w:ascii="宋体" w:hAnsi="宋体" w:cs="宋体"/>
          <w:sz w:val="24"/>
        </w:rPr>
        <w:t>，我方将按照磋商文件的具体规定与项目法人签订合同，并且严格履行合同义务，按时交货，为项目提供优质的服务。如果在合同执行过程中，发现质量问题，我方一定尽快更换，并承诺相应的经济责任。</w:t>
      </w:r>
    </w:p>
    <w:p w14:paraId="4403B85B">
      <w:pPr>
        <w:tabs>
          <w:tab w:val="left" w:pos="0"/>
        </w:tabs>
        <w:spacing w:line="360" w:lineRule="auto"/>
        <w:ind w:right="-26" w:firstLine="480" w:firstLineChars="200"/>
        <w:jc w:val="left"/>
        <w:rPr>
          <w:rFonts w:ascii="宋体" w:hAnsi="宋体" w:cs="宋体"/>
          <w:sz w:val="24"/>
        </w:rPr>
      </w:pPr>
      <w:r>
        <w:rPr>
          <w:rFonts w:hint="eastAsia" w:ascii="宋体" w:hAnsi="宋体" w:cs="宋体"/>
          <w:sz w:val="24"/>
        </w:rPr>
        <w:t>4、在整个</w:t>
      </w:r>
      <w:r>
        <w:rPr>
          <w:rFonts w:hint="eastAsia" w:ascii="宋体" w:hAnsi="宋体" w:cs="宋体"/>
          <w:sz w:val="24"/>
          <w:lang w:eastAsia="zh-CN"/>
        </w:rPr>
        <w:t>采购</w:t>
      </w:r>
      <w:r>
        <w:rPr>
          <w:rFonts w:hint="eastAsia" w:ascii="宋体" w:hAnsi="宋体" w:cs="宋体"/>
          <w:sz w:val="24"/>
        </w:rPr>
        <w:t>过程中，我方若有违规行为，贵方可按磋商文件之规定给予惩罚，我方完全接受。</w:t>
      </w:r>
    </w:p>
    <w:p w14:paraId="047281D9">
      <w:pPr>
        <w:tabs>
          <w:tab w:val="left" w:pos="0"/>
        </w:tabs>
        <w:spacing w:line="360" w:lineRule="auto"/>
        <w:ind w:right="-26" w:firstLine="480" w:firstLineChars="200"/>
        <w:jc w:val="left"/>
        <w:rPr>
          <w:rFonts w:ascii="宋体" w:hAnsi="宋体" w:cs="宋体"/>
          <w:sz w:val="24"/>
        </w:rPr>
      </w:pPr>
      <w:r>
        <w:rPr>
          <w:rFonts w:hint="eastAsia" w:ascii="宋体" w:hAnsi="宋体" w:cs="宋体"/>
          <w:sz w:val="24"/>
        </w:rPr>
        <w:t>5、若</w:t>
      </w:r>
      <w:r>
        <w:rPr>
          <w:rFonts w:hint="eastAsia" w:ascii="宋体" w:hAnsi="宋体" w:cs="宋体"/>
          <w:sz w:val="24"/>
          <w:lang w:eastAsia="zh-CN"/>
        </w:rPr>
        <w:t>成交</w:t>
      </w:r>
      <w:r>
        <w:rPr>
          <w:rFonts w:hint="eastAsia" w:ascii="宋体" w:hAnsi="宋体" w:cs="宋体"/>
          <w:sz w:val="24"/>
        </w:rPr>
        <w:t>，我方将严格按照</w:t>
      </w:r>
      <w:r>
        <w:rPr>
          <w:rFonts w:hint="eastAsia" w:ascii="宋体" w:hAnsi="宋体" w:cs="宋体"/>
          <w:sz w:val="24"/>
          <w:lang w:eastAsia="zh-CN"/>
        </w:rPr>
        <w:t>磋商</w:t>
      </w:r>
      <w:r>
        <w:rPr>
          <w:rFonts w:hint="eastAsia" w:ascii="宋体" w:hAnsi="宋体" w:cs="宋体"/>
          <w:sz w:val="24"/>
        </w:rPr>
        <w:t>文件的规定及时、足额向</w:t>
      </w:r>
      <w:r>
        <w:rPr>
          <w:rFonts w:hint="eastAsia" w:ascii="宋体" w:hAnsi="宋体" w:cs="宋体"/>
          <w:sz w:val="24"/>
          <w:lang w:eastAsia="zh-CN"/>
        </w:rPr>
        <w:t>采购</w:t>
      </w:r>
      <w:r>
        <w:rPr>
          <w:rFonts w:hint="eastAsia" w:ascii="宋体" w:hAnsi="宋体" w:cs="宋体"/>
          <w:sz w:val="24"/>
        </w:rPr>
        <w:t>代理机构支付代理服务费。</w:t>
      </w:r>
    </w:p>
    <w:p w14:paraId="734B8F1B">
      <w:pPr>
        <w:tabs>
          <w:tab w:val="left" w:pos="0"/>
        </w:tabs>
        <w:spacing w:line="360" w:lineRule="auto"/>
        <w:ind w:right="-26" w:firstLine="480" w:firstLineChars="200"/>
        <w:jc w:val="left"/>
        <w:rPr>
          <w:rFonts w:ascii="宋体" w:hAnsi="宋体" w:cs="宋体"/>
          <w:sz w:val="24"/>
        </w:rPr>
      </w:pPr>
      <w:r>
        <w:rPr>
          <w:rFonts w:hint="eastAsia" w:ascii="宋体" w:hAnsi="宋体" w:cs="宋体"/>
          <w:sz w:val="24"/>
        </w:rPr>
        <w:t>6、若</w:t>
      </w:r>
      <w:r>
        <w:rPr>
          <w:rFonts w:hint="eastAsia" w:ascii="宋体" w:hAnsi="宋体" w:cs="宋体"/>
          <w:sz w:val="24"/>
          <w:lang w:eastAsia="zh-CN"/>
        </w:rPr>
        <w:t>成交</w:t>
      </w:r>
      <w:r>
        <w:rPr>
          <w:rFonts w:hint="eastAsia" w:ascii="宋体" w:hAnsi="宋体" w:cs="宋体"/>
          <w:sz w:val="24"/>
        </w:rPr>
        <w:t>，本承诺函将成为合同不可分割的一部分</w:t>
      </w:r>
      <w:r>
        <w:rPr>
          <w:rFonts w:hint="eastAsia" w:ascii="宋体" w:hAnsi="宋体" w:cs="宋体"/>
          <w:sz w:val="24"/>
          <w:lang w:eastAsia="zh-CN"/>
        </w:rPr>
        <w:t>，</w:t>
      </w:r>
      <w:r>
        <w:rPr>
          <w:rFonts w:hint="eastAsia" w:ascii="宋体" w:hAnsi="宋体" w:cs="宋体"/>
          <w:sz w:val="24"/>
        </w:rPr>
        <w:t>与合同具有同等的法律效力。</w:t>
      </w:r>
    </w:p>
    <w:p w14:paraId="2EABABEE">
      <w:pPr>
        <w:tabs>
          <w:tab w:val="left" w:pos="0"/>
        </w:tabs>
        <w:spacing w:line="360" w:lineRule="auto"/>
        <w:ind w:left="-26" w:right="-26" w:firstLine="501" w:firstLineChars="209"/>
        <w:jc w:val="left"/>
        <w:rPr>
          <w:rFonts w:ascii="宋体" w:hAnsi="宋体" w:cs="宋体"/>
          <w:sz w:val="24"/>
        </w:rPr>
      </w:pPr>
    </w:p>
    <w:p w14:paraId="3E95EEF7">
      <w:pPr>
        <w:spacing w:line="360" w:lineRule="auto"/>
        <w:rPr>
          <w:rFonts w:ascii="宋体" w:hAnsi="宋体" w:cs="宋体"/>
          <w:sz w:val="24"/>
        </w:rPr>
      </w:pPr>
    </w:p>
    <w:p w14:paraId="1208152E">
      <w:pPr>
        <w:spacing w:line="360" w:lineRule="auto"/>
        <w:ind w:firstLine="4320" w:firstLineChars="1800"/>
        <w:rPr>
          <w:rFonts w:ascii="宋体" w:hAnsi="宋体" w:cs="宋体"/>
          <w:kern w:val="0"/>
          <w:sz w:val="24"/>
        </w:rPr>
      </w:pPr>
      <w:r>
        <w:rPr>
          <w:rFonts w:hint="eastAsia" w:ascii="宋体" w:hAnsi="宋体" w:cs="宋体"/>
          <w:sz w:val="24"/>
        </w:rPr>
        <w:t xml:space="preserve">  </w:t>
      </w:r>
      <w:r>
        <w:rPr>
          <w:rFonts w:hint="eastAsia" w:ascii="宋体" w:hAnsi="宋体" w:cs="宋体"/>
          <w:kern w:val="0"/>
          <w:sz w:val="24"/>
        </w:rPr>
        <w:t>供应商名称：（盖章）</w:t>
      </w:r>
    </w:p>
    <w:p w14:paraId="29F871D0">
      <w:pPr>
        <w:spacing w:line="360" w:lineRule="auto"/>
        <w:ind w:firstLine="4320" w:firstLineChars="1800"/>
        <w:rPr>
          <w:rFonts w:ascii="宋体" w:hAnsi="宋体" w:cs="宋体"/>
          <w:kern w:val="0"/>
          <w:sz w:val="24"/>
        </w:rPr>
      </w:pPr>
      <w:r>
        <w:rPr>
          <w:rFonts w:hint="eastAsia" w:ascii="宋体" w:hAnsi="宋体" w:cs="宋体"/>
          <w:sz w:val="24"/>
        </w:rPr>
        <w:t>法定代表人或其委托代理人：（签字或盖章）</w:t>
      </w:r>
      <w:r>
        <w:rPr>
          <w:rFonts w:hint="eastAsia" w:ascii="宋体" w:hAnsi="宋体" w:cs="宋体"/>
          <w:kern w:val="0"/>
          <w:sz w:val="24"/>
        </w:rPr>
        <w:t xml:space="preserve">                  </w:t>
      </w:r>
    </w:p>
    <w:p w14:paraId="58D4CA4A">
      <w:pPr>
        <w:pStyle w:val="73"/>
        <w:spacing w:line="360" w:lineRule="auto"/>
        <w:ind w:firstLine="5520" w:firstLineChars="2300"/>
        <w:rPr>
          <w:rFonts w:ascii="宋体" w:hAnsi="宋体" w:cs="宋体"/>
        </w:rPr>
      </w:pPr>
      <w:r>
        <w:rPr>
          <w:rFonts w:hint="eastAsia" w:ascii="宋体" w:hAnsi="宋体" w:cs="宋体"/>
          <w:sz w:val="24"/>
        </w:rPr>
        <w:t>年     月    日</w:t>
      </w:r>
    </w:p>
    <w:p w14:paraId="74BB5D4A">
      <w:pPr>
        <w:pStyle w:val="73"/>
        <w:spacing w:line="360" w:lineRule="auto"/>
        <w:ind w:firstLine="4830" w:firstLineChars="2300"/>
        <w:rPr>
          <w:rFonts w:ascii="宋体" w:hAnsi="宋体" w:cs="宋体"/>
        </w:rPr>
      </w:pPr>
    </w:p>
    <w:p w14:paraId="515CA980">
      <w:pPr>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color w:val="auto"/>
          <w:sz w:val="24"/>
          <w:szCs w:val="24"/>
          <w:highlight w:val="none"/>
          <w:lang w:val="zh-CN" w:eastAsia="zh-CN"/>
        </w:rPr>
      </w:pPr>
    </w:p>
    <w:p w14:paraId="68F806BE">
      <w:pPr>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br w:type="page"/>
      </w:r>
    </w:p>
    <w:p w14:paraId="16C6DA42">
      <w:pPr>
        <w:pStyle w:val="4"/>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五</w:t>
      </w:r>
      <w:r>
        <w:rPr>
          <w:rFonts w:hint="eastAsia" w:ascii="宋体" w:hAnsi="宋体" w:eastAsia="宋体" w:cs="宋体"/>
          <w:color w:val="auto"/>
          <w:sz w:val="32"/>
          <w:szCs w:val="32"/>
          <w:highlight w:val="none"/>
          <w:lang w:val="en-US" w:eastAsia="zh-CN"/>
        </w:rPr>
        <w:t>、</w:t>
      </w:r>
      <w:r>
        <w:rPr>
          <w:rFonts w:hint="eastAsia" w:ascii="宋体" w:hAnsi="宋体" w:eastAsia="宋体" w:cs="宋体"/>
          <w:color w:val="auto"/>
          <w:sz w:val="32"/>
          <w:szCs w:val="32"/>
          <w:highlight w:val="none"/>
          <w:lang w:eastAsia="zh-CN"/>
        </w:rPr>
        <w:t>资格性证明材料</w:t>
      </w:r>
    </w:p>
    <w:p w14:paraId="4A008B07">
      <w:pPr>
        <w:jc w:val="center"/>
        <w:rPr>
          <w:rFonts w:hint="eastAsia" w:eastAsia="宋体"/>
          <w:color w:val="auto"/>
          <w:sz w:val="24"/>
          <w:szCs w:val="24"/>
          <w:highlight w:val="none"/>
          <w:lang w:eastAsia="zh-CN"/>
        </w:rPr>
      </w:pPr>
      <w:r>
        <w:rPr>
          <w:rFonts w:hint="eastAsia" w:ascii="宋体" w:hAnsi="宋体" w:cs="仿宋_GB2312"/>
          <w:color w:val="auto"/>
          <w:sz w:val="24"/>
          <w:szCs w:val="24"/>
          <w:highlight w:val="none"/>
          <w:lang w:eastAsia="zh-CN"/>
        </w:rPr>
        <w:t>（按照磋商公告要求逐一提供并加盖单位公章）</w:t>
      </w:r>
    </w:p>
    <w:p w14:paraId="4D271333">
      <w:pPr>
        <w:rPr>
          <w:rFonts w:hint="eastAsia"/>
          <w:color w:val="auto"/>
          <w:highlight w:val="none"/>
          <w:lang w:val="en-US" w:eastAsia="zh-CN"/>
        </w:rPr>
      </w:pPr>
      <w:r>
        <w:rPr>
          <w:rFonts w:hint="eastAsia"/>
          <w:color w:val="auto"/>
          <w:highlight w:val="none"/>
          <w:lang w:val="en-US" w:eastAsia="zh-CN"/>
        </w:rPr>
        <w:br w:type="page"/>
      </w:r>
    </w:p>
    <w:p w14:paraId="0D572D70">
      <w:pPr>
        <w:pStyle w:val="4"/>
        <w:spacing w:line="360" w:lineRule="auto"/>
        <w:jc w:val="center"/>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val="en-US" w:eastAsia="zh-CN"/>
        </w:rPr>
        <w:t>六</w:t>
      </w:r>
      <w:r>
        <w:rPr>
          <w:rFonts w:hint="eastAsia" w:ascii="宋体" w:hAnsi="宋体" w:eastAsia="宋体" w:cs="宋体"/>
          <w:color w:val="auto"/>
          <w:sz w:val="32"/>
          <w:szCs w:val="32"/>
          <w:highlight w:val="none"/>
          <w:lang w:val="en-US" w:eastAsia="zh-CN"/>
        </w:rPr>
        <w:t>、商务部分资料</w:t>
      </w:r>
    </w:p>
    <w:p w14:paraId="6FCA7CE2">
      <w:pPr>
        <w:jc w:val="center"/>
        <w:rPr>
          <w:rFonts w:hint="default"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w:t>
      </w:r>
      <w:r>
        <w:rPr>
          <w:rFonts w:hint="eastAsia" w:ascii="宋体" w:hAnsi="宋体" w:cs="仿宋_GB2312"/>
          <w:color w:val="auto"/>
          <w:sz w:val="24"/>
          <w:szCs w:val="24"/>
          <w:highlight w:val="none"/>
          <w:lang w:eastAsia="zh-CN"/>
        </w:rPr>
        <w:t>格式自拟</w:t>
      </w:r>
      <w:r>
        <w:rPr>
          <w:rFonts w:hint="eastAsia" w:ascii="宋体" w:hAnsi="宋体" w:cs="仿宋_GB2312"/>
          <w:color w:val="auto"/>
          <w:sz w:val="24"/>
          <w:szCs w:val="24"/>
          <w:highlight w:val="none"/>
          <w:lang w:val="en-US" w:eastAsia="zh-CN"/>
        </w:rPr>
        <w:t>，</w:t>
      </w:r>
      <w:r>
        <w:rPr>
          <w:rFonts w:hint="eastAsia" w:ascii="宋体" w:hAnsi="宋体" w:cs="仿宋_GB2312"/>
          <w:color w:val="auto"/>
          <w:sz w:val="24"/>
          <w:szCs w:val="24"/>
          <w:highlight w:val="none"/>
          <w:lang w:eastAsia="zh-CN"/>
        </w:rPr>
        <w:t>加盖单位公章）</w:t>
      </w:r>
    </w:p>
    <w:p w14:paraId="474EC7FE">
      <w:pPr>
        <w:rPr>
          <w:rFonts w:hint="eastAsia"/>
          <w:color w:val="auto"/>
          <w:highlight w:val="none"/>
          <w:lang w:val="en-US" w:eastAsia="zh-CN"/>
        </w:rPr>
      </w:pPr>
      <w:r>
        <w:rPr>
          <w:rFonts w:hint="eastAsia"/>
          <w:color w:val="auto"/>
          <w:highlight w:val="none"/>
          <w:lang w:val="en-US" w:eastAsia="zh-CN"/>
        </w:rPr>
        <w:br w:type="page"/>
      </w:r>
    </w:p>
    <w:p w14:paraId="2E4B3283">
      <w:pPr>
        <w:pStyle w:val="4"/>
        <w:spacing w:line="360" w:lineRule="auto"/>
        <w:jc w:val="center"/>
        <w:rPr>
          <w:rFonts w:hint="eastAsia" w:ascii="宋体" w:hAnsi="宋体" w:cs="仿宋_GB2312"/>
          <w:color w:val="auto"/>
          <w:sz w:val="32"/>
          <w:szCs w:val="32"/>
          <w:highlight w:val="none"/>
          <w:lang w:val="en-US" w:eastAsia="zh-CN"/>
        </w:rPr>
      </w:pPr>
      <w:r>
        <w:rPr>
          <w:rFonts w:hint="eastAsia" w:ascii="宋体" w:hAnsi="宋体" w:cs="宋体"/>
          <w:color w:val="auto"/>
          <w:sz w:val="32"/>
          <w:szCs w:val="32"/>
          <w:highlight w:val="none"/>
          <w:lang w:val="en-US" w:eastAsia="zh-CN"/>
        </w:rPr>
        <w:t>七</w:t>
      </w:r>
      <w:r>
        <w:rPr>
          <w:rFonts w:hint="eastAsia" w:ascii="宋体" w:hAnsi="宋体" w:eastAsia="宋体" w:cs="宋体"/>
          <w:color w:val="auto"/>
          <w:sz w:val="32"/>
          <w:szCs w:val="32"/>
          <w:highlight w:val="none"/>
          <w:lang w:val="en-US" w:eastAsia="zh-CN"/>
        </w:rPr>
        <w:t>、技术部分资料</w:t>
      </w:r>
    </w:p>
    <w:p w14:paraId="3ED1EB7C">
      <w:pPr>
        <w:pStyle w:val="73"/>
        <w:ind w:left="0" w:leftChars="0" w:firstLine="0" w:firstLineChars="0"/>
        <w:jc w:val="center"/>
        <w:rPr>
          <w:rFonts w:hint="eastAsia" w:ascii="宋体" w:hAnsi="宋体" w:cs="仿宋_GB2312"/>
          <w:color w:val="auto"/>
          <w:sz w:val="24"/>
          <w:szCs w:val="24"/>
          <w:highlight w:val="none"/>
          <w:lang w:eastAsia="zh-CN"/>
        </w:rPr>
      </w:pPr>
      <w:r>
        <w:rPr>
          <w:rFonts w:hint="eastAsia" w:ascii="宋体" w:hAnsi="宋体" w:cs="仿宋_GB2312"/>
          <w:color w:val="auto"/>
          <w:sz w:val="24"/>
          <w:szCs w:val="24"/>
          <w:highlight w:val="none"/>
          <w:lang w:val="en-US" w:eastAsia="zh-CN"/>
        </w:rPr>
        <w:t>（</w:t>
      </w:r>
      <w:r>
        <w:rPr>
          <w:rFonts w:hint="eastAsia" w:ascii="宋体" w:hAnsi="宋体" w:cs="仿宋_GB2312"/>
          <w:color w:val="auto"/>
          <w:sz w:val="24"/>
          <w:szCs w:val="24"/>
          <w:highlight w:val="none"/>
          <w:lang w:eastAsia="zh-CN"/>
        </w:rPr>
        <w:t>格式自拟</w:t>
      </w:r>
      <w:r>
        <w:rPr>
          <w:rFonts w:hint="eastAsia" w:ascii="宋体" w:hAnsi="宋体" w:cs="仿宋_GB2312"/>
          <w:color w:val="auto"/>
          <w:sz w:val="24"/>
          <w:szCs w:val="24"/>
          <w:highlight w:val="none"/>
          <w:lang w:val="en-US" w:eastAsia="zh-CN"/>
        </w:rPr>
        <w:t>，</w:t>
      </w:r>
      <w:r>
        <w:rPr>
          <w:rFonts w:hint="eastAsia" w:ascii="宋体" w:hAnsi="宋体" w:cs="仿宋_GB2312"/>
          <w:color w:val="auto"/>
          <w:sz w:val="24"/>
          <w:szCs w:val="24"/>
          <w:highlight w:val="none"/>
          <w:lang w:eastAsia="zh-CN"/>
        </w:rPr>
        <w:t>加盖单位公章）</w:t>
      </w:r>
    </w:p>
    <w:p w14:paraId="1F4F9792">
      <w:pPr>
        <w:rPr>
          <w:rFonts w:hint="eastAsia"/>
          <w:color w:val="auto"/>
          <w:highlight w:val="none"/>
          <w:lang w:val="en-US" w:eastAsia="zh-CN"/>
        </w:rPr>
      </w:pPr>
      <w:r>
        <w:rPr>
          <w:rFonts w:hint="eastAsia"/>
          <w:color w:val="auto"/>
          <w:highlight w:val="none"/>
          <w:lang w:val="en-US" w:eastAsia="zh-CN"/>
        </w:rPr>
        <w:br w:type="page"/>
      </w:r>
    </w:p>
    <w:p w14:paraId="27F824EE">
      <w:pPr>
        <w:pStyle w:val="4"/>
        <w:spacing w:line="360" w:lineRule="auto"/>
        <w:jc w:val="center"/>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val="en-US" w:eastAsia="zh-CN"/>
        </w:rPr>
        <w:t>八</w:t>
      </w:r>
      <w:r>
        <w:rPr>
          <w:rFonts w:hint="eastAsia" w:ascii="宋体" w:hAnsi="宋体" w:eastAsia="宋体" w:cs="宋体"/>
          <w:color w:val="auto"/>
          <w:sz w:val="32"/>
          <w:szCs w:val="32"/>
          <w:highlight w:val="none"/>
          <w:lang w:val="en-US" w:eastAsia="zh-CN"/>
        </w:rPr>
        <w:t>、其他资料</w:t>
      </w:r>
    </w:p>
    <w:p w14:paraId="24E88115">
      <w:pPr>
        <w:jc w:val="center"/>
        <w:rPr>
          <w:rFonts w:hint="default"/>
          <w:color w:val="auto"/>
          <w:sz w:val="24"/>
          <w:szCs w:val="24"/>
          <w:highlight w:val="none"/>
          <w:lang w:val="en-US" w:eastAsia="zh-CN"/>
        </w:rPr>
      </w:pPr>
      <w:r>
        <w:rPr>
          <w:rFonts w:hint="eastAsia" w:ascii="宋体" w:hAnsi="宋体" w:cs="仿宋_GB2312"/>
          <w:color w:val="auto"/>
          <w:sz w:val="24"/>
          <w:szCs w:val="24"/>
          <w:highlight w:val="none"/>
          <w:lang w:val="en-US" w:eastAsia="zh-CN"/>
        </w:rPr>
        <w:t>（供应商认为需要提供的其他资料）</w:t>
      </w:r>
    </w:p>
    <w:p w14:paraId="22C08428">
      <w:pPr>
        <w:rPr>
          <w:rFonts w:hint="eastAsia"/>
          <w:color w:val="auto"/>
          <w:highlight w:val="none"/>
          <w:lang w:val="en-US" w:eastAsia="zh-CN"/>
        </w:rPr>
      </w:pPr>
      <w:r>
        <w:rPr>
          <w:rFonts w:hint="eastAsia"/>
          <w:color w:val="auto"/>
          <w:highlight w:val="none"/>
          <w:lang w:val="en-US" w:eastAsia="zh-CN"/>
        </w:rPr>
        <w:br w:type="page"/>
      </w:r>
    </w:p>
    <w:p w14:paraId="0CF5B965">
      <w:pPr>
        <w:widowControl/>
        <w:ind w:firstLine="843" w:firstLineChars="300"/>
        <w:jc w:val="center"/>
        <w:rPr>
          <w:rFonts w:hint="eastAsia" w:ascii="宋体" w:hAnsi="宋体" w:eastAsia="宋体" w:cs="宋体"/>
          <w:b/>
          <w:bCs/>
          <w:color w:val="auto"/>
          <w:sz w:val="28"/>
          <w:szCs w:val="28"/>
          <w:highlight w:val="none"/>
        </w:rPr>
      </w:pPr>
      <w:bookmarkStart w:id="201" w:name="_Toc4810"/>
      <w:bookmarkStart w:id="202" w:name="_Toc525829954"/>
      <w:bookmarkStart w:id="203" w:name="_Toc3360"/>
      <w:bookmarkStart w:id="204" w:name="_Toc17044"/>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w:t>
      </w:r>
      <w:bookmarkEnd w:id="201"/>
      <w:bookmarkEnd w:id="202"/>
      <w:bookmarkEnd w:id="203"/>
      <w:bookmarkEnd w:id="204"/>
      <w:r>
        <w:rPr>
          <w:rFonts w:hint="eastAsia" w:ascii="宋体" w:hAnsi="宋体" w:eastAsia="宋体" w:cs="宋体"/>
          <w:b/>
          <w:bCs/>
          <w:color w:val="auto"/>
          <w:sz w:val="28"/>
          <w:szCs w:val="28"/>
          <w:highlight w:val="none"/>
        </w:rPr>
        <w:t>中小企业声明函（工程、服务）</w:t>
      </w:r>
    </w:p>
    <w:p w14:paraId="4286DCDE">
      <w:pPr>
        <w:widowControl/>
        <w:spacing w:line="480" w:lineRule="auto"/>
        <w:ind w:firstLine="720" w:firstLineChars="3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本公司（联合体）郑重声明，根据《政府采购促进中小企业发展管理办法》（财库﹝2020﹞46 号）的规定，本公司</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（联合体）</w:t>
      </w:r>
      <w:r>
        <w:rPr>
          <w:rFonts w:hint="eastAsia" w:ascii="宋体" w:hAnsi="宋体" w:eastAsia="宋体" w:cs="宋体"/>
          <w:b w:val="0"/>
          <w:bCs w:val="0"/>
          <w:color w:val="auto"/>
          <w:sz w:val="24"/>
          <w:szCs w:val="24"/>
          <w:highlight w:val="none"/>
        </w:rPr>
        <w:t>参加</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u w:val="single"/>
        </w:rPr>
        <w:t>（单位名称）</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（项目名称）</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3C6751A4">
      <w:pPr>
        <w:widowControl/>
        <w:spacing w:line="480" w:lineRule="auto"/>
        <w:ind w:firstLine="720" w:firstLineChars="3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u w:val="single"/>
        </w:rPr>
        <w:t>（标的名称）</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（采购文件中明确的所属行业）</w:t>
      </w:r>
      <w:r>
        <w:rPr>
          <w:rFonts w:hint="eastAsia" w:ascii="宋体" w:hAnsi="宋体" w:eastAsia="宋体" w:cs="宋体"/>
          <w:b w:val="0"/>
          <w:bCs w:val="0"/>
          <w:color w:val="auto"/>
          <w:sz w:val="24"/>
          <w:szCs w:val="24"/>
          <w:highlight w:val="none"/>
        </w:rPr>
        <w:t>；承建（承接）企业为</w:t>
      </w:r>
      <w:r>
        <w:rPr>
          <w:rFonts w:hint="eastAsia" w:ascii="宋体" w:hAnsi="宋体" w:eastAsia="宋体" w:cs="宋体"/>
          <w:b w:val="0"/>
          <w:bCs w:val="0"/>
          <w:color w:val="auto"/>
          <w:sz w:val="24"/>
          <w:szCs w:val="24"/>
          <w:highlight w:val="none"/>
          <w:u w:val="single"/>
        </w:rPr>
        <w:t>（企业名称）</w:t>
      </w:r>
      <w:r>
        <w:rPr>
          <w:rFonts w:hint="eastAsia" w:ascii="宋体" w:hAnsi="宋体" w:eastAsia="宋体" w:cs="宋体"/>
          <w:b w:val="0"/>
          <w:bCs w:val="0"/>
          <w:color w:val="auto"/>
          <w:sz w:val="24"/>
          <w:szCs w:val="24"/>
          <w:highlight w:val="none"/>
        </w:rPr>
        <w:t>，从业人员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rPr>
        <w:t xml:space="preserve">人，营业收入为 </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（中型企业、小型企业、微型企业）</w:t>
      </w:r>
      <w:r>
        <w:rPr>
          <w:rFonts w:hint="eastAsia" w:ascii="宋体" w:hAnsi="宋体" w:eastAsia="宋体" w:cs="宋体"/>
          <w:b w:val="0"/>
          <w:bCs w:val="0"/>
          <w:color w:val="auto"/>
          <w:sz w:val="24"/>
          <w:szCs w:val="24"/>
          <w:highlight w:val="none"/>
        </w:rPr>
        <w:t>；</w:t>
      </w:r>
    </w:p>
    <w:p w14:paraId="5E56480C">
      <w:pPr>
        <w:widowControl/>
        <w:spacing w:line="480" w:lineRule="auto"/>
        <w:ind w:firstLine="720" w:firstLineChars="3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u w:val="single"/>
        </w:rPr>
        <w:t>（标的名称）</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（采购文件中明确的所属行业）</w:t>
      </w:r>
      <w:r>
        <w:rPr>
          <w:rFonts w:hint="eastAsia" w:ascii="宋体" w:hAnsi="宋体" w:eastAsia="宋体" w:cs="宋体"/>
          <w:b w:val="0"/>
          <w:bCs w:val="0"/>
          <w:color w:val="auto"/>
          <w:sz w:val="24"/>
          <w:szCs w:val="24"/>
          <w:highlight w:val="none"/>
        </w:rPr>
        <w:t>；承建（承接）企业为</w:t>
      </w:r>
      <w:r>
        <w:rPr>
          <w:rFonts w:hint="eastAsia" w:ascii="宋体" w:hAnsi="宋体" w:eastAsia="宋体" w:cs="宋体"/>
          <w:b w:val="0"/>
          <w:bCs w:val="0"/>
          <w:color w:val="auto"/>
          <w:sz w:val="24"/>
          <w:szCs w:val="24"/>
          <w:highlight w:val="none"/>
          <w:u w:val="single"/>
        </w:rPr>
        <w:t>（企业名称）</w:t>
      </w:r>
      <w:r>
        <w:rPr>
          <w:rFonts w:hint="eastAsia" w:ascii="宋体" w:hAnsi="宋体" w:eastAsia="宋体" w:cs="宋体"/>
          <w:b w:val="0"/>
          <w:bCs w:val="0"/>
          <w:color w:val="auto"/>
          <w:sz w:val="24"/>
          <w:szCs w:val="24"/>
          <w:highlight w:val="none"/>
        </w:rPr>
        <w:t>，从业人员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rPr>
        <w:t xml:space="preserve">人，营业收入为 </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（中型企业、小型企业、微型企业）</w:t>
      </w:r>
      <w:r>
        <w:rPr>
          <w:rFonts w:hint="eastAsia" w:ascii="宋体" w:hAnsi="宋体" w:eastAsia="宋体" w:cs="宋体"/>
          <w:b w:val="0"/>
          <w:bCs w:val="0"/>
          <w:color w:val="auto"/>
          <w:sz w:val="24"/>
          <w:szCs w:val="24"/>
          <w:highlight w:val="none"/>
        </w:rPr>
        <w:t>；</w:t>
      </w:r>
    </w:p>
    <w:p w14:paraId="3AEA53A6">
      <w:pPr>
        <w:widowControl/>
        <w:spacing w:line="480" w:lineRule="auto"/>
        <w:ind w:firstLine="720" w:firstLineChars="300"/>
        <w:jc w:val="left"/>
        <w:rPr>
          <w:rFonts w:hint="eastAsia" w:ascii="宋体" w:hAnsi="宋体" w:eastAsia="宋体" w:cs="宋体"/>
          <w:b w:val="0"/>
          <w:bCs w:val="0"/>
          <w:color w:val="auto"/>
          <w:sz w:val="24"/>
          <w:szCs w:val="24"/>
          <w:highlight w:val="none"/>
        </w:rPr>
      </w:pPr>
    </w:p>
    <w:p w14:paraId="7386A746">
      <w:pPr>
        <w:widowControl/>
        <w:spacing w:line="480" w:lineRule="auto"/>
        <w:ind w:firstLine="720" w:firstLineChars="3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p w14:paraId="143D7123">
      <w:pPr>
        <w:widowControl/>
        <w:spacing w:line="480" w:lineRule="auto"/>
        <w:ind w:firstLine="720" w:firstLineChars="3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以上企业，不属于大企业的分支机构，不存在控股股东为大企业的情形，也不存在与大企业的负责人为同一人的情形。</w:t>
      </w:r>
    </w:p>
    <w:p w14:paraId="6AF5F77B">
      <w:pPr>
        <w:widowControl/>
        <w:spacing w:line="480" w:lineRule="auto"/>
        <w:ind w:firstLine="720" w:firstLineChars="3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本企业对上述声明内容的真实性负责。如有虚假，将依法承担相应责任。</w:t>
      </w:r>
    </w:p>
    <w:p w14:paraId="596AA236">
      <w:pPr>
        <w:snapToGrid w:val="0"/>
        <w:spacing w:line="560" w:lineRule="exact"/>
        <w:ind w:firstLine="4989" w:firstLineChars="207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（盖章） </w:t>
      </w:r>
    </w:p>
    <w:p w14:paraId="0D0B5165">
      <w:pPr>
        <w:snapToGrid w:val="0"/>
        <w:spacing w:line="560" w:lineRule="exact"/>
        <w:ind w:firstLine="5040" w:firstLineChars="2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月   日</w:t>
      </w:r>
    </w:p>
    <w:p w14:paraId="658912F1">
      <w:pPr>
        <w:snapToGrid w:val="0"/>
        <w:spacing w:line="560" w:lineRule="exact"/>
        <w:ind w:firstLine="4468" w:firstLineChars="1862"/>
        <w:rPr>
          <w:rFonts w:hint="eastAsia" w:ascii="宋体" w:hAnsi="宋体" w:eastAsia="宋体" w:cs="宋体"/>
          <w:color w:val="auto"/>
          <w:sz w:val="24"/>
          <w:highlight w:val="none"/>
        </w:rPr>
      </w:pPr>
    </w:p>
    <w:p w14:paraId="0CC08919">
      <w:pPr>
        <w:widowControl/>
        <w:ind w:firstLine="540" w:firstLineChars="300"/>
        <w:jc w:val="left"/>
        <w:rPr>
          <w:rFonts w:hint="eastAsia" w:ascii="宋体" w:hAnsi="宋体" w:eastAsia="宋体" w:cs="宋体"/>
          <w:color w:val="auto"/>
          <w:kern w:val="0"/>
          <w:sz w:val="18"/>
          <w:szCs w:val="18"/>
          <w:highlight w:val="none"/>
        </w:rPr>
      </w:pPr>
    </w:p>
    <w:p w14:paraId="38C63589">
      <w:pPr>
        <w:widowControl/>
        <w:ind w:firstLine="540" w:firstLineChars="300"/>
        <w:jc w:val="left"/>
        <w:rPr>
          <w:rFonts w:hint="eastAsia" w:ascii="宋体" w:hAnsi="宋体" w:eastAsia="宋体" w:cs="宋体"/>
          <w:color w:val="auto"/>
          <w:kern w:val="0"/>
          <w:sz w:val="18"/>
          <w:szCs w:val="18"/>
          <w:highlight w:val="none"/>
        </w:rPr>
      </w:pPr>
    </w:p>
    <w:p w14:paraId="2FED57BA">
      <w:pPr>
        <w:widowControl/>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从业人员、营业收入、资产总额填报上一年度数据，无上一年度数据的新成立企业可不填报。</w:t>
      </w:r>
    </w:p>
    <w:p w14:paraId="4380DA4F">
      <w:pPr>
        <w:widowControl/>
        <w:jc w:val="both"/>
        <w:rPr>
          <w:color w:val="auto"/>
          <w:highlight w:val="none"/>
        </w:rPr>
      </w:pPr>
    </w:p>
    <w:p w14:paraId="7023ABEF">
      <w:pPr>
        <w:rPr>
          <w:rFonts w:hint="eastAsia"/>
          <w:color w:val="auto"/>
          <w:highlight w:val="none"/>
          <w:lang w:val="en-US" w:eastAsia="zh-CN"/>
        </w:rPr>
      </w:pPr>
      <w:r>
        <w:rPr>
          <w:rFonts w:hint="eastAsia"/>
          <w:color w:val="auto"/>
          <w:highlight w:val="none"/>
          <w:lang w:val="en-US" w:eastAsia="zh-CN"/>
        </w:rPr>
        <w:br w:type="page"/>
      </w:r>
    </w:p>
    <w:p w14:paraId="56757137">
      <w:pPr>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附件2、残疾人福利性单位声明函</w:t>
      </w:r>
    </w:p>
    <w:p w14:paraId="065F3776">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本单位郑重声明，根据《财政部 民政部 中国残疾人联合会关于促进残疾人就业政府采购 政策的通知》（财库〔2017〕 141 号）的规定，本单位为符合条件的残疾人福利性单位，且本 单位参加</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单位的</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1BA5978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本单位对上述声明的真实性负责。如有虚假，将依法承担相应责任。 </w:t>
      </w:r>
    </w:p>
    <w:p w14:paraId="3A48494C">
      <w:pPr>
        <w:pStyle w:val="5"/>
        <w:rPr>
          <w:color w:val="auto"/>
          <w:sz w:val="24"/>
          <w:szCs w:val="24"/>
          <w:highlight w:val="none"/>
        </w:rPr>
      </w:pPr>
    </w:p>
    <w:p w14:paraId="09F3EE9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highlight w:val="none"/>
        </w:rPr>
      </w:pPr>
      <w:r>
        <w:rPr>
          <w:rFonts w:hint="eastAsia" w:ascii="宋体" w:hAnsi="宋体"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val="en-US" w:eastAsia="zh-CN" w:bidi="ar"/>
        </w:rPr>
        <w:t xml:space="preserve">： （盖章） </w:t>
      </w:r>
    </w:p>
    <w:p w14:paraId="0AA5FE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日期： 年 月 日 </w:t>
      </w:r>
    </w:p>
    <w:p w14:paraId="0C690A3E">
      <w:pPr>
        <w:pStyle w:val="5"/>
        <w:rPr>
          <w:color w:val="auto"/>
          <w:highlight w:val="none"/>
        </w:rPr>
      </w:pPr>
    </w:p>
    <w:p w14:paraId="5DD2A898">
      <w:pPr>
        <w:keepNext w:val="0"/>
        <w:keepLines w:val="0"/>
        <w:widowControl/>
        <w:suppressLineNumbers w:val="0"/>
        <w:spacing w:line="360" w:lineRule="auto"/>
        <w:jc w:val="left"/>
        <w:rPr>
          <w:color w:val="auto"/>
          <w:highlight w:val="none"/>
        </w:rPr>
      </w:pPr>
      <w:r>
        <w:rPr>
          <w:rFonts w:hint="eastAsia" w:ascii="宋体" w:hAnsi="宋体" w:eastAsia="宋体" w:cs="宋体"/>
          <w:b/>
          <w:bCs/>
          <w:color w:val="auto"/>
          <w:kern w:val="0"/>
          <w:sz w:val="21"/>
          <w:szCs w:val="21"/>
          <w:highlight w:val="none"/>
          <w:lang w:val="en-US" w:eastAsia="zh-CN" w:bidi="ar"/>
        </w:rPr>
        <w:t>（提醒：如果</w:t>
      </w:r>
      <w:r>
        <w:rPr>
          <w:rFonts w:hint="eastAsia" w:ascii="宋体" w:hAnsi="宋体" w:cs="宋体"/>
          <w:b/>
          <w:bCs/>
          <w:color w:val="auto"/>
          <w:kern w:val="0"/>
          <w:sz w:val="21"/>
          <w:szCs w:val="21"/>
          <w:highlight w:val="none"/>
          <w:lang w:val="en-US" w:eastAsia="zh-CN" w:bidi="ar"/>
        </w:rPr>
        <w:t>供应商</w:t>
      </w:r>
      <w:r>
        <w:rPr>
          <w:rFonts w:hint="eastAsia" w:ascii="宋体" w:hAnsi="宋体" w:eastAsia="宋体" w:cs="宋体"/>
          <w:b/>
          <w:bCs/>
          <w:color w:val="auto"/>
          <w:kern w:val="0"/>
          <w:sz w:val="21"/>
          <w:szCs w:val="21"/>
          <w:highlight w:val="none"/>
          <w:lang w:val="en-US" w:eastAsia="zh-CN" w:bidi="ar"/>
        </w:rPr>
        <w:t>不是残疾人福利性单位，则不需要填写《残疾人福利性单位声明函》。否则，因此导致虚假投标的后果由</w:t>
      </w:r>
      <w:r>
        <w:rPr>
          <w:rFonts w:hint="eastAsia" w:ascii="宋体" w:hAnsi="宋体" w:cs="宋体"/>
          <w:b/>
          <w:bCs/>
          <w:color w:val="auto"/>
          <w:kern w:val="0"/>
          <w:sz w:val="21"/>
          <w:szCs w:val="21"/>
          <w:highlight w:val="none"/>
          <w:lang w:val="en-US" w:eastAsia="zh-CN" w:bidi="ar"/>
        </w:rPr>
        <w:t>供应商</w:t>
      </w:r>
      <w:r>
        <w:rPr>
          <w:rFonts w:hint="eastAsia" w:ascii="宋体" w:hAnsi="宋体" w:eastAsia="宋体" w:cs="宋体"/>
          <w:b/>
          <w:bCs/>
          <w:color w:val="auto"/>
          <w:kern w:val="0"/>
          <w:sz w:val="21"/>
          <w:szCs w:val="21"/>
          <w:highlight w:val="none"/>
          <w:lang w:val="en-US" w:eastAsia="zh-CN" w:bidi="ar"/>
        </w:rPr>
        <w:t xml:space="preserve">自行承担。） </w:t>
      </w:r>
    </w:p>
    <w:p w14:paraId="5F94010B">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《财政部民政部中国残疾人联合会关于促进残疾人就业政府采购政策的通知》（财库（</w:t>
      </w:r>
      <w:r>
        <w:rPr>
          <w:rFonts w:hint="default" w:ascii="Times New Roman" w:hAnsi="Times New Roman" w:eastAsia="宋体" w:cs="Times New Roman"/>
          <w:color w:val="auto"/>
          <w:kern w:val="0"/>
          <w:sz w:val="21"/>
          <w:szCs w:val="21"/>
          <w:highlight w:val="none"/>
          <w:lang w:val="en-US" w:eastAsia="zh-CN" w:bidi="ar"/>
        </w:rPr>
        <w:t>2017</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141</w:t>
      </w:r>
      <w:r>
        <w:rPr>
          <w:rFonts w:hint="eastAsia" w:ascii="宋体" w:hAnsi="宋体" w:eastAsia="宋体" w:cs="宋体"/>
          <w:color w:val="auto"/>
          <w:kern w:val="0"/>
          <w:sz w:val="21"/>
          <w:szCs w:val="21"/>
          <w:highlight w:val="none"/>
          <w:lang w:val="en-US" w:eastAsia="zh-CN" w:bidi="ar"/>
        </w:rPr>
        <w:t xml:space="preserve">〕 </w:t>
      </w:r>
    </w:p>
    <w:p w14:paraId="76693CD7">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号）的规定： </w:t>
      </w:r>
    </w:p>
    <w:p w14:paraId="3AF7C470">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1.享受政府采购支持政策的残疾人福利性单位应当同时满足以下条件： </w:t>
      </w:r>
    </w:p>
    <w:p w14:paraId="12E8B7A7">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 xml:space="preserve">）安置的残疾人占本单位在职职工人数的比例不低于 </w:t>
      </w:r>
      <w:r>
        <w:rPr>
          <w:rFonts w:hint="default" w:ascii="Times New Roman" w:hAnsi="Times New Roman" w:eastAsia="宋体" w:cs="Times New Roman"/>
          <w:color w:val="auto"/>
          <w:kern w:val="0"/>
          <w:sz w:val="21"/>
          <w:szCs w:val="21"/>
          <w:highlight w:val="none"/>
          <w:lang w:val="en-US" w:eastAsia="zh-CN" w:bidi="ar"/>
        </w:rPr>
        <w:t>25%</w:t>
      </w:r>
      <w:r>
        <w:rPr>
          <w:rFonts w:hint="eastAsia" w:ascii="宋体" w:hAnsi="宋体" w:eastAsia="宋体" w:cs="宋体"/>
          <w:color w:val="auto"/>
          <w:kern w:val="0"/>
          <w:sz w:val="21"/>
          <w:szCs w:val="21"/>
          <w:highlight w:val="none"/>
          <w:lang w:val="en-US" w:eastAsia="zh-CN" w:bidi="ar"/>
        </w:rPr>
        <w:t xml:space="preserve">（含 </w:t>
      </w:r>
      <w:r>
        <w:rPr>
          <w:rFonts w:hint="default" w:ascii="Times New Roman" w:hAnsi="Times New Roman" w:eastAsia="宋体" w:cs="Times New Roman"/>
          <w:color w:val="auto"/>
          <w:kern w:val="0"/>
          <w:sz w:val="21"/>
          <w:szCs w:val="21"/>
          <w:highlight w:val="none"/>
          <w:lang w:val="en-US" w:eastAsia="zh-CN" w:bidi="ar"/>
        </w:rPr>
        <w:t>25%</w:t>
      </w:r>
      <w:r>
        <w:rPr>
          <w:rFonts w:hint="eastAsia" w:ascii="宋体" w:hAnsi="宋体" w:eastAsia="宋体" w:cs="宋体"/>
          <w:color w:val="auto"/>
          <w:kern w:val="0"/>
          <w:sz w:val="21"/>
          <w:szCs w:val="21"/>
          <w:highlight w:val="none"/>
          <w:lang w:val="en-US" w:eastAsia="zh-CN" w:bidi="ar"/>
        </w:rPr>
        <w:t xml:space="preserve">），并且安置的残疾人人数不 少于 </w:t>
      </w:r>
      <w:r>
        <w:rPr>
          <w:rFonts w:hint="default" w:ascii="Times New Roman" w:hAnsi="Times New Roman" w:eastAsia="宋体" w:cs="Times New Roman"/>
          <w:color w:val="auto"/>
          <w:kern w:val="0"/>
          <w:sz w:val="21"/>
          <w:szCs w:val="21"/>
          <w:highlight w:val="none"/>
          <w:lang w:val="en-US" w:eastAsia="zh-CN" w:bidi="ar"/>
        </w:rPr>
        <w:t xml:space="preserve">10 </w:t>
      </w:r>
      <w:r>
        <w:rPr>
          <w:rFonts w:hint="eastAsia" w:ascii="宋体" w:hAnsi="宋体" w:eastAsia="宋体" w:cs="宋体"/>
          <w:color w:val="auto"/>
          <w:kern w:val="0"/>
          <w:sz w:val="21"/>
          <w:szCs w:val="21"/>
          <w:highlight w:val="none"/>
          <w:lang w:val="en-US" w:eastAsia="zh-CN" w:bidi="ar"/>
        </w:rPr>
        <w:t xml:space="preserve">人（含 </w:t>
      </w:r>
      <w:r>
        <w:rPr>
          <w:rFonts w:hint="default" w:ascii="Times New Roman" w:hAnsi="Times New Roman" w:eastAsia="宋体" w:cs="Times New Roman"/>
          <w:color w:val="auto"/>
          <w:kern w:val="0"/>
          <w:sz w:val="21"/>
          <w:szCs w:val="21"/>
          <w:highlight w:val="none"/>
          <w:lang w:val="en-US" w:eastAsia="zh-CN" w:bidi="ar"/>
        </w:rPr>
        <w:t xml:space="preserve">10 </w:t>
      </w:r>
      <w:r>
        <w:rPr>
          <w:rFonts w:hint="eastAsia" w:ascii="宋体" w:hAnsi="宋体" w:eastAsia="宋体" w:cs="宋体"/>
          <w:color w:val="auto"/>
          <w:kern w:val="0"/>
          <w:sz w:val="21"/>
          <w:szCs w:val="21"/>
          <w:highlight w:val="none"/>
          <w:lang w:val="en-US" w:eastAsia="zh-CN" w:bidi="ar"/>
        </w:rPr>
        <w:t xml:space="preserve">人）； </w:t>
      </w:r>
    </w:p>
    <w:p w14:paraId="52F22EDE">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）依法与安置的每位残疾人签订了一年以上（含一年）的劳动合同或服务协议； </w:t>
      </w:r>
    </w:p>
    <w:p w14:paraId="206BF936">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）为安置的每位残疾人按月足额缴纳了基本养老保险、基本医疗保险、失业保险、工伤保险和生 育保险等社会保险费； </w:t>
      </w:r>
    </w:p>
    <w:p w14:paraId="23A1E15F">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）通过银行等金融机构向安置的每位残疾人，按月支付了不低于单位所在区县适用的经省级</w:t>
      </w:r>
      <w:r>
        <w:rPr>
          <w:rFonts w:hint="eastAsia" w:ascii="宋体" w:hAnsi="宋体" w:cs="宋体"/>
          <w:color w:val="auto"/>
          <w:kern w:val="0"/>
          <w:sz w:val="21"/>
          <w:szCs w:val="21"/>
          <w:highlight w:val="none"/>
          <w:lang w:val="en-US" w:eastAsia="zh-CN" w:bidi="ar"/>
        </w:rPr>
        <w:t>人民政府</w:t>
      </w:r>
      <w:r>
        <w:rPr>
          <w:rFonts w:hint="eastAsia" w:ascii="宋体" w:hAnsi="宋体" w:eastAsia="宋体" w:cs="宋体"/>
          <w:color w:val="auto"/>
          <w:kern w:val="0"/>
          <w:sz w:val="21"/>
          <w:szCs w:val="21"/>
          <w:highlight w:val="none"/>
          <w:lang w:val="en-US" w:eastAsia="zh-CN" w:bidi="ar"/>
        </w:rPr>
        <w:t xml:space="preserve">批准的月最低工资标准的工资； </w:t>
      </w:r>
    </w:p>
    <w:p w14:paraId="22DE0D70">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）提供本单位制造的货物、承担的工程或者服务（以下简称产品），或者提供其他残疾人福利性 单位制造的货物（不包括使用非残疾人福利性单位注册商标的货物）。 </w:t>
      </w:r>
    </w:p>
    <w:p w14:paraId="5325D530">
      <w:pPr>
        <w:pStyle w:val="41"/>
        <w:spacing w:line="360" w:lineRule="auto"/>
        <w:rPr>
          <w:color w:val="auto"/>
          <w:highlight w:val="none"/>
        </w:rPr>
      </w:pPr>
      <w:r>
        <w:rPr>
          <w:rFonts w:hint="eastAsia" w:ascii="宋体" w:hAnsi="宋体" w:eastAsia="宋体" w:cs="宋体"/>
          <w:color w:val="auto"/>
          <w:kern w:val="0"/>
          <w:sz w:val="21"/>
          <w:szCs w:val="21"/>
          <w:highlight w:val="none"/>
          <w:lang w:val="en-US" w:eastAsia="zh-CN" w:bidi="ar"/>
        </w:rPr>
        <w:t>2.中标人为残疾人福利性单位的，采购人或者其委托的采购代理机构应当随中标、中标结果同时公告其《残疾人福利性单位声明函》，接受社会监督。</w:t>
      </w:r>
    </w:p>
    <w:p w14:paraId="46E125CD">
      <w:pPr>
        <w:spacing w:line="360" w:lineRule="auto"/>
        <w:rPr>
          <w:rFonts w:hint="eastAsia"/>
          <w:color w:val="auto"/>
          <w:highlight w:val="none"/>
          <w:lang w:val="en-US" w:eastAsia="zh-CN"/>
        </w:rPr>
      </w:pPr>
    </w:p>
    <w:p w14:paraId="397E9765">
      <w:pPr>
        <w:spacing w:line="360" w:lineRule="auto"/>
        <w:rPr>
          <w:rFonts w:hint="eastAsia"/>
          <w:color w:val="auto"/>
          <w:highlight w:val="none"/>
          <w:lang w:val="en-US" w:eastAsia="zh-CN"/>
        </w:rPr>
      </w:pPr>
    </w:p>
    <w:p w14:paraId="043361D6">
      <w:pPr>
        <w:pStyle w:val="44"/>
        <w:ind w:firstLine="3092" w:firstLineChars="11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附件3、监狱企业</w:t>
      </w:r>
    </w:p>
    <w:p w14:paraId="2A0546BF">
      <w:pPr>
        <w:pStyle w:val="44"/>
        <w:ind w:firstLine="2811" w:firstLineChars="1000"/>
        <w:rPr>
          <w:rFonts w:hint="eastAsia" w:ascii="宋体" w:hAnsi="宋体" w:eastAsia="宋体" w:cs="宋体"/>
          <w:b/>
          <w:bCs/>
          <w:color w:val="auto"/>
          <w:sz w:val="28"/>
          <w:szCs w:val="28"/>
          <w:highlight w:val="none"/>
          <w:lang w:val="en-US" w:eastAsia="zh-CN"/>
        </w:rPr>
      </w:pPr>
    </w:p>
    <w:p w14:paraId="4B10EF80">
      <w:pPr>
        <w:pStyle w:val="44"/>
        <w:spacing w:line="360" w:lineRule="auto"/>
        <w:ind w:firstLine="480" w:firstLineChars="200"/>
        <w:rPr>
          <w:rFonts w:hint="eastAsia" w:ascii="宋体" w:hAnsi="宋体" w:eastAsia="宋体" w:cs="宋体"/>
          <w:b/>
          <w:bCs/>
          <w:color w:val="auto"/>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监狱企业参加政府采购活动时</w:t>
      </w:r>
      <w:r>
        <w:rPr>
          <w:rFonts w:hint="eastAsia" w:ascii="宋体" w:hAnsi="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应当提供由省级以上监狱管理局</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戒毒管理局</w:t>
      </w:r>
      <w:r>
        <w:rPr>
          <w:rFonts w:hint="eastAsia" w:ascii="宋体" w:hAnsi="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含新疆生产建设兵团</w:t>
      </w:r>
      <w:r>
        <w:rPr>
          <w:rFonts w:hint="eastAsia" w:ascii="宋体" w:hAnsi="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出具的属于监狱企业的证明文件</w:t>
      </w:r>
      <w:r>
        <w:rPr>
          <w:rFonts w:hint="eastAsia" w:ascii="宋体" w:hAnsi="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材料不全的不予折扣。经</w:t>
      </w:r>
      <w:r>
        <w:rPr>
          <w:rFonts w:hint="eastAsia" w:ascii="宋体" w:hAnsi="宋体" w:eastAsia="宋体" w:cs="宋体"/>
          <w:i w:val="0"/>
          <w:iCs w:val="0"/>
          <w:caps w:val="0"/>
          <w:color w:val="auto"/>
          <w:spacing w:val="0"/>
          <w:sz w:val="24"/>
          <w:szCs w:val="24"/>
          <w:highlight w:val="none"/>
          <w:shd w:val="clear" w:fill="FFFFFF"/>
          <w:lang w:eastAsia="zh-CN"/>
        </w:rPr>
        <w:t>评委会</w:t>
      </w:r>
      <w:r>
        <w:rPr>
          <w:rFonts w:hint="eastAsia" w:ascii="宋体" w:hAnsi="宋体" w:eastAsia="宋体" w:cs="宋体"/>
          <w:i w:val="0"/>
          <w:iCs w:val="0"/>
          <w:caps w:val="0"/>
          <w:color w:val="auto"/>
          <w:spacing w:val="0"/>
          <w:sz w:val="24"/>
          <w:szCs w:val="24"/>
          <w:highlight w:val="none"/>
          <w:shd w:val="clear" w:fill="FFFFFF"/>
        </w:rPr>
        <w:t>审核确认投标供应商属于监狱企业的</w:t>
      </w:r>
      <w:r>
        <w:rPr>
          <w:rFonts w:hint="eastAsia" w:ascii="宋体" w:hAnsi="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在评</w:t>
      </w:r>
      <w:r>
        <w:rPr>
          <w:rFonts w:hint="eastAsia" w:ascii="宋体" w:hAnsi="宋体" w:eastAsia="宋体" w:cs="宋体"/>
          <w:i w:val="0"/>
          <w:iCs w:val="0"/>
          <w:caps w:val="0"/>
          <w:color w:val="auto"/>
          <w:spacing w:val="0"/>
          <w:sz w:val="24"/>
          <w:szCs w:val="24"/>
          <w:highlight w:val="none"/>
          <w:shd w:val="clear" w:fill="FFFFFF"/>
          <w:lang w:eastAsia="zh-CN"/>
        </w:rPr>
        <w:t>审</w:t>
      </w:r>
      <w:r>
        <w:rPr>
          <w:rFonts w:hint="eastAsia" w:ascii="宋体" w:hAnsi="宋体" w:eastAsia="宋体" w:cs="宋体"/>
          <w:i w:val="0"/>
          <w:iCs w:val="0"/>
          <w:caps w:val="0"/>
          <w:color w:val="auto"/>
          <w:spacing w:val="0"/>
          <w:sz w:val="24"/>
          <w:szCs w:val="24"/>
          <w:highlight w:val="none"/>
          <w:shd w:val="clear" w:fill="FFFFFF"/>
        </w:rPr>
        <w:t>时视同小</w:t>
      </w:r>
      <w:r>
        <w:rPr>
          <w:rFonts w:hint="eastAsia" w:ascii="宋体" w:hAnsi="宋体" w:eastAsia="宋体" w:cs="宋体"/>
          <w:i w:val="0"/>
          <w:iCs w:val="0"/>
          <w:caps w:val="0"/>
          <w:color w:val="auto"/>
          <w:spacing w:val="0"/>
          <w:sz w:val="24"/>
          <w:szCs w:val="24"/>
          <w:highlight w:val="none"/>
          <w:shd w:val="clear" w:fill="FFFFFF"/>
          <w:lang w:eastAsia="zh-CN"/>
        </w:rPr>
        <w:t>微</w:t>
      </w:r>
      <w:r>
        <w:rPr>
          <w:rFonts w:hint="eastAsia" w:ascii="宋体" w:hAnsi="宋体" w:eastAsia="宋体" w:cs="宋体"/>
          <w:i w:val="0"/>
          <w:iCs w:val="0"/>
          <w:caps w:val="0"/>
          <w:color w:val="auto"/>
          <w:spacing w:val="0"/>
          <w:sz w:val="24"/>
          <w:szCs w:val="24"/>
          <w:highlight w:val="none"/>
          <w:shd w:val="clear" w:fill="FFFFFF"/>
        </w:rPr>
        <w:t>企业。</w:t>
      </w:r>
      <w:r>
        <w:rPr>
          <w:rFonts w:hint="eastAsia" w:ascii="宋体" w:hAnsi="宋体" w:eastAsia="宋体" w:cs="宋体"/>
          <w:i w:val="0"/>
          <w:iCs w:val="0"/>
          <w:caps w:val="0"/>
          <w:color w:val="auto"/>
          <w:spacing w:val="0"/>
          <w:sz w:val="24"/>
          <w:szCs w:val="24"/>
          <w:highlight w:val="none"/>
          <w:shd w:val="clear" w:fill="FFFFFF"/>
          <w:lang w:eastAsia="zh-CN"/>
        </w:rPr>
        <w:t>不是监狱企业的，不用提供。</w:t>
      </w:r>
    </w:p>
    <w:p w14:paraId="4260DB60">
      <w:pPr>
        <w:pStyle w:val="44"/>
        <w:rPr>
          <w:rFonts w:hint="eastAsia" w:ascii="宋体" w:hAnsi="宋体" w:eastAsia="宋体" w:cs="宋体"/>
          <w:b/>
          <w:bCs/>
          <w:color w:val="auto"/>
          <w:highlight w:val="none"/>
          <w:lang w:val="en-US" w:eastAsia="zh-CN"/>
        </w:rPr>
      </w:pPr>
    </w:p>
    <w:p w14:paraId="55CF43DC">
      <w:pPr>
        <w:pStyle w:val="44"/>
        <w:rPr>
          <w:rFonts w:hint="eastAsia" w:ascii="宋体" w:hAnsi="宋体" w:eastAsia="宋体" w:cs="宋体"/>
          <w:b/>
          <w:bCs/>
          <w:color w:val="auto"/>
          <w:highlight w:val="none"/>
          <w:lang w:val="en-US" w:eastAsia="zh-CN"/>
        </w:rPr>
      </w:pPr>
    </w:p>
    <w:p w14:paraId="6A4AD567">
      <w:pPr>
        <w:pStyle w:val="44"/>
        <w:rPr>
          <w:rFonts w:hint="eastAsia" w:ascii="宋体" w:hAnsi="宋体" w:eastAsia="宋体" w:cs="宋体"/>
          <w:b/>
          <w:bCs/>
          <w:color w:val="auto"/>
          <w:highlight w:val="none"/>
          <w:lang w:val="en-US" w:eastAsia="zh-CN"/>
        </w:rPr>
      </w:pPr>
    </w:p>
    <w:p w14:paraId="12B4916B">
      <w:pPr>
        <w:pStyle w:val="44"/>
        <w:rPr>
          <w:rFonts w:hint="eastAsia" w:ascii="宋体" w:hAnsi="宋体" w:eastAsia="宋体" w:cs="宋体"/>
          <w:b/>
          <w:bCs/>
          <w:color w:val="auto"/>
          <w:highlight w:val="none"/>
          <w:lang w:val="en-US" w:eastAsia="zh-CN"/>
        </w:rPr>
      </w:pPr>
    </w:p>
    <w:p w14:paraId="18AEACE6">
      <w:pPr>
        <w:pStyle w:val="44"/>
        <w:rPr>
          <w:rFonts w:hint="eastAsia" w:ascii="宋体" w:hAnsi="宋体" w:eastAsia="宋体" w:cs="宋体"/>
          <w:b/>
          <w:bCs/>
          <w:color w:val="auto"/>
          <w:highlight w:val="none"/>
          <w:lang w:val="en-US" w:eastAsia="zh-CN"/>
        </w:rPr>
      </w:pPr>
    </w:p>
    <w:p w14:paraId="7BABCE3B">
      <w:pPr>
        <w:pStyle w:val="44"/>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附件4、节能环保产品证明文件</w:t>
      </w:r>
    </w:p>
    <w:p w14:paraId="4BB5A96F">
      <w:pPr>
        <w:pStyle w:val="29"/>
        <w:spacing w:line="360" w:lineRule="auto"/>
        <w:ind w:leftChars="0" w:firstLineChars="0"/>
        <w:rPr>
          <w:rFonts w:hint="eastAsia" w:ascii="宋体" w:hAnsi="宋体" w:eastAsia="宋体" w:cs="宋体"/>
          <w:color w:val="auto"/>
          <w:highlight w:val="none"/>
        </w:rPr>
      </w:pPr>
    </w:p>
    <w:p w14:paraId="118CAF21">
      <w:pPr>
        <w:adjustRightInd w:val="0"/>
        <w:snapToGrid w:val="0"/>
        <w:spacing w:line="360" w:lineRule="auto"/>
        <w:ind w:firstLine="480" w:firstLineChars="200"/>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国家确定的认证机构出具的、处于有效期之内的节能产品、环境标志产品认证证书。</w:t>
      </w:r>
      <w:r>
        <w:rPr>
          <w:rFonts w:hint="eastAsia" w:ascii="宋体" w:hAnsi="宋体" w:eastAsia="宋体" w:cs="宋体"/>
          <w:i w:val="0"/>
          <w:iCs w:val="0"/>
          <w:caps w:val="0"/>
          <w:color w:val="auto"/>
          <w:spacing w:val="0"/>
          <w:sz w:val="24"/>
          <w:szCs w:val="24"/>
          <w:highlight w:val="none"/>
          <w:shd w:val="clear" w:color="auto" w:fill="FFFFFF"/>
          <w:lang w:eastAsia="zh-CN"/>
        </w:rPr>
        <w:t>不是节能环保产品的，不用提供。</w:t>
      </w:r>
    </w:p>
    <w:p w14:paraId="0B7748BA">
      <w:pPr>
        <w:pStyle w:val="44"/>
        <w:rPr>
          <w:rFonts w:hint="eastAsia" w:ascii="宋体" w:hAnsi="宋体" w:eastAsia="宋体" w:cs="宋体"/>
          <w:b/>
          <w:bCs/>
          <w:color w:val="auto"/>
          <w:highlight w:val="none"/>
          <w:lang w:val="en-US" w:eastAsia="zh-CN"/>
        </w:rPr>
      </w:pPr>
    </w:p>
    <w:p w14:paraId="1CE5F689">
      <w:pPr>
        <w:pStyle w:val="44"/>
        <w:rPr>
          <w:rFonts w:hint="eastAsia" w:ascii="宋体" w:hAnsi="宋体" w:eastAsia="宋体" w:cs="宋体"/>
          <w:b/>
          <w:bCs/>
          <w:color w:val="auto"/>
          <w:highlight w:val="none"/>
          <w:lang w:val="en-US" w:eastAsia="zh-CN"/>
        </w:rPr>
      </w:pPr>
    </w:p>
    <w:p w14:paraId="447E17BE">
      <w:pPr>
        <w:pStyle w:val="44"/>
        <w:rPr>
          <w:rFonts w:hint="eastAsia" w:ascii="宋体" w:hAnsi="宋体" w:eastAsia="宋体" w:cs="宋体"/>
          <w:b/>
          <w:bCs/>
          <w:color w:val="auto"/>
          <w:highlight w:val="none"/>
          <w:lang w:val="en-US" w:eastAsia="zh-CN"/>
        </w:rPr>
      </w:pPr>
    </w:p>
    <w:p w14:paraId="3CB5D3CF">
      <w:pPr>
        <w:pStyle w:val="44"/>
        <w:rPr>
          <w:rFonts w:hint="eastAsia" w:ascii="宋体" w:hAnsi="宋体" w:eastAsia="宋体" w:cs="宋体"/>
          <w:b/>
          <w:bCs/>
          <w:color w:val="auto"/>
          <w:highlight w:val="none"/>
          <w:lang w:val="en-US" w:eastAsia="zh-CN"/>
        </w:rPr>
      </w:pPr>
    </w:p>
    <w:p w14:paraId="5AE614D4">
      <w:pPr>
        <w:pStyle w:val="44"/>
        <w:rPr>
          <w:rFonts w:hint="eastAsia" w:ascii="宋体" w:hAnsi="宋体" w:eastAsia="宋体" w:cs="宋体"/>
          <w:b/>
          <w:bCs/>
          <w:color w:val="auto"/>
          <w:highlight w:val="none"/>
          <w:lang w:val="en-US" w:eastAsia="zh-CN"/>
        </w:rPr>
      </w:pPr>
    </w:p>
    <w:p w14:paraId="1BCCB58C">
      <w:pPr>
        <w:pStyle w:val="44"/>
        <w:rPr>
          <w:rFonts w:hint="eastAsia" w:ascii="宋体" w:hAnsi="宋体" w:eastAsia="宋体" w:cs="宋体"/>
          <w:b/>
          <w:bCs/>
          <w:color w:val="auto"/>
          <w:highlight w:val="none"/>
          <w:lang w:val="en-US" w:eastAsia="zh-CN"/>
        </w:rPr>
      </w:pPr>
    </w:p>
    <w:p w14:paraId="54E96519">
      <w:pPr>
        <w:pStyle w:val="44"/>
        <w:rPr>
          <w:rFonts w:hint="eastAsia" w:ascii="宋体" w:hAnsi="宋体" w:eastAsia="宋体" w:cs="宋体"/>
          <w:b/>
          <w:bCs/>
          <w:color w:val="auto"/>
          <w:highlight w:val="none"/>
          <w:lang w:val="en-US" w:eastAsia="zh-CN"/>
        </w:rPr>
      </w:pPr>
    </w:p>
    <w:p w14:paraId="1C75320F">
      <w:pPr>
        <w:pStyle w:val="44"/>
        <w:rPr>
          <w:rFonts w:hint="eastAsia" w:ascii="宋体" w:hAnsi="宋体" w:eastAsia="宋体" w:cs="宋体"/>
          <w:b/>
          <w:bCs/>
          <w:color w:val="auto"/>
          <w:highlight w:val="none"/>
          <w:lang w:val="en-US" w:eastAsia="zh-CN"/>
        </w:rPr>
      </w:pPr>
    </w:p>
    <w:p w14:paraId="2A2D1883">
      <w:pPr>
        <w:pStyle w:val="44"/>
        <w:rPr>
          <w:rFonts w:hint="eastAsia" w:ascii="宋体" w:hAnsi="宋体" w:eastAsia="宋体" w:cs="宋体"/>
          <w:b/>
          <w:bCs/>
          <w:color w:val="auto"/>
          <w:highlight w:val="none"/>
          <w:lang w:val="en-US" w:eastAsia="zh-CN"/>
        </w:rPr>
      </w:pPr>
    </w:p>
    <w:p w14:paraId="03814349">
      <w:pPr>
        <w:pStyle w:val="44"/>
        <w:rPr>
          <w:rFonts w:hint="eastAsia" w:ascii="宋体" w:hAnsi="宋体" w:eastAsia="宋体" w:cs="宋体"/>
          <w:b/>
          <w:bCs/>
          <w:color w:val="auto"/>
          <w:highlight w:val="none"/>
          <w:lang w:val="en-US" w:eastAsia="zh-CN"/>
        </w:rPr>
      </w:pPr>
    </w:p>
    <w:p w14:paraId="02B65AD7">
      <w:pPr>
        <w:pStyle w:val="44"/>
        <w:rPr>
          <w:rFonts w:hint="eastAsia" w:ascii="宋体" w:hAnsi="宋体" w:eastAsia="宋体" w:cs="宋体"/>
          <w:b/>
          <w:bCs/>
          <w:color w:val="auto"/>
          <w:highlight w:val="none"/>
          <w:lang w:val="en-US" w:eastAsia="zh-CN"/>
        </w:rPr>
      </w:pPr>
    </w:p>
    <w:p w14:paraId="78B3CD28">
      <w:pPr>
        <w:pStyle w:val="44"/>
        <w:rPr>
          <w:rFonts w:hint="eastAsia" w:ascii="宋体" w:hAnsi="宋体" w:eastAsia="宋体" w:cs="宋体"/>
          <w:b/>
          <w:bCs/>
          <w:color w:val="auto"/>
          <w:highlight w:val="none"/>
          <w:lang w:val="en-US" w:eastAsia="zh-CN"/>
        </w:rPr>
      </w:pPr>
    </w:p>
    <w:p w14:paraId="1DCB88C2">
      <w:pPr>
        <w:pStyle w:val="44"/>
        <w:rPr>
          <w:rFonts w:hint="eastAsia" w:ascii="宋体" w:hAnsi="宋体" w:eastAsia="宋体" w:cs="宋体"/>
          <w:b/>
          <w:bCs/>
          <w:color w:val="auto"/>
          <w:highlight w:val="none"/>
          <w:lang w:val="en-US" w:eastAsia="zh-CN"/>
        </w:rPr>
      </w:pPr>
    </w:p>
    <w:p w14:paraId="101B10E3">
      <w:pPr>
        <w:pStyle w:val="44"/>
        <w:rPr>
          <w:rFonts w:hint="eastAsia" w:ascii="宋体" w:hAnsi="宋体" w:eastAsia="宋体" w:cs="宋体"/>
          <w:b/>
          <w:bCs/>
          <w:color w:val="auto"/>
          <w:highlight w:val="none"/>
          <w:lang w:val="en-US" w:eastAsia="zh-CN"/>
        </w:rPr>
      </w:pPr>
    </w:p>
    <w:p w14:paraId="6196C6BB">
      <w:pPr>
        <w:pStyle w:val="44"/>
        <w:rPr>
          <w:rFonts w:hint="eastAsia" w:ascii="宋体" w:hAnsi="宋体" w:eastAsia="宋体" w:cs="宋体"/>
          <w:b/>
          <w:bCs/>
          <w:color w:val="auto"/>
          <w:highlight w:val="none"/>
          <w:lang w:val="en-US" w:eastAsia="zh-CN"/>
        </w:rPr>
      </w:pPr>
    </w:p>
    <w:p w14:paraId="59629B89">
      <w:pPr>
        <w:pStyle w:val="44"/>
        <w:rPr>
          <w:rFonts w:hint="eastAsia" w:ascii="宋体" w:hAnsi="宋体" w:eastAsia="宋体" w:cs="宋体"/>
          <w:b/>
          <w:bCs/>
          <w:color w:val="auto"/>
          <w:highlight w:val="none"/>
          <w:lang w:val="en-US" w:eastAsia="zh-CN"/>
        </w:rPr>
      </w:pPr>
    </w:p>
    <w:p w14:paraId="2FFE34BE">
      <w:pPr>
        <w:pStyle w:val="44"/>
        <w:rPr>
          <w:rFonts w:hint="eastAsia" w:ascii="宋体" w:hAnsi="宋体" w:eastAsia="宋体" w:cs="宋体"/>
          <w:b/>
          <w:bCs/>
          <w:color w:val="auto"/>
          <w:highlight w:val="none"/>
          <w:lang w:val="en-US" w:eastAsia="zh-CN"/>
        </w:rPr>
      </w:pPr>
    </w:p>
    <w:p w14:paraId="6C391B29">
      <w:pPr>
        <w:pStyle w:val="44"/>
        <w:rPr>
          <w:rFonts w:hint="eastAsia" w:ascii="宋体" w:hAnsi="宋体" w:eastAsia="宋体" w:cs="宋体"/>
          <w:b/>
          <w:bCs/>
          <w:color w:val="auto"/>
          <w:highlight w:val="none"/>
          <w:lang w:val="en-US" w:eastAsia="zh-CN"/>
        </w:rPr>
      </w:pPr>
    </w:p>
    <w:p w14:paraId="1D8D9DE0">
      <w:pPr>
        <w:pStyle w:val="44"/>
        <w:rPr>
          <w:rFonts w:hint="eastAsia" w:ascii="宋体" w:hAnsi="宋体" w:eastAsia="宋体" w:cs="宋体"/>
          <w:b/>
          <w:bCs/>
          <w:color w:val="auto"/>
          <w:highlight w:val="none"/>
          <w:lang w:val="en-US" w:eastAsia="zh-CN"/>
        </w:rPr>
      </w:pPr>
    </w:p>
    <w:p w14:paraId="7A9115A4">
      <w:pPr>
        <w:pageBreakBefore w:val="0"/>
        <w:overflowPunct/>
        <w:topLinePunct w:val="0"/>
        <w:bidi w:val="0"/>
        <w:adjustRightInd/>
        <w:snapToGrid/>
        <w:spacing w:line="360" w:lineRule="auto"/>
        <w:ind w:left="210" w:leftChars="100"/>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bCs/>
          <w:color w:val="auto"/>
          <w:sz w:val="28"/>
          <w:szCs w:val="28"/>
          <w:highlight w:val="none"/>
          <w:lang w:val="en-US" w:eastAsia="zh-CN"/>
        </w:rPr>
        <w:t>附件5、</w:t>
      </w:r>
      <w:r>
        <w:rPr>
          <w:rFonts w:hint="eastAsia" w:ascii="宋体" w:hAnsi="宋体" w:eastAsia="宋体" w:cs="宋体"/>
          <w:b/>
          <w:color w:val="auto"/>
          <w:kern w:val="2"/>
          <w:sz w:val="28"/>
          <w:szCs w:val="28"/>
          <w:highlight w:val="none"/>
          <w:lang w:val="en-US" w:eastAsia="zh-CN" w:bidi="ar-SA"/>
        </w:rPr>
        <w:t>反商业贿赂承诺书</w:t>
      </w:r>
    </w:p>
    <w:p w14:paraId="79C75A0C">
      <w:pPr>
        <w:pageBreakBefore w:val="0"/>
        <w:overflowPunct/>
        <w:topLinePunct w:val="0"/>
        <w:bidi w:val="0"/>
        <w:adjustRightInd/>
        <w:snapToGrid/>
        <w:spacing w:line="360" w:lineRule="auto"/>
        <w:ind w:left="210" w:left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14:paraId="50AACBE9">
      <w:pPr>
        <w:pageBreakBefore w:val="0"/>
        <w:overflowPunct/>
        <w:topLinePunct w:val="0"/>
        <w:bidi w:val="0"/>
        <w:adjustRightInd/>
        <w:snapToGrid/>
        <w:spacing w:line="360" w:lineRule="auto"/>
        <w:ind w:left="21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w:t>
      </w:r>
    </w:p>
    <w:p w14:paraId="70D66074">
      <w:pPr>
        <w:pStyle w:val="5"/>
        <w:rPr>
          <w:rFonts w:hint="eastAsia" w:ascii="宋体" w:hAnsi="宋体" w:eastAsia="宋体" w:cs="宋体"/>
          <w:color w:val="auto"/>
          <w:highlight w:val="none"/>
        </w:rPr>
      </w:pPr>
    </w:p>
    <w:p w14:paraId="2B2C7E5C">
      <w:pPr>
        <w:pageBreakBefore w:val="0"/>
        <w:overflowPunct/>
        <w:topLinePunct w:val="0"/>
        <w:autoSpaceDE w:val="0"/>
        <w:autoSpaceDN w:val="0"/>
        <w:bidi w:val="0"/>
        <w:adjustRightInd/>
        <w:snapToGrid/>
        <w:spacing w:line="360" w:lineRule="auto"/>
        <w:ind w:left="210" w:leftChars="100" w:firstLine="472"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2"/>
          <w:sz w:val="24"/>
          <w:szCs w:val="24"/>
          <w:highlight w:val="none"/>
        </w:rPr>
        <w:t>招标活动中，我公司保证做到：</w:t>
      </w:r>
    </w:p>
    <w:p w14:paraId="660D2E18">
      <w:pPr>
        <w:pageBreakBefore w:val="0"/>
        <w:overflowPunct/>
        <w:topLinePunct w:val="0"/>
        <w:bidi w:val="0"/>
        <w:adjustRightInd/>
        <w:snapToGrid/>
        <w:spacing w:line="360" w:lineRule="auto"/>
        <w:ind w:left="210" w:leftChars="1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一、公平竞争参加本次招标活动。</w:t>
      </w:r>
    </w:p>
    <w:p w14:paraId="7988989D">
      <w:pPr>
        <w:pageBreakBefore w:val="0"/>
        <w:overflowPunct/>
        <w:topLinePunct w:val="0"/>
        <w:bidi w:val="0"/>
        <w:adjustRightInd/>
        <w:snapToGrid/>
        <w:spacing w:line="360" w:lineRule="auto"/>
        <w:ind w:left="210" w:leftChars="1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A1A9CE9">
      <w:pPr>
        <w:pageBreakBefore w:val="0"/>
        <w:overflowPunct/>
        <w:topLinePunct w:val="0"/>
        <w:bidi w:val="0"/>
        <w:adjustRightInd/>
        <w:snapToGrid/>
        <w:spacing w:line="360" w:lineRule="auto"/>
        <w:ind w:left="210" w:leftChars="10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三、若出现上述行为，我公司及参与投标的工作人员愿意接受按照国家法律法规等有关规定给予的处罚。 </w:t>
      </w:r>
    </w:p>
    <w:p w14:paraId="03A07103">
      <w:pPr>
        <w:pageBreakBefore w:val="0"/>
        <w:overflowPunct/>
        <w:topLinePunct w:val="0"/>
        <w:bidi w:val="0"/>
        <w:adjustRightInd/>
        <w:snapToGrid/>
        <w:spacing w:line="360" w:lineRule="auto"/>
        <w:ind w:left="210" w:leftChars="100" w:firstLine="3840" w:firstLineChars="1600"/>
        <w:rPr>
          <w:rFonts w:hint="eastAsia" w:ascii="宋体" w:hAnsi="宋体" w:eastAsia="宋体" w:cs="宋体"/>
          <w:color w:val="auto"/>
          <w:sz w:val="24"/>
          <w:szCs w:val="24"/>
          <w:highlight w:val="none"/>
        </w:rPr>
      </w:pPr>
    </w:p>
    <w:p w14:paraId="14A7D411">
      <w:pPr>
        <w:pageBreakBefore w:val="0"/>
        <w:overflowPunct/>
        <w:topLinePunct w:val="0"/>
        <w:bidi w:val="0"/>
        <w:adjustRightInd/>
        <w:snapToGrid/>
        <w:spacing w:line="360" w:lineRule="auto"/>
        <w:ind w:left="210" w:leftChars="100" w:firstLine="3840" w:firstLineChars="1600"/>
        <w:rPr>
          <w:rFonts w:hint="eastAsia" w:ascii="宋体" w:hAnsi="宋体" w:eastAsia="宋体" w:cs="宋体"/>
          <w:color w:val="auto"/>
          <w:sz w:val="24"/>
          <w:szCs w:val="24"/>
          <w:highlight w:val="none"/>
        </w:rPr>
      </w:pPr>
    </w:p>
    <w:p w14:paraId="4D7A24D6">
      <w:pPr>
        <w:pStyle w:val="44"/>
        <w:ind w:firstLine="2811" w:firstLineChars="1000"/>
        <w:rPr>
          <w:rFonts w:hint="eastAsia" w:ascii="宋体" w:hAnsi="宋体" w:eastAsia="宋体" w:cs="宋体"/>
          <w:b/>
          <w:bCs/>
          <w:color w:val="auto"/>
          <w:sz w:val="28"/>
          <w:szCs w:val="28"/>
          <w:highlight w:val="none"/>
          <w:lang w:val="en-US" w:eastAsia="zh-CN"/>
        </w:rPr>
      </w:pPr>
    </w:p>
    <w:p w14:paraId="4AF5E155">
      <w:pPr>
        <w:spacing w:line="360" w:lineRule="auto"/>
        <w:ind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（盖章）</w:t>
      </w:r>
    </w:p>
    <w:p w14:paraId="618BF27E">
      <w:pPr>
        <w:spacing w:line="360" w:lineRule="auto"/>
        <w:ind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rPr>
        <w:t xml:space="preserve">                  </w:t>
      </w:r>
    </w:p>
    <w:p w14:paraId="7CD81941">
      <w:pPr>
        <w:pStyle w:val="73"/>
        <w:spacing w:line="360" w:lineRule="auto"/>
        <w:ind w:firstLine="5520" w:firstLineChars="2300"/>
        <w:rPr>
          <w:rFonts w:hint="eastAsia" w:ascii="宋体" w:hAnsi="宋体" w:eastAsia="宋体" w:cs="宋体"/>
          <w:color w:val="auto"/>
          <w:highlight w:val="none"/>
        </w:rPr>
      </w:pP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40A331EC">
      <w:pPr>
        <w:pStyle w:val="44"/>
        <w:rPr>
          <w:rFonts w:hint="eastAsia" w:ascii="宋体" w:hAnsi="宋体" w:eastAsia="宋体" w:cs="宋体"/>
          <w:b/>
          <w:bCs/>
          <w:color w:val="auto"/>
          <w:highlight w:val="none"/>
          <w:lang w:val="en-US" w:eastAsia="zh-CN"/>
        </w:rPr>
      </w:pPr>
    </w:p>
    <w:p w14:paraId="0B18E5AD">
      <w:pPr>
        <w:pStyle w:val="44"/>
        <w:rPr>
          <w:rFonts w:hint="eastAsia" w:ascii="宋体" w:hAnsi="宋体" w:eastAsia="宋体" w:cs="宋体"/>
          <w:b/>
          <w:bCs/>
          <w:color w:val="auto"/>
          <w:highlight w:val="none"/>
          <w:lang w:val="en-US" w:eastAsia="zh-CN"/>
        </w:rPr>
      </w:pPr>
    </w:p>
    <w:p w14:paraId="3941BC93">
      <w:pPr>
        <w:pStyle w:val="44"/>
        <w:rPr>
          <w:rFonts w:hint="eastAsia" w:ascii="宋体" w:hAnsi="宋体" w:eastAsia="宋体" w:cs="宋体"/>
          <w:b/>
          <w:bCs/>
          <w:color w:val="auto"/>
          <w:highlight w:val="none"/>
          <w:lang w:val="en-US" w:eastAsia="zh-CN"/>
        </w:rPr>
      </w:pPr>
    </w:p>
    <w:p w14:paraId="6FA9D9CB">
      <w:p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br w:type="page"/>
      </w:r>
    </w:p>
    <w:p w14:paraId="301B2EA3">
      <w:pPr>
        <w:pStyle w:val="44"/>
        <w:rPr>
          <w:rFonts w:hint="eastAsia"/>
          <w:color w:val="auto"/>
          <w:highlight w:val="none"/>
          <w:lang w:val="en-US" w:eastAsia="zh-CN"/>
        </w:rPr>
      </w:pPr>
      <w:r>
        <w:rPr>
          <w:rFonts w:hint="eastAsia"/>
          <w:color w:val="auto"/>
          <w:highlight w:val="none"/>
          <w:lang w:val="en-US" w:eastAsia="zh-CN"/>
        </w:rPr>
        <w:t>附表</w:t>
      </w:r>
    </w:p>
    <w:p w14:paraId="144FFAEA">
      <w:pPr>
        <w:pStyle w:val="8"/>
        <w:jc w:val="center"/>
        <w:rPr>
          <w:b/>
          <w:color w:val="auto"/>
          <w:sz w:val="20"/>
        </w:rPr>
      </w:pPr>
      <w:r>
        <w:rPr>
          <w:rFonts w:hint="eastAsia"/>
          <w:b/>
          <w:color w:val="auto"/>
          <w:sz w:val="28"/>
        </w:rPr>
        <w:t>最终报价表</w:t>
      </w:r>
    </w:p>
    <w:p w14:paraId="3BFA9E14">
      <w:pPr>
        <w:pStyle w:val="8"/>
        <w:spacing w:before="6"/>
        <w:rPr>
          <w:b/>
          <w:color w:val="auto"/>
          <w:sz w:val="12"/>
        </w:rPr>
      </w:pPr>
    </w:p>
    <w:tbl>
      <w:tblPr>
        <w:tblStyle w:val="30"/>
        <w:tblW w:w="9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8"/>
        <w:gridCol w:w="1187"/>
        <w:gridCol w:w="6985"/>
      </w:tblGrid>
      <w:tr w14:paraId="30951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jc w:val="center"/>
        </w:trPr>
        <w:tc>
          <w:tcPr>
            <w:tcW w:w="1698" w:type="dxa"/>
          </w:tcPr>
          <w:p w14:paraId="2CBD0D57">
            <w:pPr>
              <w:pStyle w:val="72"/>
              <w:spacing w:before="10"/>
              <w:rPr>
                <w:rFonts w:hint="eastAsia" w:ascii="宋体" w:hAnsi="宋体" w:eastAsia="宋体" w:cs="宋体"/>
                <w:b/>
                <w:bCs w:val="0"/>
                <w:color w:val="auto"/>
                <w:sz w:val="24"/>
                <w:highlight w:val="none"/>
              </w:rPr>
            </w:pPr>
          </w:p>
          <w:p w14:paraId="0884F0C4">
            <w:pPr>
              <w:pStyle w:val="72"/>
              <w:ind w:left="107" w:right="100"/>
              <w:jc w:val="center"/>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项目名称</w:t>
            </w:r>
          </w:p>
        </w:tc>
        <w:tc>
          <w:tcPr>
            <w:tcW w:w="8172" w:type="dxa"/>
            <w:gridSpan w:val="2"/>
          </w:tcPr>
          <w:p w14:paraId="4BD77C7D">
            <w:pPr>
              <w:pStyle w:val="72"/>
              <w:rPr>
                <w:rFonts w:hint="eastAsia" w:ascii="宋体" w:hAnsi="宋体" w:eastAsia="宋体" w:cs="宋体"/>
                <w:b/>
                <w:bCs w:val="0"/>
                <w:color w:val="auto"/>
                <w:sz w:val="24"/>
                <w:highlight w:val="none"/>
              </w:rPr>
            </w:pPr>
          </w:p>
        </w:tc>
      </w:tr>
      <w:tr w14:paraId="0E288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1698" w:type="dxa"/>
          </w:tcPr>
          <w:p w14:paraId="0EE0D2F4">
            <w:pPr>
              <w:pStyle w:val="72"/>
              <w:spacing w:before="1"/>
              <w:rPr>
                <w:rFonts w:hint="eastAsia" w:ascii="宋体" w:hAnsi="宋体" w:eastAsia="宋体" w:cs="宋体"/>
                <w:b/>
                <w:bCs w:val="0"/>
                <w:color w:val="auto"/>
                <w:highlight w:val="none"/>
              </w:rPr>
            </w:pPr>
          </w:p>
          <w:p w14:paraId="6626365D">
            <w:pPr>
              <w:pStyle w:val="72"/>
              <w:ind w:left="107" w:right="100"/>
              <w:jc w:val="center"/>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eastAsia="zh-CN"/>
              </w:rPr>
              <w:t>供应商</w:t>
            </w:r>
            <w:r>
              <w:rPr>
                <w:rFonts w:hint="eastAsia" w:ascii="宋体" w:hAnsi="宋体" w:eastAsia="宋体" w:cs="宋体"/>
                <w:b/>
                <w:bCs w:val="0"/>
                <w:color w:val="auto"/>
                <w:sz w:val="24"/>
                <w:highlight w:val="none"/>
              </w:rPr>
              <w:t>名称</w:t>
            </w:r>
          </w:p>
        </w:tc>
        <w:tc>
          <w:tcPr>
            <w:tcW w:w="8172" w:type="dxa"/>
            <w:gridSpan w:val="2"/>
          </w:tcPr>
          <w:p w14:paraId="39127D3C">
            <w:pPr>
              <w:pStyle w:val="72"/>
              <w:rPr>
                <w:rFonts w:hint="eastAsia" w:ascii="宋体" w:hAnsi="宋体" w:eastAsia="宋体" w:cs="宋体"/>
                <w:b/>
                <w:bCs w:val="0"/>
                <w:color w:val="auto"/>
                <w:sz w:val="24"/>
                <w:highlight w:val="none"/>
              </w:rPr>
            </w:pPr>
          </w:p>
        </w:tc>
      </w:tr>
      <w:tr w14:paraId="149D6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 w:hRule="atLeast"/>
          <w:jc w:val="center"/>
        </w:trPr>
        <w:tc>
          <w:tcPr>
            <w:tcW w:w="2885" w:type="dxa"/>
            <w:gridSpan w:val="2"/>
            <w:vAlign w:val="center"/>
          </w:tcPr>
          <w:p w14:paraId="24803444">
            <w:pPr>
              <w:pStyle w:val="72"/>
              <w:spacing w:before="10"/>
              <w:jc w:val="center"/>
              <w:rPr>
                <w:rFonts w:hint="eastAsia" w:ascii="宋体" w:hAnsi="宋体" w:eastAsia="宋体" w:cs="宋体"/>
                <w:b/>
                <w:bCs w:val="0"/>
                <w:color w:val="auto"/>
                <w:sz w:val="24"/>
                <w:highlight w:val="none"/>
                <w:lang w:eastAsia="zh-CN"/>
              </w:rPr>
            </w:pPr>
            <w:r>
              <w:rPr>
                <w:rFonts w:hint="eastAsia" w:ascii="宋体" w:hAnsi="宋体" w:eastAsia="宋体" w:cs="宋体"/>
                <w:b/>
                <w:bCs/>
                <w:color w:val="auto"/>
                <w:highlight w:val="none"/>
                <w:vertAlign w:val="baseline"/>
                <w:lang w:eastAsia="zh-CN"/>
              </w:rPr>
              <w:t>磋商</w:t>
            </w:r>
            <w:r>
              <w:rPr>
                <w:rFonts w:hint="eastAsia" w:ascii="宋体" w:hAnsi="宋体" w:cs="宋体"/>
                <w:b/>
                <w:bCs/>
                <w:color w:val="auto"/>
                <w:highlight w:val="none"/>
                <w:vertAlign w:val="baseline"/>
                <w:lang w:val="en-US" w:eastAsia="zh-CN"/>
              </w:rPr>
              <w:t>报价（元/年）</w:t>
            </w:r>
          </w:p>
        </w:tc>
        <w:tc>
          <w:tcPr>
            <w:tcW w:w="6985" w:type="dxa"/>
            <w:vAlign w:val="center"/>
          </w:tcPr>
          <w:p w14:paraId="1F7BDA98">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color w:val="auto"/>
                <w:sz w:val="24"/>
                <w:highlight w:val="none"/>
                <w:lang w:eastAsia="zh-CN"/>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元每年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（小写</w:t>
            </w:r>
            <w:r>
              <w:rPr>
                <w:rFonts w:hint="eastAsia" w:ascii="宋体" w:hAnsi="宋体" w:cs="宋体"/>
                <w:color w:val="auto"/>
                <w:sz w:val="24"/>
                <w:highlight w:val="none"/>
                <w:u w:val="single"/>
                <w:lang w:val="en-US" w:eastAsia="zh-CN"/>
              </w:rPr>
              <w:t xml:space="preserve">         元/年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tc>
      </w:tr>
      <w:tr w14:paraId="0645A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jc w:val="center"/>
        </w:trPr>
        <w:tc>
          <w:tcPr>
            <w:tcW w:w="2885" w:type="dxa"/>
            <w:gridSpan w:val="2"/>
          </w:tcPr>
          <w:p w14:paraId="2A2903DB">
            <w:pPr>
              <w:pStyle w:val="72"/>
              <w:spacing w:before="178"/>
              <w:ind w:left="60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需要说明的问题</w:t>
            </w:r>
          </w:p>
        </w:tc>
        <w:tc>
          <w:tcPr>
            <w:tcW w:w="6985" w:type="dxa"/>
          </w:tcPr>
          <w:p w14:paraId="78F833E5">
            <w:pPr>
              <w:pStyle w:val="72"/>
              <w:rPr>
                <w:rFonts w:hint="eastAsia" w:ascii="宋体" w:hAnsi="宋体" w:eastAsia="宋体" w:cs="宋体"/>
                <w:color w:val="auto"/>
                <w:sz w:val="24"/>
                <w:highlight w:val="none"/>
              </w:rPr>
            </w:pPr>
          </w:p>
        </w:tc>
      </w:tr>
    </w:tbl>
    <w:p w14:paraId="5BDE392F">
      <w:pPr>
        <w:pStyle w:val="8"/>
        <w:spacing w:before="6"/>
        <w:rPr>
          <w:b/>
          <w:color w:val="auto"/>
          <w:sz w:val="40"/>
        </w:rPr>
      </w:pPr>
    </w:p>
    <w:p w14:paraId="492C31BA">
      <w:pPr>
        <w:spacing w:line="360" w:lineRule="auto"/>
        <w:ind w:firstLine="4320" w:firstLineChars="1800"/>
        <w:rPr>
          <w:rFonts w:ascii="宋体" w:hAnsi="宋体" w:cs="宋体"/>
          <w:kern w:val="0"/>
          <w:sz w:val="24"/>
        </w:rPr>
      </w:pPr>
      <w:r>
        <w:rPr>
          <w:rFonts w:hint="eastAsia" w:ascii="宋体" w:hAnsi="宋体" w:cs="宋体"/>
          <w:kern w:val="0"/>
          <w:sz w:val="24"/>
        </w:rPr>
        <w:t>供应商名称：（盖章）</w:t>
      </w:r>
    </w:p>
    <w:p w14:paraId="04FB952E">
      <w:pPr>
        <w:spacing w:line="360" w:lineRule="auto"/>
        <w:ind w:firstLine="4320" w:firstLineChars="1800"/>
        <w:rPr>
          <w:rFonts w:ascii="宋体" w:hAnsi="宋体" w:cs="宋体"/>
          <w:kern w:val="0"/>
          <w:sz w:val="24"/>
        </w:rPr>
      </w:pPr>
      <w:r>
        <w:rPr>
          <w:rFonts w:hint="eastAsia" w:ascii="宋体" w:hAnsi="宋体" w:cs="宋体"/>
          <w:sz w:val="24"/>
        </w:rPr>
        <w:t>法定代表人或其委托代理人：（签字或盖章）</w:t>
      </w:r>
      <w:r>
        <w:rPr>
          <w:rFonts w:hint="eastAsia" w:ascii="宋体" w:hAnsi="宋体" w:cs="宋体"/>
          <w:kern w:val="0"/>
          <w:sz w:val="24"/>
        </w:rPr>
        <w:t xml:space="preserve">                  </w:t>
      </w:r>
    </w:p>
    <w:p w14:paraId="0C7427E8">
      <w:pPr>
        <w:pStyle w:val="73"/>
        <w:spacing w:line="360" w:lineRule="auto"/>
        <w:ind w:firstLine="5520" w:firstLineChars="2300"/>
        <w:rPr>
          <w:rFonts w:ascii="宋体" w:hAnsi="宋体" w:cs="宋体"/>
        </w:rPr>
      </w:pPr>
      <w:r>
        <w:rPr>
          <w:rFonts w:hint="eastAsia" w:ascii="宋体" w:hAnsi="宋体" w:cs="宋体"/>
          <w:sz w:val="24"/>
        </w:rPr>
        <w:t>年     月    日</w:t>
      </w:r>
    </w:p>
    <w:p w14:paraId="3C34E098">
      <w:pPr>
        <w:pStyle w:val="8"/>
        <w:keepNext w:val="0"/>
        <w:keepLines w:val="0"/>
        <w:pageBreakBefore w:val="0"/>
        <w:widowControl w:val="0"/>
        <w:tabs>
          <w:tab w:val="left" w:pos="6203"/>
          <w:tab w:val="left" w:pos="6923"/>
        </w:tabs>
        <w:kinsoku/>
        <w:wordWrap/>
        <w:overflowPunct/>
        <w:topLinePunct w:val="0"/>
        <w:autoSpaceDE/>
        <w:autoSpaceDN/>
        <w:bidi w:val="0"/>
        <w:adjustRightInd/>
        <w:snapToGrid/>
        <w:spacing w:line="360" w:lineRule="auto"/>
        <w:ind w:left="0" w:firstLine="0"/>
        <w:jc w:val="right"/>
        <w:textAlignment w:val="auto"/>
        <w:rPr>
          <w:color w:val="auto"/>
        </w:rPr>
      </w:pPr>
    </w:p>
    <w:p w14:paraId="6E20F712">
      <w:pPr>
        <w:pStyle w:val="8"/>
        <w:tabs>
          <w:tab w:val="left" w:pos="6683"/>
          <w:tab w:val="left" w:pos="7643"/>
          <w:tab w:val="left" w:pos="8723"/>
        </w:tabs>
        <w:spacing w:before="144"/>
        <w:ind w:left="5604"/>
        <w:rPr>
          <w:color w:val="auto"/>
        </w:rPr>
      </w:pPr>
    </w:p>
    <w:p w14:paraId="763C9D1D">
      <w:pPr>
        <w:spacing w:line="360" w:lineRule="auto"/>
        <w:ind w:firstLine="442" w:firstLineChars="200"/>
        <w:rPr>
          <w:rFonts w:ascii="宋体" w:hAnsi="宋体"/>
          <w:b/>
          <w:color w:val="auto"/>
          <w:sz w:val="22"/>
          <w:szCs w:val="22"/>
        </w:rPr>
      </w:pPr>
      <w:r>
        <w:rPr>
          <w:rFonts w:hint="eastAsia" w:ascii="宋体" w:hAnsi="宋体"/>
          <w:b/>
          <w:color w:val="auto"/>
          <w:sz w:val="22"/>
          <w:szCs w:val="22"/>
          <w:lang w:eastAsia="zh-CN"/>
        </w:rPr>
        <w:t>供应商</w:t>
      </w:r>
      <w:r>
        <w:rPr>
          <w:rFonts w:hint="eastAsia" w:ascii="宋体" w:hAnsi="宋体"/>
          <w:b/>
          <w:color w:val="auto"/>
          <w:sz w:val="22"/>
          <w:szCs w:val="22"/>
        </w:rPr>
        <w:t>不得在响应性文件附此表，自行准备加盖单位公章的空白报价表若干份，以便在磋商小组规定的时间</w:t>
      </w:r>
      <w:r>
        <w:rPr>
          <w:rFonts w:hint="eastAsia" w:ascii="宋体" w:hAnsi="宋体"/>
          <w:b/>
          <w:bCs/>
          <w:color w:val="auto"/>
          <w:sz w:val="22"/>
          <w:szCs w:val="22"/>
          <w:u w:val="double"/>
        </w:rPr>
        <w:t>现场填写</w:t>
      </w:r>
      <w:r>
        <w:rPr>
          <w:rFonts w:hint="eastAsia" w:ascii="宋体" w:hAnsi="宋体"/>
          <w:b/>
          <w:bCs/>
          <w:color w:val="auto"/>
          <w:sz w:val="22"/>
          <w:szCs w:val="22"/>
        </w:rPr>
        <w:t>。</w:t>
      </w:r>
    </w:p>
    <w:p w14:paraId="188D15B3">
      <w:pPr>
        <w:spacing w:line="360" w:lineRule="auto"/>
        <w:rPr>
          <w:rFonts w:ascii="宋体" w:hAnsi="宋体"/>
          <w:b/>
          <w:color w:val="auto"/>
          <w:sz w:val="22"/>
          <w:szCs w:val="22"/>
        </w:rPr>
      </w:pPr>
      <w:r>
        <w:rPr>
          <w:rFonts w:ascii="宋体" w:hAnsi="宋体"/>
          <w:b/>
          <w:color w:val="auto"/>
          <w:sz w:val="22"/>
          <w:szCs w:val="22"/>
        </w:rPr>
        <w:t>注：本报价表格</w:t>
      </w:r>
      <w:r>
        <w:rPr>
          <w:rFonts w:hint="eastAsia" w:ascii="宋体" w:hAnsi="宋体"/>
          <w:b/>
          <w:color w:val="auto"/>
          <w:sz w:val="22"/>
          <w:szCs w:val="22"/>
        </w:rPr>
        <w:t>单独提交</w:t>
      </w:r>
      <w:r>
        <w:rPr>
          <w:rFonts w:ascii="宋体" w:hAnsi="宋体"/>
          <w:b/>
          <w:color w:val="auto"/>
          <w:sz w:val="22"/>
          <w:szCs w:val="22"/>
        </w:rPr>
        <w:t>，在</w:t>
      </w:r>
      <w:r>
        <w:rPr>
          <w:rFonts w:hint="eastAsia" w:ascii="宋体" w:hAnsi="宋体"/>
          <w:b/>
          <w:color w:val="auto"/>
          <w:sz w:val="22"/>
          <w:szCs w:val="22"/>
        </w:rPr>
        <w:t>磋商</w:t>
      </w:r>
      <w:r>
        <w:rPr>
          <w:rFonts w:ascii="宋体" w:hAnsi="宋体"/>
          <w:b/>
          <w:color w:val="auto"/>
          <w:sz w:val="22"/>
          <w:szCs w:val="22"/>
        </w:rPr>
        <w:t>过程中进行报价，不在响应性文件中列出。</w:t>
      </w:r>
    </w:p>
    <w:p w14:paraId="590139CC">
      <w:pPr>
        <w:pStyle w:val="8"/>
        <w:rPr>
          <w:rFonts w:ascii="宋体" w:hAnsi="宋体"/>
          <w:color w:val="auto"/>
        </w:rPr>
      </w:pPr>
    </w:p>
    <w:p w14:paraId="063A1DD2">
      <w:pPr>
        <w:pStyle w:val="8"/>
        <w:rPr>
          <w:rFonts w:ascii="宋体" w:hAnsi="宋体"/>
          <w:color w:val="auto"/>
        </w:rPr>
      </w:pPr>
    </w:p>
    <w:p w14:paraId="089207CC">
      <w:pPr>
        <w:pStyle w:val="5"/>
        <w:rPr>
          <w:rFonts w:hint="eastAsia" w:ascii="宋体" w:hAnsi="宋体" w:cs="仿宋_GB2312"/>
          <w:color w:val="auto"/>
          <w:sz w:val="24"/>
          <w:highlight w:val="none"/>
        </w:rPr>
      </w:pPr>
    </w:p>
    <w:p w14:paraId="7CE99385">
      <w:pPr>
        <w:rPr>
          <w:rFonts w:hint="eastAsia" w:ascii="宋体" w:hAnsi="宋体" w:cs="仿宋_GB2312"/>
          <w:color w:val="auto"/>
          <w:sz w:val="24"/>
          <w:highlight w:val="none"/>
        </w:rPr>
      </w:pPr>
    </w:p>
    <w:p w14:paraId="7AD5A35E">
      <w:pPr>
        <w:pStyle w:val="5"/>
        <w:rPr>
          <w:rFonts w:hint="eastAsia"/>
          <w:color w:val="auto"/>
        </w:rPr>
      </w:pPr>
    </w:p>
    <w:p w14:paraId="69F1584B">
      <w:pPr>
        <w:pStyle w:val="44"/>
        <w:rPr>
          <w:rFonts w:hint="eastAsia"/>
          <w:color w:val="auto"/>
          <w:highlight w:val="none"/>
          <w:lang w:val="en-US" w:eastAsia="zh-CN"/>
        </w:rPr>
      </w:pPr>
    </w:p>
    <w:sectPr>
      <w:footerReference r:id="rId11" w:type="first"/>
      <w:footerReference r:id="rId10" w:type="default"/>
      <w:pgSz w:w="11906" w:h="16838"/>
      <w:pgMar w:top="1440" w:right="1531" w:bottom="1440" w:left="1588"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5CB95">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3A95B">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BE09">
    <w:pPr>
      <w:pStyle w:val="16"/>
      <w:ind w:right="360"/>
      <w:rPr>
        <w:sz w:val="21"/>
        <w:szCs w:val="21"/>
      </w:rPr>
    </w:pPr>
    <w:r>
      <w:rPr>
        <w:rFonts w:hint="eastAsia" w:ascii="宋体" w:hAnsi="宋体"/>
        <w:sz w:val="44"/>
      </w:rPr>
      <w:drawing>
        <wp:anchor distT="0" distB="0" distL="114300" distR="114300" simplePos="0" relativeHeight="251661312" behindDoc="0" locked="0" layoutInCell="1" allowOverlap="1">
          <wp:simplePos x="0" y="0"/>
          <wp:positionH relativeFrom="column">
            <wp:posOffset>2672080</wp:posOffset>
          </wp:positionH>
          <wp:positionV relativeFrom="paragraph">
            <wp:posOffset>-4445</wp:posOffset>
          </wp:positionV>
          <wp:extent cx="217805" cy="156845"/>
          <wp:effectExtent l="0" t="0" r="10795" b="14605"/>
          <wp:wrapNone/>
          <wp:docPr id="1" name="Picture 2" descr="河南联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河南联达"/>
                  <pic:cNvPicPr>
                    <a:picLocks noChangeAspect="1" noChangeArrowheads="1"/>
                  </pic:cNvPicPr>
                </pic:nvPicPr>
                <pic:blipFill>
                  <a:blip r:embed="rId1" cstate="print"/>
                  <a:stretch>
                    <a:fillRect/>
                  </a:stretch>
                </pic:blipFill>
                <pic:spPr>
                  <a:xfrm>
                    <a:off x="0" y="0"/>
                    <a:ext cx="217805" cy="156845"/>
                  </a:xfrm>
                  <a:prstGeom prst="rect">
                    <a:avLst/>
                  </a:prstGeom>
                  <a:noFill/>
                  <a:ln w="9525">
                    <a:noFill/>
                    <a:miter lim="800000"/>
                    <a:headEnd/>
                    <a:tailEnd/>
                  </a:ln>
                </pic:spPr>
              </pic:pic>
            </a:graphicData>
          </a:graphic>
        </wp:anchor>
      </w:drawing>
    </w:r>
    <w:r>
      <w:rPr>
        <w:sz w:val="21"/>
        <w:szCs w:val="21"/>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-91440</wp:posOffset>
              </wp:positionV>
              <wp:extent cx="5715000" cy="635"/>
              <wp:effectExtent l="0" t="0" r="0" b="0"/>
              <wp:wrapNone/>
              <wp:docPr id="3" name="Line 2"/>
              <wp:cNvGraphicFramePr/>
              <a:graphic xmlns:a="http://schemas.openxmlformats.org/drawingml/2006/main">
                <a:graphicData uri="http://schemas.microsoft.com/office/word/2010/wordprocessingShape">
                  <wps:wsp>
                    <wps:cNvCnPr/>
                    <wps:spPr>
                      <a:xfrm flipV="1">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5.25pt;margin-top:-7.2pt;height:0.05pt;width:450pt;z-index:251659264;mso-width-relative:page;mso-height-relative:page;" filled="f" stroked="t" coordsize="21600,21600" o:gfxdata="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CfsN9gAAAAL&#10;AQAADwAAAAAAAAABACAAAAAiAAAAZHJzL2Rvd25yZXYueG1sUEsBAhQAFAAAAAgAh07iQCdw1rfj&#10;AQAA5QMAAA4AAAAAAAAAAQAgAAAAJwEAAGRycy9lMm9Eb2MueG1sUEsFBgAAAAAGAAYAWQEAAHwF&#10;AAAAAA==&#10;">
              <v:fill on="f" focussize="0,0"/>
              <v:stroke color="#000000" joinstyle="round"/>
              <v:imagedata o:title=""/>
              <o:lock v:ext="edit" aspectratio="f"/>
            </v:line>
          </w:pict>
        </mc:Fallback>
      </mc:AlternateContent>
    </w:r>
    <w:r>
      <w:rPr>
        <w:rFonts w:hint="eastAsia"/>
        <w:sz w:val="21"/>
        <w:szCs w:val="21"/>
      </w:rPr>
      <w:t>河南联达工程管理有限公司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01C9F">
    <w:pPr>
      <w:pStyle w:val="16"/>
      <w:framePr w:wrap="around" w:vAnchor="text" w:hAnchor="margin" w:xAlign="right" w:y="1"/>
      <w:rPr>
        <w:rStyle w:val="34"/>
      </w:rPr>
    </w:pPr>
    <w:r>
      <w:fldChar w:fldCharType="begin"/>
    </w:r>
    <w:r>
      <w:rPr>
        <w:rStyle w:val="34"/>
      </w:rPr>
      <w:instrText xml:space="preserve">PAGE  </w:instrText>
    </w:r>
    <w:r>
      <w:fldChar w:fldCharType="separate"/>
    </w:r>
    <w:r>
      <w:rPr>
        <w:rStyle w:val="34"/>
      </w:rPr>
      <w:t>- 2 -</w:t>
    </w:r>
    <w:r>
      <w:fldChar w:fldCharType="end"/>
    </w:r>
  </w:p>
  <w:p w14:paraId="26216539">
    <w:pPr>
      <w:pStyle w:val="1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11F2C">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B22D7">
    <w:pPr>
      <w:pStyle w:val="16"/>
      <w:ind w:right="360"/>
      <w:rPr>
        <w:sz w:val="21"/>
        <w:szCs w:val="21"/>
      </w:rPr>
    </w:pPr>
    <w:r>
      <w:rPr>
        <w:sz w:val="44"/>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00150">
                          <w:pPr>
                            <w:pStyle w:val="1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E800150">
                    <w:pPr>
                      <w:pStyle w:val="1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宋体" w:hAnsi="宋体"/>
        <w:sz w:val="44"/>
      </w:rPr>
      <w:drawing>
        <wp:anchor distT="0" distB="0" distL="114300" distR="114300" simplePos="0" relativeHeight="251663360" behindDoc="0" locked="0" layoutInCell="1" allowOverlap="1">
          <wp:simplePos x="0" y="0"/>
          <wp:positionH relativeFrom="column">
            <wp:posOffset>2672080</wp:posOffset>
          </wp:positionH>
          <wp:positionV relativeFrom="paragraph">
            <wp:posOffset>-4445</wp:posOffset>
          </wp:positionV>
          <wp:extent cx="217805" cy="156845"/>
          <wp:effectExtent l="0" t="0" r="10795" b="14605"/>
          <wp:wrapNone/>
          <wp:docPr id="7" name="Picture 2" descr="河南联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河南联达"/>
                  <pic:cNvPicPr>
                    <a:picLocks noChangeAspect="1" noChangeArrowheads="1"/>
                  </pic:cNvPicPr>
                </pic:nvPicPr>
                <pic:blipFill>
                  <a:blip r:embed="rId1" cstate="print"/>
                  <a:stretch>
                    <a:fillRect/>
                  </a:stretch>
                </pic:blipFill>
                <pic:spPr>
                  <a:xfrm>
                    <a:off x="0" y="0"/>
                    <a:ext cx="217805" cy="156845"/>
                  </a:xfrm>
                  <a:prstGeom prst="rect">
                    <a:avLst/>
                  </a:prstGeom>
                  <a:noFill/>
                  <a:ln w="9525">
                    <a:noFill/>
                    <a:miter lim="800000"/>
                    <a:headEnd/>
                    <a:tailEnd/>
                  </a:ln>
                </pic:spPr>
              </pic:pic>
            </a:graphicData>
          </a:graphic>
        </wp:anchor>
      </w:drawing>
    </w:r>
    <w:r>
      <w:rPr>
        <w:sz w:val="21"/>
        <w:szCs w:val="21"/>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-91440</wp:posOffset>
              </wp:positionV>
              <wp:extent cx="5715000" cy="635"/>
              <wp:effectExtent l="0" t="0" r="0" b="0"/>
              <wp:wrapNone/>
              <wp:docPr id="8" name="Line 2"/>
              <wp:cNvGraphicFramePr/>
              <a:graphic xmlns:a="http://schemas.openxmlformats.org/drawingml/2006/main">
                <a:graphicData uri="http://schemas.microsoft.com/office/word/2010/wordprocessingShape">
                  <wps:wsp>
                    <wps:cNvCnPr/>
                    <wps:spPr>
                      <a:xfrm flipV="1">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5.25pt;margin-top:-7.2pt;height:0.05pt;width:450pt;z-index:251662336;mso-width-relative:page;mso-height-relative:page;" filled="f" stroked="t" coordsize="21600,21600" o:gfxdata="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UJ+w32AAAAAsB&#10;AAAPAAAAAAAAAAEAIAAAACIAAABkcnMvZG93bnJldi54bWxQSwECFAAUAAAACACHTuJAHgR8VuIB&#10;AADlAwAADgAAAAAAAAABACAAAAAnAQAAZHJzL2Uyb0RvYy54bWxQSwUGAAAAAAYABgBZAQAAewUA&#10;AAAA&#10;">
              <v:fill on="f" focussize="0,0"/>
              <v:stroke color="#000000" joinstyle="round"/>
              <v:imagedata o:title=""/>
              <o:lock v:ext="edit" aspectratio="f"/>
            </v:line>
          </w:pict>
        </mc:Fallback>
      </mc:AlternateContent>
    </w:r>
    <w:r>
      <w:rPr>
        <w:rFonts w:hint="eastAsia"/>
        <w:sz w:val="21"/>
        <w:szCs w:val="21"/>
      </w:rPr>
      <w:t>河南联达工程管理有限公司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B3C06">
    <w:pPr>
      <w:pStyle w:val="16"/>
      <w:ind w:right="360"/>
    </w:pPr>
    <w:r>
      <w:rPr>
        <w:sz w:val="44"/>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832328">
                          <w:pPr>
                            <w:pStyle w:val="16"/>
                            <w:rPr>
                              <w:rStyle w:val="34"/>
                              <w:b/>
                              <w:sz w:val="21"/>
                              <w:szCs w:val="21"/>
                            </w:rPr>
                          </w:pPr>
                          <w:r>
                            <w:rPr>
                              <w:rStyle w:val="34"/>
                              <w:b/>
                              <w:sz w:val="21"/>
                              <w:szCs w:val="21"/>
                            </w:rPr>
                            <w:t xml:space="preserve">— </w:t>
                          </w:r>
                          <w:r>
                            <w:rPr>
                              <w:rStyle w:val="34"/>
                              <w:b/>
                              <w:sz w:val="21"/>
                              <w:szCs w:val="21"/>
                            </w:rPr>
                            <w:fldChar w:fldCharType="begin"/>
                          </w:r>
                          <w:r>
                            <w:rPr>
                              <w:rStyle w:val="34"/>
                              <w:b/>
                              <w:sz w:val="21"/>
                              <w:szCs w:val="21"/>
                            </w:rPr>
                            <w:instrText xml:space="preserve"> PAGE  \* MERGEFORMAT </w:instrText>
                          </w:r>
                          <w:r>
                            <w:rPr>
                              <w:rStyle w:val="34"/>
                              <w:b/>
                              <w:sz w:val="21"/>
                              <w:szCs w:val="21"/>
                            </w:rPr>
                            <w:fldChar w:fldCharType="separate"/>
                          </w:r>
                          <w:r>
                            <w:rPr>
                              <w:rStyle w:val="34"/>
                              <w:b/>
                              <w:sz w:val="21"/>
                              <w:szCs w:val="21"/>
                            </w:rPr>
                            <w:t>1</w:t>
                          </w:r>
                          <w:r>
                            <w:rPr>
                              <w:rStyle w:val="34"/>
                              <w:b/>
                              <w:sz w:val="21"/>
                              <w:szCs w:val="21"/>
                            </w:rPr>
                            <w:fldChar w:fldCharType="end"/>
                          </w:r>
                          <w:r>
                            <w:rPr>
                              <w:rStyle w:val="34"/>
                              <w:b/>
                              <w:sz w:val="21"/>
                              <w:szCs w:val="21"/>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61832328">
                    <w:pPr>
                      <w:pStyle w:val="16"/>
                      <w:rPr>
                        <w:rStyle w:val="34"/>
                        <w:b/>
                        <w:sz w:val="21"/>
                        <w:szCs w:val="21"/>
                      </w:rPr>
                    </w:pPr>
                    <w:r>
                      <w:rPr>
                        <w:rStyle w:val="34"/>
                        <w:b/>
                        <w:sz w:val="21"/>
                        <w:szCs w:val="21"/>
                      </w:rPr>
                      <w:t xml:space="preserve">— </w:t>
                    </w:r>
                    <w:r>
                      <w:rPr>
                        <w:rStyle w:val="34"/>
                        <w:b/>
                        <w:sz w:val="21"/>
                        <w:szCs w:val="21"/>
                      </w:rPr>
                      <w:fldChar w:fldCharType="begin"/>
                    </w:r>
                    <w:r>
                      <w:rPr>
                        <w:rStyle w:val="34"/>
                        <w:b/>
                        <w:sz w:val="21"/>
                        <w:szCs w:val="21"/>
                      </w:rPr>
                      <w:instrText xml:space="preserve"> PAGE  \* MERGEFORMAT </w:instrText>
                    </w:r>
                    <w:r>
                      <w:rPr>
                        <w:rStyle w:val="34"/>
                        <w:b/>
                        <w:sz w:val="21"/>
                        <w:szCs w:val="21"/>
                      </w:rPr>
                      <w:fldChar w:fldCharType="separate"/>
                    </w:r>
                    <w:r>
                      <w:rPr>
                        <w:rStyle w:val="34"/>
                        <w:b/>
                        <w:sz w:val="21"/>
                        <w:szCs w:val="21"/>
                      </w:rPr>
                      <w:t>1</w:t>
                    </w:r>
                    <w:r>
                      <w:rPr>
                        <w:rStyle w:val="34"/>
                        <w:b/>
                        <w:sz w:val="21"/>
                        <w:szCs w:val="21"/>
                      </w:rPr>
                      <w:fldChar w:fldCharType="end"/>
                    </w:r>
                    <w:r>
                      <w:rPr>
                        <w:rStyle w:val="34"/>
                        <w:b/>
                        <w:sz w:val="21"/>
                        <w:szCs w:val="21"/>
                      </w:rPr>
                      <w:t xml:space="preserve"> —</w:t>
                    </w:r>
                  </w:p>
                </w:txbxContent>
              </v:textbox>
            </v:shape>
          </w:pict>
        </mc:Fallback>
      </mc:AlternateContent>
    </w:r>
    <w:r>
      <w:rPr>
        <w:rFonts w:hint="eastAsia" w:ascii="宋体" w:hAnsi="宋体"/>
        <w:sz w:val="44"/>
      </w:rPr>
      <w:drawing>
        <wp:anchor distT="0" distB="0" distL="114300" distR="114300" simplePos="0" relativeHeight="251665408" behindDoc="0" locked="0" layoutInCell="1" allowOverlap="1">
          <wp:simplePos x="0" y="0"/>
          <wp:positionH relativeFrom="column">
            <wp:posOffset>2672080</wp:posOffset>
          </wp:positionH>
          <wp:positionV relativeFrom="paragraph">
            <wp:posOffset>-4445</wp:posOffset>
          </wp:positionV>
          <wp:extent cx="217805" cy="156845"/>
          <wp:effectExtent l="0" t="0" r="10795" b="14605"/>
          <wp:wrapNone/>
          <wp:docPr id="11" name="Picture 2" descr="河南联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河南联达"/>
                  <pic:cNvPicPr>
                    <a:picLocks noChangeAspect="1" noChangeArrowheads="1"/>
                  </pic:cNvPicPr>
                </pic:nvPicPr>
                <pic:blipFill>
                  <a:blip r:embed="rId1" cstate="print"/>
                  <a:stretch>
                    <a:fillRect/>
                  </a:stretch>
                </pic:blipFill>
                <pic:spPr>
                  <a:xfrm>
                    <a:off x="0" y="0"/>
                    <a:ext cx="217805" cy="156845"/>
                  </a:xfrm>
                  <a:prstGeom prst="rect">
                    <a:avLst/>
                  </a:prstGeom>
                  <a:noFill/>
                  <a:ln w="9525">
                    <a:noFill/>
                    <a:miter lim="800000"/>
                    <a:headEnd/>
                    <a:tailEnd/>
                  </a:ln>
                </pic:spPr>
              </pic:pic>
            </a:graphicData>
          </a:graphic>
        </wp:anchor>
      </w:drawing>
    </w:r>
    <w:r>
      <w:rPr>
        <w:sz w:val="21"/>
        <w:szCs w:val="21"/>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-91440</wp:posOffset>
              </wp:positionV>
              <wp:extent cx="5715000" cy="635"/>
              <wp:effectExtent l="0" t="0" r="0" b="0"/>
              <wp:wrapNone/>
              <wp:docPr id="12" name="Line 2"/>
              <wp:cNvGraphicFramePr/>
              <a:graphic xmlns:a="http://schemas.openxmlformats.org/drawingml/2006/main">
                <a:graphicData uri="http://schemas.microsoft.com/office/word/2010/wordprocessingShape">
                  <wps:wsp>
                    <wps:cNvCnPr/>
                    <wps:spPr>
                      <a:xfrm flipV="1">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5.25pt;margin-top:-7.2pt;height:0.05pt;width:450pt;z-index:251664384;mso-width-relative:page;mso-height-relative:page;" filled="f" stroked="t" coordsize="21600,21600" o:gfxdata="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UJ+w32AAAAAsB&#10;AAAPAAAAAAAAAAEAIAAAACIAAABkcnMvZG93bnJldi54bWxQSwECFAAUAAAACACHTuJAXgJCo+IB&#10;AADmAwAADgAAAAAAAAABACAAAAAnAQAAZHJzL2Uyb0RvYy54bWxQSwUGAAAAAAYABgBZAQAAewUA&#10;AAAA&#10;">
              <v:fill on="f" focussize="0,0"/>
              <v:stroke color="#000000" joinstyle="round"/>
              <v:imagedata o:title=""/>
              <o:lock v:ext="edit" aspectratio="f"/>
            </v:line>
          </w:pict>
        </mc:Fallback>
      </mc:AlternateContent>
    </w:r>
    <w:r>
      <w:rPr>
        <w:rFonts w:hint="eastAsia"/>
        <w:sz w:val="21"/>
        <w:szCs w:val="21"/>
      </w:rPr>
      <w:t>河南联达工程管理有限公司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1BB2C">
    <w:pPr>
      <w:pStyle w:val="1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81359">
    <w:pPr>
      <w:pStyle w:val="18"/>
      <w:pBdr>
        <w:bottom w:val="none" w:color="auto" w:sz="0" w:space="0"/>
      </w:pBdr>
      <w:jc w:val="both"/>
      <w:rPr>
        <w:rFonts w:hint="default"/>
        <w:lang w:val="en-US"/>
      </w:rPr>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138430</wp:posOffset>
              </wp:positionV>
              <wp:extent cx="5829300" cy="0"/>
              <wp:effectExtent l="0" t="0" r="0" b="0"/>
              <wp:wrapNone/>
              <wp:docPr id="5" name="Line 1"/>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 o:spid="_x0000_s1026" o:spt="20" style="position:absolute;left:0pt;margin-left:-9pt;margin-top:10.9pt;height:0pt;width:459pt;z-index:251660288;mso-width-relative:page;mso-height-relative:page;" filled="f" stroked="t" coordsize="21600,21600" o:gfxdata="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wPHXtUAAAAJAQAADwAAAAAAAAAB&#10;ACAAAAAiAAAAZHJzL2Rvd25yZXYueG1sUEsBAhQAFAAAAAgAh07iQHswPb/aAQAA2QMAAA4AAAAA&#10;AAAAAQAgAAAAJAEAAGRycy9lMm9Eb2MueG1sUEsFBgAAAAAGAAYAWQEAAHAFAAAAAA==&#10;">
              <v:fill on="f" focussize="0,0"/>
              <v:stroke color="#000000" joinstyle="round"/>
              <v:imagedata o:title=""/>
              <o:lock v:ext="edit" aspectratio="f"/>
            </v:line>
          </w:pict>
        </mc:Fallback>
      </mc:AlternateContent>
    </w:r>
    <w:r>
      <w:rPr>
        <w:rFonts w:hint="eastAsia" w:ascii="宋体" w:hAnsi="宋体" w:cs="宋体"/>
        <w:color w:val="auto"/>
        <w:sz w:val="18"/>
        <w:szCs w:val="18"/>
        <w:highlight w:val="none"/>
        <w:lang w:val="en-US" w:eastAsia="zh-CN"/>
      </w:rPr>
      <w:t>睢县妇幼保健院营养餐厅运营管理项目（三次）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2A4E2"/>
    <w:multiLevelType w:val="singleLevel"/>
    <w:tmpl w:val="8AA2A4E2"/>
    <w:lvl w:ilvl="0" w:tentative="0">
      <w:start w:val="1"/>
      <w:numFmt w:val="decimal"/>
      <w:suff w:val="nothing"/>
      <w:lvlText w:val="（%1）"/>
      <w:lvlJc w:val="left"/>
    </w:lvl>
  </w:abstractNum>
  <w:abstractNum w:abstractNumId="1">
    <w:nsid w:val="57203A85"/>
    <w:multiLevelType w:val="singleLevel"/>
    <w:tmpl w:val="57203A85"/>
    <w:lvl w:ilvl="0" w:tentative="0">
      <w:start w:val="5"/>
      <w:numFmt w:val="chineseCounting"/>
      <w:suff w:val="space"/>
      <w:lvlText w:val="第%1章"/>
      <w:lvlJc w:val="left"/>
      <w:rPr>
        <w:rFonts w:hint="eastAsia"/>
      </w:rPr>
    </w:lvl>
  </w:abstractNum>
  <w:abstractNum w:abstractNumId="2">
    <w:nsid w:val="688B76E4"/>
    <w:multiLevelType w:val="singleLevel"/>
    <w:tmpl w:val="688B76E4"/>
    <w:lvl w:ilvl="0" w:tentative="0">
      <w:start w:val="4"/>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4NjkwMzQxZTVmNWZjMDY2MDhlNTdjYWE1NjZmZmQifQ=="/>
  </w:docVars>
  <w:rsids>
    <w:rsidRoot w:val="00172A27"/>
    <w:rsid w:val="0000076A"/>
    <w:rsid w:val="000022F7"/>
    <w:rsid w:val="00002848"/>
    <w:rsid w:val="00004D0C"/>
    <w:rsid w:val="00004D2C"/>
    <w:rsid w:val="00005671"/>
    <w:rsid w:val="0001161D"/>
    <w:rsid w:val="00012219"/>
    <w:rsid w:val="000153F8"/>
    <w:rsid w:val="00016786"/>
    <w:rsid w:val="000231AB"/>
    <w:rsid w:val="0002651F"/>
    <w:rsid w:val="00030165"/>
    <w:rsid w:val="00032556"/>
    <w:rsid w:val="0003287F"/>
    <w:rsid w:val="000338EF"/>
    <w:rsid w:val="00035227"/>
    <w:rsid w:val="000427CB"/>
    <w:rsid w:val="0004342E"/>
    <w:rsid w:val="00051D8E"/>
    <w:rsid w:val="00052C70"/>
    <w:rsid w:val="000557B6"/>
    <w:rsid w:val="00061214"/>
    <w:rsid w:val="00062952"/>
    <w:rsid w:val="00066EEE"/>
    <w:rsid w:val="000718C8"/>
    <w:rsid w:val="00071C17"/>
    <w:rsid w:val="0007300F"/>
    <w:rsid w:val="00075412"/>
    <w:rsid w:val="00076325"/>
    <w:rsid w:val="00080314"/>
    <w:rsid w:val="00080439"/>
    <w:rsid w:val="0008474A"/>
    <w:rsid w:val="000866BF"/>
    <w:rsid w:val="000914C1"/>
    <w:rsid w:val="0009179A"/>
    <w:rsid w:val="00092828"/>
    <w:rsid w:val="000A00D0"/>
    <w:rsid w:val="000A43CE"/>
    <w:rsid w:val="000A455F"/>
    <w:rsid w:val="000A6124"/>
    <w:rsid w:val="000B6A83"/>
    <w:rsid w:val="000C1D21"/>
    <w:rsid w:val="000C303E"/>
    <w:rsid w:val="000D46C1"/>
    <w:rsid w:val="000D5593"/>
    <w:rsid w:val="000D64D9"/>
    <w:rsid w:val="000D6F92"/>
    <w:rsid w:val="000D720D"/>
    <w:rsid w:val="000E024C"/>
    <w:rsid w:val="000E1935"/>
    <w:rsid w:val="000E6D36"/>
    <w:rsid w:val="000E6F40"/>
    <w:rsid w:val="000E7E03"/>
    <w:rsid w:val="000F434C"/>
    <w:rsid w:val="000F4433"/>
    <w:rsid w:val="000F5613"/>
    <w:rsid w:val="00103BC4"/>
    <w:rsid w:val="0010679A"/>
    <w:rsid w:val="00107290"/>
    <w:rsid w:val="00113B9B"/>
    <w:rsid w:val="00115038"/>
    <w:rsid w:val="00115244"/>
    <w:rsid w:val="00115AF5"/>
    <w:rsid w:val="00124463"/>
    <w:rsid w:val="00124EEE"/>
    <w:rsid w:val="00134050"/>
    <w:rsid w:val="00136B2A"/>
    <w:rsid w:val="00140A27"/>
    <w:rsid w:val="00142164"/>
    <w:rsid w:val="00145DB3"/>
    <w:rsid w:val="0015370D"/>
    <w:rsid w:val="00155882"/>
    <w:rsid w:val="00155A62"/>
    <w:rsid w:val="001607FA"/>
    <w:rsid w:val="00160E5B"/>
    <w:rsid w:val="0016202E"/>
    <w:rsid w:val="00162949"/>
    <w:rsid w:val="00163387"/>
    <w:rsid w:val="0016507A"/>
    <w:rsid w:val="00167CC2"/>
    <w:rsid w:val="001715A5"/>
    <w:rsid w:val="00172A27"/>
    <w:rsid w:val="0017388E"/>
    <w:rsid w:val="00175779"/>
    <w:rsid w:val="00175875"/>
    <w:rsid w:val="00180150"/>
    <w:rsid w:val="0018595C"/>
    <w:rsid w:val="00185EEE"/>
    <w:rsid w:val="001864E4"/>
    <w:rsid w:val="001904B9"/>
    <w:rsid w:val="001919FB"/>
    <w:rsid w:val="00191E7E"/>
    <w:rsid w:val="00192CB8"/>
    <w:rsid w:val="00193DF4"/>
    <w:rsid w:val="001A4F0E"/>
    <w:rsid w:val="001A5901"/>
    <w:rsid w:val="001B7853"/>
    <w:rsid w:val="001C1E56"/>
    <w:rsid w:val="001C56C4"/>
    <w:rsid w:val="001C599B"/>
    <w:rsid w:val="001D0CD8"/>
    <w:rsid w:val="001D401E"/>
    <w:rsid w:val="001D7C47"/>
    <w:rsid w:val="001E3F12"/>
    <w:rsid w:val="001F0A5C"/>
    <w:rsid w:val="001F0E3C"/>
    <w:rsid w:val="001F1075"/>
    <w:rsid w:val="001F1B71"/>
    <w:rsid w:val="00203AE9"/>
    <w:rsid w:val="002108B8"/>
    <w:rsid w:val="002129F4"/>
    <w:rsid w:val="002139BB"/>
    <w:rsid w:val="002146DF"/>
    <w:rsid w:val="00216A4F"/>
    <w:rsid w:val="00216CE7"/>
    <w:rsid w:val="00221DEB"/>
    <w:rsid w:val="0022308E"/>
    <w:rsid w:val="00223FEE"/>
    <w:rsid w:val="00224B6B"/>
    <w:rsid w:val="0022670E"/>
    <w:rsid w:val="00230340"/>
    <w:rsid w:val="00232D0B"/>
    <w:rsid w:val="00237781"/>
    <w:rsid w:val="00240111"/>
    <w:rsid w:val="002408F9"/>
    <w:rsid w:val="00242779"/>
    <w:rsid w:val="0024434D"/>
    <w:rsid w:val="00244489"/>
    <w:rsid w:val="00253D1C"/>
    <w:rsid w:val="00257593"/>
    <w:rsid w:val="00270FE2"/>
    <w:rsid w:val="00275C45"/>
    <w:rsid w:val="0027755A"/>
    <w:rsid w:val="0027763E"/>
    <w:rsid w:val="00277E2E"/>
    <w:rsid w:val="00282846"/>
    <w:rsid w:val="00283E32"/>
    <w:rsid w:val="00283F81"/>
    <w:rsid w:val="00291DD9"/>
    <w:rsid w:val="00293006"/>
    <w:rsid w:val="002948CF"/>
    <w:rsid w:val="002954D6"/>
    <w:rsid w:val="00295F2A"/>
    <w:rsid w:val="00296DED"/>
    <w:rsid w:val="002B0D5A"/>
    <w:rsid w:val="002B2FF9"/>
    <w:rsid w:val="002B30FF"/>
    <w:rsid w:val="002B3437"/>
    <w:rsid w:val="002C445C"/>
    <w:rsid w:val="002C4B4C"/>
    <w:rsid w:val="002C7FA6"/>
    <w:rsid w:val="002D69E0"/>
    <w:rsid w:val="002E2E9B"/>
    <w:rsid w:val="002F0B59"/>
    <w:rsid w:val="002F78C8"/>
    <w:rsid w:val="002F7DFA"/>
    <w:rsid w:val="003018E1"/>
    <w:rsid w:val="00303826"/>
    <w:rsid w:val="0030382D"/>
    <w:rsid w:val="00305A09"/>
    <w:rsid w:val="00311777"/>
    <w:rsid w:val="00311A5F"/>
    <w:rsid w:val="003139DC"/>
    <w:rsid w:val="00314B9A"/>
    <w:rsid w:val="00317458"/>
    <w:rsid w:val="0032558B"/>
    <w:rsid w:val="00330FA3"/>
    <w:rsid w:val="0033362B"/>
    <w:rsid w:val="00333E2F"/>
    <w:rsid w:val="00334238"/>
    <w:rsid w:val="00337712"/>
    <w:rsid w:val="00342316"/>
    <w:rsid w:val="003446E3"/>
    <w:rsid w:val="00351932"/>
    <w:rsid w:val="003544B6"/>
    <w:rsid w:val="00354B48"/>
    <w:rsid w:val="00357DC8"/>
    <w:rsid w:val="00363E93"/>
    <w:rsid w:val="00365626"/>
    <w:rsid w:val="0036699C"/>
    <w:rsid w:val="00377564"/>
    <w:rsid w:val="00383530"/>
    <w:rsid w:val="00394AE2"/>
    <w:rsid w:val="00395D54"/>
    <w:rsid w:val="003969F1"/>
    <w:rsid w:val="003A13D7"/>
    <w:rsid w:val="003A1903"/>
    <w:rsid w:val="003A3C5C"/>
    <w:rsid w:val="003B094F"/>
    <w:rsid w:val="003B2BE4"/>
    <w:rsid w:val="003B3C60"/>
    <w:rsid w:val="003B471A"/>
    <w:rsid w:val="003B6B63"/>
    <w:rsid w:val="003C099A"/>
    <w:rsid w:val="003D090E"/>
    <w:rsid w:val="003D36F6"/>
    <w:rsid w:val="003D3B68"/>
    <w:rsid w:val="003D584E"/>
    <w:rsid w:val="003D6B97"/>
    <w:rsid w:val="003E0B83"/>
    <w:rsid w:val="003E12D5"/>
    <w:rsid w:val="003E212E"/>
    <w:rsid w:val="003E605D"/>
    <w:rsid w:val="003F35CB"/>
    <w:rsid w:val="003F36F2"/>
    <w:rsid w:val="003F4034"/>
    <w:rsid w:val="003F4794"/>
    <w:rsid w:val="00402480"/>
    <w:rsid w:val="00406832"/>
    <w:rsid w:val="00416C16"/>
    <w:rsid w:val="00420B9F"/>
    <w:rsid w:val="00421A36"/>
    <w:rsid w:val="00422997"/>
    <w:rsid w:val="004251CA"/>
    <w:rsid w:val="00426F5A"/>
    <w:rsid w:val="0043074D"/>
    <w:rsid w:val="00432D57"/>
    <w:rsid w:val="0043360F"/>
    <w:rsid w:val="004360CF"/>
    <w:rsid w:val="0044456D"/>
    <w:rsid w:val="0045589C"/>
    <w:rsid w:val="0045761F"/>
    <w:rsid w:val="004577C8"/>
    <w:rsid w:val="004609AF"/>
    <w:rsid w:val="004642F2"/>
    <w:rsid w:val="00464D38"/>
    <w:rsid w:val="00466BA6"/>
    <w:rsid w:val="004679BF"/>
    <w:rsid w:val="004726C6"/>
    <w:rsid w:val="004742F6"/>
    <w:rsid w:val="00474E61"/>
    <w:rsid w:val="00475345"/>
    <w:rsid w:val="00481000"/>
    <w:rsid w:val="004879A7"/>
    <w:rsid w:val="00490A52"/>
    <w:rsid w:val="004911E1"/>
    <w:rsid w:val="00491D6E"/>
    <w:rsid w:val="00492808"/>
    <w:rsid w:val="00494550"/>
    <w:rsid w:val="00494938"/>
    <w:rsid w:val="004954ED"/>
    <w:rsid w:val="004968FF"/>
    <w:rsid w:val="00496B17"/>
    <w:rsid w:val="00497945"/>
    <w:rsid w:val="004A42D1"/>
    <w:rsid w:val="004A4686"/>
    <w:rsid w:val="004A6737"/>
    <w:rsid w:val="004A78BF"/>
    <w:rsid w:val="004B4D83"/>
    <w:rsid w:val="004B5637"/>
    <w:rsid w:val="004C0D9A"/>
    <w:rsid w:val="004C2418"/>
    <w:rsid w:val="004C40D0"/>
    <w:rsid w:val="004C6D71"/>
    <w:rsid w:val="004C7124"/>
    <w:rsid w:val="004D31B0"/>
    <w:rsid w:val="004D40A7"/>
    <w:rsid w:val="004D4799"/>
    <w:rsid w:val="004D75F2"/>
    <w:rsid w:val="004D7D73"/>
    <w:rsid w:val="004E2698"/>
    <w:rsid w:val="004E3329"/>
    <w:rsid w:val="004F3DF6"/>
    <w:rsid w:val="004F4FF2"/>
    <w:rsid w:val="004F5040"/>
    <w:rsid w:val="005025B3"/>
    <w:rsid w:val="00511230"/>
    <w:rsid w:val="005126C6"/>
    <w:rsid w:val="00512B0B"/>
    <w:rsid w:val="00517C93"/>
    <w:rsid w:val="005211A6"/>
    <w:rsid w:val="005211D8"/>
    <w:rsid w:val="00524412"/>
    <w:rsid w:val="00524DB4"/>
    <w:rsid w:val="00527C55"/>
    <w:rsid w:val="00527DE3"/>
    <w:rsid w:val="00530840"/>
    <w:rsid w:val="00532319"/>
    <w:rsid w:val="005336C3"/>
    <w:rsid w:val="00541C5C"/>
    <w:rsid w:val="00545E8A"/>
    <w:rsid w:val="005464C3"/>
    <w:rsid w:val="005468F9"/>
    <w:rsid w:val="00546F9F"/>
    <w:rsid w:val="00550074"/>
    <w:rsid w:val="00551B7F"/>
    <w:rsid w:val="00552170"/>
    <w:rsid w:val="00554050"/>
    <w:rsid w:val="005550EA"/>
    <w:rsid w:val="00556CF7"/>
    <w:rsid w:val="005633DA"/>
    <w:rsid w:val="00564214"/>
    <w:rsid w:val="00567AB0"/>
    <w:rsid w:val="00571910"/>
    <w:rsid w:val="005725D7"/>
    <w:rsid w:val="00574FF6"/>
    <w:rsid w:val="00577FED"/>
    <w:rsid w:val="00580BB8"/>
    <w:rsid w:val="00580E33"/>
    <w:rsid w:val="0058204B"/>
    <w:rsid w:val="005930B6"/>
    <w:rsid w:val="00594556"/>
    <w:rsid w:val="00594E2B"/>
    <w:rsid w:val="005A0691"/>
    <w:rsid w:val="005A07BE"/>
    <w:rsid w:val="005A361D"/>
    <w:rsid w:val="005A3EEE"/>
    <w:rsid w:val="005B047A"/>
    <w:rsid w:val="005B2567"/>
    <w:rsid w:val="005B3118"/>
    <w:rsid w:val="005B3CC7"/>
    <w:rsid w:val="005B6611"/>
    <w:rsid w:val="005C0C93"/>
    <w:rsid w:val="005C17F5"/>
    <w:rsid w:val="005C2A05"/>
    <w:rsid w:val="005C55B8"/>
    <w:rsid w:val="005C6209"/>
    <w:rsid w:val="005C6903"/>
    <w:rsid w:val="005D0977"/>
    <w:rsid w:val="005D6FEE"/>
    <w:rsid w:val="005E157A"/>
    <w:rsid w:val="005E164F"/>
    <w:rsid w:val="005E32D5"/>
    <w:rsid w:val="005E5AAC"/>
    <w:rsid w:val="005E6045"/>
    <w:rsid w:val="005E677F"/>
    <w:rsid w:val="005F0B34"/>
    <w:rsid w:val="005F10A2"/>
    <w:rsid w:val="005F1E74"/>
    <w:rsid w:val="005F32CF"/>
    <w:rsid w:val="005F7491"/>
    <w:rsid w:val="005F7C6D"/>
    <w:rsid w:val="005F7FCD"/>
    <w:rsid w:val="006006C2"/>
    <w:rsid w:val="006011F0"/>
    <w:rsid w:val="006028C7"/>
    <w:rsid w:val="00602ECC"/>
    <w:rsid w:val="00603FD5"/>
    <w:rsid w:val="00605B9B"/>
    <w:rsid w:val="00607928"/>
    <w:rsid w:val="00613147"/>
    <w:rsid w:val="00614215"/>
    <w:rsid w:val="00614638"/>
    <w:rsid w:val="00617E4C"/>
    <w:rsid w:val="00625944"/>
    <w:rsid w:val="00626582"/>
    <w:rsid w:val="00627A52"/>
    <w:rsid w:val="006358C1"/>
    <w:rsid w:val="006379C8"/>
    <w:rsid w:val="006413E1"/>
    <w:rsid w:val="006428EA"/>
    <w:rsid w:val="00644C0B"/>
    <w:rsid w:val="00646D03"/>
    <w:rsid w:val="0064756F"/>
    <w:rsid w:val="00651944"/>
    <w:rsid w:val="006540F4"/>
    <w:rsid w:val="00654167"/>
    <w:rsid w:val="00655FA3"/>
    <w:rsid w:val="00657269"/>
    <w:rsid w:val="00660832"/>
    <w:rsid w:val="00661E1A"/>
    <w:rsid w:val="00664F53"/>
    <w:rsid w:val="006654D8"/>
    <w:rsid w:val="00672E08"/>
    <w:rsid w:val="00672FE2"/>
    <w:rsid w:val="006735BC"/>
    <w:rsid w:val="006743E7"/>
    <w:rsid w:val="006761C1"/>
    <w:rsid w:val="00680F7E"/>
    <w:rsid w:val="00683955"/>
    <w:rsid w:val="0068497D"/>
    <w:rsid w:val="00686C36"/>
    <w:rsid w:val="00687A0A"/>
    <w:rsid w:val="00687A33"/>
    <w:rsid w:val="006942CF"/>
    <w:rsid w:val="006A1EBC"/>
    <w:rsid w:val="006A23E2"/>
    <w:rsid w:val="006B2701"/>
    <w:rsid w:val="006B361A"/>
    <w:rsid w:val="006B3E34"/>
    <w:rsid w:val="006B6C48"/>
    <w:rsid w:val="006B6EB6"/>
    <w:rsid w:val="006B72F5"/>
    <w:rsid w:val="006B7869"/>
    <w:rsid w:val="006C00EA"/>
    <w:rsid w:val="006C0531"/>
    <w:rsid w:val="006C1C09"/>
    <w:rsid w:val="006C1E36"/>
    <w:rsid w:val="006C290A"/>
    <w:rsid w:val="006C3FF2"/>
    <w:rsid w:val="006C4CC0"/>
    <w:rsid w:val="006C6724"/>
    <w:rsid w:val="006C6B3A"/>
    <w:rsid w:val="006C6C7A"/>
    <w:rsid w:val="006C6D71"/>
    <w:rsid w:val="006D063D"/>
    <w:rsid w:val="006D3A42"/>
    <w:rsid w:val="006D43F2"/>
    <w:rsid w:val="006D44D6"/>
    <w:rsid w:val="006E196D"/>
    <w:rsid w:val="006E19D3"/>
    <w:rsid w:val="006E316E"/>
    <w:rsid w:val="006E3D6A"/>
    <w:rsid w:val="006F50C0"/>
    <w:rsid w:val="006F5A99"/>
    <w:rsid w:val="006F698B"/>
    <w:rsid w:val="00712B84"/>
    <w:rsid w:val="00715050"/>
    <w:rsid w:val="00717C12"/>
    <w:rsid w:val="007215DA"/>
    <w:rsid w:val="0072299E"/>
    <w:rsid w:val="00724E05"/>
    <w:rsid w:val="00727121"/>
    <w:rsid w:val="007273A6"/>
    <w:rsid w:val="00730787"/>
    <w:rsid w:val="00731BE1"/>
    <w:rsid w:val="00733177"/>
    <w:rsid w:val="00735BAC"/>
    <w:rsid w:val="0073739F"/>
    <w:rsid w:val="00740D1A"/>
    <w:rsid w:val="007424CA"/>
    <w:rsid w:val="00745701"/>
    <w:rsid w:val="00747ECA"/>
    <w:rsid w:val="0075197D"/>
    <w:rsid w:val="00754AE6"/>
    <w:rsid w:val="00757AF5"/>
    <w:rsid w:val="0077682E"/>
    <w:rsid w:val="00777681"/>
    <w:rsid w:val="00777DC2"/>
    <w:rsid w:val="0078162D"/>
    <w:rsid w:val="007836C1"/>
    <w:rsid w:val="007848F2"/>
    <w:rsid w:val="00787D7F"/>
    <w:rsid w:val="00792978"/>
    <w:rsid w:val="00792D90"/>
    <w:rsid w:val="007A44C1"/>
    <w:rsid w:val="007A4691"/>
    <w:rsid w:val="007A6DCE"/>
    <w:rsid w:val="007B0538"/>
    <w:rsid w:val="007B0E77"/>
    <w:rsid w:val="007B1BFC"/>
    <w:rsid w:val="007B3FDF"/>
    <w:rsid w:val="007B4009"/>
    <w:rsid w:val="007C0696"/>
    <w:rsid w:val="007C3769"/>
    <w:rsid w:val="007C4501"/>
    <w:rsid w:val="007C4FCA"/>
    <w:rsid w:val="007C73BF"/>
    <w:rsid w:val="007C7DB5"/>
    <w:rsid w:val="007E1C63"/>
    <w:rsid w:val="007E5EE7"/>
    <w:rsid w:val="007E7064"/>
    <w:rsid w:val="007F1FE4"/>
    <w:rsid w:val="007F31A0"/>
    <w:rsid w:val="007F7C35"/>
    <w:rsid w:val="008000A3"/>
    <w:rsid w:val="00800694"/>
    <w:rsid w:val="00801CBF"/>
    <w:rsid w:val="008076B7"/>
    <w:rsid w:val="00807883"/>
    <w:rsid w:val="00814DCF"/>
    <w:rsid w:val="0081737C"/>
    <w:rsid w:val="00821113"/>
    <w:rsid w:val="00822CAA"/>
    <w:rsid w:val="008261DD"/>
    <w:rsid w:val="00831B57"/>
    <w:rsid w:val="0083348D"/>
    <w:rsid w:val="0083453B"/>
    <w:rsid w:val="008345FA"/>
    <w:rsid w:val="00834713"/>
    <w:rsid w:val="00834E93"/>
    <w:rsid w:val="008403D2"/>
    <w:rsid w:val="00841354"/>
    <w:rsid w:val="00847042"/>
    <w:rsid w:val="00850543"/>
    <w:rsid w:val="00851587"/>
    <w:rsid w:val="00852ED1"/>
    <w:rsid w:val="00853C2F"/>
    <w:rsid w:val="00853D2A"/>
    <w:rsid w:val="00857D6A"/>
    <w:rsid w:val="0086113B"/>
    <w:rsid w:val="0086460E"/>
    <w:rsid w:val="008653DC"/>
    <w:rsid w:val="00867D1F"/>
    <w:rsid w:val="00872AC6"/>
    <w:rsid w:val="0087690A"/>
    <w:rsid w:val="00877820"/>
    <w:rsid w:val="00880709"/>
    <w:rsid w:val="00880F7B"/>
    <w:rsid w:val="0088541F"/>
    <w:rsid w:val="00885B90"/>
    <w:rsid w:val="00886224"/>
    <w:rsid w:val="00886453"/>
    <w:rsid w:val="00886E96"/>
    <w:rsid w:val="008916C0"/>
    <w:rsid w:val="008A6B79"/>
    <w:rsid w:val="008B2FA5"/>
    <w:rsid w:val="008B6824"/>
    <w:rsid w:val="008B7475"/>
    <w:rsid w:val="008C4298"/>
    <w:rsid w:val="008C5EA4"/>
    <w:rsid w:val="008C6E41"/>
    <w:rsid w:val="008D0CE1"/>
    <w:rsid w:val="008D126F"/>
    <w:rsid w:val="008D1756"/>
    <w:rsid w:val="008D19FA"/>
    <w:rsid w:val="008D1C16"/>
    <w:rsid w:val="008D234B"/>
    <w:rsid w:val="008D685A"/>
    <w:rsid w:val="008D6DDE"/>
    <w:rsid w:val="008E0D6F"/>
    <w:rsid w:val="008E1185"/>
    <w:rsid w:val="008F0057"/>
    <w:rsid w:val="008F11F7"/>
    <w:rsid w:val="008F3153"/>
    <w:rsid w:val="0090091B"/>
    <w:rsid w:val="00903B21"/>
    <w:rsid w:val="00921775"/>
    <w:rsid w:val="00921B0D"/>
    <w:rsid w:val="0092422C"/>
    <w:rsid w:val="009245B4"/>
    <w:rsid w:val="009253C2"/>
    <w:rsid w:val="00930704"/>
    <w:rsid w:val="00933E87"/>
    <w:rsid w:val="00934C38"/>
    <w:rsid w:val="00936DDF"/>
    <w:rsid w:val="00937B8E"/>
    <w:rsid w:val="00945516"/>
    <w:rsid w:val="0095496D"/>
    <w:rsid w:val="00954A37"/>
    <w:rsid w:val="009569B7"/>
    <w:rsid w:val="00961C62"/>
    <w:rsid w:val="009650DD"/>
    <w:rsid w:val="0096605E"/>
    <w:rsid w:val="00967A99"/>
    <w:rsid w:val="00970036"/>
    <w:rsid w:val="009716D4"/>
    <w:rsid w:val="00971C37"/>
    <w:rsid w:val="00972701"/>
    <w:rsid w:val="00972B6B"/>
    <w:rsid w:val="00974CA5"/>
    <w:rsid w:val="00976915"/>
    <w:rsid w:val="0098118F"/>
    <w:rsid w:val="00982D8A"/>
    <w:rsid w:val="0098746F"/>
    <w:rsid w:val="0099012A"/>
    <w:rsid w:val="00991142"/>
    <w:rsid w:val="00991DE6"/>
    <w:rsid w:val="00992BA7"/>
    <w:rsid w:val="00995F03"/>
    <w:rsid w:val="0099614E"/>
    <w:rsid w:val="00996F6E"/>
    <w:rsid w:val="009970AF"/>
    <w:rsid w:val="009A494A"/>
    <w:rsid w:val="009A4969"/>
    <w:rsid w:val="009A6CEC"/>
    <w:rsid w:val="009A7507"/>
    <w:rsid w:val="009A7605"/>
    <w:rsid w:val="009B0122"/>
    <w:rsid w:val="009B24C8"/>
    <w:rsid w:val="009B4576"/>
    <w:rsid w:val="009B4D96"/>
    <w:rsid w:val="009C0B96"/>
    <w:rsid w:val="009C16DC"/>
    <w:rsid w:val="009C74AE"/>
    <w:rsid w:val="009D25FE"/>
    <w:rsid w:val="009D2770"/>
    <w:rsid w:val="009D48C6"/>
    <w:rsid w:val="009D7D8E"/>
    <w:rsid w:val="009E042C"/>
    <w:rsid w:val="009E2776"/>
    <w:rsid w:val="009E40F9"/>
    <w:rsid w:val="009F2873"/>
    <w:rsid w:val="009F5387"/>
    <w:rsid w:val="009F5ABA"/>
    <w:rsid w:val="009F7123"/>
    <w:rsid w:val="009F7BB3"/>
    <w:rsid w:val="00A00410"/>
    <w:rsid w:val="00A007BB"/>
    <w:rsid w:val="00A01906"/>
    <w:rsid w:val="00A04A63"/>
    <w:rsid w:val="00A06E4E"/>
    <w:rsid w:val="00A07A08"/>
    <w:rsid w:val="00A13089"/>
    <w:rsid w:val="00A14C4A"/>
    <w:rsid w:val="00A17E61"/>
    <w:rsid w:val="00A2100F"/>
    <w:rsid w:val="00A22868"/>
    <w:rsid w:val="00A2351D"/>
    <w:rsid w:val="00A24873"/>
    <w:rsid w:val="00A261D5"/>
    <w:rsid w:val="00A32120"/>
    <w:rsid w:val="00A32A5A"/>
    <w:rsid w:val="00A34721"/>
    <w:rsid w:val="00A40665"/>
    <w:rsid w:val="00A40A47"/>
    <w:rsid w:val="00A42D32"/>
    <w:rsid w:val="00A42DE5"/>
    <w:rsid w:val="00A5278D"/>
    <w:rsid w:val="00A54F7F"/>
    <w:rsid w:val="00A6092C"/>
    <w:rsid w:val="00A65F3C"/>
    <w:rsid w:val="00A6688E"/>
    <w:rsid w:val="00A66E1A"/>
    <w:rsid w:val="00A67342"/>
    <w:rsid w:val="00A71430"/>
    <w:rsid w:val="00A72BAD"/>
    <w:rsid w:val="00A7390C"/>
    <w:rsid w:val="00A770B1"/>
    <w:rsid w:val="00A80735"/>
    <w:rsid w:val="00A81346"/>
    <w:rsid w:val="00A87346"/>
    <w:rsid w:val="00A879C0"/>
    <w:rsid w:val="00A91257"/>
    <w:rsid w:val="00A91E8F"/>
    <w:rsid w:val="00A93B19"/>
    <w:rsid w:val="00A97B3B"/>
    <w:rsid w:val="00AA45AA"/>
    <w:rsid w:val="00AA69CA"/>
    <w:rsid w:val="00AB1192"/>
    <w:rsid w:val="00AB286A"/>
    <w:rsid w:val="00AB2D38"/>
    <w:rsid w:val="00AB67B3"/>
    <w:rsid w:val="00AC4333"/>
    <w:rsid w:val="00AC526A"/>
    <w:rsid w:val="00AC532A"/>
    <w:rsid w:val="00AC6449"/>
    <w:rsid w:val="00AC73B8"/>
    <w:rsid w:val="00AC7F6F"/>
    <w:rsid w:val="00AD1335"/>
    <w:rsid w:val="00AD74E9"/>
    <w:rsid w:val="00AE1B14"/>
    <w:rsid w:val="00AE555F"/>
    <w:rsid w:val="00AF0490"/>
    <w:rsid w:val="00AF110B"/>
    <w:rsid w:val="00AF1250"/>
    <w:rsid w:val="00AF1582"/>
    <w:rsid w:val="00AF158B"/>
    <w:rsid w:val="00AF564B"/>
    <w:rsid w:val="00AF5BE5"/>
    <w:rsid w:val="00B0145C"/>
    <w:rsid w:val="00B02855"/>
    <w:rsid w:val="00B0609A"/>
    <w:rsid w:val="00B060C1"/>
    <w:rsid w:val="00B06593"/>
    <w:rsid w:val="00B07B1D"/>
    <w:rsid w:val="00B11E8B"/>
    <w:rsid w:val="00B12525"/>
    <w:rsid w:val="00B13890"/>
    <w:rsid w:val="00B14202"/>
    <w:rsid w:val="00B1546B"/>
    <w:rsid w:val="00B21ED7"/>
    <w:rsid w:val="00B22794"/>
    <w:rsid w:val="00B24C36"/>
    <w:rsid w:val="00B26EDB"/>
    <w:rsid w:val="00B3266D"/>
    <w:rsid w:val="00B326CB"/>
    <w:rsid w:val="00B34763"/>
    <w:rsid w:val="00B37414"/>
    <w:rsid w:val="00B40A18"/>
    <w:rsid w:val="00B47E9F"/>
    <w:rsid w:val="00B50468"/>
    <w:rsid w:val="00B51E19"/>
    <w:rsid w:val="00B536F1"/>
    <w:rsid w:val="00B536FA"/>
    <w:rsid w:val="00B60659"/>
    <w:rsid w:val="00B65163"/>
    <w:rsid w:val="00B6564E"/>
    <w:rsid w:val="00B708E8"/>
    <w:rsid w:val="00B754E4"/>
    <w:rsid w:val="00B83D14"/>
    <w:rsid w:val="00B8507D"/>
    <w:rsid w:val="00B928CC"/>
    <w:rsid w:val="00B9601C"/>
    <w:rsid w:val="00BA06E6"/>
    <w:rsid w:val="00BA45BE"/>
    <w:rsid w:val="00BA4B35"/>
    <w:rsid w:val="00BA6AA6"/>
    <w:rsid w:val="00BA7BA6"/>
    <w:rsid w:val="00BB0BC7"/>
    <w:rsid w:val="00BB1CFA"/>
    <w:rsid w:val="00BB321F"/>
    <w:rsid w:val="00BB7AEA"/>
    <w:rsid w:val="00BC0605"/>
    <w:rsid w:val="00BC4083"/>
    <w:rsid w:val="00BC44AC"/>
    <w:rsid w:val="00BC56D1"/>
    <w:rsid w:val="00BC7492"/>
    <w:rsid w:val="00BC79DC"/>
    <w:rsid w:val="00BC7E76"/>
    <w:rsid w:val="00BD4239"/>
    <w:rsid w:val="00BD442F"/>
    <w:rsid w:val="00BD5777"/>
    <w:rsid w:val="00BE06BB"/>
    <w:rsid w:val="00BE14C0"/>
    <w:rsid w:val="00BE154A"/>
    <w:rsid w:val="00BE38F9"/>
    <w:rsid w:val="00BE47C1"/>
    <w:rsid w:val="00BF2D7F"/>
    <w:rsid w:val="00BF4122"/>
    <w:rsid w:val="00BF4972"/>
    <w:rsid w:val="00BF6D13"/>
    <w:rsid w:val="00BF6E01"/>
    <w:rsid w:val="00C00D58"/>
    <w:rsid w:val="00C01F3D"/>
    <w:rsid w:val="00C02DA6"/>
    <w:rsid w:val="00C06EC9"/>
    <w:rsid w:val="00C11C0D"/>
    <w:rsid w:val="00C16062"/>
    <w:rsid w:val="00C225FB"/>
    <w:rsid w:val="00C22F67"/>
    <w:rsid w:val="00C24301"/>
    <w:rsid w:val="00C24955"/>
    <w:rsid w:val="00C251AE"/>
    <w:rsid w:val="00C25F7E"/>
    <w:rsid w:val="00C27736"/>
    <w:rsid w:val="00C2795B"/>
    <w:rsid w:val="00C307F6"/>
    <w:rsid w:val="00C30F67"/>
    <w:rsid w:val="00C34BDA"/>
    <w:rsid w:val="00C44FD2"/>
    <w:rsid w:val="00C452D6"/>
    <w:rsid w:val="00C52235"/>
    <w:rsid w:val="00C52360"/>
    <w:rsid w:val="00C52A99"/>
    <w:rsid w:val="00C60250"/>
    <w:rsid w:val="00C6160F"/>
    <w:rsid w:val="00C657E9"/>
    <w:rsid w:val="00C71320"/>
    <w:rsid w:val="00C72B5B"/>
    <w:rsid w:val="00C73FE2"/>
    <w:rsid w:val="00C74B75"/>
    <w:rsid w:val="00C768FB"/>
    <w:rsid w:val="00C85F88"/>
    <w:rsid w:val="00C872F7"/>
    <w:rsid w:val="00C90FCF"/>
    <w:rsid w:val="00C92C8E"/>
    <w:rsid w:val="00C93E20"/>
    <w:rsid w:val="00C95E65"/>
    <w:rsid w:val="00CA0C04"/>
    <w:rsid w:val="00CA1BE8"/>
    <w:rsid w:val="00CA4DE6"/>
    <w:rsid w:val="00CA656A"/>
    <w:rsid w:val="00CA65D4"/>
    <w:rsid w:val="00CA7147"/>
    <w:rsid w:val="00CA7260"/>
    <w:rsid w:val="00CB1707"/>
    <w:rsid w:val="00CB3003"/>
    <w:rsid w:val="00CB324D"/>
    <w:rsid w:val="00CB60E0"/>
    <w:rsid w:val="00CB6613"/>
    <w:rsid w:val="00CC1DEC"/>
    <w:rsid w:val="00CC29FA"/>
    <w:rsid w:val="00CC45A6"/>
    <w:rsid w:val="00CC6B32"/>
    <w:rsid w:val="00CD0F01"/>
    <w:rsid w:val="00CD2EE9"/>
    <w:rsid w:val="00CD6DBC"/>
    <w:rsid w:val="00CE4AD4"/>
    <w:rsid w:val="00CE525A"/>
    <w:rsid w:val="00CF2E7D"/>
    <w:rsid w:val="00CF7C89"/>
    <w:rsid w:val="00D00072"/>
    <w:rsid w:val="00D00430"/>
    <w:rsid w:val="00D02322"/>
    <w:rsid w:val="00D026DF"/>
    <w:rsid w:val="00D05B1D"/>
    <w:rsid w:val="00D12090"/>
    <w:rsid w:val="00D3016B"/>
    <w:rsid w:val="00D330C0"/>
    <w:rsid w:val="00D35284"/>
    <w:rsid w:val="00D36675"/>
    <w:rsid w:val="00D403FA"/>
    <w:rsid w:val="00D40605"/>
    <w:rsid w:val="00D4130D"/>
    <w:rsid w:val="00D41EB0"/>
    <w:rsid w:val="00D45A78"/>
    <w:rsid w:val="00D47CE5"/>
    <w:rsid w:val="00D47D59"/>
    <w:rsid w:val="00D50459"/>
    <w:rsid w:val="00D5788E"/>
    <w:rsid w:val="00D6270D"/>
    <w:rsid w:val="00D676D6"/>
    <w:rsid w:val="00D7011D"/>
    <w:rsid w:val="00D71248"/>
    <w:rsid w:val="00D719F4"/>
    <w:rsid w:val="00D7788E"/>
    <w:rsid w:val="00D82E46"/>
    <w:rsid w:val="00D83BC0"/>
    <w:rsid w:val="00D85CF5"/>
    <w:rsid w:val="00D865DE"/>
    <w:rsid w:val="00D9091B"/>
    <w:rsid w:val="00D91EC4"/>
    <w:rsid w:val="00D93622"/>
    <w:rsid w:val="00DA4031"/>
    <w:rsid w:val="00DA60C2"/>
    <w:rsid w:val="00DA7423"/>
    <w:rsid w:val="00DB2378"/>
    <w:rsid w:val="00DB2A0F"/>
    <w:rsid w:val="00DB306F"/>
    <w:rsid w:val="00DB3A3C"/>
    <w:rsid w:val="00DC39EF"/>
    <w:rsid w:val="00DC4953"/>
    <w:rsid w:val="00DC541A"/>
    <w:rsid w:val="00DD19CD"/>
    <w:rsid w:val="00DD2A86"/>
    <w:rsid w:val="00DD36B9"/>
    <w:rsid w:val="00DD5278"/>
    <w:rsid w:val="00DD5924"/>
    <w:rsid w:val="00DD5A21"/>
    <w:rsid w:val="00DD63A7"/>
    <w:rsid w:val="00DD72BE"/>
    <w:rsid w:val="00DE07DF"/>
    <w:rsid w:val="00DE225A"/>
    <w:rsid w:val="00DF0E7A"/>
    <w:rsid w:val="00DF1A3A"/>
    <w:rsid w:val="00DF3A58"/>
    <w:rsid w:val="00DF3BDF"/>
    <w:rsid w:val="00E057C9"/>
    <w:rsid w:val="00E10EB3"/>
    <w:rsid w:val="00E11B45"/>
    <w:rsid w:val="00E13486"/>
    <w:rsid w:val="00E15C61"/>
    <w:rsid w:val="00E17553"/>
    <w:rsid w:val="00E21B0B"/>
    <w:rsid w:val="00E26A5D"/>
    <w:rsid w:val="00E30B7B"/>
    <w:rsid w:val="00E31861"/>
    <w:rsid w:val="00E4253A"/>
    <w:rsid w:val="00E42546"/>
    <w:rsid w:val="00E434C5"/>
    <w:rsid w:val="00E457ED"/>
    <w:rsid w:val="00E523D4"/>
    <w:rsid w:val="00E5384A"/>
    <w:rsid w:val="00E55C01"/>
    <w:rsid w:val="00E56718"/>
    <w:rsid w:val="00E56A09"/>
    <w:rsid w:val="00E57C86"/>
    <w:rsid w:val="00E607D0"/>
    <w:rsid w:val="00E60EFF"/>
    <w:rsid w:val="00E635C3"/>
    <w:rsid w:val="00E64220"/>
    <w:rsid w:val="00E64648"/>
    <w:rsid w:val="00E65FB8"/>
    <w:rsid w:val="00E66EF3"/>
    <w:rsid w:val="00E7728F"/>
    <w:rsid w:val="00E77293"/>
    <w:rsid w:val="00E80175"/>
    <w:rsid w:val="00E806D8"/>
    <w:rsid w:val="00E847CB"/>
    <w:rsid w:val="00E84F02"/>
    <w:rsid w:val="00E850E4"/>
    <w:rsid w:val="00E85F0B"/>
    <w:rsid w:val="00E90F14"/>
    <w:rsid w:val="00E9366E"/>
    <w:rsid w:val="00E93691"/>
    <w:rsid w:val="00E93F8E"/>
    <w:rsid w:val="00EA3782"/>
    <w:rsid w:val="00EA58AC"/>
    <w:rsid w:val="00EA77D9"/>
    <w:rsid w:val="00EB1D4A"/>
    <w:rsid w:val="00EB2D05"/>
    <w:rsid w:val="00EB3877"/>
    <w:rsid w:val="00EB6AB9"/>
    <w:rsid w:val="00EC1ADF"/>
    <w:rsid w:val="00EC1EF0"/>
    <w:rsid w:val="00EC519D"/>
    <w:rsid w:val="00EC66B9"/>
    <w:rsid w:val="00EC7EC5"/>
    <w:rsid w:val="00ED0A43"/>
    <w:rsid w:val="00ED180F"/>
    <w:rsid w:val="00ED22C4"/>
    <w:rsid w:val="00EE31C9"/>
    <w:rsid w:val="00EE3F43"/>
    <w:rsid w:val="00EF00CA"/>
    <w:rsid w:val="00EF1D41"/>
    <w:rsid w:val="00EF21D9"/>
    <w:rsid w:val="00EF32A4"/>
    <w:rsid w:val="00EF441A"/>
    <w:rsid w:val="00EF59BE"/>
    <w:rsid w:val="00F00510"/>
    <w:rsid w:val="00F014F5"/>
    <w:rsid w:val="00F02A17"/>
    <w:rsid w:val="00F03BD4"/>
    <w:rsid w:val="00F0633F"/>
    <w:rsid w:val="00F069BD"/>
    <w:rsid w:val="00F11095"/>
    <w:rsid w:val="00F14B25"/>
    <w:rsid w:val="00F14B98"/>
    <w:rsid w:val="00F170F7"/>
    <w:rsid w:val="00F17C33"/>
    <w:rsid w:val="00F20442"/>
    <w:rsid w:val="00F232DF"/>
    <w:rsid w:val="00F26C3E"/>
    <w:rsid w:val="00F302CD"/>
    <w:rsid w:val="00F31EE9"/>
    <w:rsid w:val="00F34AA5"/>
    <w:rsid w:val="00F35064"/>
    <w:rsid w:val="00F37B66"/>
    <w:rsid w:val="00F40044"/>
    <w:rsid w:val="00F40129"/>
    <w:rsid w:val="00F42041"/>
    <w:rsid w:val="00F54701"/>
    <w:rsid w:val="00F5571B"/>
    <w:rsid w:val="00F573D8"/>
    <w:rsid w:val="00F603F4"/>
    <w:rsid w:val="00F6417E"/>
    <w:rsid w:val="00F70E92"/>
    <w:rsid w:val="00F7120F"/>
    <w:rsid w:val="00F74351"/>
    <w:rsid w:val="00F77105"/>
    <w:rsid w:val="00F82198"/>
    <w:rsid w:val="00F82FA3"/>
    <w:rsid w:val="00F84762"/>
    <w:rsid w:val="00F86669"/>
    <w:rsid w:val="00F909B2"/>
    <w:rsid w:val="00F94750"/>
    <w:rsid w:val="00F979B3"/>
    <w:rsid w:val="00FA254C"/>
    <w:rsid w:val="00FB2EED"/>
    <w:rsid w:val="00FB58B8"/>
    <w:rsid w:val="00FB6679"/>
    <w:rsid w:val="00FC35AB"/>
    <w:rsid w:val="00FC6329"/>
    <w:rsid w:val="00FD01A5"/>
    <w:rsid w:val="00FD2E74"/>
    <w:rsid w:val="00FD3526"/>
    <w:rsid w:val="00FD4C4F"/>
    <w:rsid w:val="00FD5A8A"/>
    <w:rsid w:val="00FD5FB7"/>
    <w:rsid w:val="00FD7F5D"/>
    <w:rsid w:val="00FE28BF"/>
    <w:rsid w:val="00FE3DEE"/>
    <w:rsid w:val="00FE45A8"/>
    <w:rsid w:val="00FE636C"/>
    <w:rsid w:val="00FF5F06"/>
    <w:rsid w:val="011243B7"/>
    <w:rsid w:val="0132783D"/>
    <w:rsid w:val="01511271"/>
    <w:rsid w:val="01653B43"/>
    <w:rsid w:val="01A70F0D"/>
    <w:rsid w:val="01B40F4E"/>
    <w:rsid w:val="01C3577B"/>
    <w:rsid w:val="01D35E86"/>
    <w:rsid w:val="01E2462E"/>
    <w:rsid w:val="020516B8"/>
    <w:rsid w:val="02123B4B"/>
    <w:rsid w:val="021E4F45"/>
    <w:rsid w:val="026852F7"/>
    <w:rsid w:val="029B1CD6"/>
    <w:rsid w:val="029F4003"/>
    <w:rsid w:val="02B01675"/>
    <w:rsid w:val="02BC60A1"/>
    <w:rsid w:val="031079AA"/>
    <w:rsid w:val="03170380"/>
    <w:rsid w:val="033427F5"/>
    <w:rsid w:val="03464A85"/>
    <w:rsid w:val="034C4CF4"/>
    <w:rsid w:val="035809B4"/>
    <w:rsid w:val="036B1328"/>
    <w:rsid w:val="036F47BD"/>
    <w:rsid w:val="03995922"/>
    <w:rsid w:val="03B43225"/>
    <w:rsid w:val="03EF3054"/>
    <w:rsid w:val="03FB03BA"/>
    <w:rsid w:val="04064E0E"/>
    <w:rsid w:val="040A4A0B"/>
    <w:rsid w:val="040A7BC1"/>
    <w:rsid w:val="042E7958"/>
    <w:rsid w:val="0439132A"/>
    <w:rsid w:val="045427FF"/>
    <w:rsid w:val="045521C0"/>
    <w:rsid w:val="04B40CF2"/>
    <w:rsid w:val="04D45FCF"/>
    <w:rsid w:val="04E92909"/>
    <w:rsid w:val="05011B04"/>
    <w:rsid w:val="05285E4F"/>
    <w:rsid w:val="052A10D8"/>
    <w:rsid w:val="053876D1"/>
    <w:rsid w:val="053F6C4E"/>
    <w:rsid w:val="05461CF6"/>
    <w:rsid w:val="05546CBB"/>
    <w:rsid w:val="056106F1"/>
    <w:rsid w:val="05834E1E"/>
    <w:rsid w:val="05AB08EA"/>
    <w:rsid w:val="05B30F86"/>
    <w:rsid w:val="05C23886"/>
    <w:rsid w:val="05D9472B"/>
    <w:rsid w:val="05F844FB"/>
    <w:rsid w:val="060C5624"/>
    <w:rsid w:val="061A3AB7"/>
    <w:rsid w:val="06202254"/>
    <w:rsid w:val="062F6A41"/>
    <w:rsid w:val="064C6525"/>
    <w:rsid w:val="064E300E"/>
    <w:rsid w:val="06605E45"/>
    <w:rsid w:val="067032E2"/>
    <w:rsid w:val="06C92463"/>
    <w:rsid w:val="06E55B82"/>
    <w:rsid w:val="06EB7F41"/>
    <w:rsid w:val="06F03FFE"/>
    <w:rsid w:val="071F38C0"/>
    <w:rsid w:val="073C77E7"/>
    <w:rsid w:val="074D53D1"/>
    <w:rsid w:val="07693874"/>
    <w:rsid w:val="07731E1B"/>
    <w:rsid w:val="07761D8D"/>
    <w:rsid w:val="077E407C"/>
    <w:rsid w:val="07876E2F"/>
    <w:rsid w:val="078C7D83"/>
    <w:rsid w:val="07A33A5A"/>
    <w:rsid w:val="07AA637F"/>
    <w:rsid w:val="07B2792A"/>
    <w:rsid w:val="07B54995"/>
    <w:rsid w:val="07C338E5"/>
    <w:rsid w:val="07D915ED"/>
    <w:rsid w:val="07E75A81"/>
    <w:rsid w:val="07ED198D"/>
    <w:rsid w:val="080173B4"/>
    <w:rsid w:val="083838C0"/>
    <w:rsid w:val="0844796D"/>
    <w:rsid w:val="08606325"/>
    <w:rsid w:val="08636604"/>
    <w:rsid w:val="08716E9D"/>
    <w:rsid w:val="08901BC3"/>
    <w:rsid w:val="08C22A59"/>
    <w:rsid w:val="08D36287"/>
    <w:rsid w:val="08DA70E3"/>
    <w:rsid w:val="08E20D7A"/>
    <w:rsid w:val="08E458C1"/>
    <w:rsid w:val="09176AB1"/>
    <w:rsid w:val="091C0E14"/>
    <w:rsid w:val="093A3F69"/>
    <w:rsid w:val="095F2C2B"/>
    <w:rsid w:val="097430FA"/>
    <w:rsid w:val="098F35CC"/>
    <w:rsid w:val="0996269E"/>
    <w:rsid w:val="09C04738"/>
    <w:rsid w:val="09EA3809"/>
    <w:rsid w:val="0A037623"/>
    <w:rsid w:val="0A21210D"/>
    <w:rsid w:val="0A2460B7"/>
    <w:rsid w:val="0A290A04"/>
    <w:rsid w:val="0A643059"/>
    <w:rsid w:val="0A71382C"/>
    <w:rsid w:val="0A7804FE"/>
    <w:rsid w:val="0A7821D4"/>
    <w:rsid w:val="0A7B577C"/>
    <w:rsid w:val="0A8740E8"/>
    <w:rsid w:val="0A886687"/>
    <w:rsid w:val="0AB65CA8"/>
    <w:rsid w:val="0AEA1DDF"/>
    <w:rsid w:val="0AFB0883"/>
    <w:rsid w:val="0B186D4E"/>
    <w:rsid w:val="0B2B4B1C"/>
    <w:rsid w:val="0B347D3D"/>
    <w:rsid w:val="0B3F4D4F"/>
    <w:rsid w:val="0B501E73"/>
    <w:rsid w:val="0B515FC1"/>
    <w:rsid w:val="0B703C02"/>
    <w:rsid w:val="0B8761C1"/>
    <w:rsid w:val="0B94714E"/>
    <w:rsid w:val="0B9B62A6"/>
    <w:rsid w:val="0BAE21B6"/>
    <w:rsid w:val="0BB64255"/>
    <w:rsid w:val="0BF86793"/>
    <w:rsid w:val="0BF90648"/>
    <w:rsid w:val="0C1B377D"/>
    <w:rsid w:val="0C1C61A4"/>
    <w:rsid w:val="0C2C6625"/>
    <w:rsid w:val="0C330821"/>
    <w:rsid w:val="0C566AD6"/>
    <w:rsid w:val="0C686809"/>
    <w:rsid w:val="0C740958"/>
    <w:rsid w:val="0C784FC8"/>
    <w:rsid w:val="0C917B0E"/>
    <w:rsid w:val="0CAA1D77"/>
    <w:rsid w:val="0CB1770B"/>
    <w:rsid w:val="0CCD7178"/>
    <w:rsid w:val="0CE23985"/>
    <w:rsid w:val="0CE822BF"/>
    <w:rsid w:val="0D2C3CDA"/>
    <w:rsid w:val="0D5374B9"/>
    <w:rsid w:val="0D6562B4"/>
    <w:rsid w:val="0D7D6961"/>
    <w:rsid w:val="0D8168A5"/>
    <w:rsid w:val="0D9973A7"/>
    <w:rsid w:val="0DA41D7C"/>
    <w:rsid w:val="0DAD24B2"/>
    <w:rsid w:val="0DB65475"/>
    <w:rsid w:val="0DC007C2"/>
    <w:rsid w:val="0DC07DE4"/>
    <w:rsid w:val="0DC97F44"/>
    <w:rsid w:val="0DD4406E"/>
    <w:rsid w:val="0DE17323"/>
    <w:rsid w:val="0DE85C91"/>
    <w:rsid w:val="0DF608EA"/>
    <w:rsid w:val="0E1D3A1E"/>
    <w:rsid w:val="0E2560B0"/>
    <w:rsid w:val="0E2D4DDA"/>
    <w:rsid w:val="0E3E1F80"/>
    <w:rsid w:val="0E59465B"/>
    <w:rsid w:val="0E712A17"/>
    <w:rsid w:val="0E7616B1"/>
    <w:rsid w:val="0E7647CB"/>
    <w:rsid w:val="0ECD14AE"/>
    <w:rsid w:val="0ECE2239"/>
    <w:rsid w:val="0EDD1EE4"/>
    <w:rsid w:val="0EEE56EB"/>
    <w:rsid w:val="0EFC4277"/>
    <w:rsid w:val="0F11030B"/>
    <w:rsid w:val="0F925F4A"/>
    <w:rsid w:val="0F953DB9"/>
    <w:rsid w:val="0FD20B69"/>
    <w:rsid w:val="0FD2705E"/>
    <w:rsid w:val="101D790A"/>
    <w:rsid w:val="102822F4"/>
    <w:rsid w:val="1032785A"/>
    <w:rsid w:val="1062326A"/>
    <w:rsid w:val="10646263"/>
    <w:rsid w:val="106F63B8"/>
    <w:rsid w:val="107C70AF"/>
    <w:rsid w:val="10806BD8"/>
    <w:rsid w:val="108C1492"/>
    <w:rsid w:val="109821D6"/>
    <w:rsid w:val="109D3775"/>
    <w:rsid w:val="10C20BDE"/>
    <w:rsid w:val="10CC5DDC"/>
    <w:rsid w:val="10EB2570"/>
    <w:rsid w:val="10FA3DB5"/>
    <w:rsid w:val="1102181E"/>
    <w:rsid w:val="11175835"/>
    <w:rsid w:val="112E4CB0"/>
    <w:rsid w:val="113B5214"/>
    <w:rsid w:val="11412CCD"/>
    <w:rsid w:val="114572B6"/>
    <w:rsid w:val="116457F1"/>
    <w:rsid w:val="118E2AE1"/>
    <w:rsid w:val="11910682"/>
    <w:rsid w:val="119662B2"/>
    <w:rsid w:val="11B25AEB"/>
    <w:rsid w:val="11B5604C"/>
    <w:rsid w:val="11C5780D"/>
    <w:rsid w:val="11F14A22"/>
    <w:rsid w:val="11F80DB8"/>
    <w:rsid w:val="11FA7F03"/>
    <w:rsid w:val="123E5441"/>
    <w:rsid w:val="12413DFE"/>
    <w:rsid w:val="12613ED3"/>
    <w:rsid w:val="1269070D"/>
    <w:rsid w:val="126B0053"/>
    <w:rsid w:val="1291439E"/>
    <w:rsid w:val="12E3739D"/>
    <w:rsid w:val="12FF634A"/>
    <w:rsid w:val="130D198A"/>
    <w:rsid w:val="13232993"/>
    <w:rsid w:val="13237A4E"/>
    <w:rsid w:val="132A2A6A"/>
    <w:rsid w:val="134B4468"/>
    <w:rsid w:val="13737F6D"/>
    <w:rsid w:val="137912FC"/>
    <w:rsid w:val="138A2AE5"/>
    <w:rsid w:val="13906D71"/>
    <w:rsid w:val="13BD568C"/>
    <w:rsid w:val="13CE242D"/>
    <w:rsid w:val="13E310A9"/>
    <w:rsid w:val="13F27AB4"/>
    <w:rsid w:val="140E5EE8"/>
    <w:rsid w:val="14303501"/>
    <w:rsid w:val="14794904"/>
    <w:rsid w:val="14FE497A"/>
    <w:rsid w:val="15276F40"/>
    <w:rsid w:val="154871D8"/>
    <w:rsid w:val="15802E15"/>
    <w:rsid w:val="15A061F5"/>
    <w:rsid w:val="161A0B74"/>
    <w:rsid w:val="164F51C6"/>
    <w:rsid w:val="16576FC3"/>
    <w:rsid w:val="16AA00BF"/>
    <w:rsid w:val="16E52493"/>
    <w:rsid w:val="16EF6275"/>
    <w:rsid w:val="16FC3064"/>
    <w:rsid w:val="17017211"/>
    <w:rsid w:val="17072D4E"/>
    <w:rsid w:val="172C4ACF"/>
    <w:rsid w:val="17335C37"/>
    <w:rsid w:val="174B232F"/>
    <w:rsid w:val="178179B3"/>
    <w:rsid w:val="179158D0"/>
    <w:rsid w:val="17B84AE8"/>
    <w:rsid w:val="17C35253"/>
    <w:rsid w:val="17C654E3"/>
    <w:rsid w:val="17CF3BE0"/>
    <w:rsid w:val="17DA597A"/>
    <w:rsid w:val="17E70F2A"/>
    <w:rsid w:val="17E712BD"/>
    <w:rsid w:val="17EC67E4"/>
    <w:rsid w:val="18392E36"/>
    <w:rsid w:val="18510AE8"/>
    <w:rsid w:val="18875B29"/>
    <w:rsid w:val="188A4AC3"/>
    <w:rsid w:val="189A6FD3"/>
    <w:rsid w:val="18B87773"/>
    <w:rsid w:val="18BC4B06"/>
    <w:rsid w:val="18C72941"/>
    <w:rsid w:val="18D3325C"/>
    <w:rsid w:val="18F45D57"/>
    <w:rsid w:val="18FC4558"/>
    <w:rsid w:val="18FE7DC3"/>
    <w:rsid w:val="19051A23"/>
    <w:rsid w:val="193826E6"/>
    <w:rsid w:val="19434886"/>
    <w:rsid w:val="195C76F5"/>
    <w:rsid w:val="19633A27"/>
    <w:rsid w:val="196A653F"/>
    <w:rsid w:val="1973531B"/>
    <w:rsid w:val="199407ED"/>
    <w:rsid w:val="199510E7"/>
    <w:rsid w:val="19AC1A35"/>
    <w:rsid w:val="19B157A7"/>
    <w:rsid w:val="19C57049"/>
    <w:rsid w:val="19DD0836"/>
    <w:rsid w:val="1A1F5272"/>
    <w:rsid w:val="1A2D08D4"/>
    <w:rsid w:val="1A314F7E"/>
    <w:rsid w:val="1A384461"/>
    <w:rsid w:val="1A3C3170"/>
    <w:rsid w:val="1A400DC5"/>
    <w:rsid w:val="1A46058D"/>
    <w:rsid w:val="1A4E34E2"/>
    <w:rsid w:val="1A952ED5"/>
    <w:rsid w:val="1A964C8B"/>
    <w:rsid w:val="1AAF7DCD"/>
    <w:rsid w:val="1AD154CB"/>
    <w:rsid w:val="1AF71484"/>
    <w:rsid w:val="1B022D1F"/>
    <w:rsid w:val="1B1738D4"/>
    <w:rsid w:val="1B1867F7"/>
    <w:rsid w:val="1B235628"/>
    <w:rsid w:val="1B2A76BE"/>
    <w:rsid w:val="1B46065D"/>
    <w:rsid w:val="1B610FF3"/>
    <w:rsid w:val="1B7C1AB9"/>
    <w:rsid w:val="1B8D2C20"/>
    <w:rsid w:val="1B8F5B60"/>
    <w:rsid w:val="1BC016EA"/>
    <w:rsid w:val="1BC577D4"/>
    <w:rsid w:val="1BDB47C6"/>
    <w:rsid w:val="1BF81957"/>
    <w:rsid w:val="1C023E9F"/>
    <w:rsid w:val="1C053B84"/>
    <w:rsid w:val="1C0A11FF"/>
    <w:rsid w:val="1C884DB6"/>
    <w:rsid w:val="1C890801"/>
    <w:rsid w:val="1C9B741B"/>
    <w:rsid w:val="1CCC2F82"/>
    <w:rsid w:val="1CDB3C60"/>
    <w:rsid w:val="1CE51248"/>
    <w:rsid w:val="1CFC69E7"/>
    <w:rsid w:val="1D1F1166"/>
    <w:rsid w:val="1D326538"/>
    <w:rsid w:val="1D6B4445"/>
    <w:rsid w:val="1D98784E"/>
    <w:rsid w:val="1DA358F3"/>
    <w:rsid w:val="1DB63878"/>
    <w:rsid w:val="1DC17CA0"/>
    <w:rsid w:val="1DC600F1"/>
    <w:rsid w:val="1DCF66E8"/>
    <w:rsid w:val="1DE455F4"/>
    <w:rsid w:val="1E0C0B57"/>
    <w:rsid w:val="1E0F3F45"/>
    <w:rsid w:val="1E2C4DA3"/>
    <w:rsid w:val="1E322EC1"/>
    <w:rsid w:val="1E3E386E"/>
    <w:rsid w:val="1E51534F"/>
    <w:rsid w:val="1E6819CE"/>
    <w:rsid w:val="1EAB3C7E"/>
    <w:rsid w:val="1EAD1372"/>
    <w:rsid w:val="1EB53E16"/>
    <w:rsid w:val="1EC26675"/>
    <w:rsid w:val="1EE13326"/>
    <w:rsid w:val="1EE46B96"/>
    <w:rsid w:val="1EEA3B0B"/>
    <w:rsid w:val="1F234F3D"/>
    <w:rsid w:val="1F387436"/>
    <w:rsid w:val="1F3B6BEC"/>
    <w:rsid w:val="1F407FCA"/>
    <w:rsid w:val="1F49166F"/>
    <w:rsid w:val="1FB6070A"/>
    <w:rsid w:val="1FB70AA3"/>
    <w:rsid w:val="1FC96EB6"/>
    <w:rsid w:val="1FE72C32"/>
    <w:rsid w:val="20201954"/>
    <w:rsid w:val="202077B5"/>
    <w:rsid w:val="202820DF"/>
    <w:rsid w:val="206A094A"/>
    <w:rsid w:val="207F146B"/>
    <w:rsid w:val="20C407B0"/>
    <w:rsid w:val="20F029B3"/>
    <w:rsid w:val="20F83B7A"/>
    <w:rsid w:val="210871DC"/>
    <w:rsid w:val="21246D4B"/>
    <w:rsid w:val="21337274"/>
    <w:rsid w:val="21350F58"/>
    <w:rsid w:val="21506B6B"/>
    <w:rsid w:val="21846FD4"/>
    <w:rsid w:val="2188530E"/>
    <w:rsid w:val="218B0F2C"/>
    <w:rsid w:val="219B78E3"/>
    <w:rsid w:val="21A3434C"/>
    <w:rsid w:val="21AA36F4"/>
    <w:rsid w:val="21B01A06"/>
    <w:rsid w:val="21BA7225"/>
    <w:rsid w:val="21C3159C"/>
    <w:rsid w:val="21D000B2"/>
    <w:rsid w:val="21D37994"/>
    <w:rsid w:val="21DB5CEA"/>
    <w:rsid w:val="21E130E0"/>
    <w:rsid w:val="222F1FBC"/>
    <w:rsid w:val="22542E67"/>
    <w:rsid w:val="226736DD"/>
    <w:rsid w:val="226932DB"/>
    <w:rsid w:val="227A2375"/>
    <w:rsid w:val="228B7B4C"/>
    <w:rsid w:val="22A53D06"/>
    <w:rsid w:val="22A939AB"/>
    <w:rsid w:val="22BD17EE"/>
    <w:rsid w:val="22CE5740"/>
    <w:rsid w:val="22DB5B2F"/>
    <w:rsid w:val="22EF6C93"/>
    <w:rsid w:val="230E1A60"/>
    <w:rsid w:val="230E2790"/>
    <w:rsid w:val="23454D3D"/>
    <w:rsid w:val="234E39B9"/>
    <w:rsid w:val="23720350"/>
    <w:rsid w:val="238352C7"/>
    <w:rsid w:val="238515A0"/>
    <w:rsid w:val="239C7906"/>
    <w:rsid w:val="239F2969"/>
    <w:rsid w:val="23F12787"/>
    <w:rsid w:val="23F5677C"/>
    <w:rsid w:val="23FA6108"/>
    <w:rsid w:val="2410185A"/>
    <w:rsid w:val="244B071C"/>
    <w:rsid w:val="244C209F"/>
    <w:rsid w:val="24763D61"/>
    <w:rsid w:val="247858D4"/>
    <w:rsid w:val="24AA7567"/>
    <w:rsid w:val="24CE4405"/>
    <w:rsid w:val="24F1163A"/>
    <w:rsid w:val="25067598"/>
    <w:rsid w:val="251610A0"/>
    <w:rsid w:val="25214BFA"/>
    <w:rsid w:val="254A5C25"/>
    <w:rsid w:val="255F33B8"/>
    <w:rsid w:val="258424AE"/>
    <w:rsid w:val="25BE50D4"/>
    <w:rsid w:val="25C47253"/>
    <w:rsid w:val="25DF4AD8"/>
    <w:rsid w:val="25EF23C1"/>
    <w:rsid w:val="260A7643"/>
    <w:rsid w:val="26172EF4"/>
    <w:rsid w:val="261C6242"/>
    <w:rsid w:val="263C5DD3"/>
    <w:rsid w:val="2657168D"/>
    <w:rsid w:val="26607D19"/>
    <w:rsid w:val="26D623BC"/>
    <w:rsid w:val="26D71AB4"/>
    <w:rsid w:val="26E50978"/>
    <w:rsid w:val="27312012"/>
    <w:rsid w:val="273218B1"/>
    <w:rsid w:val="275553FB"/>
    <w:rsid w:val="27667021"/>
    <w:rsid w:val="276A6917"/>
    <w:rsid w:val="27A170FB"/>
    <w:rsid w:val="27B04A0D"/>
    <w:rsid w:val="27C90A32"/>
    <w:rsid w:val="282231D5"/>
    <w:rsid w:val="284B2E0F"/>
    <w:rsid w:val="284D76B0"/>
    <w:rsid w:val="284E2EF4"/>
    <w:rsid w:val="286D547B"/>
    <w:rsid w:val="28996589"/>
    <w:rsid w:val="28D66E77"/>
    <w:rsid w:val="291C779B"/>
    <w:rsid w:val="291D29FD"/>
    <w:rsid w:val="292D5B2B"/>
    <w:rsid w:val="2954325B"/>
    <w:rsid w:val="29853D68"/>
    <w:rsid w:val="29877DF7"/>
    <w:rsid w:val="29B019A3"/>
    <w:rsid w:val="29C77A06"/>
    <w:rsid w:val="29D478FA"/>
    <w:rsid w:val="29DA6B40"/>
    <w:rsid w:val="29EE3F40"/>
    <w:rsid w:val="29F75B47"/>
    <w:rsid w:val="2A0C5F19"/>
    <w:rsid w:val="2A372BFE"/>
    <w:rsid w:val="2A4027FF"/>
    <w:rsid w:val="2A501351"/>
    <w:rsid w:val="2A554419"/>
    <w:rsid w:val="2A9236D8"/>
    <w:rsid w:val="2ABD5BC8"/>
    <w:rsid w:val="2ADA0B22"/>
    <w:rsid w:val="2B033E75"/>
    <w:rsid w:val="2B234A65"/>
    <w:rsid w:val="2B2646DE"/>
    <w:rsid w:val="2B2D6C40"/>
    <w:rsid w:val="2B3E774D"/>
    <w:rsid w:val="2B850095"/>
    <w:rsid w:val="2BBE35F8"/>
    <w:rsid w:val="2BF11C08"/>
    <w:rsid w:val="2BF835DC"/>
    <w:rsid w:val="2C04764A"/>
    <w:rsid w:val="2C070278"/>
    <w:rsid w:val="2C123E8C"/>
    <w:rsid w:val="2C165411"/>
    <w:rsid w:val="2C18102B"/>
    <w:rsid w:val="2C3B3C25"/>
    <w:rsid w:val="2C3F712F"/>
    <w:rsid w:val="2C8D241B"/>
    <w:rsid w:val="2C9B7ADD"/>
    <w:rsid w:val="2CA64AB8"/>
    <w:rsid w:val="2CBE7E45"/>
    <w:rsid w:val="2CCD64E8"/>
    <w:rsid w:val="2CD94E8D"/>
    <w:rsid w:val="2CDA60E2"/>
    <w:rsid w:val="2CE36BA7"/>
    <w:rsid w:val="2CF3423C"/>
    <w:rsid w:val="2D082E33"/>
    <w:rsid w:val="2D101465"/>
    <w:rsid w:val="2D235645"/>
    <w:rsid w:val="2D3D7099"/>
    <w:rsid w:val="2D5E0452"/>
    <w:rsid w:val="2D6901F8"/>
    <w:rsid w:val="2D6B4608"/>
    <w:rsid w:val="2D6F591F"/>
    <w:rsid w:val="2D7C3A6A"/>
    <w:rsid w:val="2D834B64"/>
    <w:rsid w:val="2D964B2C"/>
    <w:rsid w:val="2DA74953"/>
    <w:rsid w:val="2DC46E07"/>
    <w:rsid w:val="2E584439"/>
    <w:rsid w:val="2EC21951"/>
    <w:rsid w:val="2F012479"/>
    <w:rsid w:val="2F464330"/>
    <w:rsid w:val="2F5E78CC"/>
    <w:rsid w:val="2F613DDE"/>
    <w:rsid w:val="2F6362B4"/>
    <w:rsid w:val="2F7D671D"/>
    <w:rsid w:val="2F9B4F12"/>
    <w:rsid w:val="2FAB2766"/>
    <w:rsid w:val="2FCD6A90"/>
    <w:rsid w:val="301B4E64"/>
    <w:rsid w:val="302E0D3F"/>
    <w:rsid w:val="30317E66"/>
    <w:rsid w:val="304F7BF1"/>
    <w:rsid w:val="30504859"/>
    <w:rsid w:val="306236F0"/>
    <w:rsid w:val="307F105F"/>
    <w:rsid w:val="3082583C"/>
    <w:rsid w:val="30832A0D"/>
    <w:rsid w:val="30870967"/>
    <w:rsid w:val="309912E9"/>
    <w:rsid w:val="30BD28D7"/>
    <w:rsid w:val="30D95C08"/>
    <w:rsid w:val="30F3168F"/>
    <w:rsid w:val="3107716B"/>
    <w:rsid w:val="311635A4"/>
    <w:rsid w:val="312132A7"/>
    <w:rsid w:val="3135465C"/>
    <w:rsid w:val="31584FF7"/>
    <w:rsid w:val="315A2315"/>
    <w:rsid w:val="31614304"/>
    <w:rsid w:val="318B2C9B"/>
    <w:rsid w:val="31996C16"/>
    <w:rsid w:val="31A34EC3"/>
    <w:rsid w:val="31B83952"/>
    <w:rsid w:val="31E122C4"/>
    <w:rsid w:val="32171FB4"/>
    <w:rsid w:val="322347F6"/>
    <w:rsid w:val="323A6272"/>
    <w:rsid w:val="324026C5"/>
    <w:rsid w:val="32631A05"/>
    <w:rsid w:val="32760FE3"/>
    <w:rsid w:val="328420C2"/>
    <w:rsid w:val="32906D4E"/>
    <w:rsid w:val="329A63E0"/>
    <w:rsid w:val="32AB7818"/>
    <w:rsid w:val="32D81BF7"/>
    <w:rsid w:val="32E26D0E"/>
    <w:rsid w:val="32F05959"/>
    <w:rsid w:val="32F3657D"/>
    <w:rsid w:val="3302241E"/>
    <w:rsid w:val="330E3476"/>
    <w:rsid w:val="332415BC"/>
    <w:rsid w:val="33256CA3"/>
    <w:rsid w:val="3338406F"/>
    <w:rsid w:val="333F0CA1"/>
    <w:rsid w:val="33604985"/>
    <w:rsid w:val="33735022"/>
    <w:rsid w:val="339E79D6"/>
    <w:rsid w:val="33A73AD1"/>
    <w:rsid w:val="33B51110"/>
    <w:rsid w:val="33B71CA0"/>
    <w:rsid w:val="33BD099C"/>
    <w:rsid w:val="33E04D53"/>
    <w:rsid w:val="33F153DA"/>
    <w:rsid w:val="33F24A86"/>
    <w:rsid w:val="340A2B91"/>
    <w:rsid w:val="34450DA2"/>
    <w:rsid w:val="344C4197"/>
    <w:rsid w:val="345E036E"/>
    <w:rsid w:val="34675370"/>
    <w:rsid w:val="346F4329"/>
    <w:rsid w:val="348E5A95"/>
    <w:rsid w:val="34A3530B"/>
    <w:rsid w:val="34A67BD8"/>
    <w:rsid w:val="34A7680C"/>
    <w:rsid w:val="34DD3297"/>
    <w:rsid w:val="34E14E9E"/>
    <w:rsid w:val="34F03EEA"/>
    <w:rsid w:val="35035CE9"/>
    <w:rsid w:val="352549E8"/>
    <w:rsid w:val="352769B2"/>
    <w:rsid w:val="353A2A75"/>
    <w:rsid w:val="354820D5"/>
    <w:rsid w:val="3554054C"/>
    <w:rsid w:val="355C678D"/>
    <w:rsid w:val="357065AB"/>
    <w:rsid w:val="35972F9F"/>
    <w:rsid w:val="359D0A22"/>
    <w:rsid w:val="35A059EC"/>
    <w:rsid w:val="35AE423F"/>
    <w:rsid w:val="35C81D3D"/>
    <w:rsid w:val="35E154D0"/>
    <w:rsid w:val="35E718DC"/>
    <w:rsid w:val="35EC306A"/>
    <w:rsid w:val="36001358"/>
    <w:rsid w:val="3628478F"/>
    <w:rsid w:val="366C0E9A"/>
    <w:rsid w:val="36791366"/>
    <w:rsid w:val="367D0098"/>
    <w:rsid w:val="36845849"/>
    <w:rsid w:val="36992144"/>
    <w:rsid w:val="36A87DD3"/>
    <w:rsid w:val="36B70D9A"/>
    <w:rsid w:val="36D44B17"/>
    <w:rsid w:val="36D73CEF"/>
    <w:rsid w:val="370B658B"/>
    <w:rsid w:val="3734252F"/>
    <w:rsid w:val="373553B6"/>
    <w:rsid w:val="3740260C"/>
    <w:rsid w:val="375C6DE7"/>
    <w:rsid w:val="377D49C9"/>
    <w:rsid w:val="37845B94"/>
    <w:rsid w:val="3796705F"/>
    <w:rsid w:val="379F4EDB"/>
    <w:rsid w:val="37A17D7D"/>
    <w:rsid w:val="37E5157E"/>
    <w:rsid w:val="37F5012B"/>
    <w:rsid w:val="37FA1725"/>
    <w:rsid w:val="3801494E"/>
    <w:rsid w:val="38500809"/>
    <w:rsid w:val="38797524"/>
    <w:rsid w:val="388D1222"/>
    <w:rsid w:val="389518C2"/>
    <w:rsid w:val="38B36318"/>
    <w:rsid w:val="38C904AC"/>
    <w:rsid w:val="38CF7906"/>
    <w:rsid w:val="38F562D9"/>
    <w:rsid w:val="38F818C5"/>
    <w:rsid w:val="391D36F3"/>
    <w:rsid w:val="39395767"/>
    <w:rsid w:val="395B12C8"/>
    <w:rsid w:val="396A4CD9"/>
    <w:rsid w:val="396C09EB"/>
    <w:rsid w:val="3972249B"/>
    <w:rsid w:val="397C0D7A"/>
    <w:rsid w:val="3982065B"/>
    <w:rsid w:val="39A27598"/>
    <w:rsid w:val="39AD3929"/>
    <w:rsid w:val="39B316E7"/>
    <w:rsid w:val="39C03758"/>
    <w:rsid w:val="39E7368D"/>
    <w:rsid w:val="3A013FB6"/>
    <w:rsid w:val="3A200804"/>
    <w:rsid w:val="3A47183C"/>
    <w:rsid w:val="3A4A6127"/>
    <w:rsid w:val="3A4B7C26"/>
    <w:rsid w:val="3A526E97"/>
    <w:rsid w:val="3A6174CB"/>
    <w:rsid w:val="3A6C1F6B"/>
    <w:rsid w:val="3A6E02E4"/>
    <w:rsid w:val="3A8F74D3"/>
    <w:rsid w:val="3AB107C3"/>
    <w:rsid w:val="3AB17449"/>
    <w:rsid w:val="3AB630E4"/>
    <w:rsid w:val="3AD9074E"/>
    <w:rsid w:val="3AE540CF"/>
    <w:rsid w:val="3AF4771F"/>
    <w:rsid w:val="3AF527BA"/>
    <w:rsid w:val="3B0A1AA6"/>
    <w:rsid w:val="3B2529E4"/>
    <w:rsid w:val="3B3E1006"/>
    <w:rsid w:val="3B4628A8"/>
    <w:rsid w:val="3B6D0BD7"/>
    <w:rsid w:val="3B6E0FD0"/>
    <w:rsid w:val="3B7C7192"/>
    <w:rsid w:val="3BD95D06"/>
    <w:rsid w:val="3BDD6D37"/>
    <w:rsid w:val="3BE31272"/>
    <w:rsid w:val="3C062FB8"/>
    <w:rsid w:val="3C16249C"/>
    <w:rsid w:val="3C1D38EA"/>
    <w:rsid w:val="3C3A7F55"/>
    <w:rsid w:val="3C3C14B0"/>
    <w:rsid w:val="3C607CD7"/>
    <w:rsid w:val="3CAA4150"/>
    <w:rsid w:val="3CB95FEF"/>
    <w:rsid w:val="3CD90A8C"/>
    <w:rsid w:val="3CDE3DFA"/>
    <w:rsid w:val="3CEA7127"/>
    <w:rsid w:val="3CF317B6"/>
    <w:rsid w:val="3D0752FB"/>
    <w:rsid w:val="3D1754AE"/>
    <w:rsid w:val="3D435B2C"/>
    <w:rsid w:val="3D473AB7"/>
    <w:rsid w:val="3D6C01D7"/>
    <w:rsid w:val="3DA90ACC"/>
    <w:rsid w:val="3DE11C0E"/>
    <w:rsid w:val="3DE23DBE"/>
    <w:rsid w:val="3E06185A"/>
    <w:rsid w:val="3E1C6BE8"/>
    <w:rsid w:val="3E5558D6"/>
    <w:rsid w:val="3E7E3B9A"/>
    <w:rsid w:val="3E7E61D3"/>
    <w:rsid w:val="3E904D2E"/>
    <w:rsid w:val="3EA31F22"/>
    <w:rsid w:val="3EAE5816"/>
    <w:rsid w:val="3EBE7B68"/>
    <w:rsid w:val="3EC86B10"/>
    <w:rsid w:val="3ED04DB2"/>
    <w:rsid w:val="3EF51CA7"/>
    <w:rsid w:val="3EFA6D03"/>
    <w:rsid w:val="3F1F27AF"/>
    <w:rsid w:val="3F3D7A62"/>
    <w:rsid w:val="3F5D36FC"/>
    <w:rsid w:val="3F6425DF"/>
    <w:rsid w:val="3F680178"/>
    <w:rsid w:val="3F711643"/>
    <w:rsid w:val="3F8C7CE9"/>
    <w:rsid w:val="3F8E2A19"/>
    <w:rsid w:val="3F9822B1"/>
    <w:rsid w:val="3FA27361"/>
    <w:rsid w:val="3FB26998"/>
    <w:rsid w:val="3FB35DA1"/>
    <w:rsid w:val="3FDF3590"/>
    <w:rsid w:val="3FF043E8"/>
    <w:rsid w:val="40175FFB"/>
    <w:rsid w:val="404C2200"/>
    <w:rsid w:val="404E1296"/>
    <w:rsid w:val="40534656"/>
    <w:rsid w:val="405D538F"/>
    <w:rsid w:val="406D552D"/>
    <w:rsid w:val="407D1338"/>
    <w:rsid w:val="40952232"/>
    <w:rsid w:val="409D57C9"/>
    <w:rsid w:val="40AC3FD4"/>
    <w:rsid w:val="40D460AF"/>
    <w:rsid w:val="40D71960"/>
    <w:rsid w:val="40F62813"/>
    <w:rsid w:val="40FD5C49"/>
    <w:rsid w:val="41033C84"/>
    <w:rsid w:val="410C6AE6"/>
    <w:rsid w:val="41100F01"/>
    <w:rsid w:val="41375249"/>
    <w:rsid w:val="414D77A0"/>
    <w:rsid w:val="415A6F31"/>
    <w:rsid w:val="41A255BC"/>
    <w:rsid w:val="41E77BF5"/>
    <w:rsid w:val="41F15113"/>
    <w:rsid w:val="41F52DA0"/>
    <w:rsid w:val="41F775A7"/>
    <w:rsid w:val="420F71E0"/>
    <w:rsid w:val="42107327"/>
    <w:rsid w:val="422505C9"/>
    <w:rsid w:val="42300D53"/>
    <w:rsid w:val="42592EAA"/>
    <w:rsid w:val="42681653"/>
    <w:rsid w:val="428B4A24"/>
    <w:rsid w:val="429512DB"/>
    <w:rsid w:val="42AD2784"/>
    <w:rsid w:val="42BE7680"/>
    <w:rsid w:val="42C50568"/>
    <w:rsid w:val="42CE66BF"/>
    <w:rsid w:val="42D26B87"/>
    <w:rsid w:val="42D9578F"/>
    <w:rsid w:val="42DF7C63"/>
    <w:rsid w:val="42FF0487"/>
    <w:rsid w:val="432804EB"/>
    <w:rsid w:val="43487CF9"/>
    <w:rsid w:val="435B2202"/>
    <w:rsid w:val="43B54B99"/>
    <w:rsid w:val="43F569FB"/>
    <w:rsid w:val="43FA1140"/>
    <w:rsid w:val="440A245B"/>
    <w:rsid w:val="441E4BDC"/>
    <w:rsid w:val="4429702C"/>
    <w:rsid w:val="44391A3A"/>
    <w:rsid w:val="446A7659"/>
    <w:rsid w:val="446B68BB"/>
    <w:rsid w:val="44A27FB3"/>
    <w:rsid w:val="44B475DA"/>
    <w:rsid w:val="44CF32EA"/>
    <w:rsid w:val="44D06D42"/>
    <w:rsid w:val="44FC7513"/>
    <w:rsid w:val="452C2575"/>
    <w:rsid w:val="452D0BB3"/>
    <w:rsid w:val="45632EF0"/>
    <w:rsid w:val="458E32FC"/>
    <w:rsid w:val="45914145"/>
    <w:rsid w:val="45935D6C"/>
    <w:rsid w:val="459861AF"/>
    <w:rsid w:val="45997375"/>
    <w:rsid w:val="459D6604"/>
    <w:rsid w:val="45E001CB"/>
    <w:rsid w:val="45E16A89"/>
    <w:rsid w:val="45EF24D9"/>
    <w:rsid w:val="45F935A9"/>
    <w:rsid w:val="46064271"/>
    <w:rsid w:val="461048F2"/>
    <w:rsid w:val="4613736C"/>
    <w:rsid w:val="4638539E"/>
    <w:rsid w:val="46927031"/>
    <w:rsid w:val="46A10931"/>
    <w:rsid w:val="46A74EA4"/>
    <w:rsid w:val="46CC73B9"/>
    <w:rsid w:val="46D70238"/>
    <w:rsid w:val="46FB3692"/>
    <w:rsid w:val="470533E6"/>
    <w:rsid w:val="472510C0"/>
    <w:rsid w:val="47A10846"/>
    <w:rsid w:val="47A74B3D"/>
    <w:rsid w:val="47AC3472"/>
    <w:rsid w:val="47B162CB"/>
    <w:rsid w:val="47B5520C"/>
    <w:rsid w:val="48032C9B"/>
    <w:rsid w:val="480A41AD"/>
    <w:rsid w:val="480B27CA"/>
    <w:rsid w:val="483D056E"/>
    <w:rsid w:val="484B3C8E"/>
    <w:rsid w:val="487C7310"/>
    <w:rsid w:val="48863E33"/>
    <w:rsid w:val="48EE7ABB"/>
    <w:rsid w:val="490623F5"/>
    <w:rsid w:val="490E16AC"/>
    <w:rsid w:val="491F4CE5"/>
    <w:rsid w:val="492E694F"/>
    <w:rsid w:val="493B06B9"/>
    <w:rsid w:val="495E76CE"/>
    <w:rsid w:val="49870237"/>
    <w:rsid w:val="498F2C50"/>
    <w:rsid w:val="49DB003F"/>
    <w:rsid w:val="49EC4271"/>
    <w:rsid w:val="49EF0D14"/>
    <w:rsid w:val="4A331C29"/>
    <w:rsid w:val="4A356528"/>
    <w:rsid w:val="4A4A7727"/>
    <w:rsid w:val="4A60165A"/>
    <w:rsid w:val="4A604112"/>
    <w:rsid w:val="4A6D5C5B"/>
    <w:rsid w:val="4A6F2395"/>
    <w:rsid w:val="4A7139F1"/>
    <w:rsid w:val="4AA258AB"/>
    <w:rsid w:val="4AB501B1"/>
    <w:rsid w:val="4ABB5060"/>
    <w:rsid w:val="4ACF7478"/>
    <w:rsid w:val="4AD8457E"/>
    <w:rsid w:val="4AE04280"/>
    <w:rsid w:val="4AEC627C"/>
    <w:rsid w:val="4B156138"/>
    <w:rsid w:val="4B160AC8"/>
    <w:rsid w:val="4B43314E"/>
    <w:rsid w:val="4B8D5642"/>
    <w:rsid w:val="4B915A2B"/>
    <w:rsid w:val="4B9C2C83"/>
    <w:rsid w:val="4BB04076"/>
    <w:rsid w:val="4BB400BD"/>
    <w:rsid w:val="4BCB1D03"/>
    <w:rsid w:val="4C042D0A"/>
    <w:rsid w:val="4C1C4F64"/>
    <w:rsid w:val="4C422C01"/>
    <w:rsid w:val="4C4F7D59"/>
    <w:rsid w:val="4C737CC2"/>
    <w:rsid w:val="4C8D1398"/>
    <w:rsid w:val="4CE42223"/>
    <w:rsid w:val="4D221CF5"/>
    <w:rsid w:val="4D280FF1"/>
    <w:rsid w:val="4D2A7842"/>
    <w:rsid w:val="4D3D28A4"/>
    <w:rsid w:val="4D8C33FE"/>
    <w:rsid w:val="4DB309A6"/>
    <w:rsid w:val="4DC64FE4"/>
    <w:rsid w:val="4DD0383C"/>
    <w:rsid w:val="4DD32BC9"/>
    <w:rsid w:val="4DDF3E76"/>
    <w:rsid w:val="4DE0235E"/>
    <w:rsid w:val="4DE33966"/>
    <w:rsid w:val="4E0D1794"/>
    <w:rsid w:val="4E125E21"/>
    <w:rsid w:val="4E167639"/>
    <w:rsid w:val="4E197388"/>
    <w:rsid w:val="4E232320"/>
    <w:rsid w:val="4E28241B"/>
    <w:rsid w:val="4E29018B"/>
    <w:rsid w:val="4E3B50C6"/>
    <w:rsid w:val="4E427CCF"/>
    <w:rsid w:val="4E601E9F"/>
    <w:rsid w:val="4E686795"/>
    <w:rsid w:val="4E834801"/>
    <w:rsid w:val="4EA9042E"/>
    <w:rsid w:val="4EAA4409"/>
    <w:rsid w:val="4EBB4F42"/>
    <w:rsid w:val="4EBE1CDD"/>
    <w:rsid w:val="4ED024F7"/>
    <w:rsid w:val="4EE554BC"/>
    <w:rsid w:val="4EFC7C0A"/>
    <w:rsid w:val="4F091B5D"/>
    <w:rsid w:val="4F557A80"/>
    <w:rsid w:val="4F610456"/>
    <w:rsid w:val="4F757DAC"/>
    <w:rsid w:val="4F7D5D6A"/>
    <w:rsid w:val="4F9C201E"/>
    <w:rsid w:val="4FAB04B3"/>
    <w:rsid w:val="4FAF683B"/>
    <w:rsid w:val="4FDF015D"/>
    <w:rsid w:val="4FFA4F97"/>
    <w:rsid w:val="500A6769"/>
    <w:rsid w:val="50234B18"/>
    <w:rsid w:val="502B46AC"/>
    <w:rsid w:val="502F45D3"/>
    <w:rsid w:val="503306CD"/>
    <w:rsid w:val="50451316"/>
    <w:rsid w:val="50473BD9"/>
    <w:rsid w:val="50826144"/>
    <w:rsid w:val="50893963"/>
    <w:rsid w:val="50AC1135"/>
    <w:rsid w:val="50C23F33"/>
    <w:rsid w:val="50C35389"/>
    <w:rsid w:val="510F6505"/>
    <w:rsid w:val="51290C9B"/>
    <w:rsid w:val="51600E2A"/>
    <w:rsid w:val="516B2053"/>
    <w:rsid w:val="51795D76"/>
    <w:rsid w:val="518D0942"/>
    <w:rsid w:val="51A7600F"/>
    <w:rsid w:val="51A76A58"/>
    <w:rsid w:val="51AC0513"/>
    <w:rsid w:val="51B11685"/>
    <w:rsid w:val="51E87E4E"/>
    <w:rsid w:val="51EE380D"/>
    <w:rsid w:val="521311FA"/>
    <w:rsid w:val="521F6F46"/>
    <w:rsid w:val="522925FF"/>
    <w:rsid w:val="52306A4E"/>
    <w:rsid w:val="52360212"/>
    <w:rsid w:val="523E560F"/>
    <w:rsid w:val="52412A09"/>
    <w:rsid w:val="52420DD2"/>
    <w:rsid w:val="526D7CA2"/>
    <w:rsid w:val="52743968"/>
    <w:rsid w:val="527E7720"/>
    <w:rsid w:val="528B225A"/>
    <w:rsid w:val="529472A2"/>
    <w:rsid w:val="52B61643"/>
    <w:rsid w:val="53093FF1"/>
    <w:rsid w:val="531A7374"/>
    <w:rsid w:val="5328225C"/>
    <w:rsid w:val="534A77C1"/>
    <w:rsid w:val="535B1393"/>
    <w:rsid w:val="537A428F"/>
    <w:rsid w:val="538232D9"/>
    <w:rsid w:val="539960AE"/>
    <w:rsid w:val="539A3D52"/>
    <w:rsid w:val="53A5521A"/>
    <w:rsid w:val="53A83AA9"/>
    <w:rsid w:val="53B12496"/>
    <w:rsid w:val="53BF35B0"/>
    <w:rsid w:val="53E6234F"/>
    <w:rsid w:val="53EA6CC2"/>
    <w:rsid w:val="53F62BDA"/>
    <w:rsid w:val="54100872"/>
    <w:rsid w:val="54281936"/>
    <w:rsid w:val="54361EF5"/>
    <w:rsid w:val="543842E0"/>
    <w:rsid w:val="54422245"/>
    <w:rsid w:val="5449029B"/>
    <w:rsid w:val="545D78A2"/>
    <w:rsid w:val="545E57CA"/>
    <w:rsid w:val="54716723"/>
    <w:rsid w:val="548148DD"/>
    <w:rsid w:val="549D7E63"/>
    <w:rsid w:val="54AC3396"/>
    <w:rsid w:val="54D66C51"/>
    <w:rsid w:val="551F4A3C"/>
    <w:rsid w:val="55287EB0"/>
    <w:rsid w:val="554B09F6"/>
    <w:rsid w:val="554B1ED7"/>
    <w:rsid w:val="554C20B7"/>
    <w:rsid w:val="55A6636F"/>
    <w:rsid w:val="55BA7DB6"/>
    <w:rsid w:val="55DB4F23"/>
    <w:rsid w:val="55DD0C9B"/>
    <w:rsid w:val="560501F2"/>
    <w:rsid w:val="562604F6"/>
    <w:rsid w:val="563352CC"/>
    <w:rsid w:val="563715A5"/>
    <w:rsid w:val="56903F5F"/>
    <w:rsid w:val="569C5F9D"/>
    <w:rsid w:val="569F0646"/>
    <w:rsid w:val="56E672CC"/>
    <w:rsid w:val="56FB3045"/>
    <w:rsid w:val="571A2DB0"/>
    <w:rsid w:val="571F2B37"/>
    <w:rsid w:val="573B0EEA"/>
    <w:rsid w:val="573F3226"/>
    <w:rsid w:val="574A3779"/>
    <w:rsid w:val="57520551"/>
    <w:rsid w:val="575F35E9"/>
    <w:rsid w:val="576D10A9"/>
    <w:rsid w:val="57936CCF"/>
    <w:rsid w:val="579E009D"/>
    <w:rsid w:val="57AE3754"/>
    <w:rsid w:val="57B241B8"/>
    <w:rsid w:val="57BB212B"/>
    <w:rsid w:val="57BE32CF"/>
    <w:rsid w:val="57E55E35"/>
    <w:rsid w:val="57FB2C5D"/>
    <w:rsid w:val="580A3D5D"/>
    <w:rsid w:val="580E0F71"/>
    <w:rsid w:val="58973269"/>
    <w:rsid w:val="58A61818"/>
    <w:rsid w:val="58BA0D1E"/>
    <w:rsid w:val="58E00B59"/>
    <w:rsid w:val="58E07AA6"/>
    <w:rsid w:val="5922667A"/>
    <w:rsid w:val="59325597"/>
    <w:rsid w:val="593643BE"/>
    <w:rsid w:val="595D7B77"/>
    <w:rsid w:val="59690E37"/>
    <w:rsid w:val="596D2F3F"/>
    <w:rsid w:val="59791B24"/>
    <w:rsid w:val="598A2584"/>
    <w:rsid w:val="599B4817"/>
    <w:rsid w:val="59B54E64"/>
    <w:rsid w:val="59D241D1"/>
    <w:rsid w:val="59D8203E"/>
    <w:rsid w:val="59EE5C35"/>
    <w:rsid w:val="59FC451E"/>
    <w:rsid w:val="5A074538"/>
    <w:rsid w:val="5A091870"/>
    <w:rsid w:val="5A577137"/>
    <w:rsid w:val="5A6251EC"/>
    <w:rsid w:val="5A6C2FE9"/>
    <w:rsid w:val="5A755356"/>
    <w:rsid w:val="5A7709B2"/>
    <w:rsid w:val="5A84202D"/>
    <w:rsid w:val="5A8A2C88"/>
    <w:rsid w:val="5AAE0E58"/>
    <w:rsid w:val="5ABF68F1"/>
    <w:rsid w:val="5AD85ED5"/>
    <w:rsid w:val="5AEC2D3D"/>
    <w:rsid w:val="5B0A47BD"/>
    <w:rsid w:val="5B112E7A"/>
    <w:rsid w:val="5B2D6DAA"/>
    <w:rsid w:val="5B2F7128"/>
    <w:rsid w:val="5B4821B0"/>
    <w:rsid w:val="5B6A2FD1"/>
    <w:rsid w:val="5B8E00CD"/>
    <w:rsid w:val="5B8F30B2"/>
    <w:rsid w:val="5B9725E1"/>
    <w:rsid w:val="5BF8510E"/>
    <w:rsid w:val="5C081206"/>
    <w:rsid w:val="5C5D508A"/>
    <w:rsid w:val="5C893A86"/>
    <w:rsid w:val="5CCB3F43"/>
    <w:rsid w:val="5CE73C77"/>
    <w:rsid w:val="5CFE1554"/>
    <w:rsid w:val="5CFF7BBB"/>
    <w:rsid w:val="5D0E399E"/>
    <w:rsid w:val="5D132BF0"/>
    <w:rsid w:val="5D1E0517"/>
    <w:rsid w:val="5D270EC4"/>
    <w:rsid w:val="5D303DA6"/>
    <w:rsid w:val="5D7C6E85"/>
    <w:rsid w:val="5D7F620D"/>
    <w:rsid w:val="5D810AA5"/>
    <w:rsid w:val="5DA12EF6"/>
    <w:rsid w:val="5DC26483"/>
    <w:rsid w:val="5DC649B0"/>
    <w:rsid w:val="5DD22C6C"/>
    <w:rsid w:val="5E36194B"/>
    <w:rsid w:val="5E443FAD"/>
    <w:rsid w:val="5E5A6A57"/>
    <w:rsid w:val="5E6261E1"/>
    <w:rsid w:val="5E6B6A68"/>
    <w:rsid w:val="5E937A72"/>
    <w:rsid w:val="5EAE466A"/>
    <w:rsid w:val="5EC92704"/>
    <w:rsid w:val="5EF204F1"/>
    <w:rsid w:val="5EF41669"/>
    <w:rsid w:val="5EFE6DD6"/>
    <w:rsid w:val="5F051A97"/>
    <w:rsid w:val="5F1341A5"/>
    <w:rsid w:val="5F1C0AD8"/>
    <w:rsid w:val="5F1C40C7"/>
    <w:rsid w:val="5F2F5EB3"/>
    <w:rsid w:val="5F484852"/>
    <w:rsid w:val="5F4A4CFC"/>
    <w:rsid w:val="5F61293D"/>
    <w:rsid w:val="5F7A57AC"/>
    <w:rsid w:val="5F943FFE"/>
    <w:rsid w:val="5FB5112F"/>
    <w:rsid w:val="5FD63A53"/>
    <w:rsid w:val="60044F04"/>
    <w:rsid w:val="600450EA"/>
    <w:rsid w:val="601C2385"/>
    <w:rsid w:val="601C6A00"/>
    <w:rsid w:val="601D7DA6"/>
    <w:rsid w:val="602C1FFA"/>
    <w:rsid w:val="604858AA"/>
    <w:rsid w:val="60524492"/>
    <w:rsid w:val="605C04C5"/>
    <w:rsid w:val="6061458A"/>
    <w:rsid w:val="607A58BE"/>
    <w:rsid w:val="608D5BC8"/>
    <w:rsid w:val="60A50815"/>
    <w:rsid w:val="60B1035F"/>
    <w:rsid w:val="60B35B40"/>
    <w:rsid w:val="60D13AF2"/>
    <w:rsid w:val="60DB671F"/>
    <w:rsid w:val="60EF4DCF"/>
    <w:rsid w:val="60F202B0"/>
    <w:rsid w:val="614D00E2"/>
    <w:rsid w:val="6151078F"/>
    <w:rsid w:val="61527B1E"/>
    <w:rsid w:val="615A7643"/>
    <w:rsid w:val="615D5386"/>
    <w:rsid w:val="615F0024"/>
    <w:rsid w:val="61653A35"/>
    <w:rsid w:val="61693D2A"/>
    <w:rsid w:val="61865CFF"/>
    <w:rsid w:val="619E0EC8"/>
    <w:rsid w:val="61CA54B9"/>
    <w:rsid w:val="61E05919"/>
    <w:rsid w:val="61E4440D"/>
    <w:rsid w:val="61EF4230"/>
    <w:rsid w:val="61F83CC0"/>
    <w:rsid w:val="61FB723B"/>
    <w:rsid w:val="6210721F"/>
    <w:rsid w:val="621517BC"/>
    <w:rsid w:val="622B7232"/>
    <w:rsid w:val="62761EE2"/>
    <w:rsid w:val="6295633B"/>
    <w:rsid w:val="62B03CFA"/>
    <w:rsid w:val="62B64EC4"/>
    <w:rsid w:val="62BD10B9"/>
    <w:rsid w:val="62BF2BB0"/>
    <w:rsid w:val="62D82693"/>
    <w:rsid w:val="62DD22DA"/>
    <w:rsid w:val="62DF4322"/>
    <w:rsid w:val="62E61AA9"/>
    <w:rsid w:val="62F67840"/>
    <w:rsid w:val="63092D78"/>
    <w:rsid w:val="63211912"/>
    <w:rsid w:val="634A6066"/>
    <w:rsid w:val="637025A5"/>
    <w:rsid w:val="6373126A"/>
    <w:rsid w:val="63753660"/>
    <w:rsid w:val="63912164"/>
    <w:rsid w:val="63F25078"/>
    <w:rsid w:val="640811E0"/>
    <w:rsid w:val="6423374F"/>
    <w:rsid w:val="649C5E02"/>
    <w:rsid w:val="64A648F8"/>
    <w:rsid w:val="64A70DF2"/>
    <w:rsid w:val="64E648B6"/>
    <w:rsid w:val="64EC0EFA"/>
    <w:rsid w:val="64ED1485"/>
    <w:rsid w:val="65156591"/>
    <w:rsid w:val="65385EEE"/>
    <w:rsid w:val="65397FF9"/>
    <w:rsid w:val="653D64C9"/>
    <w:rsid w:val="656F76AE"/>
    <w:rsid w:val="657C3143"/>
    <w:rsid w:val="658A33DD"/>
    <w:rsid w:val="658D1799"/>
    <w:rsid w:val="65B45165"/>
    <w:rsid w:val="65BE22AA"/>
    <w:rsid w:val="65CB5859"/>
    <w:rsid w:val="65D16475"/>
    <w:rsid w:val="65D6157E"/>
    <w:rsid w:val="65DD33BC"/>
    <w:rsid w:val="65DF46A7"/>
    <w:rsid w:val="65E52E95"/>
    <w:rsid w:val="65F2353C"/>
    <w:rsid w:val="66312EF1"/>
    <w:rsid w:val="664774B9"/>
    <w:rsid w:val="666938E0"/>
    <w:rsid w:val="666B5E4F"/>
    <w:rsid w:val="667C7999"/>
    <w:rsid w:val="667D6792"/>
    <w:rsid w:val="668A2779"/>
    <w:rsid w:val="669A49F8"/>
    <w:rsid w:val="66A51361"/>
    <w:rsid w:val="66E0683D"/>
    <w:rsid w:val="66EC6F90"/>
    <w:rsid w:val="66F10A4A"/>
    <w:rsid w:val="6734640B"/>
    <w:rsid w:val="67401A40"/>
    <w:rsid w:val="674B6263"/>
    <w:rsid w:val="674C27AF"/>
    <w:rsid w:val="67655A62"/>
    <w:rsid w:val="67736052"/>
    <w:rsid w:val="678244FF"/>
    <w:rsid w:val="6783130C"/>
    <w:rsid w:val="67974D72"/>
    <w:rsid w:val="67AF7FBD"/>
    <w:rsid w:val="67B850C4"/>
    <w:rsid w:val="67CB5BE6"/>
    <w:rsid w:val="67CD0C59"/>
    <w:rsid w:val="67E74F99"/>
    <w:rsid w:val="67EB3557"/>
    <w:rsid w:val="68352BB8"/>
    <w:rsid w:val="68454BED"/>
    <w:rsid w:val="684640E4"/>
    <w:rsid w:val="685E7B92"/>
    <w:rsid w:val="68614624"/>
    <w:rsid w:val="68702B01"/>
    <w:rsid w:val="68912470"/>
    <w:rsid w:val="68975E15"/>
    <w:rsid w:val="68A6264E"/>
    <w:rsid w:val="68AF0A65"/>
    <w:rsid w:val="68BD2FEC"/>
    <w:rsid w:val="68C63810"/>
    <w:rsid w:val="68D2069A"/>
    <w:rsid w:val="68D21582"/>
    <w:rsid w:val="68D221B5"/>
    <w:rsid w:val="68D82497"/>
    <w:rsid w:val="68DF54C0"/>
    <w:rsid w:val="69083E29"/>
    <w:rsid w:val="693D0C00"/>
    <w:rsid w:val="694D6913"/>
    <w:rsid w:val="694E026B"/>
    <w:rsid w:val="694E2341"/>
    <w:rsid w:val="696221AC"/>
    <w:rsid w:val="69630652"/>
    <w:rsid w:val="69652466"/>
    <w:rsid w:val="69673AF9"/>
    <w:rsid w:val="69681B5B"/>
    <w:rsid w:val="69681F9A"/>
    <w:rsid w:val="69694F35"/>
    <w:rsid w:val="696D215F"/>
    <w:rsid w:val="69802B13"/>
    <w:rsid w:val="69CD5BD4"/>
    <w:rsid w:val="6A0C153A"/>
    <w:rsid w:val="6A0E76C1"/>
    <w:rsid w:val="6A1A034C"/>
    <w:rsid w:val="6A1B3329"/>
    <w:rsid w:val="6A242416"/>
    <w:rsid w:val="6A2517AB"/>
    <w:rsid w:val="6A2B52A9"/>
    <w:rsid w:val="6A704B5A"/>
    <w:rsid w:val="6ABB39F5"/>
    <w:rsid w:val="6ACD70D8"/>
    <w:rsid w:val="6AF551E1"/>
    <w:rsid w:val="6AF82EED"/>
    <w:rsid w:val="6B081DBE"/>
    <w:rsid w:val="6B1B42E7"/>
    <w:rsid w:val="6B20689D"/>
    <w:rsid w:val="6B301415"/>
    <w:rsid w:val="6B363AAB"/>
    <w:rsid w:val="6B4A24D7"/>
    <w:rsid w:val="6B9E323C"/>
    <w:rsid w:val="6BA047ED"/>
    <w:rsid w:val="6BB16E4F"/>
    <w:rsid w:val="6BB56455"/>
    <w:rsid w:val="6BE94FA9"/>
    <w:rsid w:val="6BF947CC"/>
    <w:rsid w:val="6C334D13"/>
    <w:rsid w:val="6C6E6699"/>
    <w:rsid w:val="6C8B1C1A"/>
    <w:rsid w:val="6CB071C9"/>
    <w:rsid w:val="6CD34D77"/>
    <w:rsid w:val="6D0F16AF"/>
    <w:rsid w:val="6D143A89"/>
    <w:rsid w:val="6D567D0C"/>
    <w:rsid w:val="6D5D50EA"/>
    <w:rsid w:val="6D5E18F5"/>
    <w:rsid w:val="6D7955B3"/>
    <w:rsid w:val="6D806684"/>
    <w:rsid w:val="6D8B63EC"/>
    <w:rsid w:val="6E186E70"/>
    <w:rsid w:val="6E353CE1"/>
    <w:rsid w:val="6E4B103C"/>
    <w:rsid w:val="6E4E0530"/>
    <w:rsid w:val="6E562A60"/>
    <w:rsid w:val="6E580C9C"/>
    <w:rsid w:val="6E62222D"/>
    <w:rsid w:val="6E706117"/>
    <w:rsid w:val="6E79170D"/>
    <w:rsid w:val="6EAF3F4C"/>
    <w:rsid w:val="6EDF73DA"/>
    <w:rsid w:val="6EE03EC0"/>
    <w:rsid w:val="6F0057B2"/>
    <w:rsid w:val="6F0E50B8"/>
    <w:rsid w:val="6F1A16D8"/>
    <w:rsid w:val="6F7D5FA4"/>
    <w:rsid w:val="6F92031C"/>
    <w:rsid w:val="6FB77D12"/>
    <w:rsid w:val="6FE05419"/>
    <w:rsid w:val="6FE16EE1"/>
    <w:rsid w:val="70156F46"/>
    <w:rsid w:val="703A67DC"/>
    <w:rsid w:val="70483BF2"/>
    <w:rsid w:val="70536748"/>
    <w:rsid w:val="707D6EAA"/>
    <w:rsid w:val="70CA1025"/>
    <w:rsid w:val="70CE6786"/>
    <w:rsid w:val="711A7541"/>
    <w:rsid w:val="71204515"/>
    <w:rsid w:val="713B1372"/>
    <w:rsid w:val="716B211A"/>
    <w:rsid w:val="71744751"/>
    <w:rsid w:val="71AA5510"/>
    <w:rsid w:val="71AD0DB2"/>
    <w:rsid w:val="71BE11A3"/>
    <w:rsid w:val="71CA0163"/>
    <w:rsid w:val="71CA6073"/>
    <w:rsid w:val="71D73AE0"/>
    <w:rsid w:val="72003280"/>
    <w:rsid w:val="72083E75"/>
    <w:rsid w:val="72281098"/>
    <w:rsid w:val="72287C47"/>
    <w:rsid w:val="7246696A"/>
    <w:rsid w:val="7255295D"/>
    <w:rsid w:val="72565C05"/>
    <w:rsid w:val="726020EC"/>
    <w:rsid w:val="72807855"/>
    <w:rsid w:val="72B05B37"/>
    <w:rsid w:val="72C54B39"/>
    <w:rsid w:val="72C83C00"/>
    <w:rsid w:val="732A69DD"/>
    <w:rsid w:val="733B506B"/>
    <w:rsid w:val="733E5017"/>
    <w:rsid w:val="73412D45"/>
    <w:rsid w:val="73515C81"/>
    <w:rsid w:val="737C4833"/>
    <w:rsid w:val="73C211FE"/>
    <w:rsid w:val="73E9475B"/>
    <w:rsid w:val="73F867D0"/>
    <w:rsid w:val="7423447C"/>
    <w:rsid w:val="74367A9C"/>
    <w:rsid w:val="743B3304"/>
    <w:rsid w:val="7451427E"/>
    <w:rsid w:val="74650381"/>
    <w:rsid w:val="74754AD5"/>
    <w:rsid w:val="747E4204"/>
    <w:rsid w:val="74884354"/>
    <w:rsid w:val="749F61E3"/>
    <w:rsid w:val="74AE049B"/>
    <w:rsid w:val="74F0512C"/>
    <w:rsid w:val="75507BBA"/>
    <w:rsid w:val="75666953"/>
    <w:rsid w:val="75722DB1"/>
    <w:rsid w:val="757D2CAE"/>
    <w:rsid w:val="75945608"/>
    <w:rsid w:val="75A0270B"/>
    <w:rsid w:val="75A0379B"/>
    <w:rsid w:val="75AA684B"/>
    <w:rsid w:val="75C54696"/>
    <w:rsid w:val="75D51537"/>
    <w:rsid w:val="75E1612D"/>
    <w:rsid w:val="75E8143D"/>
    <w:rsid w:val="762A3631"/>
    <w:rsid w:val="763563AC"/>
    <w:rsid w:val="76464239"/>
    <w:rsid w:val="764C7A4B"/>
    <w:rsid w:val="767174B1"/>
    <w:rsid w:val="76A20849"/>
    <w:rsid w:val="76AE6010"/>
    <w:rsid w:val="76E52316"/>
    <w:rsid w:val="76ED62F7"/>
    <w:rsid w:val="771525A6"/>
    <w:rsid w:val="771B48C8"/>
    <w:rsid w:val="77212C85"/>
    <w:rsid w:val="77290059"/>
    <w:rsid w:val="77356731"/>
    <w:rsid w:val="773A3D47"/>
    <w:rsid w:val="773B1910"/>
    <w:rsid w:val="774B036C"/>
    <w:rsid w:val="77654CEA"/>
    <w:rsid w:val="776718A0"/>
    <w:rsid w:val="77701517"/>
    <w:rsid w:val="77843214"/>
    <w:rsid w:val="778F2152"/>
    <w:rsid w:val="77A37E61"/>
    <w:rsid w:val="77C51646"/>
    <w:rsid w:val="77CD0717"/>
    <w:rsid w:val="77D355E5"/>
    <w:rsid w:val="77FC5E57"/>
    <w:rsid w:val="78025FB1"/>
    <w:rsid w:val="780E632E"/>
    <w:rsid w:val="78283BA0"/>
    <w:rsid w:val="78465777"/>
    <w:rsid w:val="78563CEE"/>
    <w:rsid w:val="787D168B"/>
    <w:rsid w:val="788F76D2"/>
    <w:rsid w:val="789C675D"/>
    <w:rsid w:val="789D7ED1"/>
    <w:rsid w:val="78A15440"/>
    <w:rsid w:val="78B10039"/>
    <w:rsid w:val="78B6437D"/>
    <w:rsid w:val="78BD5024"/>
    <w:rsid w:val="78C22246"/>
    <w:rsid w:val="78CF59BC"/>
    <w:rsid w:val="78F37C40"/>
    <w:rsid w:val="79056756"/>
    <w:rsid w:val="795B1C32"/>
    <w:rsid w:val="79A33E26"/>
    <w:rsid w:val="79A656C4"/>
    <w:rsid w:val="79C86F72"/>
    <w:rsid w:val="79DA3F0F"/>
    <w:rsid w:val="7A116D77"/>
    <w:rsid w:val="7A262665"/>
    <w:rsid w:val="7A2F605F"/>
    <w:rsid w:val="7A403193"/>
    <w:rsid w:val="7A4D1FE3"/>
    <w:rsid w:val="7A756E44"/>
    <w:rsid w:val="7A7914E4"/>
    <w:rsid w:val="7A795BAE"/>
    <w:rsid w:val="7A840C8C"/>
    <w:rsid w:val="7A8B6884"/>
    <w:rsid w:val="7A944E86"/>
    <w:rsid w:val="7A9906A5"/>
    <w:rsid w:val="7A9929DA"/>
    <w:rsid w:val="7AAA4D40"/>
    <w:rsid w:val="7AC31EC5"/>
    <w:rsid w:val="7ACD133D"/>
    <w:rsid w:val="7ADA0709"/>
    <w:rsid w:val="7ADD40E9"/>
    <w:rsid w:val="7AE87E91"/>
    <w:rsid w:val="7AFA749C"/>
    <w:rsid w:val="7B0028C5"/>
    <w:rsid w:val="7B056C41"/>
    <w:rsid w:val="7B0A57DF"/>
    <w:rsid w:val="7B15607E"/>
    <w:rsid w:val="7B285B94"/>
    <w:rsid w:val="7B3D7962"/>
    <w:rsid w:val="7B423576"/>
    <w:rsid w:val="7B4F4A6F"/>
    <w:rsid w:val="7B5C19EF"/>
    <w:rsid w:val="7B5D6256"/>
    <w:rsid w:val="7B607BA8"/>
    <w:rsid w:val="7B62561B"/>
    <w:rsid w:val="7B885826"/>
    <w:rsid w:val="7BA23C69"/>
    <w:rsid w:val="7BAE0860"/>
    <w:rsid w:val="7BC2122B"/>
    <w:rsid w:val="7BC9561B"/>
    <w:rsid w:val="7BD17A9C"/>
    <w:rsid w:val="7BDD5D4D"/>
    <w:rsid w:val="7BEE491E"/>
    <w:rsid w:val="7BFA5853"/>
    <w:rsid w:val="7BFC5A6F"/>
    <w:rsid w:val="7C0B6643"/>
    <w:rsid w:val="7C0E3AED"/>
    <w:rsid w:val="7C0E7550"/>
    <w:rsid w:val="7C286864"/>
    <w:rsid w:val="7C2D27B8"/>
    <w:rsid w:val="7C4B79CC"/>
    <w:rsid w:val="7C5A78DD"/>
    <w:rsid w:val="7C643D1C"/>
    <w:rsid w:val="7C7A7D18"/>
    <w:rsid w:val="7C806A6D"/>
    <w:rsid w:val="7CB926AE"/>
    <w:rsid w:val="7CD42548"/>
    <w:rsid w:val="7CDB38D7"/>
    <w:rsid w:val="7CE94BE1"/>
    <w:rsid w:val="7D116086"/>
    <w:rsid w:val="7D2012E9"/>
    <w:rsid w:val="7D4D1BB7"/>
    <w:rsid w:val="7D5067B0"/>
    <w:rsid w:val="7D713CF1"/>
    <w:rsid w:val="7D7F083B"/>
    <w:rsid w:val="7D8B70AB"/>
    <w:rsid w:val="7D9357F1"/>
    <w:rsid w:val="7D9961FE"/>
    <w:rsid w:val="7D9E22E9"/>
    <w:rsid w:val="7DAE0FEB"/>
    <w:rsid w:val="7DCF7A9B"/>
    <w:rsid w:val="7DE46F41"/>
    <w:rsid w:val="7E237E00"/>
    <w:rsid w:val="7E491928"/>
    <w:rsid w:val="7E4F0AB8"/>
    <w:rsid w:val="7E526D48"/>
    <w:rsid w:val="7E594419"/>
    <w:rsid w:val="7E5C0A47"/>
    <w:rsid w:val="7E6E7FBE"/>
    <w:rsid w:val="7E6F63C2"/>
    <w:rsid w:val="7ED07DA7"/>
    <w:rsid w:val="7ED35753"/>
    <w:rsid w:val="7F1D77A1"/>
    <w:rsid w:val="7F2C3C3F"/>
    <w:rsid w:val="7F3B2FEB"/>
    <w:rsid w:val="7F494C50"/>
    <w:rsid w:val="7F4C7578"/>
    <w:rsid w:val="7F7156E2"/>
    <w:rsid w:val="7F743B6E"/>
    <w:rsid w:val="7F871802"/>
    <w:rsid w:val="7FB03369"/>
    <w:rsid w:val="7FB52621"/>
    <w:rsid w:val="7FE51CC9"/>
    <w:rsid w:val="7FEC7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tabs>
        <w:tab w:val="left" w:pos="432"/>
      </w:tabs>
      <w:ind w:left="432" w:hanging="432"/>
      <w:jc w:val="center"/>
      <w:outlineLvl w:val="0"/>
    </w:pPr>
    <w:rPr>
      <w:rFonts w:ascii="黑体"/>
      <w:b/>
      <w:kern w:val="0"/>
      <w:sz w:val="32"/>
      <w:szCs w:val="20"/>
    </w:rPr>
  </w:style>
  <w:style w:type="paragraph" w:styleId="4">
    <w:name w:val="heading 2"/>
    <w:basedOn w:val="1"/>
    <w:next w:val="1"/>
    <w:link w:val="71"/>
    <w:qFormat/>
    <w:uiPriority w:val="0"/>
    <w:pPr>
      <w:keepNext/>
      <w:keepLines/>
      <w:spacing w:before="260" w:after="260" w:line="413" w:lineRule="auto"/>
      <w:jc w:val="left"/>
      <w:outlineLvl w:val="1"/>
    </w:pPr>
    <w:rPr>
      <w:rFonts w:ascii="Arial" w:hAnsi="Arial"/>
      <w:b/>
      <w:bCs/>
      <w:sz w:val="30"/>
      <w:szCs w:val="32"/>
    </w:rPr>
  </w:style>
  <w:style w:type="paragraph" w:styleId="5">
    <w:name w:val="heading 3"/>
    <w:basedOn w:val="1"/>
    <w:next w:val="1"/>
    <w:qFormat/>
    <w:uiPriority w:val="0"/>
    <w:pPr>
      <w:keepNext/>
      <w:keepLines/>
      <w:spacing w:line="360" w:lineRule="auto"/>
      <w:ind w:firstLine="200" w:firstLineChars="200"/>
      <w:outlineLvl w:val="2"/>
    </w:pPr>
    <w:rPr>
      <w:b/>
      <w:bCs/>
      <w:szCs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99"/>
    <w:pPr>
      <w:ind w:firstLine="560" w:firstLineChars="200"/>
    </w:pPr>
    <w:rPr>
      <w:sz w:val="28"/>
      <w:szCs w:val="24"/>
    </w:rPr>
  </w:style>
  <w:style w:type="paragraph" w:styleId="7">
    <w:name w:val="Body Text 2"/>
    <w:basedOn w:val="1"/>
    <w:next w:val="8"/>
    <w:qFormat/>
    <w:uiPriority w:val="0"/>
    <w:rPr>
      <w:b/>
    </w:rPr>
  </w:style>
  <w:style w:type="paragraph" w:styleId="8">
    <w:name w:val="Body Text"/>
    <w:basedOn w:val="1"/>
    <w:next w:val="7"/>
    <w:qFormat/>
    <w:uiPriority w:val="99"/>
    <w:rPr>
      <w:kern w:val="0"/>
      <w:sz w:val="24"/>
    </w:rPr>
  </w:style>
  <w:style w:type="paragraph" w:styleId="9">
    <w:name w:val="annotation text"/>
    <w:basedOn w:val="1"/>
    <w:qFormat/>
    <w:uiPriority w:val="0"/>
    <w:pPr>
      <w:adjustRightInd w:val="0"/>
      <w:spacing w:line="360" w:lineRule="atLeast"/>
      <w:jc w:val="left"/>
      <w:textAlignment w:val="baseline"/>
    </w:pPr>
    <w:rPr>
      <w:kern w:val="0"/>
    </w:rPr>
  </w:style>
  <w:style w:type="paragraph" w:styleId="10">
    <w:name w:val="Body Text Indent"/>
    <w:basedOn w:val="1"/>
    <w:qFormat/>
    <w:uiPriority w:val="99"/>
    <w:pPr>
      <w:spacing w:after="120"/>
      <w:ind w:left="420" w:leftChars="200"/>
    </w:pPr>
    <w:rPr>
      <w:kern w:val="0"/>
      <w:sz w:val="20"/>
    </w:rPr>
  </w:style>
  <w:style w:type="paragraph" w:styleId="11">
    <w:name w:val="toc 3"/>
    <w:basedOn w:val="1"/>
    <w:next w:val="1"/>
    <w:qFormat/>
    <w:uiPriority w:val="0"/>
    <w:pPr>
      <w:ind w:left="840" w:leftChars="400"/>
    </w:pPr>
  </w:style>
  <w:style w:type="paragraph" w:styleId="12">
    <w:name w:val="Plain Text"/>
    <w:basedOn w:val="1"/>
    <w:qFormat/>
    <w:uiPriority w:val="99"/>
    <w:rPr>
      <w:rFonts w:ascii="宋体"/>
      <w:kern w:val="0"/>
      <w:szCs w:val="21"/>
    </w:rPr>
  </w:style>
  <w:style w:type="paragraph" w:styleId="13">
    <w:name w:val="Date"/>
    <w:basedOn w:val="1"/>
    <w:next w:val="1"/>
    <w:qFormat/>
    <w:uiPriority w:val="0"/>
    <w:pPr>
      <w:ind w:left="100" w:leftChars="2500"/>
    </w:pPr>
  </w:style>
  <w:style w:type="paragraph" w:styleId="14">
    <w:name w:val="Body Text Indent 2"/>
    <w:basedOn w:val="1"/>
    <w:qFormat/>
    <w:uiPriority w:val="0"/>
    <w:pPr>
      <w:widowControl/>
      <w:spacing w:line="360" w:lineRule="auto"/>
      <w:ind w:firstLine="480" w:firstLineChars="200"/>
      <w:jc w:val="left"/>
    </w:pPr>
    <w:rPr>
      <w:kern w:val="0"/>
      <w:sz w:val="24"/>
      <w:szCs w:val="20"/>
    </w:rPr>
  </w:style>
  <w:style w:type="paragraph" w:styleId="15">
    <w:name w:val="Balloon Text"/>
    <w:basedOn w:val="1"/>
    <w:link w:val="45"/>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envelope return"/>
    <w:basedOn w:val="1"/>
    <w:qFormat/>
    <w:uiPriority w:val="99"/>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Subtitle"/>
    <w:next w:val="1"/>
    <w:qFormat/>
    <w:uiPriority w:val="0"/>
    <w:pPr>
      <w:widowControl w:val="0"/>
      <w:spacing w:before="240" w:after="60" w:line="312" w:lineRule="auto"/>
      <w:jc w:val="center"/>
      <w:outlineLvl w:val="1"/>
    </w:pPr>
    <w:rPr>
      <w:rFonts w:ascii="Arial" w:hAnsi="Arial" w:eastAsia="宋体" w:cs="Arial"/>
      <w:b/>
      <w:bCs/>
      <w:kern w:val="28"/>
      <w:sz w:val="32"/>
      <w:szCs w:val="32"/>
      <w:lang w:val="en-US" w:eastAsia="zh-CN" w:bidi="ar-SA"/>
    </w:rPr>
  </w:style>
  <w:style w:type="paragraph" w:styleId="21">
    <w:name w:val="table of figures"/>
    <w:basedOn w:val="1"/>
    <w:next w:val="1"/>
    <w:qFormat/>
    <w:uiPriority w:val="99"/>
    <w:pPr>
      <w:spacing w:line="360" w:lineRule="auto"/>
      <w:ind w:left="840" w:leftChars="200" w:hanging="420" w:hangingChars="200"/>
    </w:pPr>
    <w:rPr>
      <w:sz w:val="24"/>
    </w:rPr>
  </w:style>
  <w:style w:type="paragraph" w:styleId="22">
    <w:name w:val="toc 2"/>
    <w:basedOn w:val="1"/>
    <w:next w:val="1"/>
    <w:qFormat/>
    <w:uiPriority w:val="0"/>
    <w:pPr>
      <w:tabs>
        <w:tab w:val="right" w:leader="dot" w:pos="9060"/>
      </w:tabs>
      <w:spacing w:line="440" w:lineRule="exact"/>
    </w:pPr>
    <w:rPr>
      <w:sz w:val="24"/>
    </w:rPr>
  </w:style>
  <w:style w:type="paragraph" w:styleId="23">
    <w:name w:val="List Continue 2"/>
    <w:basedOn w:val="1"/>
    <w:qFormat/>
    <w:uiPriority w:val="0"/>
    <w:pPr>
      <w:spacing w:after="120"/>
      <w:ind w:left="840" w:leftChars="400"/>
    </w:p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6" w:lineRule="atLeast"/>
      <w:jc w:val="left"/>
    </w:pPr>
    <w:rPr>
      <w:rFonts w:ascii="Arial" w:hAnsi="Arial"/>
      <w:kern w:val="0"/>
      <w:sz w:val="25"/>
      <w:szCs w:val="25"/>
    </w:rPr>
  </w:style>
  <w:style w:type="paragraph" w:styleId="25">
    <w:name w:val="Normal (Web)"/>
    <w:basedOn w:val="1"/>
    <w:qFormat/>
    <w:uiPriority w:val="99"/>
    <w:pPr>
      <w:widowControl/>
      <w:spacing w:afterAutospacing="1"/>
      <w:jc w:val="left"/>
    </w:pPr>
    <w:rPr>
      <w:rFonts w:ascii="宋体" w:hAnsi="宋体"/>
      <w:kern w:val="0"/>
      <w:sz w:val="24"/>
    </w:rPr>
  </w:style>
  <w:style w:type="paragraph" w:styleId="26">
    <w:name w:val="index 1"/>
    <w:basedOn w:val="1"/>
    <w:next w:val="1"/>
    <w:qFormat/>
    <w:uiPriority w:val="0"/>
    <w:pPr>
      <w:widowControl w:val="0"/>
      <w:autoSpaceDE/>
      <w:autoSpaceDN/>
      <w:spacing w:before="0" w:after="0" w:line="240" w:lineRule="auto"/>
      <w:ind w:left="0" w:firstLine="0"/>
      <w:jc w:val="both"/>
    </w:pPr>
    <w:rPr>
      <w:rFonts w:ascii="Times New Roman" w:eastAsia="宋体"/>
      <w:sz w:val="21"/>
    </w:rPr>
  </w:style>
  <w:style w:type="paragraph" w:styleId="27">
    <w:name w:val="Title"/>
    <w:basedOn w:val="1"/>
    <w:qFormat/>
    <w:uiPriority w:val="0"/>
    <w:pPr>
      <w:spacing w:line="360" w:lineRule="auto"/>
      <w:jc w:val="center"/>
      <w:outlineLvl w:val="0"/>
    </w:pPr>
    <w:rPr>
      <w:rFonts w:ascii="宋体" w:hAnsi="宋体"/>
      <w:b/>
      <w:sz w:val="28"/>
      <w:szCs w:val="28"/>
    </w:rPr>
  </w:style>
  <w:style w:type="paragraph" w:styleId="28">
    <w:name w:val="Body Text First Indent"/>
    <w:basedOn w:val="8"/>
    <w:next w:val="1"/>
    <w:qFormat/>
    <w:uiPriority w:val="0"/>
    <w:pPr>
      <w:ind w:firstLine="420" w:firstLineChars="100"/>
    </w:pPr>
    <w:rPr>
      <w:rFonts w:eastAsia="仿宋_GB2312"/>
      <w:sz w:val="28"/>
    </w:rPr>
  </w:style>
  <w:style w:type="paragraph" w:styleId="29">
    <w:name w:val="Body Text First Indent 2"/>
    <w:basedOn w:val="10"/>
    <w:next w:val="6"/>
    <w:qFormat/>
    <w:uiPriority w:val="99"/>
    <w:pPr>
      <w:ind w:left="0" w:leftChars="0" w:firstLine="420" w:firstLineChars="200"/>
    </w:pPr>
    <w:rPr>
      <w:spacing w:val="4"/>
      <w:sz w:val="24"/>
      <w:szCs w:val="24"/>
    </w:rPr>
  </w:style>
  <w:style w:type="table" w:styleId="31">
    <w:name w:val="Table Grid"/>
    <w:basedOn w:val="3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FollowedHyperlink"/>
    <w:basedOn w:val="32"/>
    <w:unhideWhenUsed/>
    <w:qFormat/>
    <w:uiPriority w:val="99"/>
    <w:rPr>
      <w:rFonts w:hint="eastAsia" w:ascii="微软雅黑" w:hAnsi="微软雅黑" w:eastAsia="微软雅黑" w:cs="微软雅黑"/>
      <w:color w:val="428BCA"/>
      <w:u w:val="none"/>
    </w:rPr>
  </w:style>
  <w:style w:type="character" w:styleId="36">
    <w:name w:val="HTML Definition"/>
    <w:basedOn w:val="32"/>
    <w:qFormat/>
    <w:uiPriority w:val="0"/>
    <w:rPr>
      <w:i/>
      <w:iCs/>
    </w:rPr>
  </w:style>
  <w:style w:type="character" w:styleId="37">
    <w:name w:val="Hyperlink"/>
    <w:basedOn w:val="32"/>
    <w:qFormat/>
    <w:uiPriority w:val="99"/>
    <w:rPr>
      <w:rFonts w:ascii="微软雅黑" w:hAnsi="微软雅黑" w:eastAsia="微软雅黑" w:cs="微软雅黑"/>
      <w:color w:val="428BCA"/>
      <w:u w:val="none"/>
    </w:rPr>
  </w:style>
  <w:style w:type="character" w:styleId="38">
    <w:name w:val="HTML Code"/>
    <w:basedOn w:val="32"/>
    <w:qFormat/>
    <w:uiPriority w:val="0"/>
    <w:rPr>
      <w:rFonts w:ascii="Consolas" w:hAnsi="Consolas" w:eastAsia="Consolas" w:cs="Consolas"/>
      <w:color w:val="C7254E"/>
      <w:sz w:val="21"/>
      <w:szCs w:val="21"/>
      <w:shd w:val="clear" w:color="auto" w:fill="F9F2F4"/>
    </w:rPr>
  </w:style>
  <w:style w:type="character" w:styleId="39">
    <w:name w:val="HTML Keyboard"/>
    <w:basedOn w:val="32"/>
    <w:qFormat/>
    <w:uiPriority w:val="0"/>
    <w:rPr>
      <w:rFonts w:hint="default" w:ascii="Consolas" w:hAnsi="Consolas" w:eastAsia="Consolas" w:cs="Consolas"/>
      <w:color w:val="FFFFFF"/>
      <w:sz w:val="21"/>
      <w:szCs w:val="21"/>
      <w:shd w:val="clear" w:color="auto" w:fill="333333"/>
    </w:rPr>
  </w:style>
  <w:style w:type="character" w:styleId="40">
    <w:name w:val="HTML Sample"/>
    <w:basedOn w:val="32"/>
    <w:qFormat/>
    <w:uiPriority w:val="0"/>
    <w:rPr>
      <w:rFonts w:hint="default" w:ascii="Consolas" w:hAnsi="Consolas" w:eastAsia="Consolas" w:cs="Consolas"/>
      <w:sz w:val="21"/>
      <w:szCs w:val="21"/>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正文文本首行缩进 2"/>
    <w:basedOn w:val="10"/>
    <w:qFormat/>
    <w:uiPriority w:val="99"/>
    <w:pPr>
      <w:spacing w:line="200" w:lineRule="atLeast"/>
      <w:ind w:firstLine="420"/>
    </w:pPr>
    <w:rPr>
      <w:rFonts w:ascii="宋体" w:hAnsi="Courier New"/>
      <w:spacing w:val="-4"/>
      <w:sz w:val="18"/>
    </w:rPr>
  </w:style>
  <w:style w:type="paragraph" w:customStyle="1" w:styleId="43">
    <w:name w:val="正文+缩进"/>
    <w:basedOn w:val="1"/>
    <w:qFormat/>
    <w:uiPriority w:val="0"/>
    <w:pPr>
      <w:ind w:firstLine="200" w:firstLineChars="200"/>
    </w:pPr>
  </w:style>
  <w:style w:type="paragraph" w:customStyle="1" w:styleId="44">
    <w:name w:val="No Spacing1"/>
    <w:basedOn w:val="1"/>
    <w:qFormat/>
    <w:uiPriority w:val="0"/>
    <w:pPr>
      <w:spacing w:line="400" w:lineRule="exact"/>
    </w:pPr>
    <w:rPr>
      <w:sz w:val="24"/>
    </w:rPr>
  </w:style>
  <w:style w:type="character" w:customStyle="1" w:styleId="45">
    <w:name w:val="批注框文本 Char"/>
    <w:basedOn w:val="32"/>
    <w:link w:val="15"/>
    <w:qFormat/>
    <w:uiPriority w:val="0"/>
    <w:rPr>
      <w:kern w:val="2"/>
      <w:sz w:val="18"/>
      <w:szCs w:val="18"/>
    </w:rPr>
  </w:style>
  <w:style w:type="paragraph" w:customStyle="1" w:styleId="46">
    <w:name w:val="p0"/>
    <w:basedOn w:val="1"/>
    <w:unhideWhenUsed/>
    <w:qFormat/>
    <w:uiPriority w:val="99"/>
    <w:pPr>
      <w:widowControl/>
    </w:pPr>
    <w:rPr>
      <w:rFonts w:hint="eastAsia"/>
    </w:rPr>
  </w:style>
  <w:style w:type="paragraph" w:customStyle="1" w:styleId="47">
    <w:name w:val="列出段落1"/>
    <w:basedOn w:val="1"/>
    <w:qFormat/>
    <w:uiPriority w:val="34"/>
    <w:pPr>
      <w:ind w:firstLine="420" w:firstLineChars="200"/>
    </w:pPr>
  </w:style>
  <w:style w:type="paragraph" w:customStyle="1" w:styleId="48">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49">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50">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51">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52">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53">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54">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55">
    <w:name w:val="xl73"/>
    <w:basedOn w:val="1"/>
    <w:qFormat/>
    <w:uiPriority w:val="0"/>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56">
    <w:name w:val="xl74"/>
    <w:basedOn w:val="1"/>
    <w:qFormat/>
    <w:uiPriority w:val="0"/>
    <w:pPr>
      <w:widowControl/>
      <w:shd w:val="clear" w:color="FFFFFF" w:fill="FFFFFF"/>
      <w:spacing w:before="100" w:beforeAutospacing="1" w:after="100" w:afterAutospacing="1"/>
      <w:jc w:val="right"/>
      <w:textAlignment w:val="center"/>
    </w:pPr>
    <w:rPr>
      <w:rFonts w:ascii="宋体" w:hAnsi="宋体" w:cs="宋体"/>
      <w:b/>
      <w:bCs/>
      <w:kern w:val="0"/>
      <w:sz w:val="40"/>
      <w:szCs w:val="40"/>
    </w:rPr>
  </w:style>
  <w:style w:type="paragraph" w:customStyle="1" w:styleId="57">
    <w:name w:val="xl75"/>
    <w:basedOn w:val="1"/>
    <w:qFormat/>
    <w:uiPriority w:val="0"/>
    <w:pPr>
      <w:widowControl/>
      <w:shd w:val="clear" w:color="FFFFFF" w:fill="FFFFFF"/>
      <w:spacing w:before="100" w:beforeAutospacing="1" w:after="100" w:afterAutospacing="1"/>
      <w:jc w:val="left"/>
    </w:pPr>
    <w:rPr>
      <w:rFonts w:ascii="宋体" w:hAnsi="宋体" w:cs="宋体"/>
      <w:kern w:val="0"/>
      <w:sz w:val="24"/>
    </w:rPr>
  </w:style>
  <w:style w:type="paragraph" w:customStyle="1" w:styleId="58">
    <w:name w:val="xl76"/>
    <w:basedOn w:val="1"/>
    <w:qFormat/>
    <w:uiPriority w:val="0"/>
    <w:pPr>
      <w:widowControl/>
      <w:shd w:val="clear" w:color="FFFFFF" w:fill="FFFFFF"/>
      <w:spacing w:before="100" w:beforeAutospacing="1" w:after="100" w:afterAutospacing="1"/>
      <w:jc w:val="right"/>
    </w:pPr>
    <w:rPr>
      <w:rFonts w:ascii="宋体" w:hAnsi="宋体" w:cs="宋体"/>
      <w:kern w:val="0"/>
      <w:sz w:val="24"/>
    </w:rPr>
  </w:style>
  <w:style w:type="paragraph" w:customStyle="1" w:styleId="59">
    <w:name w:val="xl77"/>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0">
    <w:name w:val="xl78"/>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1">
    <w:name w:val="xl79"/>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2">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3">
    <w:name w:val="xl81"/>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4">
    <w:name w:val="xl82"/>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5">
    <w:name w:val="xl83"/>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6">
    <w:name w:val="xl8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67">
    <w:name w:val="xl85"/>
    <w:basedOn w:val="1"/>
    <w:qFormat/>
    <w:uiPriority w:val="0"/>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68">
    <w:name w:val="xl86"/>
    <w:basedOn w:val="1"/>
    <w:qFormat/>
    <w:uiPriority w:val="0"/>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69">
    <w:name w:val="xl87"/>
    <w:basedOn w:val="1"/>
    <w:qFormat/>
    <w:uiPriority w:val="0"/>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70">
    <w:name w:val="Char Char3 Char Char"/>
    <w:basedOn w:val="1"/>
    <w:qFormat/>
    <w:uiPriority w:val="0"/>
    <w:pPr>
      <w:autoSpaceDE w:val="0"/>
      <w:autoSpaceDN w:val="0"/>
      <w:adjustRightInd w:val="0"/>
      <w:jc w:val="left"/>
    </w:pPr>
    <w:rPr>
      <w:kern w:val="0"/>
      <w:sz w:val="20"/>
    </w:rPr>
  </w:style>
  <w:style w:type="character" w:customStyle="1" w:styleId="71">
    <w:name w:val="标题 2 Char"/>
    <w:link w:val="4"/>
    <w:qFormat/>
    <w:locked/>
    <w:uiPriority w:val="99"/>
    <w:rPr>
      <w:rFonts w:ascii="Arial" w:hAnsi="Arial"/>
      <w:b/>
      <w:bCs/>
      <w:sz w:val="30"/>
      <w:szCs w:val="32"/>
    </w:rPr>
  </w:style>
  <w:style w:type="paragraph" w:customStyle="1" w:styleId="72">
    <w:name w:val="Table Paragraph"/>
    <w:basedOn w:val="1"/>
    <w:qFormat/>
    <w:uiPriority w:val="99"/>
    <w:rPr>
      <w:sz w:val="24"/>
    </w:rPr>
  </w:style>
  <w:style w:type="paragraph" w:customStyle="1" w:styleId="73">
    <w:name w:val="NormalIndent"/>
    <w:basedOn w:val="1"/>
    <w:qFormat/>
    <w:uiPriority w:val="0"/>
    <w:pPr>
      <w:spacing w:line="240" w:lineRule="auto"/>
      <w:ind w:firstLine="420" w:firstLineChars="200"/>
      <w:jc w:val="both"/>
      <w:textAlignment w:val="baseline"/>
    </w:pPr>
    <w:rPr>
      <w:rFonts w:ascii="Calibri" w:hAnsi="Calibri" w:eastAsia="宋体" w:cs="Times New Roman"/>
    </w:rPr>
  </w:style>
  <w:style w:type="character" w:customStyle="1" w:styleId="74">
    <w:name w:val="UserStyle_0"/>
    <w:semiHidden/>
    <w:qFormat/>
    <w:uiPriority w:val="0"/>
  </w:style>
  <w:style w:type="paragraph" w:customStyle="1" w:styleId="75">
    <w:name w:val="UserStyle_5"/>
    <w:basedOn w:val="1"/>
    <w:qFormat/>
    <w:uiPriority w:val="0"/>
    <w:pPr>
      <w:widowControl/>
      <w:spacing w:line="240" w:lineRule="auto"/>
      <w:ind w:firstLine="420" w:firstLineChars="200"/>
      <w:jc w:val="both"/>
      <w:textAlignment w:val="baseline"/>
    </w:pPr>
  </w:style>
  <w:style w:type="character" w:customStyle="1" w:styleId="76">
    <w:name w:val="UserStyle_2"/>
    <w:semiHidden/>
    <w:qFormat/>
    <w:uiPriority w:val="0"/>
    <w:rPr>
      <w:rFonts w:ascii="Times New Roman" w:hAnsi="Times New Roman" w:eastAsia="宋体" w:cs="Times New Roman"/>
      <w:color w:val="000000"/>
      <w:sz w:val="21"/>
      <w:lang w:val="en-US" w:eastAsia="zh-CN" w:bidi="ar-SA"/>
    </w:rPr>
  </w:style>
  <w:style w:type="paragraph" w:customStyle="1" w:styleId="77">
    <w:name w:val="无间隔1"/>
    <w:basedOn w:val="1"/>
    <w:next w:val="78"/>
    <w:qFormat/>
    <w:uiPriority w:val="99"/>
    <w:pPr>
      <w:spacing w:line="400" w:lineRule="exact"/>
    </w:pPr>
    <w:rPr>
      <w:sz w:val="24"/>
    </w:rPr>
  </w:style>
  <w:style w:type="paragraph" w:customStyle="1" w:styleId="78">
    <w:name w:val="TOC Heading1"/>
    <w:next w:val="1"/>
    <w:unhideWhenUsed/>
    <w:qFormat/>
    <w:uiPriority w:val="0"/>
    <w:pPr>
      <w:wordWrap w:val="0"/>
      <w:spacing w:beforeLines="0" w:afterLines="0"/>
    </w:pPr>
    <w:rPr>
      <w:rFonts w:hint="eastAsia" w:ascii="Times New Roman" w:hAnsi="Times New Roman" w:eastAsia="Times New Roman" w:cs="Times New Roman"/>
      <w:sz w:val="32"/>
      <w:szCs w:val="22"/>
      <w:lang w:val="en-US" w:eastAsia="zh-CN" w:bidi="ar-SA"/>
    </w:rPr>
  </w:style>
  <w:style w:type="character" w:customStyle="1" w:styleId="79">
    <w:name w:val="hover4"/>
    <w:basedOn w:val="32"/>
    <w:qFormat/>
    <w:uiPriority w:val="0"/>
  </w:style>
  <w:style w:type="character" w:customStyle="1" w:styleId="80">
    <w:name w:val="hover5"/>
    <w:basedOn w:val="32"/>
    <w:qFormat/>
    <w:uiPriority w:val="0"/>
  </w:style>
  <w:style w:type="paragraph" w:customStyle="1" w:styleId="81">
    <w:name w:val="Header or footer|2"/>
    <w:basedOn w:val="1"/>
    <w:qFormat/>
    <w:uiPriority w:val="0"/>
    <w:rPr>
      <w:sz w:val="20"/>
      <w:szCs w:val="20"/>
      <w:lang w:val="zh-TW" w:eastAsia="zh-TW" w:bidi="zh-TW"/>
    </w:rPr>
  </w:style>
  <w:style w:type="paragraph" w:customStyle="1" w:styleId="82">
    <w:name w:val="Body text|1"/>
    <w:basedOn w:val="1"/>
    <w:qFormat/>
    <w:uiPriority w:val="0"/>
    <w:pPr>
      <w:spacing w:after="20" w:line="408" w:lineRule="auto"/>
      <w:ind w:firstLine="400"/>
    </w:pPr>
    <w:rPr>
      <w:rFonts w:ascii="宋体" w:hAnsi="宋体" w:eastAsia="宋体" w:cs="宋体"/>
      <w:sz w:val="84"/>
      <w:szCs w:val="84"/>
      <w:lang w:val="zh-TW" w:eastAsia="zh-TW" w:bidi="zh-TW"/>
    </w:rPr>
  </w:style>
  <w:style w:type="paragraph" w:customStyle="1" w:styleId="83">
    <w:name w:val="Body text|2"/>
    <w:basedOn w:val="1"/>
    <w:qFormat/>
    <w:uiPriority w:val="0"/>
    <w:rPr>
      <w:sz w:val="32"/>
      <w:szCs w:val="32"/>
      <w:shd w:val="clear" w:color="auto" w:fill="FFFFFF"/>
    </w:rPr>
  </w:style>
  <w:style w:type="character" w:customStyle="1" w:styleId="84">
    <w:name w:val="font21"/>
    <w:basedOn w:val="32"/>
    <w:qFormat/>
    <w:uiPriority w:val="0"/>
    <w:rPr>
      <w:rFonts w:hint="eastAsia" w:ascii="宋体" w:hAnsi="宋体" w:eastAsia="宋体" w:cs="宋体"/>
      <w:b/>
      <w:bCs/>
      <w:color w:val="FF0000"/>
      <w:sz w:val="20"/>
      <w:szCs w:val="20"/>
      <w:u w:val="none"/>
    </w:rPr>
  </w:style>
  <w:style w:type="character" w:customStyle="1" w:styleId="85">
    <w:name w:val="font81"/>
    <w:basedOn w:val="32"/>
    <w:qFormat/>
    <w:uiPriority w:val="0"/>
    <w:rPr>
      <w:rFonts w:hint="eastAsia" w:ascii="宋体" w:hAnsi="宋体" w:eastAsia="宋体" w:cs="宋体"/>
      <w:color w:val="FF0000"/>
      <w:sz w:val="20"/>
      <w:szCs w:val="20"/>
      <w:u w:val="none"/>
    </w:rPr>
  </w:style>
  <w:style w:type="character" w:customStyle="1" w:styleId="86">
    <w:name w:val="font61"/>
    <w:basedOn w:val="32"/>
    <w:qFormat/>
    <w:uiPriority w:val="0"/>
    <w:rPr>
      <w:rFonts w:hint="eastAsia" w:ascii="宋体" w:hAnsi="宋体" w:eastAsia="宋体" w:cs="宋体"/>
      <w:color w:val="000000"/>
      <w:sz w:val="20"/>
      <w:szCs w:val="20"/>
      <w:u w:val="none"/>
    </w:rPr>
  </w:style>
  <w:style w:type="character" w:customStyle="1" w:styleId="87">
    <w:name w:val="font71"/>
    <w:basedOn w:val="32"/>
    <w:qFormat/>
    <w:uiPriority w:val="0"/>
    <w:rPr>
      <w:rFonts w:hint="eastAsia" w:ascii="宋体" w:hAnsi="宋体" w:eastAsia="宋体" w:cs="宋体"/>
      <w:b/>
      <w:bCs/>
      <w:color w:val="000000"/>
      <w:sz w:val="20"/>
      <w:szCs w:val="20"/>
      <w:u w:val="none"/>
    </w:rPr>
  </w:style>
  <w:style w:type="character" w:customStyle="1" w:styleId="88">
    <w:name w:val="font91"/>
    <w:basedOn w:val="32"/>
    <w:qFormat/>
    <w:uiPriority w:val="0"/>
    <w:rPr>
      <w:rFonts w:hint="eastAsia" w:ascii="宋体" w:hAnsi="宋体" w:eastAsia="宋体" w:cs="宋体"/>
      <w:color w:val="000000"/>
      <w:sz w:val="20"/>
      <w:szCs w:val="20"/>
      <w:u w:val="none"/>
    </w:rPr>
  </w:style>
  <w:style w:type="character" w:customStyle="1" w:styleId="89">
    <w:name w:val="font101"/>
    <w:basedOn w:val="32"/>
    <w:qFormat/>
    <w:uiPriority w:val="0"/>
    <w:rPr>
      <w:rFonts w:hint="eastAsia" w:ascii="宋体" w:hAnsi="宋体" w:eastAsia="宋体" w:cs="宋体"/>
      <w:color w:val="000000"/>
      <w:sz w:val="20"/>
      <w:szCs w:val="20"/>
      <w:u w:val="none"/>
    </w:rPr>
  </w:style>
  <w:style w:type="character" w:customStyle="1" w:styleId="90">
    <w:name w:val="font51"/>
    <w:basedOn w:val="32"/>
    <w:qFormat/>
    <w:uiPriority w:val="0"/>
    <w:rPr>
      <w:rFonts w:hint="eastAsia" w:ascii="宋体" w:hAnsi="宋体" w:eastAsia="宋体" w:cs="宋体"/>
      <w:color w:val="000000"/>
      <w:sz w:val="20"/>
      <w:szCs w:val="20"/>
      <w:u w:val="none"/>
    </w:rPr>
  </w:style>
  <w:style w:type="character" w:customStyle="1" w:styleId="91">
    <w:name w:val="icon_ds"/>
    <w:basedOn w:val="32"/>
    <w:qFormat/>
    <w:uiPriority w:val="0"/>
    <w:rPr>
      <w:sz w:val="21"/>
      <w:szCs w:val="21"/>
    </w:rPr>
  </w:style>
  <w:style w:type="character" w:customStyle="1" w:styleId="92">
    <w:name w:val="icon_ds1"/>
    <w:basedOn w:val="32"/>
    <w:qFormat/>
    <w:uiPriority w:val="0"/>
  </w:style>
  <w:style w:type="character" w:customStyle="1" w:styleId="93">
    <w:name w:val="xiadan"/>
    <w:basedOn w:val="32"/>
    <w:qFormat/>
    <w:uiPriority w:val="0"/>
    <w:rPr>
      <w:shd w:val="clear" w:fill="E4393C"/>
    </w:rPr>
  </w:style>
  <w:style w:type="character" w:customStyle="1" w:styleId="94">
    <w:name w:val="first-child1"/>
    <w:basedOn w:val="32"/>
    <w:qFormat/>
    <w:uiPriority w:val="0"/>
    <w:rPr>
      <w:color w:val="1F3149"/>
      <w:sz w:val="24"/>
      <w:szCs w:val="24"/>
    </w:rPr>
  </w:style>
  <w:style w:type="character" w:customStyle="1" w:styleId="95">
    <w:name w:val="fr"/>
    <w:basedOn w:val="32"/>
    <w:qFormat/>
    <w:uiPriority w:val="0"/>
  </w:style>
  <w:style w:type="character" w:customStyle="1" w:styleId="96">
    <w:name w:val="icon_gys"/>
    <w:basedOn w:val="32"/>
    <w:qFormat/>
    <w:uiPriority w:val="0"/>
    <w:rPr>
      <w:sz w:val="21"/>
      <w:szCs w:val="21"/>
    </w:rPr>
  </w:style>
  <w:style w:type="paragraph" w:customStyle="1" w:styleId="97">
    <w:name w:val="列表段落1"/>
    <w:basedOn w:val="1"/>
    <w:qFormat/>
    <w:uiPriority w:val="34"/>
    <w:pPr>
      <w:ind w:firstLine="420" w:firstLineChars="200"/>
    </w:pPr>
  </w:style>
  <w:style w:type="character" w:customStyle="1" w:styleId="98">
    <w:name w:val="font11"/>
    <w:basedOn w:val="32"/>
    <w:qFormat/>
    <w:uiPriority w:val="0"/>
    <w:rPr>
      <w:rFonts w:ascii="Arial" w:hAnsi="Arial" w:cs="Arial"/>
      <w:color w:val="000000"/>
      <w:sz w:val="24"/>
      <w:szCs w:val="24"/>
      <w:u w:val="none"/>
    </w:rPr>
  </w:style>
  <w:style w:type="character" w:customStyle="1" w:styleId="99">
    <w:name w:val="font01"/>
    <w:basedOn w:val="32"/>
    <w:qFormat/>
    <w:uiPriority w:val="0"/>
    <w:rPr>
      <w:rFonts w:hint="eastAsia" w:ascii="宋体" w:hAnsi="宋体" w:eastAsia="宋体" w:cs="宋体"/>
      <w:color w:val="000000"/>
      <w:sz w:val="24"/>
      <w:szCs w:val="24"/>
      <w:u w:val="none"/>
    </w:rPr>
  </w:style>
  <w:style w:type="paragraph" w:customStyle="1" w:styleId="100">
    <w:name w:val="正文缩进1"/>
    <w:basedOn w:val="1"/>
    <w:qFormat/>
    <w:uiPriority w:val="0"/>
    <w:pPr>
      <w:autoSpaceDE w:val="0"/>
      <w:autoSpaceDN w:val="0"/>
      <w:adjustRightInd w:val="0"/>
      <w:ind w:firstLine="420"/>
      <w:jc w:val="left"/>
    </w:pPr>
    <w:rPr>
      <w:rFonts w:ascii="宋体" w:hAnsi="Calibri"/>
      <w:kern w:val="0"/>
      <w:sz w:val="24"/>
      <w:szCs w:val="20"/>
    </w:rPr>
  </w:style>
  <w:style w:type="paragraph" w:customStyle="1" w:styleId="101">
    <w:name w:val="索引 11"/>
    <w:basedOn w:val="1"/>
    <w:next w:val="1"/>
    <w:qFormat/>
    <w:uiPriority w:val="0"/>
    <w:pPr>
      <w:spacing w:line="360" w:lineRule="auto"/>
    </w:pPr>
    <w:rPr>
      <w:rFonts w:ascii="仿宋_GB2312" w:eastAsia="仿宋_GB2312"/>
      <w:sz w:val="24"/>
      <w:szCs w:val="20"/>
    </w:rPr>
  </w:style>
  <w:style w:type="paragraph" w:customStyle="1" w:styleId="102">
    <w:name w:val="纯文本1"/>
    <w:basedOn w:val="1"/>
    <w:qFormat/>
    <w:uiPriority w:val="0"/>
    <w:rPr>
      <w:rFonts w:ascii="宋体" w:hAnsi="Courier New"/>
      <w:kern w:val="0"/>
      <w:sz w:val="20"/>
      <w:szCs w:val="20"/>
    </w:rPr>
  </w:style>
  <w:style w:type="paragraph" w:customStyle="1" w:styleId="103">
    <w:name w:val="List Paragraph"/>
    <w:basedOn w:val="1"/>
    <w:qFormat/>
    <w:uiPriority w:val="34"/>
    <w:pPr>
      <w:ind w:firstLine="420" w:firstLineChars="200"/>
    </w:pPr>
  </w:style>
  <w:style w:type="paragraph" w:customStyle="1" w:styleId="104">
    <w:name w:val="CM1"/>
    <w:basedOn w:val="41"/>
    <w:next w:val="41"/>
    <w:unhideWhenUsed/>
    <w:qFormat/>
    <w:uiPriority w:val="99"/>
    <w:rPr>
      <w:rFonts w:hint="default"/>
      <w:sz w:val="24"/>
      <w:szCs w:val="24"/>
    </w:rPr>
  </w:style>
  <w:style w:type="paragraph" w:customStyle="1" w:styleId="105">
    <w:name w:val="CM15"/>
    <w:basedOn w:val="41"/>
    <w:next w:val="41"/>
    <w:unhideWhenUsed/>
    <w:qFormat/>
    <w:uiPriority w:val="99"/>
    <w:rPr>
      <w:rFonts w:hint="default"/>
      <w:sz w:val="24"/>
      <w:szCs w:val="24"/>
    </w:rPr>
  </w:style>
  <w:style w:type="paragraph" w:customStyle="1" w:styleId="106">
    <w:name w:val="CM16"/>
    <w:basedOn w:val="41"/>
    <w:next w:val="41"/>
    <w:unhideWhenUsed/>
    <w:qFormat/>
    <w:uiPriority w:val="99"/>
    <w:rPr>
      <w:rFonts w:hint="default"/>
      <w:sz w:val="24"/>
      <w:szCs w:val="24"/>
    </w:rPr>
  </w:style>
  <w:style w:type="paragraph" w:customStyle="1" w:styleId="107">
    <w:name w:val="CM2"/>
    <w:basedOn w:val="41"/>
    <w:next w:val="41"/>
    <w:unhideWhenUsed/>
    <w:qFormat/>
    <w:uiPriority w:val="99"/>
    <w:pPr>
      <w:spacing w:line="400" w:lineRule="atLeast"/>
    </w:pPr>
    <w:rPr>
      <w:rFonts w:hint="default"/>
      <w:sz w:val="24"/>
      <w:szCs w:val="24"/>
    </w:rPr>
  </w:style>
  <w:style w:type="paragraph" w:customStyle="1" w:styleId="108">
    <w:name w:val="CM17"/>
    <w:basedOn w:val="41"/>
    <w:next w:val="41"/>
    <w:unhideWhenUsed/>
    <w:qFormat/>
    <w:uiPriority w:val="99"/>
    <w:rPr>
      <w:rFonts w:hint="default"/>
      <w:sz w:val="24"/>
      <w:szCs w:val="24"/>
    </w:rPr>
  </w:style>
  <w:style w:type="paragraph" w:customStyle="1" w:styleId="109">
    <w:name w:val="CM5"/>
    <w:basedOn w:val="41"/>
    <w:next w:val="41"/>
    <w:unhideWhenUsed/>
    <w:qFormat/>
    <w:uiPriority w:val="99"/>
    <w:pPr>
      <w:spacing w:line="400" w:lineRule="atLeast"/>
    </w:pPr>
    <w:rPr>
      <w:rFonts w:hint="default"/>
      <w:sz w:val="24"/>
      <w:szCs w:val="24"/>
    </w:rPr>
  </w:style>
  <w:style w:type="paragraph" w:customStyle="1" w:styleId="110">
    <w:name w:val="CM6"/>
    <w:basedOn w:val="41"/>
    <w:next w:val="41"/>
    <w:unhideWhenUsed/>
    <w:qFormat/>
    <w:uiPriority w:val="99"/>
    <w:pPr>
      <w:spacing w:line="400" w:lineRule="atLeast"/>
    </w:pPr>
    <w:rPr>
      <w:rFonts w:hint="default"/>
      <w:sz w:val="24"/>
      <w:szCs w:val="24"/>
    </w:rPr>
  </w:style>
  <w:style w:type="paragraph" w:customStyle="1" w:styleId="111">
    <w:name w:val="CM8"/>
    <w:basedOn w:val="41"/>
    <w:next w:val="41"/>
    <w:unhideWhenUsed/>
    <w:qFormat/>
    <w:uiPriority w:val="99"/>
    <w:pPr>
      <w:spacing w:line="400" w:lineRule="atLeast"/>
    </w:pPr>
    <w:rPr>
      <w:rFonts w:hint="default"/>
      <w:sz w:val="24"/>
      <w:szCs w:val="24"/>
    </w:rPr>
  </w:style>
  <w:style w:type="paragraph" w:customStyle="1" w:styleId="112">
    <w:name w:val="CM14"/>
    <w:basedOn w:val="41"/>
    <w:next w:val="41"/>
    <w:unhideWhenUsed/>
    <w:qFormat/>
    <w:uiPriority w:val="99"/>
    <w:pPr>
      <w:spacing w:line="400" w:lineRule="atLeast"/>
    </w:pPr>
    <w:rPr>
      <w:rFonts w:hint="default"/>
      <w:sz w:val="24"/>
      <w:szCs w:val="24"/>
    </w:rPr>
  </w:style>
  <w:style w:type="paragraph" w:customStyle="1" w:styleId="113">
    <w:name w:val="CM12"/>
    <w:basedOn w:val="41"/>
    <w:next w:val="41"/>
    <w:unhideWhenUsed/>
    <w:qFormat/>
    <w:uiPriority w:val="99"/>
    <w:pPr>
      <w:spacing w:line="400" w:lineRule="atLeast"/>
    </w:pPr>
    <w:rPr>
      <w:rFonts w:hint="default"/>
      <w:sz w:val="24"/>
      <w:szCs w:val="24"/>
    </w:rPr>
  </w:style>
  <w:style w:type="character" w:customStyle="1" w:styleId="11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EC601-444F-4274-94AE-9A0E0F8BA00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53</Pages>
  <Words>19429</Words>
  <Characters>20450</Characters>
  <Lines>218</Lines>
  <Paragraphs>61</Paragraphs>
  <TotalTime>2</TotalTime>
  <ScaleCrop>false</ScaleCrop>
  <LinksUpToDate>false</LinksUpToDate>
  <CharactersWithSpaces>20740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2012-06-04T00:26:00Z</dcterms:created>
  <dc:creator>luobo</dc:creator>
  <cp:lastModifiedBy>永不止步</cp:lastModifiedBy>
  <cp:lastPrinted>2024-02-05T11:33:00Z</cp:lastPrinted>
  <dcterms:modified xsi:type="dcterms:W3CDTF">2025-09-11T09:07:32Z</dcterms:modified>
  <dc:title>民权县实创花园一期工程施工招标</dc:title>
  <cp:revision>396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E0383CFDCDC74340B14DF72D0E4F811E_13</vt:lpwstr>
  </property>
  <property fmtid="{D5CDD505-2E9C-101B-9397-08002B2CF9AE}" pid="3" name="KSOProductBuildVer">
    <vt:lpwstr>2052-12.1.0.22529</vt:lpwstr>
  </property>
  <property fmtid="{D5CDD505-2E9C-101B-9397-08002B2CF9AE}" pid="4" name="KSOTemplateDocerSaveRecord">
    <vt:lpwstr>eyJoZGlkIjoiZTg0MDQzNDgzMDBmOGQ0ODEzODI0N2EwMTQwMzU2YjciLCJ1c2VySWQiOiI4OTIxMDg3MzEifQ==</vt:lpwstr>
  </property>
</Properties>
</file>