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FD5D9">
      <w:pPr>
        <w:pStyle w:val="6"/>
        <w:spacing w:line="360" w:lineRule="auto"/>
        <w:jc w:val="center"/>
        <w:rPr>
          <w:rFonts w:asciiTheme="minorEastAsia" w:hAnsiTheme="minorEastAsia" w:eastAsiaTheme="minorEastAsia" w:cstheme="minorEastAsia"/>
          <w:b/>
          <w:bCs/>
          <w:spacing w:val="-14"/>
          <w:sz w:val="50"/>
          <w:szCs w:val="50"/>
          <w:lang w:eastAsia="zh-CN"/>
        </w:rPr>
      </w:pPr>
      <w:r>
        <w:rPr>
          <w:rFonts w:hint="eastAsia" w:ascii="宋体" w:hAnsi="宋体" w:eastAsia="宋体" w:cs="宋体"/>
          <w:b/>
          <w:sz w:val="44"/>
          <w:szCs w:val="44"/>
        </w:rPr>
        <w:drawing>
          <wp:anchor distT="0" distB="0" distL="114300" distR="114300" simplePos="0" relativeHeight="251660288" behindDoc="0" locked="0" layoutInCell="1" allowOverlap="1">
            <wp:simplePos x="0" y="0"/>
            <wp:positionH relativeFrom="column">
              <wp:posOffset>-915670</wp:posOffset>
            </wp:positionH>
            <wp:positionV relativeFrom="paragraph">
              <wp:posOffset>-550545</wp:posOffset>
            </wp:positionV>
            <wp:extent cx="7393940" cy="10177780"/>
            <wp:effectExtent l="0" t="0" r="16510" b="13970"/>
            <wp:wrapNone/>
            <wp:docPr id="1" name="图片 1" descr="招标文件封面盖章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文件封面盖章版"/>
                    <pic:cNvPicPr>
                      <a:picLocks noChangeAspect="1"/>
                    </pic:cNvPicPr>
                  </pic:nvPicPr>
                  <pic:blipFill>
                    <a:blip r:embed="rId12"/>
                    <a:stretch>
                      <a:fillRect/>
                    </a:stretch>
                  </pic:blipFill>
                  <pic:spPr>
                    <a:xfrm>
                      <a:off x="0" y="0"/>
                      <a:ext cx="7393940" cy="10177780"/>
                    </a:xfrm>
                    <a:prstGeom prst="rect">
                      <a:avLst/>
                    </a:prstGeom>
                  </pic:spPr>
                </pic:pic>
              </a:graphicData>
            </a:graphic>
          </wp:anchor>
        </w:drawing>
      </w:r>
    </w:p>
    <w:p w14:paraId="746ABBAC">
      <w:pPr>
        <w:spacing w:line="276" w:lineRule="auto"/>
        <w:jc w:val="center"/>
        <w:rPr>
          <w:rFonts w:hint="eastAsia" w:ascii="宋体" w:hAnsi="宋体" w:eastAsia="宋体" w:cs="宋体"/>
          <w:b/>
          <w:sz w:val="44"/>
          <w:szCs w:val="44"/>
        </w:rPr>
      </w:pPr>
    </w:p>
    <w:p w14:paraId="12B0B223">
      <w:pPr>
        <w:spacing w:line="276" w:lineRule="auto"/>
        <w:jc w:val="center"/>
        <w:rPr>
          <w:rFonts w:hint="eastAsia" w:ascii="宋体" w:hAnsi="宋体" w:eastAsia="宋体" w:cs="宋体"/>
          <w:b/>
          <w:sz w:val="44"/>
          <w:szCs w:val="44"/>
        </w:rPr>
      </w:pPr>
    </w:p>
    <w:p w14:paraId="414FFA99">
      <w:pPr>
        <w:spacing w:line="276" w:lineRule="auto"/>
        <w:jc w:val="center"/>
        <w:rPr>
          <w:rFonts w:hint="eastAsia" w:ascii="宋体" w:hAnsi="宋体" w:eastAsia="宋体" w:cs="宋体"/>
          <w:b/>
          <w:sz w:val="44"/>
          <w:szCs w:val="44"/>
        </w:rPr>
      </w:pPr>
    </w:p>
    <w:p w14:paraId="3394DF42">
      <w:pPr>
        <w:spacing w:line="276" w:lineRule="auto"/>
        <w:jc w:val="center"/>
        <w:rPr>
          <w:rFonts w:hint="eastAsia" w:ascii="宋体" w:hAnsi="宋体" w:eastAsia="宋体" w:cs="宋体"/>
          <w:b/>
          <w:sz w:val="44"/>
          <w:szCs w:val="44"/>
        </w:rPr>
      </w:pPr>
    </w:p>
    <w:p w14:paraId="178BD78A">
      <w:pPr>
        <w:spacing w:line="276" w:lineRule="auto"/>
        <w:jc w:val="center"/>
        <w:rPr>
          <w:rFonts w:hint="eastAsia" w:ascii="宋体" w:hAnsi="宋体" w:eastAsia="宋体" w:cs="宋体"/>
          <w:b/>
          <w:sz w:val="44"/>
          <w:szCs w:val="44"/>
        </w:rPr>
      </w:pPr>
    </w:p>
    <w:p w14:paraId="4634745D">
      <w:pPr>
        <w:spacing w:line="276" w:lineRule="auto"/>
        <w:jc w:val="center"/>
        <w:rPr>
          <w:rFonts w:hint="eastAsia" w:ascii="宋体" w:hAnsi="宋体" w:eastAsia="宋体" w:cs="宋体"/>
          <w:b/>
          <w:sz w:val="44"/>
          <w:szCs w:val="44"/>
        </w:rPr>
      </w:pPr>
    </w:p>
    <w:p w14:paraId="54B19F63">
      <w:pPr>
        <w:spacing w:line="276" w:lineRule="auto"/>
        <w:jc w:val="center"/>
        <w:rPr>
          <w:rFonts w:hint="eastAsia" w:ascii="宋体" w:hAnsi="宋体" w:eastAsia="宋体" w:cs="宋体"/>
          <w:b/>
          <w:sz w:val="44"/>
          <w:szCs w:val="44"/>
        </w:rPr>
      </w:pPr>
    </w:p>
    <w:p w14:paraId="3DD4552C">
      <w:pPr>
        <w:spacing w:line="276" w:lineRule="auto"/>
        <w:jc w:val="center"/>
        <w:rPr>
          <w:rFonts w:hint="eastAsia" w:ascii="宋体" w:hAnsi="宋体" w:eastAsia="宋体" w:cs="宋体"/>
          <w:b/>
          <w:sz w:val="44"/>
          <w:szCs w:val="44"/>
        </w:rPr>
      </w:pPr>
    </w:p>
    <w:p w14:paraId="7AC0BB19">
      <w:pPr>
        <w:spacing w:line="276" w:lineRule="auto"/>
        <w:jc w:val="center"/>
        <w:rPr>
          <w:rFonts w:hint="eastAsia" w:ascii="宋体" w:hAnsi="宋体" w:eastAsia="宋体" w:cs="宋体"/>
          <w:b/>
          <w:sz w:val="44"/>
          <w:szCs w:val="44"/>
        </w:rPr>
      </w:pPr>
    </w:p>
    <w:p w14:paraId="5B06F9C7">
      <w:pPr>
        <w:spacing w:line="276" w:lineRule="auto"/>
        <w:jc w:val="center"/>
        <w:rPr>
          <w:rFonts w:hint="eastAsia" w:ascii="宋体" w:hAnsi="宋体" w:eastAsia="宋体" w:cs="宋体"/>
          <w:b/>
          <w:sz w:val="44"/>
          <w:szCs w:val="44"/>
        </w:rPr>
      </w:pPr>
    </w:p>
    <w:p w14:paraId="4DD1A52C">
      <w:pPr>
        <w:spacing w:line="276" w:lineRule="auto"/>
        <w:jc w:val="center"/>
        <w:rPr>
          <w:rFonts w:hint="eastAsia" w:ascii="宋体" w:hAnsi="宋体" w:eastAsia="宋体" w:cs="宋体"/>
          <w:b/>
          <w:sz w:val="44"/>
          <w:szCs w:val="44"/>
        </w:rPr>
      </w:pPr>
    </w:p>
    <w:p w14:paraId="3FBE4FE4">
      <w:pPr>
        <w:spacing w:line="276" w:lineRule="auto"/>
        <w:jc w:val="center"/>
        <w:rPr>
          <w:rFonts w:hint="eastAsia" w:ascii="宋体" w:hAnsi="宋体" w:eastAsia="宋体" w:cs="宋体"/>
          <w:b/>
          <w:sz w:val="44"/>
          <w:szCs w:val="44"/>
        </w:rPr>
      </w:pPr>
    </w:p>
    <w:p w14:paraId="2D4B79C3">
      <w:pPr>
        <w:spacing w:line="276" w:lineRule="auto"/>
        <w:jc w:val="center"/>
        <w:rPr>
          <w:rFonts w:hint="eastAsia" w:ascii="宋体" w:hAnsi="宋体" w:eastAsia="宋体" w:cs="宋体"/>
          <w:b/>
          <w:sz w:val="44"/>
          <w:szCs w:val="44"/>
        </w:rPr>
      </w:pPr>
    </w:p>
    <w:p w14:paraId="0E6377C3">
      <w:pPr>
        <w:spacing w:line="276" w:lineRule="auto"/>
        <w:jc w:val="center"/>
        <w:rPr>
          <w:rFonts w:hint="eastAsia" w:ascii="宋体" w:hAnsi="宋体" w:eastAsia="宋体" w:cs="宋体"/>
          <w:b/>
          <w:sz w:val="44"/>
          <w:szCs w:val="44"/>
        </w:rPr>
      </w:pPr>
    </w:p>
    <w:p w14:paraId="2D9810C1">
      <w:pPr>
        <w:spacing w:line="276" w:lineRule="auto"/>
        <w:jc w:val="center"/>
        <w:rPr>
          <w:rFonts w:hint="eastAsia" w:ascii="宋体" w:hAnsi="宋体" w:eastAsia="宋体" w:cs="宋体"/>
          <w:b/>
          <w:sz w:val="44"/>
          <w:szCs w:val="44"/>
        </w:rPr>
      </w:pPr>
    </w:p>
    <w:p w14:paraId="6443CF93">
      <w:pPr>
        <w:spacing w:line="276" w:lineRule="auto"/>
        <w:jc w:val="center"/>
        <w:rPr>
          <w:rFonts w:hint="eastAsia" w:ascii="宋体" w:hAnsi="宋体" w:eastAsia="宋体" w:cs="宋体"/>
          <w:b/>
          <w:sz w:val="44"/>
          <w:szCs w:val="44"/>
        </w:rPr>
      </w:pPr>
    </w:p>
    <w:p w14:paraId="699F1A61">
      <w:pPr>
        <w:spacing w:line="276" w:lineRule="auto"/>
        <w:jc w:val="center"/>
        <w:rPr>
          <w:rFonts w:hint="eastAsia" w:ascii="宋体" w:hAnsi="宋体" w:eastAsia="宋体" w:cs="宋体"/>
          <w:b/>
          <w:sz w:val="44"/>
          <w:szCs w:val="44"/>
        </w:rPr>
      </w:pPr>
    </w:p>
    <w:p w14:paraId="089F92CF">
      <w:pPr>
        <w:spacing w:line="276" w:lineRule="auto"/>
        <w:jc w:val="center"/>
        <w:rPr>
          <w:rFonts w:hint="eastAsia" w:ascii="宋体" w:hAnsi="宋体" w:eastAsia="宋体" w:cs="宋体"/>
          <w:b/>
          <w:sz w:val="44"/>
          <w:szCs w:val="44"/>
        </w:rPr>
      </w:pPr>
    </w:p>
    <w:p w14:paraId="44432137">
      <w:pPr>
        <w:spacing w:line="276" w:lineRule="auto"/>
        <w:jc w:val="center"/>
        <w:rPr>
          <w:rFonts w:hint="eastAsia" w:ascii="宋体" w:hAnsi="宋体" w:eastAsia="宋体" w:cs="宋体"/>
          <w:b/>
          <w:sz w:val="44"/>
          <w:szCs w:val="44"/>
        </w:rPr>
      </w:pPr>
    </w:p>
    <w:p w14:paraId="1047FB6A">
      <w:pPr>
        <w:spacing w:line="276" w:lineRule="auto"/>
        <w:jc w:val="center"/>
        <w:rPr>
          <w:b/>
          <w:sz w:val="44"/>
          <w:szCs w:val="44"/>
        </w:rPr>
      </w:pPr>
      <w:r>
        <w:rPr>
          <w:rFonts w:hint="eastAsia" w:ascii="宋体" w:hAnsi="宋体" w:eastAsia="宋体" w:cs="宋体"/>
          <w:b/>
          <w:sz w:val="44"/>
          <w:szCs w:val="44"/>
        </w:rPr>
        <w:t>鲁山县教育体育局鲁山县农村义务教育学校营养改善计划食材采购项目</w:t>
      </w:r>
    </w:p>
    <w:p w14:paraId="4DFEAC2A">
      <w:pPr>
        <w:pStyle w:val="6"/>
        <w:spacing w:before="267" w:line="220" w:lineRule="auto"/>
        <w:ind w:left="2957"/>
        <w:rPr>
          <w:rFonts w:asciiTheme="minorEastAsia" w:hAnsiTheme="minorEastAsia" w:eastAsiaTheme="minorEastAsia" w:cstheme="minorEastAsia"/>
          <w:b/>
          <w:bCs/>
          <w:spacing w:val="-14"/>
          <w:sz w:val="82"/>
          <w:szCs w:val="82"/>
          <w:lang w:eastAsia="zh-CN"/>
        </w:rPr>
      </w:pPr>
      <w:bookmarkStart w:id="0" w:name="_Toc16135"/>
    </w:p>
    <w:p w14:paraId="791B3949">
      <w:pPr>
        <w:pStyle w:val="6"/>
        <w:spacing w:before="267" w:line="220" w:lineRule="auto"/>
        <w:ind w:left="2957"/>
        <w:rPr>
          <w:rFonts w:asciiTheme="minorEastAsia" w:hAnsiTheme="minorEastAsia" w:eastAsiaTheme="minorEastAsia" w:cstheme="minorEastAsia"/>
          <w:sz w:val="82"/>
          <w:szCs w:val="82"/>
          <w:lang w:eastAsia="zh-CN"/>
        </w:rPr>
      </w:pPr>
      <w:r>
        <w:rPr>
          <w:rFonts w:hint="eastAsia" w:asciiTheme="minorEastAsia" w:hAnsiTheme="minorEastAsia" w:eastAsiaTheme="minorEastAsia" w:cstheme="minorEastAsia"/>
          <w:b/>
          <w:bCs/>
          <w:spacing w:val="-14"/>
          <w:sz w:val="82"/>
          <w:szCs w:val="82"/>
          <w:lang w:eastAsia="zh-CN"/>
        </w:rPr>
        <w:t>招标文件</w:t>
      </w:r>
      <w:bookmarkEnd w:id="0"/>
    </w:p>
    <w:p w14:paraId="42B53ADB">
      <w:pPr>
        <w:spacing w:line="271" w:lineRule="auto"/>
        <w:rPr>
          <w:rFonts w:asciiTheme="minorEastAsia" w:hAnsiTheme="minorEastAsia" w:eastAsiaTheme="minorEastAsia" w:cstheme="minorEastAsia"/>
          <w:lang w:eastAsia="zh-CN"/>
        </w:rPr>
      </w:pPr>
    </w:p>
    <w:p w14:paraId="43409B48">
      <w:pPr>
        <w:spacing w:line="271" w:lineRule="auto"/>
        <w:rPr>
          <w:rFonts w:asciiTheme="minorEastAsia" w:hAnsiTheme="minorEastAsia" w:eastAsiaTheme="minorEastAsia" w:cstheme="minorEastAsia"/>
          <w:lang w:eastAsia="zh-CN"/>
        </w:rPr>
      </w:pPr>
    </w:p>
    <w:p w14:paraId="408E2492">
      <w:pPr>
        <w:spacing w:line="271" w:lineRule="auto"/>
        <w:rPr>
          <w:rFonts w:asciiTheme="minorEastAsia" w:hAnsiTheme="minorEastAsia" w:eastAsiaTheme="minorEastAsia" w:cstheme="minorEastAsia"/>
          <w:lang w:eastAsia="zh-CN"/>
        </w:rPr>
      </w:pPr>
    </w:p>
    <w:p w14:paraId="4E0664E4">
      <w:pPr>
        <w:spacing w:line="360" w:lineRule="auto"/>
        <w:jc w:val="center"/>
        <w:rPr>
          <w:rFonts w:asciiTheme="minorEastAsia" w:hAnsiTheme="minorEastAsia" w:eastAsiaTheme="minorEastAsia" w:cstheme="minorEastAsia"/>
          <w:b/>
          <w:bCs/>
          <w:sz w:val="28"/>
          <w:szCs w:val="26"/>
          <w:highlight w:val="none"/>
          <w:lang w:eastAsia="zh-CN"/>
        </w:rPr>
      </w:pPr>
      <w:r>
        <w:rPr>
          <w:rFonts w:hint="eastAsia" w:asciiTheme="minorEastAsia" w:hAnsiTheme="minorEastAsia" w:eastAsiaTheme="minorEastAsia" w:cstheme="minorEastAsia"/>
          <w:b/>
          <w:bCs/>
          <w:sz w:val="28"/>
          <w:szCs w:val="26"/>
          <w:highlight w:val="none"/>
          <w:lang w:eastAsia="zh-CN"/>
        </w:rPr>
        <w:t>项目编号：鲁采招标-202</w:t>
      </w:r>
      <w:r>
        <w:rPr>
          <w:rFonts w:hint="eastAsia" w:asciiTheme="minorEastAsia" w:hAnsiTheme="minorEastAsia" w:eastAsiaTheme="minorEastAsia" w:cstheme="minorEastAsia"/>
          <w:b/>
          <w:bCs/>
          <w:sz w:val="28"/>
          <w:szCs w:val="26"/>
          <w:highlight w:val="none"/>
          <w:lang w:val="en-US" w:eastAsia="zh-CN"/>
        </w:rPr>
        <w:t>5</w:t>
      </w:r>
      <w:r>
        <w:rPr>
          <w:rFonts w:hint="eastAsia" w:asciiTheme="minorEastAsia" w:hAnsiTheme="minorEastAsia" w:eastAsiaTheme="minorEastAsia" w:cstheme="minorEastAsia"/>
          <w:b/>
          <w:bCs/>
          <w:sz w:val="28"/>
          <w:szCs w:val="26"/>
          <w:highlight w:val="none"/>
          <w:lang w:eastAsia="zh-CN"/>
        </w:rPr>
        <w:t>-6</w:t>
      </w:r>
      <w:r>
        <w:rPr>
          <w:rFonts w:hint="eastAsia" w:asciiTheme="minorEastAsia" w:hAnsiTheme="minorEastAsia" w:eastAsiaTheme="minorEastAsia" w:cstheme="minorEastAsia"/>
          <w:b/>
          <w:bCs/>
          <w:sz w:val="28"/>
          <w:szCs w:val="26"/>
          <w:highlight w:val="none"/>
          <w:lang w:val="en-US" w:eastAsia="zh-CN"/>
        </w:rPr>
        <w:t>6</w:t>
      </w:r>
    </w:p>
    <w:p w14:paraId="428CFDAA">
      <w:pPr>
        <w:spacing w:line="360" w:lineRule="auto"/>
        <w:jc w:val="center"/>
        <w:rPr>
          <w:rFonts w:asciiTheme="minorEastAsia" w:hAnsiTheme="minorEastAsia" w:eastAsiaTheme="minorEastAsia" w:cstheme="minorEastAsia"/>
          <w:b/>
          <w:bCs/>
          <w:sz w:val="44"/>
          <w:szCs w:val="44"/>
          <w:lang w:eastAsia="zh-CN"/>
        </w:rPr>
      </w:pPr>
      <w:r>
        <w:rPr>
          <w:color w:val="000000"/>
          <w:szCs w:val="32"/>
        </w:rPr>
        <w:drawing>
          <wp:anchor distT="0" distB="0" distL="114300" distR="114300" simplePos="0" relativeHeight="251659264" behindDoc="1" locked="0" layoutInCell="1" allowOverlap="1">
            <wp:simplePos x="0" y="0"/>
            <wp:positionH relativeFrom="column">
              <wp:posOffset>1633855</wp:posOffset>
            </wp:positionH>
            <wp:positionV relativeFrom="paragraph">
              <wp:posOffset>-36830</wp:posOffset>
            </wp:positionV>
            <wp:extent cx="2609850" cy="2990850"/>
            <wp:effectExtent l="0" t="0" r="0" b="0"/>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3"/>
                    <a:stretch>
                      <a:fillRect/>
                    </a:stretch>
                  </pic:blipFill>
                  <pic:spPr>
                    <a:xfrm>
                      <a:off x="0" y="0"/>
                      <a:ext cx="2609850" cy="2990850"/>
                    </a:xfrm>
                    <a:prstGeom prst="rect">
                      <a:avLst/>
                    </a:prstGeom>
                    <a:noFill/>
                    <a:ln>
                      <a:noFill/>
                    </a:ln>
                  </pic:spPr>
                </pic:pic>
              </a:graphicData>
            </a:graphic>
          </wp:anchor>
        </w:drawing>
      </w:r>
    </w:p>
    <w:p w14:paraId="05B352BF">
      <w:pPr>
        <w:spacing w:line="360" w:lineRule="auto"/>
        <w:rPr>
          <w:rFonts w:asciiTheme="minorEastAsia" w:hAnsiTheme="minorEastAsia" w:eastAsiaTheme="minorEastAsia" w:cstheme="minorEastAsia"/>
          <w:b/>
          <w:bCs/>
          <w:sz w:val="44"/>
          <w:szCs w:val="44"/>
          <w:lang w:eastAsia="zh-CN"/>
        </w:rPr>
      </w:pPr>
    </w:p>
    <w:p w14:paraId="01736EE1">
      <w:pPr>
        <w:spacing w:line="360" w:lineRule="auto"/>
        <w:rPr>
          <w:rFonts w:asciiTheme="minorEastAsia" w:hAnsiTheme="minorEastAsia" w:eastAsiaTheme="minorEastAsia" w:cstheme="minorEastAsia"/>
          <w:b/>
          <w:bCs/>
          <w:sz w:val="44"/>
          <w:szCs w:val="44"/>
          <w:lang w:eastAsia="zh-CN"/>
        </w:rPr>
      </w:pPr>
    </w:p>
    <w:p w14:paraId="520D3EC6">
      <w:pPr>
        <w:spacing w:line="360" w:lineRule="auto"/>
        <w:rPr>
          <w:rFonts w:asciiTheme="minorEastAsia" w:hAnsiTheme="minorEastAsia" w:eastAsiaTheme="minorEastAsia" w:cstheme="minorEastAsia"/>
          <w:b/>
          <w:bCs/>
          <w:sz w:val="30"/>
          <w:szCs w:val="30"/>
          <w:lang w:eastAsia="zh-CN"/>
        </w:rPr>
      </w:pPr>
    </w:p>
    <w:p w14:paraId="71F91894">
      <w:pPr>
        <w:spacing w:line="480" w:lineRule="auto"/>
        <w:rPr>
          <w:rFonts w:asciiTheme="minorEastAsia" w:hAnsiTheme="minorEastAsia" w:eastAsiaTheme="minorEastAsia" w:cstheme="minorEastAsia"/>
          <w:b/>
          <w:bCs/>
          <w:sz w:val="32"/>
          <w:szCs w:val="32"/>
          <w:lang w:eastAsia="zh-CN"/>
        </w:rPr>
      </w:pPr>
    </w:p>
    <w:p w14:paraId="703DF014">
      <w:pPr>
        <w:spacing w:line="480" w:lineRule="auto"/>
        <w:ind w:firstLine="1263" w:firstLineChars="393"/>
        <w:rPr>
          <w:rFonts w:asciiTheme="minorEastAsia" w:hAnsiTheme="minorEastAsia" w:eastAsiaTheme="minorEastAsia" w:cstheme="minorEastAsia"/>
          <w:b/>
          <w:bCs/>
          <w:sz w:val="32"/>
          <w:szCs w:val="32"/>
          <w:lang w:eastAsia="zh-CN"/>
        </w:rPr>
      </w:pPr>
    </w:p>
    <w:p w14:paraId="4CBFF66B">
      <w:pPr>
        <w:spacing w:line="480" w:lineRule="auto"/>
        <w:ind w:firstLine="1263" w:firstLineChars="393"/>
        <w:rPr>
          <w:rFonts w:asciiTheme="minorEastAsia" w:hAnsiTheme="minorEastAsia" w:eastAsiaTheme="minorEastAsia" w:cstheme="minorEastAsia"/>
          <w:b/>
          <w:bCs/>
          <w:sz w:val="32"/>
          <w:szCs w:val="32"/>
          <w:lang w:eastAsia="zh-CN"/>
        </w:rPr>
      </w:pPr>
      <w:bookmarkStart w:id="1" w:name="_Toc16241"/>
      <w:r>
        <w:rPr>
          <w:rFonts w:hint="eastAsia" w:asciiTheme="minorEastAsia" w:hAnsiTheme="minorEastAsia" w:eastAsiaTheme="minorEastAsia" w:cstheme="minorEastAsia"/>
          <w:b/>
          <w:bCs/>
          <w:sz w:val="32"/>
          <w:szCs w:val="32"/>
          <w:lang w:eastAsia="zh-CN"/>
        </w:rPr>
        <w:t>采   购   人：鲁山县教育体育局</w:t>
      </w:r>
      <w:bookmarkEnd w:id="1"/>
    </w:p>
    <w:p w14:paraId="6AD32775">
      <w:pPr>
        <w:spacing w:line="480" w:lineRule="auto"/>
        <w:ind w:firstLine="1263" w:firstLineChars="393"/>
        <w:rPr>
          <w:rFonts w:hint="default" w:asciiTheme="minorEastAsia" w:hAnsiTheme="minorEastAsia" w:eastAsiaTheme="minorEastAsia" w:cstheme="minorEastAsia"/>
          <w:b/>
          <w:bCs/>
          <w:sz w:val="32"/>
          <w:szCs w:val="32"/>
          <w:lang w:val="en-US" w:eastAsia="zh-CN"/>
        </w:rPr>
      </w:pPr>
      <w:bookmarkStart w:id="2" w:name="_Toc3379"/>
      <w:r>
        <w:rPr>
          <w:rFonts w:hint="eastAsia" w:asciiTheme="minorEastAsia" w:hAnsiTheme="minorEastAsia" w:eastAsiaTheme="minorEastAsia" w:cstheme="minorEastAsia"/>
          <w:b/>
          <w:bCs/>
          <w:sz w:val="32"/>
          <w:szCs w:val="32"/>
          <w:lang w:eastAsia="zh-CN"/>
        </w:rPr>
        <w:t>采购代理机构：</w:t>
      </w:r>
      <w:bookmarkEnd w:id="2"/>
      <w:r>
        <w:rPr>
          <w:rFonts w:hint="eastAsia" w:asciiTheme="minorEastAsia" w:hAnsiTheme="minorEastAsia" w:eastAsiaTheme="minorEastAsia" w:cstheme="minorEastAsia"/>
          <w:b/>
          <w:bCs/>
          <w:sz w:val="32"/>
          <w:szCs w:val="32"/>
          <w:lang w:val="en-US" w:eastAsia="zh-CN"/>
        </w:rPr>
        <w:t>河南润豫工程管理有限公司</w:t>
      </w:r>
    </w:p>
    <w:p w14:paraId="35A4E4B8">
      <w:pPr>
        <w:spacing w:line="480" w:lineRule="auto"/>
        <w:ind w:firstLine="1263" w:firstLineChars="393"/>
        <w:rPr>
          <w:rFonts w:asciiTheme="minorEastAsia" w:hAnsiTheme="minorEastAsia" w:eastAsiaTheme="minorEastAsia" w:cstheme="minorEastAsia"/>
          <w:b/>
          <w:bCs/>
          <w:sz w:val="32"/>
          <w:szCs w:val="32"/>
        </w:rPr>
      </w:pPr>
      <w:bookmarkStart w:id="3" w:name="_Toc22750"/>
      <w:r>
        <w:rPr>
          <w:rFonts w:hint="eastAsia" w:asciiTheme="minorEastAsia" w:hAnsiTheme="minorEastAsia" w:eastAsiaTheme="minorEastAsia" w:cstheme="minorEastAsia"/>
          <w:b/>
          <w:bCs/>
          <w:sz w:val="32"/>
          <w:szCs w:val="32"/>
        </w:rPr>
        <w:t>日        期：二〇二</w:t>
      </w:r>
      <w:r>
        <w:rPr>
          <w:rFonts w:hint="eastAsia" w:asciiTheme="minorEastAsia" w:hAnsiTheme="minorEastAsia" w:eastAsiaTheme="minorEastAsia" w:cstheme="minorEastAsia"/>
          <w:b/>
          <w:bCs/>
          <w:sz w:val="32"/>
          <w:szCs w:val="32"/>
          <w:lang w:val="en-US" w:eastAsia="zh-CN"/>
        </w:rPr>
        <w:t>五</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eastAsia="zh-CN"/>
        </w:rPr>
        <w:t>七</w:t>
      </w:r>
      <w:r>
        <w:rPr>
          <w:rFonts w:hint="eastAsia" w:asciiTheme="minorEastAsia" w:hAnsiTheme="minorEastAsia" w:eastAsiaTheme="minorEastAsia" w:cstheme="minorEastAsia"/>
          <w:b/>
          <w:bCs/>
          <w:sz w:val="32"/>
          <w:szCs w:val="32"/>
        </w:rPr>
        <w:t>月</w:t>
      </w:r>
      <w:bookmarkEnd w:id="3"/>
    </w:p>
    <w:p w14:paraId="6B6FBE13">
      <w:pPr>
        <w:jc w:val="center"/>
        <w:rPr>
          <w:rFonts w:asciiTheme="minorEastAsia" w:hAnsiTheme="minorEastAsia" w:eastAsiaTheme="minorEastAsia"/>
        </w:rPr>
        <w:sectPr>
          <w:headerReference r:id="rId4" w:type="first"/>
          <w:headerReference r:id="rId3" w:type="default"/>
          <w:pgSz w:w="11907" w:h="16841"/>
          <w:pgMar w:top="1417" w:right="1417" w:bottom="1417" w:left="1417" w:header="863" w:footer="998" w:gutter="0"/>
          <w:pgBorders>
            <w:top w:val="none" w:sz="0" w:space="0"/>
            <w:left w:val="none" w:sz="0" w:space="0"/>
            <w:bottom w:val="none" w:sz="0" w:space="0"/>
            <w:right w:val="none" w:sz="0" w:space="0"/>
          </w:pgBorders>
          <w:pgNumType w:fmt="numberInDash"/>
          <w:cols w:space="0" w:num="1"/>
          <w:titlePg/>
        </w:sectPr>
      </w:pPr>
    </w:p>
    <w:sdt>
      <w:sdtPr>
        <w:rPr>
          <w:rFonts w:asciiTheme="minorEastAsia" w:hAnsiTheme="minorEastAsia" w:eastAsiaTheme="minorEastAsia"/>
        </w:rPr>
        <w:id w:val="147458357"/>
        <w:docPartObj>
          <w:docPartGallery w:val="Table of Contents"/>
          <w:docPartUnique/>
        </w:docPartObj>
      </w:sdtPr>
      <w:sdtEndPr>
        <w:rPr>
          <w:rFonts w:hint="eastAsia" w:ascii="宋体" w:hAnsi="宋体" w:eastAsia="宋体" w:cs="宋体"/>
          <w:sz w:val="24"/>
          <w:szCs w:val="24"/>
        </w:rPr>
      </w:sdtEndPr>
      <w:sdtContent>
        <w:p w14:paraId="1C783413">
          <w:pPr>
            <w:jc w:val="center"/>
            <w:rPr>
              <w:rFonts w:asciiTheme="minorEastAsia" w:hAnsiTheme="minorEastAsia" w:eastAsiaTheme="minorEastAsia"/>
            </w:rPr>
          </w:pPr>
        </w:p>
        <w:p w14:paraId="00EDAED6">
          <w:pPr>
            <w:rPr>
              <w:rFonts w:asciiTheme="minorEastAsia" w:hAnsiTheme="minorEastAsia" w:eastAsiaTheme="minorEastAsia"/>
            </w:rPr>
          </w:pPr>
        </w:p>
        <w:p w14:paraId="3B3F6896">
          <w:pPr>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t>目</w:t>
          </w:r>
          <w:r>
            <w:rPr>
              <w:rFonts w:hint="eastAsia" w:asciiTheme="minorEastAsia" w:hAnsiTheme="minorEastAsia" w:eastAsiaTheme="minorEastAsia"/>
              <w:b/>
              <w:bCs/>
              <w:sz w:val="32"/>
              <w:szCs w:val="32"/>
              <w:lang w:val="en-US" w:eastAsia="zh-CN"/>
            </w:rPr>
            <w:t xml:space="preserve">  </w:t>
          </w:r>
          <w:r>
            <w:rPr>
              <w:rFonts w:asciiTheme="minorEastAsia" w:hAnsiTheme="minorEastAsia" w:eastAsiaTheme="minorEastAsia"/>
              <w:b/>
              <w:bCs/>
              <w:sz w:val="32"/>
              <w:szCs w:val="32"/>
            </w:rPr>
            <w:t>录</w:t>
          </w:r>
        </w:p>
        <w:p w14:paraId="51A42D71">
          <w:pPr>
            <w:pStyle w:val="14"/>
            <w:tabs>
              <w:tab w:val="right" w:leader="dot" w:pos="9073"/>
            </w:tabs>
            <w:rPr>
              <w:rFonts w:asciiTheme="minorEastAsia" w:hAnsiTheme="minorEastAsia" w:eastAsiaTheme="minorEastAsia"/>
            </w:rPr>
          </w:pPr>
        </w:p>
        <w:p w14:paraId="7A2245ED">
          <w:pPr>
            <w:pStyle w:val="14"/>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_Toc19681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第一部分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_Toc19681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247CDB1">
          <w:pPr>
            <w:pStyle w:val="14"/>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_Toc809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第二部分</w:t>
          </w:r>
          <w:r>
            <w:rPr>
              <w:rFonts w:hint="eastAsia" w:ascii="宋体" w:hAnsi="宋体" w:eastAsia="宋体" w:cs="宋体"/>
              <w:spacing w:val="-5"/>
              <w:sz w:val="24"/>
              <w:szCs w:val="24"/>
              <w:lang w:eastAsia="zh-CN"/>
            </w:rPr>
            <w:t xml:space="preserve"> </w:t>
          </w:r>
          <w:r>
            <w:rPr>
              <w:rFonts w:hint="eastAsia" w:ascii="宋体" w:hAnsi="宋体" w:eastAsia="宋体" w:cs="宋体"/>
              <w:bCs/>
              <w:spacing w:val="-5"/>
              <w:sz w:val="24"/>
              <w:szCs w:val="24"/>
              <w:lang w:eastAsia="zh-CN"/>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_Toc809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073F103">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_Toc12011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_Toc12011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364315">
          <w:pPr>
            <w:pStyle w:val="14"/>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_Toc20230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第三部分 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_Toc20230 \h </w:instrText>
          </w:r>
          <w:r>
            <w:rPr>
              <w:rFonts w:hint="eastAsia" w:ascii="宋体" w:hAnsi="宋体" w:eastAsia="宋体" w:cs="宋体"/>
              <w:sz w:val="24"/>
              <w:szCs w:val="24"/>
            </w:rPr>
            <w:fldChar w:fldCharType="separate"/>
          </w:r>
          <w:r>
            <w:rPr>
              <w:rFonts w:hint="eastAsia" w:ascii="宋体" w:hAnsi="宋体" w:eastAsia="宋体" w:cs="宋体"/>
              <w:sz w:val="24"/>
              <w:szCs w:val="24"/>
            </w:rPr>
            <w:t>- 27 -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26A5FE5">
          <w:pPr>
            <w:pStyle w:val="14"/>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_Toc5888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第四部分 技术标准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_Toc5888 \h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8A2353A">
          <w:pPr>
            <w:pStyle w:val="14"/>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_Toc20195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第五部分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_Toc20195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1206DE2">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_Toc7608 </w:instrText>
          </w:r>
          <w:r>
            <w:rPr>
              <w:rFonts w:hint="eastAsia" w:ascii="宋体" w:hAnsi="宋体" w:eastAsia="宋体" w:cs="宋体"/>
              <w:sz w:val="24"/>
              <w:szCs w:val="24"/>
            </w:rPr>
            <w:fldChar w:fldCharType="separate"/>
          </w:r>
          <w:r>
            <w:rPr>
              <w:rFonts w:hint="eastAsia" w:ascii="宋体" w:hAnsi="宋体" w:eastAsia="宋体" w:cs="宋体"/>
              <w:bCs/>
              <w:spacing w:val="-8"/>
              <w:sz w:val="24"/>
              <w:szCs w:val="24"/>
            </w:rPr>
            <w:t>1.开标一览表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_Toc7608 \h </w:instrText>
          </w:r>
          <w:r>
            <w:rPr>
              <w:rFonts w:hint="eastAsia" w:ascii="宋体" w:hAnsi="宋体" w:eastAsia="宋体" w:cs="宋体"/>
              <w:sz w:val="24"/>
              <w:szCs w:val="24"/>
            </w:rPr>
            <w:fldChar w:fldCharType="separate"/>
          </w:r>
          <w:r>
            <w:rPr>
              <w:rFonts w:hint="eastAsia" w:ascii="宋体" w:hAnsi="宋体" w:eastAsia="宋体" w:cs="宋体"/>
              <w:sz w:val="24"/>
              <w:szCs w:val="24"/>
            </w:rPr>
            <w:t>- 37 -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9999CC">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_Toc7152 </w:instrText>
          </w:r>
          <w:r>
            <w:rPr>
              <w:rFonts w:hint="eastAsia" w:ascii="宋体" w:hAnsi="宋体" w:eastAsia="宋体" w:cs="宋体"/>
              <w:sz w:val="24"/>
              <w:szCs w:val="24"/>
            </w:rPr>
            <w:fldChar w:fldCharType="separate"/>
          </w:r>
          <w:r>
            <w:rPr>
              <w:rFonts w:hint="eastAsia" w:ascii="宋体" w:hAnsi="宋体" w:eastAsia="宋体" w:cs="宋体"/>
              <w:bCs/>
              <w:spacing w:val="-6"/>
              <w:sz w:val="24"/>
              <w:szCs w:val="24"/>
              <w:lang w:eastAsia="zh-CN"/>
            </w:rPr>
            <w:t>2.投标函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_Toc7152 \h </w:instrText>
          </w:r>
          <w:r>
            <w:rPr>
              <w:rFonts w:hint="eastAsia" w:ascii="宋体" w:hAnsi="宋体" w:eastAsia="宋体" w:cs="宋体"/>
              <w:sz w:val="24"/>
              <w:szCs w:val="24"/>
            </w:rPr>
            <w:fldChar w:fldCharType="separate"/>
          </w:r>
          <w:r>
            <w:rPr>
              <w:rFonts w:hint="eastAsia" w:ascii="宋体" w:hAnsi="宋体" w:eastAsia="宋体" w:cs="宋体"/>
              <w:sz w:val="24"/>
              <w:szCs w:val="24"/>
            </w:rPr>
            <w:t>- 38 -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1A8FFBA">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_Toc13970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lang w:eastAsia="zh-CN"/>
            </w:rPr>
            <w:t>3.授权委托书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_Toc13970 \h </w:instrText>
          </w:r>
          <w:r>
            <w:rPr>
              <w:rFonts w:hint="eastAsia" w:ascii="宋体" w:hAnsi="宋体" w:eastAsia="宋体" w:cs="宋体"/>
              <w:sz w:val="24"/>
              <w:szCs w:val="24"/>
            </w:rPr>
            <w:fldChar w:fldCharType="separate"/>
          </w:r>
          <w:r>
            <w:rPr>
              <w:rFonts w:hint="eastAsia" w:ascii="宋体" w:hAnsi="宋体" w:eastAsia="宋体" w:cs="宋体"/>
              <w:sz w:val="24"/>
              <w:szCs w:val="24"/>
            </w:rPr>
            <w:t>- 39 -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0CFA9C">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_Toc26231 </w:instrText>
          </w:r>
          <w:r>
            <w:rPr>
              <w:rFonts w:hint="eastAsia" w:ascii="宋体" w:hAnsi="宋体" w:eastAsia="宋体" w:cs="宋体"/>
              <w:sz w:val="24"/>
              <w:szCs w:val="24"/>
            </w:rPr>
            <w:fldChar w:fldCharType="separate"/>
          </w:r>
          <w:r>
            <w:rPr>
              <w:rFonts w:hint="eastAsia" w:ascii="宋体" w:hAnsi="宋体" w:eastAsia="宋体" w:cs="宋体"/>
              <w:bCs/>
              <w:spacing w:val="-6"/>
              <w:sz w:val="24"/>
              <w:szCs w:val="24"/>
              <w:lang w:eastAsia="zh-CN"/>
            </w:rPr>
            <w:t>4.招标实质性要求和条件承诺书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_Toc26231 \h </w:instrText>
          </w:r>
          <w:r>
            <w:rPr>
              <w:rFonts w:hint="eastAsia" w:ascii="宋体" w:hAnsi="宋体" w:eastAsia="宋体" w:cs="宋体"/>
              <w:sz w:val="24"/>
              <w:szCs w:val="24"/>
            </w:rPr>
            <w:fldChar w:fldCharType="separate"/>
          </w:r>
          <w:r>
            <w:rPr>
              <w:rFonts w:hint="eastAsia" w:ascii="宋体" w:hAnsi="宋体" w:eastAsia="宋体" w:cs="宋体"/>
              <w:sz w:val="24"/>
              <w:szCs w:val="24"/>
            </w:rPr>
            <w:t>- 40 -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DF6118A">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_Toc22614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lang w:eastAsia="zh-CN"/>
            </w:rPr>
            <w:t>5.近三年来完成的类似项目情况表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_Toc22614 \h </w:instrText>
          </w:r>
          <w:r>
            <w:rPr>
              <w:rFonts w:hint="eastAsia" w:ascii="宋体" w:hAnsi="宋体" w:eastAsia="宋体" w:cs="宋体"/>
              <w:sz w:val="24"/>
              <w:szCs w:val="24"/>
            </w:rPr>
            <w:fldChar w:fldCharType="separate"/>
          </w:r>
          <w:r>
            <w:rPr>
              <w:rFonts w:hint="eastAsia" w:ascii="宋体" w:hAnsi="宋体" w:eastAsia="宋体" w:cs="宋体"/>
              <w:sz w:val="24"/>
              <w:szCs w:val="24"/>
            </w:rPr>
            <w:t>- 41 -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C9C8E00">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_Toc15170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lang w:eastAsia="zh-CN"/>
            </w:rPr>
            <w:t>6</w:t>
          </w:r>
          <w:r>
            <w:rPr>
              <w:rFonts w:hint="eastAsia" w:ascii="宋体" w:hAnsi="宋体" w:eastAsia="宋体" w:cs="宋体"/>
              <w:bCs/>
              <w:spacing w:val="-4"/>
              <w:sz w:val="24"/>
              <w:szCs w:val="24"/>
            </w:rPr>
            <w:t>.投标人资格证明文件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_Toc15170 \h </w:instrText>
          </w:r>
          <w:r>
            <w:rPr>
              <w:rFonts w:hint="eastAsia" w:ascii="宋体" w:hAnsi="宋体" w:eastAsia="宋体" w:cs="宋体"/>
              <w:sz w:val="24"/>
              <w:szCs w:val="24"/>
            </w:rPr>
            <w:fldChar w:fldCharType="separate"/>
          </w:r>
          <w:r>
            <w:rPr>
              <w:rFonts w:hint="eastAsia" w:ascii="宋体" w:hAnsi="宋体" w:eastAsia="宋体" w:cs="宋体"/>
              <w:sz w:val="24"/>
              <w:szCs w:val="24"/>
            </w:rPr>
            <w:t>- 42 -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DAD160C">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_Toc29015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lang w:eastAsia="zh-CN"/>
            </w:rPr>
            <w:t>7</w:t>
          </w:r>
          <w:r>
            <w:rPr>
              <w:rFonts w:hint="eastAsia" w:ascii="宋体" w:hAnsi="宋体" w:eastAsia="宋体" w:cs="宋体"/>
              <w:bCs/>
              <w:spacing w:val="3"/>
              <w:sz w:val="24"/>
              <w:szCs w:val="24"/>
            </w:rPr>
            <w:t>.技术标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_Toc29015 \h </w:instrText>
          </w:r>
          <w:r>
            <w:rPr>
              <w:rFonts w:hint="eastAsia" w:ascii="宋体" w:hAnsi="宋体" w:eastAsia="宋体" w:cs="宋体"/>
              <w:sz w:val="24"/>
              <w:szCs w:val="24"/>
            </w:rPr>
            <w:fldChar w:fldCharType="separate"/>
          </w:r>
          <w:r>
            <w:rPr>
              <w:rFonts w:hint="eastAsia" w:ascii="宋体" w:hAnsi="宋体" w:eastAsia="宋体" w:cs="宋体"/>
              <w:sz w:val="24"/>
              <w:szCs w:val="24"/>
            </w:rPr>
            <w:t>- 43 -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6F6656C">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_Toc22842 </w:instrText>
          </w:r>
          <w:r>
            <w:rPr>
              <w:rFonts w:hint="eastAsia" w:ascii="宋体" w:hAnsi="宋体" w:eastAsia="宋体" w:cs="宋体"/>
              <w:sz w:val="24"/>
              <w:szCs w:val="24"/>
            </w:rPr>
            <w:fldChar w:fldCharType="separate"/>
          </w:r>
          <w:r>
            <w:rPr>
              <w:rFonts w:hint="eastAsia" w:ascii="宋体" w:hAnsi="宋体" w:eastAsia="宋体" w:cs="宋体"/>
              <w:bCs/>
              <w:spacing w:val="2"/>
              <w:sz w:val="24"/>
              <w:szCs w:val="24"/>
              <w:lang w:eastAsia="zh-CN"/>
            </w:rPr>
            <w:t>8</w:t>
          </w:r>
          <w:r>
            <w:rPr>
              <w:rFonts w:hint="eastAsia" w:ascii="宋体" w:hAnsi="宋体" w:eastAsia="宋体" w:cs="宋体"/>
              <w:spacing w:val="2"/>
              <w:sz w:val="24"/>
              <w:szCs w:val="24"/>
            </w:rPr>
            <w:t>.</w:t>
          </w:r>
          <w:r>
            <w:rPr>
              <w:rFonts w:hint="eastAsia" w:ascii="宋体" w:hAnsi="宋体" w:eastAsia="宋体" w:cs="宋体"/>
              <w:bCs/>
              <w:spacing w:val="2"/>
              <w:sz w:val="24"/>
              <w:szCs w:val="24"/>
            </w:rPr>
            <w:t>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_Toc22842 \h </w:instrText>
          </w:r>
          <w:r>
            <w:rPr>
              <w:rFonts w:hint="eastAsia" w:ascii="宋体" w:hAnsi="宋体" w:eastAsia="宋体" w:cs="宋体"/>
              <w:sz w:val="24"/>
              <w:szCs w:val="24"/>
            </w:rPr>
            <w:fldChar w:fldCharType="separate"/>
          </w:r>
          <w:r>
            <w:rPr>
              <w:rFonts w:hint="eastAsia" w:ascii="宋体" w:hAnsi="宋体" w:eastAsia="宋体" w:cs="宋体"/>
              <w:sz w:val="24"/>
              <w:szCs w:val="24"/>
            </w:rPr>
            <w:t>- 44 -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1874C64">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_Toc20252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中小企业声明函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_Toc20252 \h </w:instrText>
          </w:r>
          <w:r>
            <w:rPr>
              <w:rFonts w:hint="eastAsia" w:ascii="宋体" w:hAnsi="宋体" w:eastAsia="宋体" w:cs="宋体"/>
              <w:sz w:val="24"/>
              <w:szCs w:val="24"/>
            </w:rPr>
            <w:fldChar w:fldCharType="separate"/>
          </w:r>
          <w:r>
            <w:rPr>
              <w:rFonts w:hint="eastAsia" w:ascii="宋体" w:hAnsi="宋体" w:eastAsia="宋体" w:cs="宋体"/>
              <w:sz w:val="24"/>
              <w:szCs w:val="24"/>
            </w:rPr>
            <w:t>- 45 -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D359EA">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_Toc16649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_Toc16649 \h </w:instrText>
          </w:r>
          <w:r>
            <w:rPr>
              <w:rFonts w:hint="eastAsia" w:ascii="宋体" w:hAnsi="宋体" w:eastAsia="宋体" w:cs="宋体"/>
              <w:sz w:val="24"/>
              <w:szCs w:val="24"/>
            </w:rPr>
            <w:fldChar w:fldCharType="separate"/>
          </w:r>
          <w:r>
            <w:rPr>
              <w:rFonts w:hint="eastAsia" w:ascii="宋体" w:hAnsi="宋体" w:eastAsia="宋体" w:cs="宋体"/>
              <w:sz w:val="24"/>
              <w:szCs w:val="24"/>
            </w:rPr>
            <w:t>- 46 -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689FE22">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_Toc7157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rPr>
            <w:t>监狱企业证明函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_Toc7157 \h </w:instrText>
          </w:r>
          <w:r>
            <w:rPr>
              <w:rFonts w:hint="eastAsia" w:ascii="宋体" w:hAnsi="宋体" w:eastAsia="宋体" w:cs="宋体"/>
              <w:sz w:val="24"/>
              <w:szCs w:val="24"/>
            </w:rPr>
            <w:fldChar w:fldCharType="separate"/>
          </w:r>
          <w:r>
            <w:rPr>
              <w:rFonts w:hint="eastAsia" w:ascii="宋体" w:hAnsi="宋体" w:eastAsia="宋体" w:cs="宋体"/>
              <w:sz w:val="24"/>
              <w:szCs w:val="24"/>
            </w:rPr>
            <w:t>- 47 -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B12CA91">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_Toc14023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rPr>
            <w:t>政</w:t>
          </w:r>
          <w:r>
            <w:rPr>
              <w:rFonts w:hint="eastAsia" w:ascii="宋体" w:hAnsi="宋体" w:eastAsia="宋体" w:cs="宋体"/>
              <w:bCs/>
              <w:spacing w:val="-4"/>
              <w:sz w:val="24"/>
              <w:szCs w:val="24"/>
              <w:lang w:val="en-US" w:eastAsia="en-US"/>
            </w:rPr>
            <w:t>府采购投标人信用承诺函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_Toc14023 \h </w:instrText>
          </w:r>
          <w:r>
            <w:rPr>
              <w:rFonts w:hint="eastAsia" w:ascii="宋体" w:hAnsi="宋体" w:eastAsia="宋体" w:cs="宋体"/>
              <w:sz w:val="24"/>
              <w:szCs w:val="24"/>
            </w:rPr>
            <w:fldChar w:fldCharType="separate"/>
          </w:r>
          <w:r>
            <w:rPr>
              <w:rFonts w:hint="eastAsia" w:ascii="宋体" w:hAnsi="宋体" w:eastAsia="宋体" w:cs="宋体"/>
              <w:sz w:val="24"/>
              <w:szCs w:val="24"/>
            </w:rPr>
            <w:t>- 48 -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F9AA282">
          <w:pPr>
            <w:pStyle w:val="14"/>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_Toc27265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第六部分 评分标准和方法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_Toc27265 \h </w:instrText>
          </w:r>
          <w:r>
            <w:rPr>
              <w:rFonts w:hint="eastAsia" w:ascii="宋体" w:hAnsi="宋体" w:eastAsia="宋体" w:cs="宋体"/>
              <w:sz w:val="24"/>
              <w:szCs w:val="24"/>
            </w:rPr>
            <w:fldChar w:fldCharType="separate"/>
          </w:r>
          <w:r>
            <w:rPr>
              <w:rFonts w:hint="eastAsia" w:ascii="宋体" w:hAnsi="宋体" w:eastAsia="宋体" w:cs="宋体"/>
              <w:sz w:val="24"/>
              <w:szCs w:val="24"/>
            </w:rPr>
            <w:t>- 49 -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76D7E5C">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_Toc28144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评标办法前附表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_Toc28144 \h </w:instrText>
          </w:r>
          <w:r>
            <w:rPr>
              <w:rFonts w:hint="eastAsia" w:ascii="宋体" w:hAnsi="宋体" w:eastAsia="宋体" w:cs="宋体"/>
              <w:sz w:val="24"/>
              <w:szCs w:val="24"/>
            </w:rPr>
            <w:fldChar w:fldCharType="separate"/>
          </w:r>
          <w:r>
            <w:rPr>
              <w:rFonts w:hint="eastAsia" w:ascii="宋体" w:hAnsi="宋体" w:eastAsia="宋体" w:cs="宋体"/>
              <w:sz w:val="24"/>
              <w:szCs w:val="24"/>
            </w:rPr>
            <w:t>- 49 -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8F0445B">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_Toc17980 </w:instrText>
          </w:r>
          <w:r>
            <w:rPr>
              <w:rFonts w:hint="eastAsia" w:ascii="宋体" w:hAnsi="宋体" w:eastAsia="宋体" w:cs="宋体"/>
              <w:sz w:val="24"/>
              <w:szCs w:val="24"/>
            </w:rPr>
            <w:fldChar w:fldCharType="separate"/>
          </w:r>
          <w:r>
            <w:rPr>
              <w:rFonts w:hint="eastAsia" w:ascii="宋体" w:hAnsi="宋体" w:eastAsia="宋体" w:cs="宋体"/>
              <w:bCs/>
              <w:spacing w:val="-1"/>
              <w:sz w:val="24"/>
              <w:szCs w:val="24"/>
              <w:lang w:eastAsia="zh-CN"/>
            </w:rPr>
            <w:t>1.评标方法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_Toc17980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E01720">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_Toc6716 </w:instrText>
          </w:r>
          <w:r>
            <w:rPr>
              <w:rFonts w:hint="eastAsia" w:ascii="宋体" w:hAnsi="宋体" w:eastAsia="宋体" w:cs="宋体"/>
              <w:sz w:val="24"/>
              <w:szCs w:val="24"/>
            </w:rPr>
            <w:fldChar w:fldCharType="separate"/>
          </w:r>
          <w:r>
            <w:rPr>
              <w:rFonts w:hint="eastAsia" w:ascii="宋体" w:hAnsi="宋体" w:eastAsia="宋体" w:cs="宋体"/>
              <w:bCs/>
              <w:spacing w:val="2"/>
              <w:sz w:val="24"/>
              <w:szCs w:val="24"/>
              <w:lang w:eastAsia="zh-CN"/>
            </w:rPr>
            <w:t>2.评审标准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_Toc6716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B16DE8">
          <w:pPr>
            <w:pStyle w:val="8"/>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_Toc14722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lang w:eastAsia="zh-CN"/>
            </w:rPr>
            <w:t>2.1</w:t>
          </w:r>
          <w:r>
            <w:rPr>
              <w:rFonts w:hint="eastAsia" w:ascii="宋体" w:hAnsi="宋体" w:eastAsia="宋体" w:cs="宋体"/>
              <w:spacing w:val="4"/>
              <w:sz w:val="24"/>
              <w:szCs w:val="24"/>
              <w:lang w:eastAsia="zh-CN"/>
            </w:rPr>
            <w:t xml:space="preserve"> </w:t>
          </w:r>
          <w:r>
            <w:rPr>
              <w:rFonts w:hint="eastAsia" w:ascii="宋体" w:hAnsi="宋体" w:eastAsia="宋体" w:cs="宋体"/>
              <w:bCs/>
              <w:spacing w:val="4"/>
              <w:sz w:val="24"/>
              <w:szCs w:val="24"/>
              <w:lang w:eastAsia="zh-CN"/>
            </w:rPr>
            <w:t>初步评审标准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_Toc14722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258CDCC">
          <w:pPr>
            <w:pStyle w:val="8"/>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_Toc13329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2.2</w:t>
          </w:r>
          <w:r>
            <w:rPr>
              <w:rFonts w:hint="eastAsia" w:ascii="宋体" w:hAnsi="宋体" w:eastAsia="宋体" w:cs="宋体"/>
              <w:spacing w:val="5"/>
              <w:sz w:val="24"/>
              <w:szCs w:val="24"/>
              <w:lang w:eastAsia="zh-CN"/>
            </w:rPr>
            <w:t xml:space="preserve"> </w:t>
          </w:r>
          <w:r>
            <w:rPr>
              <w:rFonts w:hint="eastAsia" w:ascii="宋体" w:hAnsi="宋体" w:eastAsia="宋体" w:cs="宋体"/>
              <w:bCs/>
              <w:spacing w:val="5"/>
              <w:sz w:val="24"/>
              <w:szCs w:val="24"/>
              <w:lang w:eastAsia="zh-CN"/>
            </w:rPr>
            <w:t>分值构成与评分标准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_Toc13329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1A075E">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_Toc31918 </w:instrText>
          </w:r>
          <w:r>
            <w:rPr>
              <w:rFonts w:hint="eastAsia" w:ascii="宋体" w:hAnsi="宋体" w:eastAsia="宋体" w:cs="宋体"/>
              <w:sz w:val="24"/>
              <w:szCs w:val="24"/>
            </w:rPr>
            <w:fldChar w:fldCharType="separate"/>
          </w:r>
          <w:r>
            <w:rPr>
              <w:rFonts w:hint="eastAsia" w:ascii="宋体" w:hAnsi="宋体" w:eastAsia="宋体" w:cs="宋体"/>
              <w:bCs/>
              <w:spacing w:val="1"/>
              <w:sz w:val="24"/>
              <w:szCs w:val="24"/>
              <w:lang w:eastAsia="zh-CN"/>
            </w:rPr>
            <w:t>3.评标程序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_Toc31918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BC93526">
          <w:pPr>
            <w:pStyle w:val="8"/>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_Toc30118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lang w:eastAsia="zh-CN"/>
            </w:rPr>
            <w:t>3.1</w:t>
          </w:r>
          <w:r>
            <w:rPr>
              <w:rFonts w:hint="eastAsia" w:ascii="宋体" w:hAnsi="宋体" w:eastAsia="宋体" w:cs="宋体"/>
              <w:spacing w:val="3"/>
              <w:sz w:val="24"/>
              <w:szCs w:val="24"/>
              <w:lang w:eastAsia="zh-CN"/>
            </w:rPr>
            <w:t xml:space="preserve"> </w:t>
          </w:r>
          <w:r>
            <w:rPr>
              <w:rFonts w:hint="eastAsia" w:ascii="宋体" w:hAnsi="宋体" w:eastAsia="宋体" w:cs="宋体"/>
              <w:bCs/>
              <w:spacing w:val="3"/>
              <w:sz w:val="24"/>
              <w:szCs w:val="24"/>
              <w:lang w:eastAsia="zh-CN"/>
            </w:rPr>
            <w:t>初步评审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_Toc30118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D5A3F8D">
          <w:pPr>
            <w:pStyle w:val="8"/>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_Toc24388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3.2</w:t>
          </w:r>
          <w:r>
            <w:rPr>
              <w:rFonts w:hint="eastAsia" w:ascii="宋体" w:hAnsi="宋体" w:eastAsia="宋体" w:cs="宋体"/>
              <w:spacing w:val="26"/>
              <w:sz w:val="24"/>
              <w:szCs w:val="24"/>
              <w:lang w:eastAsia="zh-CN"/>
            </w:rPr>
            <w:t xml:space="preserve"> </w:t>
          </w:r>
          <w:r>
            <w:rPr>
              <w:rFonts w:hint="eastAsia" w:ascii="宋体" w:hAnsi="宋体" w:eastAsia="宋体" w:cs="宋体"/>
              <w:bCs/>
              <w:sz w:val="24"/>
              <w:szCs w:val="24"/>
              <w:lang w:eastAsia="zh-CN"/>
            </w:rPr>
            <w:t>详细评审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_Toc24388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F86EB2">
          <w:pPr>
            <w:pStyle w:val="8"/>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_Toc32267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3.3</w:t>
          </w:r>
          <w:r>
            <w:rPr>
              <w:rFonts w:hint="eastAsia" w:ascii="宋体" w:hAnsi="宋体" w:eastAsia="宋体" w:cs="宋体"/>
              <w:spacing w:val="5"/>
              <w:sz w:val="24"/>
              <w:szCs w:val="24"/>
              <w:lang w:eastAsia="zh-CN"/>
            </w:rPr>
            <w:t xml:space="preserve"> </w:t>
          </w:r>
          <w:r>
            <w:rPr>
              <w:rFonts w:hint="eastAsia" w:ascii="宋体" w:hAnsi="宋体" w:eastAsia="宋体" w:cs="宋体"/>
              <w:bCs/>
              <w:spacing w:val="5"/>
              <w:sz w:val="24"/>
              <w:szCs w:val="24"/>
              <w:lang w:eastAsia="zh-CN"/>
            </w:rPr>
            <w:t>投标文件的澄清和补正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_Toc32267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512FBA1">
          <w:pPr>
            <w:pStyle w:val="8"/>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_Toc17215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lang w:eastAsia="zh-CN"/>
            </w:rPr>
            <w:t>3.4</w:t>
          </w:r>
          <w:r>
            <w:rPr>
              <w:rFonts w:hint="eastAsia" w:ascii="宋体" w:hAnsi="宋体" w:eastAsia="宋体" w:cs="宋体"/>
              <w:spacing w:val="3"/>
              <w:sz w:val="24"/>
              <w:szCs w:val="24"/>
              <w:lang w:eastAsia="zh-CN"/>
            </w:rPr>
            <w:t xml:space="preserve"> </w:t>
          </w:r>
          <w:r>
            <w:rPr>
              <w:rFonts w:hint="eastAsia" w:ascii="宋体" w:hAnsi="宋体" w:eastAsia="宋体" w:cs="宋体"/>
              <w:bCs/>
              <w:spacing w:val="3"/>
              <w:sz w:val="24"/>
              <w:szCs w:val="24"/>
              <w:lang w:eastAsia="zh-CN"/>
            </w:rPr>
            <w:t>评标结果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_Toc17215 \h </w:instrText>
          </w:r>
          <w:r>
            <w:rPr>
              <w:rFonts w:hint="eastAsia" w:ascii="宋体" w:hAnsi="宋体" w:eastAsia="宋体" w:cs="宋体"/>
              <w:sz w:val="24"/>
              <w:szCs w:val="24"/>
            </w:rPr>
            <w:fldChar w:fldCharType="separate"/>
          </w:r>
          <w:r>
            <w:rPr>
              <w:rFonts w:hint="eastAsia" w:ascii="宋体" w:hAnsi="宋体" w:eastAsia="宋体" w:cs="宋体"/>
              <w:sz w:val="24"/>
              <w:szCs w:val="24"/>
            </w:rPr>
            <w:t>- 56 -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247C2F">
          <w:r>
            <w:rPr>
              <w:rFonts w:hint="eastAsia" w:ascii="宋体" w:hAnsi="宋体" w:eastAsia="宋体" w:cs="宋体"/>
              <w:sz w:val="24"/>
              <w:szCs w:val="24"/>
            </w:rPr>
            <w:fldChar w:fldCharType="end"/>
          </w:r>
          <w:bookmarkStart w:id="4" w:name="bookmark1"/>
          <w:bookmarkEnd w:id="4"/>
        </w:p>
      </w:sdtContent>
    </w:sdt>
    <w:sdt>
      <w:sdtPr>
        <w:rPr>
          <w:rFonts w:hint="eastAsia" w:asciiTheme="minorEastAsia" w:hAnsiTheme="minorEastAsia" w:eastAsiaTheme="minorEastAsia" w:cstheme="minorEastAsia"/>
          <w:sz w:val="24"/>
          <w:szCs w:val="24"/>
        </w:rPr>
        <w:id w:val="2"/>
        <w:docPartObj>
          <w:docPartGallery w:val="Table of Contents"/>
          <w:docPartUnique/>
        </w:docPartObj>
      </w:sdtPr>
      <w:sdtEndPr>
        <w:rPr>
          <w:rFonts w:hint="eastAsia" w:asciiTheme="minorEastAsia" w:hAnsiTheme="minorEastAsia" w:eastAsiaTheme="minorEastAsia" w:cstheme="minorEastAsia"/>
          <w:sz w:val="28"/>
          <w:szCs w:val="28"/>
        </w:rPr>
      </w:sdtEndPr>
      <w:sdtContent>
        <w:p w14:paraId="57BD6439">
          <w:pPr>
            <w:spacing w:line="240" w:lineRule="auto"/>
            <w:rPr>
              <w:rFonts w:hint="eastAsia" w:asciiTheme="minorEastAsia" w:hAnsiTheme="minorEastAsia" w:eastAsiaTheme="minorEastAsia" w:cstheme="minorEastAsia"/>
              <w:sz w:val="28"/>
              <w:szCs w:val="28"/>
            </w:rPr>
            <w:sectPr>
              <w:footerReference r:id="rId6" w:type="first"/>
              <w:footerReference r:id="rId5" w:type="default"/>
              <w:pgSz w:w="11907" w:h="16841"/>
              <w:pgMar w:top="1417" w:right="1417" w:bottom="1417" w:left="1417" w:header="863" w:footer="998" w:gutter="0"/>
              <w:pgBorders>
                <w:top w:val="none" w:sz="0" w:space="0"/>
                <w:left w:val="none" w:sz="0" w:space="0"/>
                <w:bottom w:val="none" w:sz="0" w:space="0"/>
                <w:right w:val="none" w:sz="0" w:space="0"/>
              </w:pgBorders>
              <w:pgNumType w:fmt="numberInDash" w:start="1"/>
              <w:cols w:space="0" w:num="1"/>
              <w:titlePg/>
            </w:sectPr>
          </w:pPr>
        </w:p>
        <w:p w14:paraId="60F731C8">
          <w:pPr>
            <w:pStyle w:val="6"/>
            <w:keepNext w:val="0"/>
            <w:keepLines w:val="0"/>
            <w:pageBreakBefore w:val="0"/>
            <w:widowControl/>
            <w:kinsoku w:val="0"/>
            <w:wordWrap/>
            <w:overflowPunct/>
            <w:topLinePunct w:val="0"/>
            <w:autoSpaceDE w:val="0"/>
            <w:autoSpaceDN w:val="0"/>
            <w:bidi w:val="0"/>
            <w:adjustRightInd w:val="0"/>
            <w:snapToGrid w:val="0"/>
            <w:spacing w:before="117" w:line="221" w:lineRule="auto"/>
            <w:textAlignment w:val="baseline"/>
            <w:outlineLvl w:val="9"/>
          </w:pPr>
          <w:bookmarkStart w:id="5" w:name="_Toc19681"/>
        </w:p>
      </w:sdtContent>
    </w:sdt>
    <w:p w14:paraId="4FE3CD4C">
      <w:pPr>
        <w:pStyle w:val="6"/>
        <w:spacing w:before="117" w:line="220" w:lineRule="auto"/>
        <w:jc w:val="center"/>
        <w:outlineLvl w:val="0"/>
        <w:rPr>
          <w:rFonts w:hint="eastAsia" w:asciiTheme="minorEastAsia" w:hAnsiTheme="minorEastAsia" w:eastAsiaTheme="minorEastAsia" w:cstheme="minorEastAsia"/>
          <w:b/>
          <w:bCs/>
          <w:spacing w:val="-5"/>
          <w:sz w:val="36"/>
          <w:szCs w:val="36"/>
          <w:lang w:eastAsia="zh-CN"/>
        </w:rPr>
      </w:pPr>
      <w:r>
        <w:rPr>
          <w:rFonts w:hint="eastAsia" w:asciiTheme="minorEastAsia" w:hAnsiTheme="minorEastAsia" w:eastAsiaTheme="minorEastAsia" w:cstheme="minorEastAsia"/>
          <w:b/>
          <w:bCs/>
          <w:spacing w:val="-5"/>
          <w:sz w:val="36"/>
          <w:szCs w:val="36"/>
          <w:lang w:eastAsia="zh-CN"/>
        </w:rPr>
        <w:t>第一部分 招标公告</w:t>
      </w:r>
      <w:bookmarkEnd w:id="5"/>
    </w:p>
    <w:p w14:paraId="116D5C53">
      <w:pPr>
        <w:rPr>
          <w:rFonts w:asciiTheme="minorEastAsia" w:hAnsiTheme="minorEastAsia" w:eastAsiaTheme="minorEastAsia" w:cstheme="minorEastAsia"/>
          <w:lang w:eastAsia="zh-CN"/>
        </w:rPr>
      </w:pPr>
    </w:p>
    <w:p w14:paraId="6299B77A">
      <w:pPr>
        <w:pStyle w:val="19"/>
        <w:spacing w:line="360" w:lineRule="auto"/>
        <w:ind w:firstLine="0" w:firstLineChars="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项目概况</w:t>
      </w:r>
    </w:p>
    <w:p w14:paraId="01725C20">
      <w:pPr>
        <w:pStyle w:val="19"/>
        <w:spacing w:line="360" w:lineRule="auto"/>
        <w:ind w:firstLine="480" w:firstLineChars="20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lang w:eastAsia="zh-CN"/>
        </w:rPr>
        <w:t>鲁山县教育体育局鲁山县农村义务教育学校营养改善计划食材采购项目招标项目的潜在投标人应在平顶山市公共资源交易中心网获取招标文件，并于</w:t>
      </w:r>
      <w:r>
        <w:rPr>
          <w:rFonts w:hint="eastAsia" w:asciiTheme="minorEastAsia" w:hAnsiTheme="minorEastAsia" w:eastAsiaTheme="minorEastAsia" w:cstheme="minorEastAsia"/>
          <w:sz w:val="24"/>
          <w:szCs w:val="24"/>
          <w:highlight w:val="none"/>
          <w:lang w:eastAsia="zh-CN"/>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年0</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lang w:eastAsia="zh-CN"/>
        </w:rPr>
        <w:t>日09时00分（北京时间）前递交投标文件。</w:t>
      </w:r>
    </w:p>
    <w:p w14:paraId="1ABA8B11">
      <w:pPr>
        <w:pStyle w:val="19"/>
        <w:spacing w:line="360" w:lineRule="auto"/>
        <w:ind w:firstLine="480" w:firstLineChars="200"/>
        <w:rPr>
          <w:rFonts w:asciiTheme="minorEastAsia" w:hAnsiTheme="minorEastAsia" w:eastAsiaTheme="minorEastAsia" w:cstheme="minorEastAsia"/>
          <w:sz w:val="24"/>
          <w:szCs w:val="24"/>
          <w:lang w:eastAsia="zh-CN"/>
        </w:rPr>
      </w:pPr>
      <w:bookmarkStart w:id="6" w:name="_Toc10105"/>
      <w:r>
        <w:rPr>
          <w:rFonts w:hint="eastAsia" w:asciiTheme="minorEastAsia" w:hAnsiTheme="minorEastAsia" w:eastAsiaTheme="minorEastAsia" w:cstheme="minorEastAsia"/>
          <w:sz w:val="24"/>
          <w:szCs w:val="24"/>
          <w:lang w:eastAsia="zh-CN"/>
        </w:rPr>
        <w:t>一、项目基本情况</w:t>
      </w:r>
      <w:bookmarkEnd w:id="6"/>
    </w:p>
    <w:p w14:paraId="1A8FDC5A">
      <w:pPr>
        <w:pStyle w:val="19"/>
        <w:spacing w:line="360" w:lineRule="auto"/>
        <w:ind w:firstLine="480" w:firstLineChars="200"/>
        <w:rPr>
          <w:rFonts w:asciiTheme="minorEastAsia" w:hAnsiTheme="minorEastAsia" w:eastAsiaTheme="minorEastAsia" w:cstheme="minorEastAsia"/>
          <w:sz w:val="24"/>
          <w:szCs w:val="24"/>
          <w:highlight w:val="yellow"/>
          <w:lang w:eastAsia="zh-CN"/>
        </w:rPr>
      </w:pPr>
      <w:bookmarkStart w:id="7" w:name="_Toc29290"/>
      <w:r>
        <w:rPr>
          <w:rFonts w:hint="eastAsia" w:asciiTheme="minorEastAsia" w:hAnsiTheme="minorEastAsia" w:eastAsiaTheme="minorEastAsia" w:cstheme="minorEastAsia"/>
          <w:sz w:val="24"/>
          <w:szCs w:val="24"/>
          <w:lang w:eastAsia="zh-CN"/>
        </w:rPr>
        <w:t>1、项目编号：</w:t>
      </w:r>
      <w:bookmarkEnd w:id="7"/>
      <w:r>
        <w:rPr>
          <w:rFonts w:hint="eastAsia" w:asciiTheme="minorEastAsia" w:hAnsiTheme="minorEastAsia" w:eastAsiaTheme="minorEastAsia" w:cstheme="minorEastAsia"/>
          <w:sz w:val="24"/>
          <w:szCs w:val="24"/>
          <w:highlight w:val="none"/>
          <w:lang w:eastAsia="zh-CN"/>
        </w:rPr>
        <w:t>鲁采招标-202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-6</w:t>
      </w:r>
      <w:r>
        <w:rPr>
          <w:rFonts w:hint="eastAsia" w:asciiTheme="minorEastAsia" w:hAnsiTheme="minorEastAsia" w:eastAsiaTheme="minorEastAsia" w:cstheme="minorEastAsia"/>
          <w:sz w:val="24"/>
          <w:szCs w:val="24"/>
          <w:highlight w:val="none"/>
          <w:lang w:val="en-US" w:eastAsia="zh-CN"/>
        </w:rPr>
        <w:t>6</w:t>
      </w:r>
    </w:p>
    <w:p w14:paraId="69E4621B">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2、项目名称：鲁山县教育体育局鲁山县农村义务教育学校营养改善计划食材采购项目</w:t>
      </w:r>
    </w:p>
    <w:p w14:paraId="16D844D0">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3、采购方式：公开招标 </w:t>
      </w:r>
    </w:p>
    <w:p w14:paraId="586F2549">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4、预算金额：</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00000000元</w:t>
      </w:r>
    </w:p>
    <w:p w14:paraId="269115CA">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最高限价：</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00000000元</w:t>
      </w:r>
    </w:p>
    <w:tbl>
      <w:tblPr>
        <w:tblStyle w:val="21"/>
        <w:tblW w:w="10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60"/>
        <w:gridCol w:w="1276"/>
        <w:gridCol w:w="1275"/>
        <w:gridCol w:w="1276"/>
        <w:gridCol w:w="1441"/>
        <w:gridCol w:w="2645"/>
      </w:tblGrid>
      <w:tr w14:paraId="6022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0" w:type="dxa"/>
            <w:vAlign w:val="center"/>
          </w:tcPr>
          <w:p w14:paraId="10D1EFBC">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560" w:type="dxa"/>
            <w:vAlign w:val="center"/>
          </w:tcPr>
          <w:p w14:paraId="5A7D8C58">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包号</w:t>
            </w:r>
          </w:p>
        </w:tc>
        <w:tc>
          <w:tcPr>
            <w:tcW w:w="1276" w:type="dxa"/>
            <w:vAlign w:val="center"/>
          </w:tcPr>
          <w:p w14:paraId="46F6942B">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包名称</w:t>
            </w:r>
          </w:p>
        </w:tc>
        <w:tc>
          <w:tcPr>
            <w:tcW w:w="1275" w:type="dxa"/>
            <w:vAlign w:val="center"/>
          </w:tcPr>
          <w:p w14:paraId="79901BC3">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包预算</w:t>
            </w:r>
          </w:p>
          <w:p w14:paraId="42DB2B80">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w:t>
            </w:r>
          </w:p>
        </w:tc>
        <w:tc>
          <w:tcPr>
            <w:tcW w:w="1276" w:type="dxa"/>
            <w:vAlign w:val="center"/>
          </w:tcPr>
          <w:p w14:paraId="67819219">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包最高限价（元）</w:t>
            </w:r>
          </w:p>
        </w:tc>
        <w:tc>
          <w:tcPr>
            <w:tcW w:w="1441" w:type="dxa"/>
          </w:tcPr>
          <w:p w14:paraId="5C57A27A">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是否专门面向中小企业</w:t>
            </w:r>
          </w:p>
        </w:tc>
        <w:tc>
          <w:tcPr>
            <w:tcW w:w="2645" w:type="dxa"/>
            <w:vAlign w:val="center"/>
          </w:tcPr>
          <w:p w14:paraId="247746E4">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采购预留金额（元）</w:t>
            </w:r>
          </w:p>
        </w:tc>
      </w:tr>
      <w:tr w14:paraId="499B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0" w:type="dxa"/>
            <w:vAlign w:val="center"/>
          </w:tcPr>
          <w:p w14:paraId="38305F09">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1560" w:type="dxa"/>
            <w:vAlign w:val="center"/>
          </w:tcPr>
          <w:p w14:paraId="51714838">
            <w:pPr>
              <w:pStyle w:val="19"/>
              <w:spacing w:line="360" w:lineRule="auto"/>
              <w:ind w:firstLine="0" w:firstLineChars="0"/>
              <w:jc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平公资采2025701号-1</w:t>
            </w:r>
          </w:p>
        </w:tc>
        <w:tc>
          <w:tcPr>
            <w:tcW w:w="1276" w:type="dxa"/>
            <w:vAlign w:val="center"/>
          </w:tcPr>
          <w:p w14:paraId="1D1F45AC">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第一标段</w:t>
            </w:r>
          </w:p>
        </w:tc>
        <w:tc>
          <w:tcPr>
            <w:tcW w:w="1275" w:type="dxa"/>
            <w:vAlign w:val="center"/>
          </w:tcPr>
          <w:p w14:paraId="17D0920C">
            <w:pPr>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276" w:type="dxa"/>
            <w:vAlign w:val="center"/>
          </w:tcPr>
          <w:p w14:paraId="6F10FFF6">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441" w:type="dxa"/>
            <w:vAlign w:val="center"/>
          </w:tcPr>
          <w:p w14:paraId="7E2B45EF">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是</w:t>
            </w:r>
          </w:p>
        </w:tc>
        <w:tc>
          <w:tcPr>
            <w:tcW w:w="2645" w:type="dxa"/>
          </w:tcPr>
          <w:p w14:paraId="0AAEA00C">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0000000，其中小微企业采购金额：</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r>
      <w:tr w14:paraId="7810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0" w:type="dxa"/>
            <w:vAlign w:val="center"/>
          </w:tcPr>
          <w:p w14:paraId="0DAAAAD0">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p>
        </w:tc>
        <w:tc>
          <w:tcPr>
            <w:tcW w:w="1560" w:type="dxa"/>
            <w:vAlign w:val="center"/>
          </w:tcPr>
          <w:p w14:paraId="3FE89E5D">
            <w:pPr>
              <w:pStyle w:val="19"/>
              <w:spacing w:line="360" w:lineRule="auto"/>
              <w:ind w:firstLine="0" w:firstLineChars="0"/>
              <w:jc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平公资采2025701号-2</w:t>
            </w:r>
          </w:p>
        </w:tc>
        <w:tc>
          <w:tcPr>
            <w:tcW w:w="1276" w:type="dxa"/>
            <w:vAlign w:val="center"/>
          </w:tcPr>
          <w:p w14:paraId="3A950020">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标段</w:t>
            </w:r>
          </w:p>
        </w:tc>
        <w:tc>
          <w:tcPr>
            <w:tcW w:w="1275" w:type="dxa"/>
            <w:vAlign w:val="center"/>
          </w:tcPr>
          <w:p w14:paraId="73B88CC1">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276" w:type="dxa"/>
            <w:vAlign w:val="center"/>
          </w:tcPr>
          <w:p w14:paraId="773A3BED">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441" w:type="dxa"/>
            <w:vAlign w:val="center"/>
          </w:tcPr>
          <w:p w14:paraId="5756314C">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是</w:t>
            </w:r>
          </w:p>
        </w:tc>
        <w:tc>
          <w:tcPr>
            <w:tcW w:w="2645" w:type="dxa"/>
          </w:tcPr>
          <w:p w14:paraId="02123A6F">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0000000，其中小微企业采购金额：</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r>
      <w:tr w14:paraId="30C4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0" w:type="dxa"/>
            <w:vAlign w:val="center"/>
          </w:tcPr>
          <w:p w14:paraId="7CB36D95">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w:t>
            </w:r>
          </w:p>
        </w:tc>
        <w:tc>
          <w:tcPr>
            <w:tcW w:w="1560" w:type="dxa"/>
            <w:vAlign w:val="center"/>
          </w:tcPr>
          <w:p w14:paraId="49E80111">
            <w:pPr>
              <w:pStyle w:val="19"/>
              <w:spacing w:line="360" w:lineRule="auto"/>
              <w:ind w:firstLine="0" w:firstLineChars="0"/>
              <w:jc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平公资采2025701号-3</w:t>
            </w:r>
          </w:p>
        </w:tc>
        <w:tc>
          <w:tcPr>
            <w:tcW w:w="1276" w:type="dxa"/>
            <w:vAlign w:val="center"/>
          </w:tcPr>
          <w:p w14:paraId="10D64306">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标段</w:t>
            </w:r>
          </w:p>
        </w:tc>
        <w:tc>
          <w:tcPr>
            <w:tcW w:w="1275" w:type="dxa"/>
            <w:vAlign w:val="center"/>
          </w:tcPr>
          <w:p w14:paraId="44AC724D">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276" w:type="dxa"/>
            <w:vAlign w:val="center"/>
          </w:tcPr>
          <w:p w14:paraId="3E832E87">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441" w:type="dxa"/>
            <w:vAlign w:val="center"/>
          </w:tcPr>
          <w:p w14:paraId="4D4FC745">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是</w:t>
            </w:r>
          </w:p>
        </w:tc>
        <w:tc>
          <w:tcPr>
            <w:tcW w:w="2645" w:type="dxa"/>
          </w:tcPr>
          <w:p w14:paraId="42CE4A08">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0000000，其中小微企业采购金额：</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r>
      <w:tr w14:paraId="728D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0" w:type="dxa"/>
            <w:vAlign w:val="center"/>
          </w:tcPr>
          <w:p w14:paraId="7429771C">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w:t>
            </w:r>
          </w:p>
        </w:tc>
        <w:tc>
          <w:tcPr>
            <w:tcW w:w="1560" w:type="dxa"/>
            <w:vAlign w:val="center"/>
          </w:tcPr>
          <w:p w14:paraId="3934BC20">
            <w:pPr>
              <w:pStyle w:val="19"/>
              <w:spacing w:line="360" w:lineRule="auto"/>
              <w:ind w:firstLine="0" w:firstLineChars="0"/>
              <w:jc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平公资采2025701号-4</w:t>
            </w:r>
          </w:p>
        </w:tc>
        <w:tc>
          <w:tcPr>
            <w:tcW w:w="1276" w:type="dxa"/>
            <w:vAlign w:val="center"/>
          </w:tcPr>
          <w:p w14:paraId="337C0C14">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标段</w:t>
            </w:r>
          </w:p>
        </w:tc>
        <w:tc>
          <w:tcPr>
            <w:tcW w:w="1275" w:type="dxa"/>
            <w:vAlign w:val="center"/>
          </w:tcPr>
          <w:p w14:paraId="0CC4B7E7">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276" w:type="dxa"/>
            <w:vAlign w:val="center"/>
          </w:tcPr>
          <w:p w14:paraId="39075672">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441" w:type="dxa"/>
            <w:vAlign w:val="center"/>
          </w:tcPr>
          <w:p w14:paraId="1CD4546E">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是</w:t>
            </w:r>
          </w:p>
        </w:tc>
        <w:tc>
          <w:tcPr>
            <w:tcW w:w="2645" w:type="dxa"/>
          </w:tcPr>
          <w:p w14:paraId="4E5E927E">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0000000，其中小微企业采购金额：</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r>
      <w:tr w14:paraId="629D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0" w:type="dxa"/>
            <w:vAlign w:val="center"/>
          </w:tcPr>
          <w:p w14:paraId="6B16DA8C">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w:t>
            </w:r>
          </w:p>
        </w:tc>
        <w:tc>
          <w:tcPr>
            <w:tcW w:w="1560" w:type="dxa"/>
            <w:vAlign w:val="center"/>
          </w:tcPr>
          <w:p w14:paraId="232D7DC8">
            <w:pPr>
              <w:pStyle w:val="19"/>
              <w:spacing w:line="360" w:lineRule="auto"/>
              <w:ind w:firstLine="0" w:firstLineChars="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平公资采2025701号-5</w:t>
            </w:r>
          </w:p>
        </w:tc>
        <w:tc>
          <w:tcPr>
            <w:tcW w:w="1276" w:type="dxa"/>
            <w:vAlign w:val="center"/>
          </w:tcPr>
          <w:p w14:paraId="2BE8791A">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标段</w:t>
            </w:r>
          </w:p>
        </w:tc>
        <w:tc>
          <w:tcPr>
            <w:tcW w:w="1275" w:type="dxa"/>
            <w:vAlign w:val="center"/>
          </w:tcPr>
          <w:p w14:paraId="2EEBC7A1">
            <w:pPr>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276" w:type="dxa"/>
            <w:vAlign w:val="center"/>
          </w:tcPr>
          <w:p w14:paraId="52026DE4">
            <w:pPr>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441" w:type="dxa"/>
            <w:vAlign w:val="center"/>
          </w:tcPr>
          <w:p w14:paraId="508CB629">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是</w:t>
            </w:r>
          </w:p>
        </w:tc>
        <w:tc>
          <w:tcPr>
            <w:tcW w:w="2645" w:type="dxa"/>
          </w:tcPr>
          <w:p w14:paraId="791479C8">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0000000，其中小微企业采购金额：</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r>
    </w:tbl>
    <w:p w14:paraId="49E4ECA2">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5、采购需求（包括但不限于标的的名称、数量、简要技术需求或服务要求等）</w:t>
      </w:r>
    </w:p>
    <w:p w14:paraId="623D76B3">
      <w:pPr>
        <w:pStyle w:val="19"/>
        <w:spacing w:line="360" w:lineRule="auto"/>
        <w:ind w:left="480" w:firstLine="0" w:firstLineChars="0"/>
        <w:rPr>
          <w:rFonts w:asciiTheme="minorEastAsia" w:hAnsiTheme="minorEastAsia" w:eastAsiaTheme="minorEastAsia"/>
          <w:lang w:eastAsia="zh-CN"/>
        </w:rPr>
      </w:pPr>
      <w:r>
        <w:rPr>
          <w:rFonts w:hint="eastAsia" w:asciiTheme="minorEastAsia" w:hAnsiTheme="minorEastAsia" w:eastAsiaTheme="minorEastAsia" w:cstheme="minorEastAsia"/>
          <w:sz w:val="24"/>
          <w:szCs w:val="24"/>
          <w:lang w:eastAsia="zh-CN"/>
        </w:rPr>
        <w:t>5.1标段划分：</w:t>
      </w:r>
    </w:p>
    <w:p w14:paraId="55ADFEF8">
      <w:pPr>
        <w:pStyle w:val="20"/>
        <w:keepNext w:val="0"/>
        <w:keepLines w:val="0"/>
        <w:pageBreakBefore w:val="0"/>
        <w:widowControl w:val="0"/>
        <w:kinsoku w:val="0"/>
        <w:wordWrap/>
        <w:overflowPunct/>
        <w:topLinePunct w:val="0"/>
        <w:autoSpaceDE w:val="0"/>
        <w:autoSpaceDN w:val="0"/>
        <w:bidi w:val="0"/>
        <w:adjustRightInd w:val="0"/>
        <w:snapToGrid w:val="0"/>
        <w:ind w:firstLine="480"/>
        <w:textAlignment w:val="baseline"/>
        <w:rPr>
          <w:rFonts w:asciiTheme="minorEastAsia" w:hAnsiTheme="minorEastAsia" w:eastAsiaTheme="minorEastAsia"/>
          <w:highlight w:val="none"/>
          <w:lang w:eastAsia="zh-CN"/>
        </w:rPr>
      </w:pPr>
      <w:r>
        <w:rPr>
          <w:rFonts w:hint="eastAsia" w:asciiTheme="minorEastAsia" w:hAnsiTheme="minorEastAsia" w:eastAsiaTheme="minorEastAsia"/>
          <w:lang w:eastAsia="zh-CN"/>
        </w:rPr>
        <w:t>第一标段：</w:t>
      </w:r>
      <w:r>
        <w:rPr>
          <w:rFonts w:hint="eastAsia" w:asciiTheme="minorEastAsia" w:hAnsiTheme="minorEastAsia" w:eastAsiaTheme="minorEastAsia"/>
          <w:highlight w:val="none"/>
          <w:lang w:eastAsia="zh-CN"/>
        </w:rPr>
        <w:t>张官营中心校、磙子营中心校、张良中心校、河滨小学、鲁阳中学；</w:t>
      </w:r>
    </w:p>
    <w:p w14:paraId="5EE79AF0">
      <w:pPr>
        <w:pStyle w:val="20"/>
        <w:keepNext w:val="0"/>
        <w:keepLines w:val="0"/>
        <w:pageBreakBefore w:val="0"/>
        <w:widowControl w:val="0"/>
        <w:kinsoku w:val="0"/>
        <w:wordWrap/>
        <w:overflowPunct/>
        <w:topLinePunct w:val="0"/>
        <w:autoSpaceDE w:val="0"/>
        <w:autoSpaceDN w:val="0"/>
        <w:bidi w:val="0"/>
        <w:adjustRightInd w:val="0"/>
        <w:snapToGrid w:val="0"/>
        <w:ind w:firstLine="480"/>
        <w:textAlignment w:val="baseline"/>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第二标段：马楼中心校、辛集中心校、梁洼中心校、</w:t>
      </w:r>
      <w:r>
        <w:rPr>
          <w:rFonts w:hint="eastAsia" w:asciiTheme="minorEastAsia" w:hAnsiTheme="minorEastAsia" w:eastAsiaTheme="minorEastAsia"/>
          <w:highlight w:val="none"/>
          <w:lang w:val="en-US" w:eastAsia="zh-CN"/>
        </w:rPr>
        <w:t>特殊教育学校</w:t>
      </w:r>
      <w:r>
        <w:rPr>
          <w:rFonts w:hint="eastAsia" w:asciiTheme="minorEastAsia" w:hAnsiTheme="minorEastAsia" w:eastAsiaTheme="minorEastAsia"/>
          <w:highlight w:val="none"/>
          <w:lang w:eastAsia="zh-CN"/>
        </w:rPr>
        <w:t>、汇源中心校、琴台中心校；</w:t>
      </w:r>
    </w:p>
    <w:p w14:paraId="2D24AF01">
      <w:pPr>
        <w:pStyle w:val="20"/>
        <w:keepNext w:val="0"/>
        <w:keepLines w:val="0"/>
        <w:pageBreakBefore w:val="0"/>
        <w:widowControl w:val="0"/>
        <w:kinsoku w:val="0"/>
        <w:wordWrap/>
        <w:overflowPunct/>
        <w:topLinePunct w:val="0"/>
        <w:autoSpaceDE w:val="0"/>
        <w:autoSpaceDN w:val="0"/>
        <w:bidi w:val="0"/>
        <w:adjustRightInd w:val="0"/>
        <w:snapToGrid w:val="0"/>
        <w:ind w:firstLine="480"/>
        <w:textAlignment w:val="baseline"/>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第三标段：让河中心校、熊背中心校、团城中心校、董周中心校、张店中心校、仓头中心校、</w:t>
      </w:r>
      <w:r>
        <w:rPr>
          <w:rFonts w:hint="eastAsia" w:asciiTheme="minorEastAsia" w:hAnsiTheme="minorEastAsia" w:eastAsiaTheme="minorEastAsia"/>
          <w:highlight w:val="none"/>
          <w:lang w:val="en-US" w:eastAsia="zh-CN"/>
        </w:rPr>
        <w:t>花园路小学、</w:t>
      </w:r>
      <w:r>
        <w:rPr>
          <w:rFonts w:hint="eastAsia" w:asciiTheme="minorEastAsia" w:hAnsiTheme="minorEastAsia" w:eastAsiaTheme="minorEastAsia"/>
          <w:highlight w:val="none"/>
          <w:lang w:eastAsia="zh-CN"/>
        </w:rPr>
        <w:t>汇源中学；</w:t>
      </w:r>
    </w:p>
    <w:p w14:paraId="3EEB82F5">
      <w:pPr>
        <w:pStyle w:val="20"/>
        <w:ind w:firstLine="480"/>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第四标段：鲁阳中心校、库区中心校、下汤中心校、四棵树中心校、赵村中心校、尧山中心校、江河小学、实验中学；</w:t>
      </w:r>
    </w:p>
    <w:p w14:paraId="35DB2F55">
      <w:pPr>
        <w:pStyle w:val="20"/>
        <w:ind w:firstLine="480"/>
        <w:rPr>
          <w:rFonts w:asciiTheme="minorEastAsia" w:hAnsiTheme="minorEastAsia" w:eastAsiaTheme="minorEastAsia"/>
          <w:lang w:eastAsia="zh-CN"/>
        </w:rPr>
      </w:pPr>
      <w:r>
        <w:rPr>
          <w:rFonts w:hint="eastAsia" w:asciiTheme="minorEastAsia" w:hAnsiTheme="minorEastAsia" w:eastAsiaTheme="minorEastAsia"/>
          <w:lang w:eastAsia="zh-CN"/>
        </w:rPr>
        <w:t>第五标段：土门中心校、背孜中心校、瓦屋中心校、观音寺中心校、露峰中心校。</w:t>
      </w:r>
    </w:p>
    <w:p w14:paraId="66291634">
      <w:pPr>
        <w:pStyle w:val="19"/>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5.2服务内容：负责鲁山县202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至202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学年度农村义务教育阶段的学校营养餐食材采购和配送</w:t>
      </w:r>
      <w:r>
        <w:rPr>
          <w:rFonts w:hint="eastAsia" w:asciiTheme="minorEastAsia" w:hAnsiTheme="minorEastAsia" w:eastAsiaTheme="minorEastAsia" w:cstheme="minorEastAsia"/>
          <w:sz w:val="24"/>
          <w:szCs w:val="24"/>
          <w:lang w:val="en-US" w:eastAsia="zh-CN"/>
        </w:rPr>
        <w:t>。</w:t>
      </w:r>
    </w:p>
    <w:p w14:paraId="3E65EC11">
      <w:pPr>
        <w:pStyle w:val="20"/>
        <w:ind w:firstLine="48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5.3配送模式：使用净菜配送模式</w:t>
      </w:r>
    </w:p>
    <w:p w14:paraId="0D3EC08D">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5.4结算方式：据实结算</w:t>
      </w:r>
    </w:p>
    <w:p w14:paraId="4135E684">
      <w:pPr>
        <w:pStyle w:val="19"/>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5.5供应对象：鲁山县202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至202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学年度农村义务教育阶段享受营养改善计划的学生</w:t>
      </w:r>
      <w:r>
        <w:rPr>
          <w:rFonts w:hint="eastAsia" w:asciiTheme="minorEastAsia" w:hAnsiTheme="minorEastAsia" w:eastAsiaTheme="minorEastAsia" w:cstheme="minorEastAsia"/>
          <w:sz w:val="24"/>
          <w:szCs w:val="24"/>
          <w:lang w:val="en-US" w:eastAsia="zh-CN"/>
        </w:rPr>
        <w:t>。</w:t>
      </w:r>
    </w:p>
    <w:p w14:paraId="02E6B4CF">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5.6配送地点：鲁山县农村义务教育阶段享受营养改善计划的学校</w:t>
      </w:r>
    </w:p>
    <w:p w14:paraId="7ECB9611">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5.7服务要求：满足采购人的实际需求</w:t>
      </w:r>
    </w:p>
    <w:p w14:paraId="3E6E29BF">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5.8食材质量要求：符合国家相关标准和强制性规定要求</w:t>
      </w:r>
    </w:p>
    <w:p w14:paraId="58C905BE">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6、合同履行期限：详见招标文件</w:t>
      </w:r>
    </w:p>
    <w:p w14:paraId="57C22B3C">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7、本项目是否接受联合体投标：否</w:t>
      </w:r>
    </w:p>
    <w:p w14:paraId="2302B72B">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8、是否接受进口产品：否</w:t>
      </w:r>
    </w:p>
    <w:p w14:paraId="3B5A9A71">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9、是否专门面向中小企业：是</w:t>
      </w:r>
    </w:p>
    <w:p w14:paraId="614A35A7">
      <w:pPr>
        <w:pStyle w:val="19"/>
        <w:spacing w:line="360" w:lineRule="auto"/>
        <w:ind w:left="0" w:leftChars="0" w:firstLine="480" w:firstLineChars="200"/>
        <w:rPr>
          <w:rFonts w:asciiTheme="minorEastAsia" w:hAnsiTheme="minorEastAsia" w:eastAsiaTheme="minorEastAsia" w:cstheme="minorEastAsia"/>
          <w:sz w:val="24"/>
          <w:szCs w:val="24"/>
          <w:lang w:eastAsia="zh-CN"/>
        </w:rPr>
      </w:pPr>
      <w:bookmarkStart w:id="8" w:name="_Toc17801"/>
      <w:r>
        <w:rPr>
          <w:rFonts w:hint="eastAsia" w:asciiTheme="minorEastAsia" w:hAnsiTheme="minorEastAsia" w:eastAsiaTheme="minorEastAsia" w:cstheme="minorEastAsia"/>
          <w:sz w:val="24"/>
          <w:szCs w:val="24"/>
          <w:lang w:eastAsia="zh-CN"/>
        </w:rPr>
        <w:t>二、申请人资格要求：</w:t>
      </w:r>
      <w:bookmarkEnd w:id="8"/>
      <w:r>
        <w:rPr>
          <w:rFonts w:hint="eastAsia" w:asciiTheme="minorEastAsia" w:hAnsiTheme="minorEastAsia" w:eastAsiaTheme="minorEastAsia" w:cstheme="minorEastAsia"/>
          <w:sz w:val="24"/>
          <w:szCs w:val="24"/>
          <w:lang w:eastAsia="zh-CN"/>
        </w:rPr>
        <w:t xml:space="preserve"> </w:t>
      </w:r>
    </w:p>
    <w:p w14:paraId="4F39D04A">
      <w:pPr>
        <w:pStyle w:val="19"/>
        <w:spacing w:line="360" w:lineRule="auto"/>
        <w:ind w:firstLine="480" w:firstLineChars="200"/>
        <w:rPr>
          <w:rFonts w:asciiTheme="minorEastAsia" w:hAnsiTheme="minorEastAsia" w:eastAsiaTheme="minorEastAsia" w:cstheme="minorEastAsia"/>
          <w:sz w:val="24"/>
          <w:szCs w:val="24"/>
          <w:lang w:eastAsia="zh-CN"/>
        </w:rPr>
      </w:pPr>
      <w:bookmarkStart w:id="9" w:name="_Toc14729"/>
      <w:r>
        <w:rPr>
          <w:rFonts w:hint="eastAsia" w:asciiTheme="minorEastAsia" w:hAnsiTheme="minorEastAsia" w:eastAsiaTheme="minorEastAsia" w:cstheme="minorEastAsia"/>
          <w:sz w:val="24"/>
          <w:szCs w:val="24"/>
          <w:lang w:eastAsia="zh-CN"/>
        </w:rPr>
        <w:t>1、满足《中华人民共和国政府采购法》第二十二条规定；</w:t>
      </w:r>
      <w:bookmarkEnd w:id="9"/>
      <w:r>
        <w:rPr>
          <w:rFonts w:hint="eastAsia" w:asciiTheme="minorEastAsia" w:hAnsiTheme="minorEastAsia" w:eastAsiaTheme="minorEastAsia" w:cstheme="minorEastAsia"/>
          <w:sz w:val="24"/>
          <w:szCs w:val="24"/>
          <w:lang w:eastAsia="zh-CN"/>
        </w:rPr>
        <w:t xml:space="preserve"> </w:t>
      </w:r>
    </w:p>
    <w:p w14:paraId="7CD60D02">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2、落实政府采购政策满足的资格要求：本项目专门面向中小企业采购。供应商若为中小微企业、监狱企业、残疾人福利性单位的，落实中小企业价格评审优惠政策；</w:t>
      </w:r>
    </w:p>
    <w:p w14:paraId="486B19CA">
      <w:pPr>
        <w:tabs>
          <w:tab w:val="left" w:pos="7050"/>
        </w:tabs>
        <w:spacing w:line="360" w:lineRule="auto"/>
        <w:ind w:firstLine="480" w:firstLineChars="200"/>
        <w:rPr>
          <w:rFonts w:asciiTheme="minorEastAsia" w:hAnsiTheme="minorEastAsia" w:eastAsiaTheme="minorEastAsia" w:cstheme="minorEastAsia"/>
          <w:sz w:val="24"/>
          <w:szCs w:val="24"/>
          <w:lang w:eastAsia="zh-CN"/>
        </w:rPr>
      </w:pPr>
      <w:bookmarkStart w:id="10" w:name="_Toc14816"/>
      <w:r>
        <w:rPr>
          <w:rFonts w:hint="eastAsia" w:asciiTheme="minorEastAsia" w:hAnsiTheme="minorEastAsia" w:eastAsiaTheme="minorEastAsia" w:cstheme="minorEastAsia"/>
          <w:sz w:val="24"/>
          <w:szCs w:val="24"/>
          <w:lang w:eastAsia="zh-CN"/>
        </w:rPr>
        <w:t>3、本项目的特定资格要求</w:t>
      </w:r>
      <w:bookmarkEnd w:id="10"/>
      <w:r>
        <w:rPr>
          <w:rFonts w:hint="eastAsia" w:asciiTheme="minorEastAsia" w:hAnsiTheme="minorEastAsia" w:eastAsiaTheme="minorEastAsia" w:cstheme="minorEastAsia"/>
          <w:sz w:val="24"/>
          <w:szCs w:val="24"/>
          <w:lang w:eastAsia="zh-CN"/>
        </w:rPr>
        <w:tab/>
      </w:r>
    </w:p>
    <w:p w14:paraId="13881D10">
      <w:pPr>
        <w:tabs>
          <w:tab w:val="left" w:pos="7050"/>
        </w:tabs>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3.1供应商具有独立承担民事责任的能力（须提供有效的营业执照）；</w:t>
      </w:r>
    </w:p>
    <w:p w14:paraId="737988F0">
      <w:pPr>
        <w:tabs>
          <w:tab w:val="left" w:pos="7050"/>
        </w:tabs>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3.2供应商具有有效的《食品经营许可证》；</w:t>
      </w:r>
    </w:p>
    <w:p w14:paraId="55E68C70">
      <w:pPr>
        <w:keepNext w:val="0"/>
        <w:keepLines w:val="0"/>
        <w:pageBreakBefore w:val="0"/>
        <w:widowControl/>
        <w:tabs>
          <w:tab w:val="left" w:pos="705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3.3</w:t>
      </w:r>
      <w:r>
        <w:rPr>
          <w:rFonts w:hint="eastAsia" w:asciiTheme="minorEastAsia" w:hAnsiTheme="minorEastAsia" w:eastAsiaTheme="minorEastAsia" w:cstheme="minorEastAsia"/>
          <w:sz w:val="24"/>
          <w:szCs w:val="24"/>
          <w:lang w:eastAsia="zh-CN"/>
        </w:rPr>
        <w:t>为贯彻落实《关于促进政府采购公平竞争优化营商环境的通知》（财库〔2019〕38号）和《关于全面推行证明事项和涉企经营许可事项告知承诺制的指导意见》（国办发【2020】42号），降低供应商参与政府采购活动的制度性交易成本，持续优化政府采购营商环境。在本次招标活动中，供应商只需在资格审查满足相应条件的书面承诺书（格式详见招标文件格式中、政府采购信用承诺书），不再需要提供以下证明材料：</w:t>
      </w:r>
    </w:p>
    <w:p w14:paraId="33688DDB">
      <w:pPr>
        <w:keepNext w:val="0"/>
        <w:keepLines w:val="0"/>
        <w:pageBreakBefore w:val="0"/>
        <w:widowControl/>
        <w:tabs>
          <w:tab w:val="left" w:pos="705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（1）具有良好的商业信誉的证明材料；</w:t>
      </w:r>
    </w:p>
    <w:p w14:paraId="429D8F93">
      <w:pPr>
        <w:keepNext w:val="0"/>
        <w:keepLines w:val="0"/>
        <w:pageBreakBefore w:val="0"/>
        <w:widowControl/>
        <w:tabs>
          <w:tab w:val="left" w:pos="705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（2）符合国家相关规定的财务状况报告；</w:t>
      </w:r>
    </w:p>
    <w:p w14:paraId="6B71AC54">
      <w:pPr>
        <w:keepNext w:val="0"/>
        <w:keepLines w:val="0"/>
        <w:pageBreakBefore w:val="0"/>
        <w:widowControl/>
        <w:tabs>
          <w:tab w:val="left" w:pos="705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（3）具备履行政府采购合同所必需的设备和专业技术能力的证明材料；</w:t>
      </w:r>
    </w:p>
    <w:p w14:paraId="036938D2">
      <w:pPr>
        <w:keepNext w:val="0"/>
        <w:keepLines w:val="0"/>
        <w:pageBreakBefore w:val="0"/>
        <w:widowControl/>
        <w:tabs>
          <w:tab w:val="left" w:pos="705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（4）依法缴纳税收和社会保障资金的证明材料；</w:t>
      </w:r>
    </w:p>
    <w:p w14:paraId="25D4F9BD">
      <w:pPr>
        <w:keepNext w:val="0"/>
        <w:keepLines w:val="0"/>
        <w:pageBreakBefore w:val="0"/>
        <w:widowControl/>
        <w:tabs>
          <w:tab w:val="left" w:pos="705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（5）参加政府采购活动前三年内在经营活动中没有重大违法记录的证明材料；</w:t>
      </w:r>
    </w:p>
    <w:p w14:paraId="7EFDC5E2">
      <w:pPr>
        <w:keepNext w:val="0"/>
        <w:keepLines w:val="0"/>
        <w:pageBreakBefore w:val="0"/>
        <w:widowControl/>
        <w:tabs>
          <w:tab w:val="left" w:pos="705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（6）未被列入失信被执行人、重大税收违法失信主体、政府采购严重违法失信行为记录名单；</w:t>
      </w:r>
    </w:p>
    <w:p w14:paraId="0C8254D1">
      <w:pPr>
        <w:tabs>
          <w:tab w:val="left" w:pos="7050"/>
        </w:tabs>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val="en-US" w:eastAsia="zh-CN"/>
        </w:rPr>
        <w:t>4本项目</w:t>
      </w:r>
      <w:r>
        <w:rPr>
          <w:rFonts w:hint="eastAsia" w:asciiTheme="minorEastAsia" w:hAnsiTheme="minorEastAsia" w:eastAsiaTheme="minorEastAsia" w:cstheme="minorEastAsia"/>
          <w:sz w:val="24"/>
          <w:szCs w:val="24"/>
          <w:lang w:eastAsia="zh-CN"/>
        </w:rPr>
        <w:t>不接受联合体投标。</w:t>
      </w:r>
    </w:p>
    <w:p w14:paraId="459D0A52">
      <w:pPr>
        <w:tabs>
          <w:tab w:val="left" w:pos="7050"/>
        </w:tabs>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同一供应商只可投一个标段。</w:t>
      </w:r>
    </w:p>
    <w:p w14:paraId="2407E272">
      <w:pPr>
        <w:pStyle w:val="19"/>
        <w:spacing w:line="360" w:lineRule="auto"/>
        <w:ind w:left="0" w:leftChars="0" w:firstLine="480" w:firstLineChars="200"/>
        <w:rPr>
          <w:rFonts w:asciiTheme="minorEastAsia" w:hAnsiTheme="minorEastAsia" w:eastAsiaTheme="minorEastAsia" w:cstheme="minorEastAsia"/>
          <w:sz w:val="24"/>
          <w:szCs w:val="24"/>
          <w:lang w:eastAsia="zh-CN"/>
        </w:rPr>
      </w:pPr>
      <w:bookmarkStart w:id="11" w:name="_Toc30348"/>
      <w:r>
        <w:rPr>
          <w:rFonts w:hint="eastAsia" w:asciiTheme="minorEastAsia" w:hAnsiTheme="minorEastAsia" w:eastAsiaTheme="minorEastAsia" w:cstheme="minorEastAsia"/>
          <w:sz w:val="24"/>
          <w:szCs w:val="24"/>
          <w:lang w:eastAsia="zh-CN"/>
        </w:rPr>
        <w:t>三、获取招标文件</w:t>
      </w:r>
      <w:bookmarkEnd w:id="11"/>
    </w:p>
    <w:p w14:paraId="559C9D3F">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1.时间：</w:t>
      </w:r>
      <w:r>
        <w:rPr>
          <w:rFonts w:hint="eastAsia" w:asciiTheme="minorEastAsia" w:hAnsiTheme="minorEastAsia" w:eastAsiaTheme="minorEastAsia" w:cstheme="minorEastAsia"/>
          <w:sz w:val="24"/>
          <w:szCs w:val="24"/>
          <w:highlight w:val="none"/>
          <w:lang w:eastAsia="zh-CN"/>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年</w:t>
      </w:r>
      <w:r>
        <w:rPr>
          <w:rFonts w:hint="eastAsia" w:asciiTheme="minorEastAsia" w:hAnsiTheme="minorEastAsia" w:eastAsiaTheme="minorEastAsia" w:cstheme="minorEastAsia"/>
          <w:sz w:val="24"/>
          <w:szCs w:val="24"/>
          <w:highlight w:val="none"/>
          <w:lang w:val="en-US" w:eastAsia="zh-CN"/>
        </w:rPr>
        <w:t>07</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lang w:eastAsia="zh-CN"/>
        </w:rPr>
        <w:t>日至202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年</w:t>
      </w:r>
      <w:r>
        <w:rPr>
          <w:rFonts w:hint="eastAsia" w:asciiTheme="minorEastAsia" w:hAnsiTheme="minorEastAsia" w:eastAsiaTheme="minorEastAsia" w:cstheme="minorEastAsia"/>
          <w:sz w:val="24"/>
          <w:szCs w:val="24"/>
          <w:highlight w:val="none"/>
          <w:lang w:val="en-US" w:eastAsia="zh-CN"/>
        </w:rPr>
        <w:t>08</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lang w:eastAsia="zh-CN"/>
        </w:rPr>
        <w:t>日</w:t>
      </w:r>
      <w:r>
        <w:rPr>
          <w:rFonts w:hint="eastAsia" w:asciiTheme="minorEastAsia" w:hAnsiTheme="minorEastAsia" w:eastAsiaTheme="minorEastAsia" w:cstheme="minorEastAsia"/>
          <w:sz w:val="24"/>
          <w:szCs w:val="24"/>
          <w:lang w:eastAsia="zh-CN"/>
        </w:rPr>
        <w:t>，每天上午00:00至12:00，下午12:00至23:59（北京时间，法定节假日除外。）</w:t>
      </w:r>
    </w:p>
    <w:p w14:paraId="140B63A3">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2.地点：</w:t>
      </w:r>
      <w:r>
        <w:rPr>
          <w:rFonts w:hint="eastAsia" w:asciiTheme="minorEastAsia" w:hAnsiTheme="minorEastAsia" w:eastAsiaTheme="minorEastAsia" w:cstheme="minorEastAsia"/>
          <w:sz w:val="24"/>
          <w:szCs w:val="24"/>
          <w:lang w:val="en-US" w:eastAsia="zh-CN"/>
        </w:rPr>
        <w:t>平顶山市公共资源交易中心网。</w:t>
      </w:r>
    </w:p>
    <w:p w14:paraId="5E4F7F2C">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3.方式：本项目只接受网上获取，不接受其它形式获取。潜在投标人获取需凭 CA 数字证书通过平顶山市公共资源交易中心网（网址：http://ggzy.pds.gov.cn/）“交易主体登录 ”入口进入交易系统进行获取</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具体操作请查看以下链接：链接地址： http://ggzy.pds.gov.cn/fwzn/11020.jhtml 办理 CA 证书：http://ggzy.pds.gov.cn/tzgg/10814.jhtml。</w:t>
      </w:r>
    </w:p>
    <w:p w14:paraId="11766EA3">
      <w:pPr>
        <w:shd w:val="clear" w:color="auto" w:fill="FFFFFF"/>
        <w:spacing w:line="360" w:lineRule="auto"/>
        <w:ind w:left="-130" w:firstLine="480" w:firstLineChars="200"/>
        <w:rPr>
          <w:rFonts w:hint="eastAsia" w:asciiTheme="minorEastAsia" w:hAnsiTheme="minorEastAsia" w:eastAsiaTheme="minorEastAsia" w:cstheme="minorEastAsia"/>
          <w:sz w:val="24"/>
          <w:szCs w:val="24"/>
          <w:lang w:eastAsia="zh-CN"/>
        </w:rPr>
      </w:pPr>
      <w:bookmarkStart w:id="12" w:name="_Toc20323"/>
      <w:r>
        <w:rPr>
          <w:rFonts w:hint="eastAsia" w:asciiTheme="minorEastAsia" w:hAnsiTheme="minorEastAsia" w:eastAsiaTheme="minorEastAsia" w:cstheme="minorEastAsia"/>
          <w:sz w:val="24"/>
          <w:szCs w:val="24"/>
          <w:lang w:eastAsia="zh-CN"/>
        </w:rPr>
        <w:t>4.售价：0元</w:t>
      </w:r>
      <w:bookmarkEnd w:id="12"/>
      <w:bookmarkStart w:id="13" w:name="_Toc122"/>
    </w:p>
    <w:p w14:paraId="497C44AB">
      <w:pPr>
        <w:shd w:val="clear" w:color="auto" w:fill="FFFFFF"/>
        <w:spacing w:line="360" w:lineRule="auto"/>
        <w:ind w:left="-130"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四、投标截止时间及地点</w:t>
      </w:r>
      <w:bookmarkEnd w:id="13"/>
    </w:p>
    <w:p w14:paraId="21D9F76B">
      <w:pPr>
        <w:pStyle w:val="19"/>
        <w:spacing w:line="360" w:lineRule="auto"/>
        <w:ind w:firstLine="480" w:firstLineChars="20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lang w:eastAsia="zh-CN"/>
        </w:rPr>
        <w:t>1.时间：</w:t>
      </w:r>
      <w:r>
        <w:rPr>
          <w:rFonts w:hint="eastAsia" w:asciiTheme="minorEastAsia" w:hAnsiTheme="minorEastAsia" w:eastAsiaTheme="minorEastAsia" w:cstheme="minorEastAsia"/>
          <w:sz w:val="24"/>
          <w:szCs w:val="24"/>
          <w:highlight w:val="none"/>
          <w:lang w:eastAsia="zh-CN"/>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年</w:t>
      </w:r>
      <w:r>
        <w:rPr>
          <w:rFonts w:hint="eastAsia" w:asciiTheme="minorEastAsia" w:hAnsiTheme="minorEastAsia" w:eastAsiaTheme="minorEastAsia" w:cstheme="minorEastAsia"/>
          <w:sz w:val="24"/>
          <w:szCs w:val="24"/>
          <w:highlight w:val="none"/>
          <w:lang w:val="en-US" w:eastAsia="zh-CN"/>
        </w:rPr>
        <w:t>08</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lang w:eastAsia="zh-CN"/>
        </w:rPr>
        <w:t>日9时00分（北京时间）</w:t>
      </w:r>
    </w:p>
    <w:p w14:paraId="216D5700">
      <w:pPr>
        <w:pStyle w:val="19"/>
        <w:spacing w:line="360" w:lineRule="auto"/>
        <w:ind w:firstLine="480" w:firstLineChars="20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2.地点：平顶山市公共资源交易中心电子交易系统</w:t>
      </w:r>
    </w:p>
    <w:p w14:paraId="14E1239E">
      <w:pPr>
        <w:pStyle w:val="19"/>
        <w:spacing w:line="360" w:lineRule="auto"/>
        <w:ind w:left="0" w:leftChars="0" w:firstLine="480" w:firstLineChars="200"/>
        <w:rPr>
          <w:rFonts w:asciiTheme="minorEastAsia" w:hAnsiTheme="minorEastAsia" w:eastAsiaTheme="minorEastAsia" w:cstheme="minorEastAsia"/>
          <w:sz w:val="24"/>
          <w:szCs w:val="24"/>
          <w:highlight w:val="none"/>
          <w:lang w:eastAsia="zh-CN"/>
        </w:rPr>
      </w:pPr>
      <w:bookmarkStart w:id="14" w:name="_Toc16851"/>
      <w:r>
        <w:rPr>
          <w:rFonts w:hint="eastAsia" w:asciiTheme="minorEastAsia" w:hAnsiTheme="minorEastAsia" w:eastAsiaTheme="minorEastAsia" w:cstheme="minorEastAsia"/>
          <w:sz w:val="24"/>
          <w:szCs w:val="24"/>
          <w:highlight w:val="none"/>
          <w:lang w:eastAsia="zh-CN"/>
        </w:rPr>
        <w:t>五、开标时间及地点</w:t>
      </w:r>
      <w:bookmarkEnd w:id="14"/>
    </w:p>
    <w:p w14:paraId="3FB6EAF1">
      <w:pPr>
        <w:pStyle w:val="19"/>
        <w:spacing w:line="360" w:lineRule="auto"/>
        <w:ind w:firstLine="480" w:firstLineChars="20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1.时间：202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年</w:t>
      </w:r>
      <w:r>
        <w:rPr>
          <w:rFonts w:hint="eastAsia" w:asciiTheme="minorEastAsia" w:hAnsiTheme="minorEastAsia" w:eastAsiaTheme="minorEastAsia" w:cstheme="minorEastAsia"/>
          <w:sz w:val="24"/>
          <w:szCs w:val="24"/>
          <w:highlight w:val="none"/>
          <w:lang w:val="en-US" w:eastAsia="zh-CN"/>
        </w:rPr>
        <w:t>08</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lang w:eastAsia="zh-CN"/>
        </w:rPr>
        <w:t>日9时00分（北京时间）</w:t>
      </w:r>
    </w:p>
    <w:p w14:paraId="130AAF14">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2.地点：平顶山市公共资源交易中心电子交易系统</w:t>
      </w:r>
    </w:p>
    <w:p w14:paraId="0254F015">
      <w:pPr>
        <w:pStyle w:val="1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Theme="minorEastAsia" w:hAnsiTheme="minorEastAsia" w:eastAsiaTheme="minorEastAsia" w:cstheme="minorEastAsia"/>
          <w:sz w:val="24"/>
          <w:szCs w:val="24"/>
          <w:lang w:eastAsia="zh-CN"/>
        </w:rPr>
      </w:pPr>
      <w:bookmarkStart w:id="15" w:name="_Toc10653"/>
      <w:r>
        <w:rPr>
          <w:rFonts w:hint="eastAsia" w:asciiTheme="minorEastAsia" w:hAnsiTheme="minorEastAsia" w:eastAsiaTheme="minorEastAsia" w:cstheme="minorEastAsia"/>
          <w:sz w:val="24"/>
          <w:szCs w:val="24"/>
          <w:lang w:eastAsia="zh-CN"/>
        </w:rPr>
        <w:t>六、发布公告的媒介及招标公告期限</w:t>
      </w:r>
      <w:bookmarkEnd w:id="15"/>
      <w:r>
        <w:rPr>
          <w:rFonts w:hint="eastAsia" w:asciiTheme="minorEastAsia" w:hAnsiTheme="minorEastAsia" w:eastAsiaTheme="minorEastAsia" w:cstheme="minorEastAsia"/>
          <w:sz w:val="24"/>
          <w:szCs w:val="24"/>
          <w:lang w:eastAsia="zh-CN"/>
        </w:rPr>
        <w:t xml:space="preserve"> </w:t>
      </w:r>
    </w:p>
    <w:p w14:paraId="3CB4A13C">
      <w:pPr>
        <w:keepNext w:val="0"/>
        <w:keepLines w:val="0"/>
        <w:pageBreakBefore w:val="0"/>
        <w:widowControl w:val="0"/>
        <w:shd w:val="clear" w:color="auto" w:fill="FFFFFF"/>
        <w:kinsoku w:val="0"/>
        <w:wordWrap/>
        <w:overflowPunct/>
        <w:topLinePunct w:val="0"/>
        <w:autoSpaceDE w:val="0"/>
        <w:autoSpaceDN w:val="0"/>
        <w:bidi w:val="0"/>
        <w:adjustRightInd w:val="0"/>
        <w:snapToGrid w:val="0"/>
        <w:spacing w:line="360" w:lineRule="auto"/>
        <w:ind w:firstLine="480" w:firstLineChars="200"/>
        <w:textAlignment w:val="baseline"/>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本次招标公告在《河南省政府采购网》《平顶山市政府采购网》《鲁山县政府采购网》《全国公共资源交易平台（河南省•平顶山市）》上发布，招标公告期限为五个工作日。</w:t>
      </w:r>
    </w:p>
    <w:p w14:paraId="0F6A1120">
      <w:pPr>
        <w:pStyle w:val="1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Theme="minorEastAsia" w:hAnsiTheme="minorEastAsia" w:eastAsiaTheme="minorEastAsia" w:cstheme="minorEastAsia"/>
          <w:sz w:val="24"/>
          <w:szCs w:val="24"/>
          <w:lang w:eastAsia="zh-CN"/>
        </w:rPr>
      </w:pPr>
      <w:bookmarkStart w:id="16" w:name="_Toc12722"/>
      <w:r>
        <w:rPr>
          <w:rFonts w:hint="eastAsia" w:asciiTheme="minorEastAsia" w:hAnsiTheme="minorEastAsia" w:eastAsiaTheme="minorEastAsia" w:cstheme="minorEastAsia"/>
          <w:sz w:val="24"/>
          <w:szCs w:val="24"/>
          <w:lang w:eastAsia="zh-CN"/>
        </w:rPr>
        <w:t>七、其他补充事宜</w:t>
      </w:r>
      <w:bookmarkEnd w:id="16"/>
    </w:p>
    <w:p w14:paraId="7CEE3D8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bookmarkStart w:id="17" w:name="_Toc8317"/>
      <w:r>
        <w:rPr>
          <w:rFonts w:hint="eastAsia" w:asciiTheme="minorEastAsia" w:hAnsiTheme="minorEastAsia" w:eastAsiaTheme="minorEastAsia" w:cstheme="minorEastAsia"/>
          <w:sz w:val="24"/>
          <w:szCs w:val="24"/>
          <w:lang w:eastAsia="zh-CN"/>
        </w:rPr>
        <w:t>1.中心全面实行在线“不见面 ”开标，投标人需要在投标截止时间前在平顶山市公共资源交易中心交易系统中将加密电子投标文件加密上传，不再到开标现场，投标人开标前应仔细阅读《“不见面 ”开标注意事项及操作流程》。逾期上传的投标文件，招标人不予受理。</w:t>
      </w:r>
    </w:p>
    <w:p w14:paraId="592727D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供应商认为采购文件、采购过程和成交结果使自己的权益受到损害的,可以在知道或者应知其权益受到损害之日起七个工作日内，按照《政府采购质疑和投诉办法》（中华人民共和国财政部令94号）以书面形式向采购人或采购代理机构提出质疑，逾期不再接收。</w:t>
      </w:r>
    </w:p>
    <w:p w14:paraId="4250315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3.该公告已同步至“平顶山市公共资源交易中心微信公众号”，可通过公众号中的服务栏目进行查阅。</w:t>
      </w:r>
    </w:p>
    <w:p w14:paraId="36BEC7F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4.监督人：鲁山县财政局</w:t>
      </w:r>
    </w:p>
    <w:p w14:paraId="69904CA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统一社会信用代码：11410423005487188A</w:t>
      </w:r>
    </w:p>
    <w:p w14:paraId="6DFD7EA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联系方式：0375-5057526</w:t>
      </w:r>
      <w:r>
        <w:rPr>
          <w:rFonts w:hint="eastAsia" w:asciiTheme="minorEastAsia" w:hAnsiTheme="minorEastAsia" w:eastAsiaTheme="minorEastAsia" w:cstheme="minorEastAsia"/>
          <w:sz w:val="24"/>
          <w:szCs w:val="24"/>
          <w:lang w:val="en-US" w:eastAsia="zh-CN"/>
        </w:rPr>
        <w:t xml:space="preserve"> </w:t>
      </w:r>
    </w:p>
    <w:p w14:paraId="5D73191F">
      <w:pPr>
        <w:pStyle w:val="19"/>
        <w:spacing w:line="360" w:lineRule="auto"/>
        <w:ind w:left="0" w:leftChars="0" w:firstLine="480" w:firstLineChars="200"/>
        <w:rPr>
          <w:rFonts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八、凡对本次招标提出询问，请按照以下方式联系</w:t>
      </w:r>
      <w:bookmarkEnd w:id="17"/>
      <w:r>
        <w:rPr>
          <w:rFonts w:hint="eastAsia" w:asciiTheme="minorEastAsia" w:hAnsiTheme="minorEastAsia" w:eastAsiaTheme="minorEastAsia" w:cstheme="minorEastAsia"/>
          <w:b w:val="0"/>
          <w:bCs/>
          <w:sz w:val="24"/>
          <w:szCs w:val="24"/>
          <w:lang w:eastAsia="zh-CN"/>
        </w:rPr>
        <w:t xml:space="preserve"> </w:t>
      </w:r>
    </w:p>
    <w:p w14:paraId="71DBE53B">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bookmarkStart w:id="18" w:name="_Toc22189"/>
      <w:r>
        <w:rPr>
          <w:rFonts w:hint="eastAsia" w:asciiTheme="minorEastAsia" w:hAnsiTheme="minorEastAsia" w:eastAsiaTheme="minorEastAsia" w:cstheme="minorEastAsia"/>
          <w:sz w:val="24"/>
          <w:szCs w:val="24"/>
          <w:lang w:eastAsia="zh-CN"/>
        </w:rPr>
        <w:t>1. 采购人信息</w:t>
      </w:r>
      <w:bookmarkEnd w:id="18"/>
    </w:p>
    <w:p w14:paraId="656C3F1E">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名称：鲁山县教育体育局 </w:t>
      </w:r>
    </w:p>
    <w:p w14:paraId="60FF25D0">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地址：平顶山市鲁山县人民路西段</w:t>
      </w:r>
    </w:p>
    <w:p w14:paraId="26B4716B">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联系人：魏先生</w:t>
      </w:r>
    </w:p>
    <w:p w14:paraId="7609E670">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联系方式：0375-5051132</w:t>
      </w:r>
    </w:p>
    <w:p w14:paraId="36D8AEE5">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bookmarkStart w:id="19" w:name="_Toc32661"/>
      <w:r>
        <w:rPr>
          <w:rFonts w:hint="eastAsia" w:asciiTheme="minorEastAsia" w:hAnsiTheme="minorEastAsia" w:eastAsiaTheme="minorEastAsia" w:cstheme="minorEastAsia"/>
          <w:sz w:val="24"/>
          <w:szCs w:val="24"/>
          <w:lang w:eastAsia="zh-CN"/>
        </w:rPr>
        <w:t>2.采购代理机构信息</w:t>
      </w:r>
      <w:bookmarkEnd w:id="19"/>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如有</w:t>
      </w:r>
      <w:r>
        <w:rPr>
          <w:rFonts w:hint="eastAsia" w:asciiTheme="minorEastAsia" w:hAnsiTheme="minorEastAsia" w:eastAsiaTheme="minorEastAsia" w:cstheme="minorEastAsia"/>
          <w:sz w:val="24"/>
          <w:szCs w:val="24"/>
          <w:lang w:eastAsia="zh-CN"/>
        </w:rPr>
        <w:t>）</w:t>
      </w:r>
    </w:p>
    <w:p w14:paraId="25B21A25">
      <w:pPr>
        <w:shd w:val="clear" w:color="auto" w:fill="FFFFFF"/>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名称：</w:t>
      </w:r>
      <w:r>
        <w:rPr>
          <w:rFonts w:hint="eastAsia" w:asciiTheme="minorEastAsia" w:hAnsiTheme="minorEastAsia" w:eastAsiaTheme="minorEastAsia" w:cstheme="minorEastAsia"/>
          <w:color w:val="auto"/>
          <w:sz w:val="24"/>
          <w:szCs w:val="24"/>
          <w:shd w:val="clear" w:color="auto" w:fill="FFFFFF"/>
          <w:lang w:val="en-US" w:eastAsia="zh-CN"/>
        </w:rPr>
        <w:t>河南润豫工程管理有限公司</w:t>
      </w:r>
    </w:p>
    <w:p w14:paraId="6D6C42F4">
      <w:pPr>
        <w:shd w:val="clear" w:color="auto" w:fill="FFFFFF"/>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地址：</w:t>
      </w:r>
      <w:r>
        <w:rPr>
          <w:rFonts w:hint="eastAsia" w:asciiTheme="minorEastAsia" w:hAnsiTheme="minorEastAsia" w:eastAsiaTheme="minorEastAsia" w:cstheme="minorEastAsia"/>
          <w:sz w:val="24"/>
          <w:szCs w:val="24"/>
          <w:lang w:val="en-US" w:eastAsia="zh-CN"/>
        </w:rPr>
        <w:t>郑州市金水区顺河路38号</w:t>
      </w:r>
    </w:p>
    <w:p w14:paraId="0B302C1C">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w:t>
      </w:r>
      <w:r>
        <w:rPr>
          <w:rFonts w:hint="eastAsia" w:asciiTheme="minorEastAsia" w:hAnsiTheme="minorEastAsia" w:eastAsiaTheme="minorEastAsia" w:cstheme="minorEastAsia"/>
          <w:sz w:val="24"/>
          <w:szCs w:val="24"/>
          <w:lang w:val="en-US" w:eastAsia="zh-CN"/>
        </w:rPr>
        <w:t>薄文明</w:t>
      </w:r>
      <w:r>
        <w:rPr>
          <w:rFonts w:hint="eastAsia" w:asciiTheme="minorEastAsia" w:hAnsiTheme="minorEastAsia" w:eastAsiaTheme="minorEastAsia" w:cstheme="minorEastAsia"/>
          <w:sz w:val="24"/>
          <w:szCs w:val="24"/>
          <w:lang w:eastAsia="zh-CN"/>
        </w:rPr>
        <w:t xml:space="preserve">   </w:t>
      </w:r>
    </w:p>
    <w:p w14:paraId="26F50AB1">
      <w:pPr>
        <w:shd w:val="clear" w:color="auto" w:fill="FFFFFF"/>
        <w:spacing w:line="360" w:lineRule="auto"/>
        <w:ind w:firstLine="480" w:firstLineChars="200"/>
        <w:rPr>
          <w:rFonts w:hint="eastAsia" w:asciiTheme="minorEastAsia" w:hAnsiTheme="minorEastAsia" w:eastAsiaTheme="minorEastAsia" w:cstheme="minorEastAsia"/>
          <w:color w:val="auto"/>
          <w:kern w:val="44"/>
          <w:sz w:val="24"/>
          <w:szCs w:val="24"/>
          <w:lang w:val="en-US" w:eastAsia="zh-CN"/>
        </w:rPr>
      </w:pPr>
      <w:r>
        <w:rPr>
          <w:rFonts w:hint="eastAsia" w:asciiTheme="minorEastAsia" w:hAnsiTheme="minorEastAsia" w:eastAsiaTheme="minorEastAsia" w:cstheme="minorEastAsia"/>
          <w:sz w:val="24"/>
          <w:szCs w:val="24"/>
          <w:lang w:eastAsia="zh-CN"/>
        </w:rPr>
        <w:t>联系方式：</w:t>
      </w:r>
      <w:r>
        <w:rPr>
          <w:rFonts w:hint="eastAsia" w:asciiTheme="minorEastAsia" w:hAnsiTheme="minorEastAsia" w:eastAsiaTheme="minorEastAsia" w:cstheme="minorEastAsia"/>
          <w:color w:val="auto"/>
          <w:kern w:val="44"/>
          <w:sz w:val="24"/>
          <w:szCs w:val="24"/>
          <w:lang w:eastAsia="zh-CN"/>
        </w:rPr>
        <w:t>0371-</w:t>
      </w:r>
      <w:bookmarkStart w:id="20" w:name="_Toc22694"/>
      <w:r>
        <w:rPr>
          <w:rFonts w:hint="eastAsia" w:asciiTheme="minorEastAsia" w:hAnsiTheme="minorEastAsia" w:eastAsiaTheme="minorEastAsia" w:cstheme="minorEastAsia"/>
          <w:color w:val="auto"/>
          <w:kern w:val="44"/>
          <w:sz w:val="24"/>
          <w:szCs w:val="24"/>
          <w:lang w:val="en-US" w:eastAsia="zh-CN"/>
        </w:rPr>
        <w:t>60949089</w:t>
      </w:r>
    </w:p>
    <w:p w14:paraId="028441FA">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3.项目联系方式</w:t>
      </w:r>
      <w:bookmarkEnd w:id="20"/>
    </w:p>
    <w:p w14:paraId="68F2BE7F">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w:t>
      </w:r>
      <w:r>
        <w:rPr>
          <w:rFonts w:hint="eastAsia" w:asciiTheme="minorEastAsia" w:hAnsiTheme="minorEastAsia" w:eastAsiaTheme="minorEastAsia" w:cstheme="minorEastAsia"/>
          <w:sz w:val="24"/>
          <w:szCs w:val="24"/>
          <w:lang w:val="en-US" w:eastAsia="zh-CN"/>
        </w:rPr>
        <w:t>薄文明</w:t>
      </w:r>
      <w:r>
        <w:rPr>
          <w:rFonts w:hint="eastAsia" w:asciiTheme="minorEastAsia" w:hAnsiTheme="minorEastAsia" w:eastAsiaTheme="minorEastAsia" w:cstheme="minorEastAsia"/>
          <w:sz w:val="24"/>
          <w:szCs w:val="24"/>
          <w:lang w:eastAsia="zh-CN"/>
        </w:rPr>
        <w:t xml:space="preserve"> </w:t>
      </w:r>
    </w:p>
    <w:p w14:paraId="1DA82D20">
      <w:pPr>
        <w:shd w:val="clear" w:color="auto" w:fill="FFFFFF"/>
        <w:spacing w:line="360" w:lineRule="auto"/>
        <w:ind w:firstLine="480" w:firstLineChars="200"/>
        <w:rPr>
          <w:rFonts w:hint="eastAsia" w:asciiTheme="minorEastAsia" w:hAnsiTheme="minorEastAsia" w:eastAsiaTheme="minorEastAsia" w:cstheme="minorEastAsia"/>
          <w:color w:val="auto"/>
          <w:kern w:val="44"/>
          <w:sz w:val="24"/>
          <w:szCs w:val="24"/>
          <w:lang w:val="en-US" w:eastAsia="zh-CN"/>
        </w:rPr>
      </w:pPr>
      <w:r>
        <w:rPr>
          <w:rFonts w:hint="eastAsia" w:asciiTheme="minorEastAsia" w:hAnsiTheme="minorEastAsia" w:eastAsiaTheme="minorEastAsia" w:cstheme="minorEastAsia"/>
          <w:sz w:val="24"/>
          <w:szCs w:val="24"/>
          <w:lang w:eastAsia="zh-CN"/>
        </w:rPr>
        <w:t>联系方式：</w:t>
      </w:r>
      <w:r>
        <w:rPr>
          <w:rFonts w:hint="eastAsia" w:asciiTheme="minorEastAsia" w:hAnsiTheme="minorEastAsia" w:eastAsiaTheme="minorEastAsia" w:cstheme="minorEastAsia"/>
          <w:color w:val="auto"/>
          <w:kern w:val="44"/>
          <w:sz w:val="24"/>
          <w:szCs w:val="24"/>
          <w:lang w:eastAsia="zh-CN"/>
        </w:rPr>
        <w:t>0371-</w:t>
      </w:r>
      <w:r>
        <w:rPr>
          <w:rFonts w:hint="eastAsia" w:asciiTheme="minorEastAsia" w:hAnsiTheme="minorEastAsia" w:eastAsiaTheme="minorEastAsia" w:cstheme="minorEastAsia"/>
          <w:color w:val="auto"/>
          <w:kern w:val="44"/>
          <w:sz w:val="24"/>
          <w:szCs w:val="24"/>
          <w:lang w:val="en-US" w:eastAsia="zh-CN"/>
        </w:rPr>
        <w:t>60949089</w:t>
      </w:r>
    </w:p>
    <w:p w14:paraId="3578661A">
      <w:pPr>
        <w:rPr>
          <w:rFonts w:asciiTheme="minorEastAsia" w:hAnsiTheme="minorEastAsia" w:eastAsiaTheme="minorEastAsia" w:cstheme="minorEastAsia"/>
          <w:b/>
          <w:lang w:eastAsia="zh-CN"/>
        </w:rPr>
      </w:pPr>
    </w:p>
    <w:p w14:paraId="6CA9A9B1">
      <w:pPr>
        <w:keepNext w:val="0"/>
        <w:keepLines w:val="0"/>
        <w:pageBreakBefore w:val="0"/>
        <w:widowControl/>
        <w:kinsoku w:val="0"/>
        <w:wordWrap/>
        <w:overflowPunct/>
        <w:topLinePunct w:val="0"/>
        <w:autoSpaceDE w:val="0"/>
        <w:autoSpaceDN w:val="0"/>
        <w:bidi w:val="0"/>
        <w:adjustRightInd w:val="0"/>
        <w:snapToGrid/>
        <w:spacing w:line="360" w:lineRule="auto"/>
        <w:ind w:firstLine="482" w:firstLineChars="200"/>
        <w:textAlignment w:val="baseline"/>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温馨提示：</w:t>
      </w:r>
    </w:p>
    <w:p w14:paraId="4AC35A5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 xml:space="preserve">本项目为全流程电子化交易项目，请认真阅读招标文件，并注意以下事项。 </w:t>
      </w:r>
    </w:p>
    <w:p w14:paraId="3F5528A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1.供应商应按招标文件规定编制、提交电子投标文件。</w:t>
      </w:r>
    </w:p>
    <w:p w14:paraId="55E920B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2.本项目供应商不用再提供纸质投标文件。</w:t>
      </w:r>
    </w:p>
    <w:p w14:paraId="7A16E09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3.电子文件下载、制作、提交期间和开标（电子投标文件的解密）环节，供应商须使用CA数字证书（证书须在有效期内）。</w:t>
      </w:r>
    </w:p>
    <w:p w14:paraId="4145A48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4.电子投标文件的制作</w:t>
      </w:r>
    </w:p>
    <w:p w14:paraId="76E2F56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4.1供应商登录《全国公共资源交易平台(河南省.平顶山市)》公共资源交易系统（http://221.176.192.166:8080/ggzy/）下载“平顶山投标文件制作系统 ”，按招标文件要求制作电子投标文件。电子投标文件的制作，参考《全国公共资源交易平台(河南省.平顶山市)》公共资源交易系统——组件下载——交易系统操作手册（</w:t>
      </w:r>
      <w:r>
        <w:rPr>
          <w:rFonts w:hint="eastAsia" w:asciiTheme="minorEastAsia" w:hAnsiTheme="minorEastAsia" w:eastAsiaTheme="minorEastAsia" w:cstheme="minorEastAsia"/>
          <w:b/>
          <w:sz w:val="24"/>
          <w:szCs w:val="24"/>
          <w:lang w:val="en-US" w:eastAsia="zh-CN"/>
        </w:rPr>
        <w:t>投标人</w:t>
      </w:r>
      <w:r>
        <w:rPr>
          <w:rFonts w:hint="eastAsia" w:asciiTheme="minorEastAsia" w:hAnsiTheme="minorEastAsia" w:eastAsiaTheme="minorEastAsia" w:cstheme="minorEastAsia"/>
          <w:b/>
          <w:sz w:val="24"/>
          <w:szCs w:val="24"/>
          <w:lang w:eastAsia="zh-CN"/>
        </w:rPr>
        <w:t>、供应商）。</w:t>
      </w:r>
    </w:p>
    <w:p w14:paraId="280C583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4.2供应商须将招标文件要求的资质、业绩、荣誉及相关人员证明材料等资料原件扫描件（或图片)制作到所提交的电子投标文件中。</w:t>
      </w:r>
    </w:p>
    <w:p w14:paraId="5F50AD4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4.3供应商对同一项目多个标包进行投标的，应分别下载所投标包的招标文件，按标包制作电子投标文件，并按招标文件要求在相应位置加盖供应商电子印章和法人电子印章。</w:t>
      </w:r>
    </w:p>
    <w:p w14:paraId="68A2531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一个标包对应生成一个文件夹（ xxxx 项 目xx 标包）, 其中包含2个文件和1 个文件夹。后缀名为“.file ”的文件用于电子投标使用，名称为“备份 ”的文件夹使用电子介质存储，供开标现场备用。</w:t>
      </w:r>
    </w:p>
    <w:p w14:paraId="5531E9E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5.加密电子投标文件的提交</w:t>
      </w:r>
    </w:p>
    <w:p w14:paraId="5CA8D61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5.1 加密电子投标文件应在招标文件规定的投标截止时间（开标时间）之前成功提交至《全国公共资源交易平台(河南省.平顶山市)》公共资源交易系统（http://221.176.192.166:8080/ggzy/）。</w:t>
      </w:r>
    </w:p>
    <w:p w14:paraId="3CE79A8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供应商应充分考虑并预留技术处理和上传数据所需时间。</w:t>
      </w:r>
    </w:p>
    <w:p w14:paraId="1C4922B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5.2 供应商对同一项目多个标包进行投标的，加密电子投标文件应按标包分别提交。</w:t>
      </w:r>
    </w:p>
    <w:p w14:paraId="770286A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“不见面 ”开标注意事项及操作流程（具体内容见:平顶山市公共资源交易中心关于恢复重大紧急项目交易服务的公告 http://www.pdsggzy.com/tzgg/41494.jhtml)</w:t>
      </w:r>
    </w:p>
    <w:p w14:paraId="167D9AE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1、开标时，供应商采用网上远程异地解密时，请用CA 证书登录平顶山市公共资源交易中心业务系统，进入本项目开标大厅点击解密来完成投标文件的解密工作。每位供应商的解密时间从开标时间起60分钟内完成，超过规定时间解密的投标文件不予接收。</w:t>
      </w:r>
    </w:p>
    <w:p w14:paraId="6987865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2、如出现供应商的电子投标文件无法解密的情况，供应商应及时联系招标人（代理机构）进行说明。投标文件解密异常，按以下步骤进行处理：</w:t>
      </w:r>
    </w:p>
    <w:p w14:paraId="5B4123A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（1）如果是投标文件自身问题导致投标文件无法解密的，该投标文件将不予接收、解密。</w:t>
      </w:r>
    </w:p>
    <w:p w14:paraId="46D4F62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（2）如果是电子化交易系统问题造成投标文件无法解密的，将由技术人员进行排查处理。如短时间内问题无法解决的，将由招标人（代理机构） 联系监督部门申请暂停开标，待问题解决后继续开标。</w:t>
      </w:r>
    </w:p>
    <w:p w14:paraId="0F77333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3、所有投标文件解密完成后，由招标人（代理机构）操作，对开标结果进行公示。</w:t>
      </w:r>
    </w:p>
    <w:p w14:paraId="59663B3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4、供应商应保证在开标期间电话、电脑、网络等能够正常使用，供应商因停电、 电脑病毒、网络堵塞等原因，未在规定的解密时间内对投标文件进行解密的，其投标文件不予接收。</w:t>
      </w:r>
    </w:p>
    <w:p w14:paraId="72CE760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5、解密完成后，供应商可登录到交易系统查看自己的投标报价。如对自己的报价内容有异议的，应在报价内容显示后20分钟内联系招标人（代理机构）进行质疑，供应商未在规定时间内提出质疑的，视为认可开标结果显示内容。</w:t>
      </w:r>
    </w:p>
    <w:p w14:paraId="6E67759E">
      <w:pPr>
        <w:rPr>
          <w:rFonts w:asciiTheme="minorEastAsia" w:hAnsiTheme="minorEastAsia" w:eastAsiaTheme="minorEastAsia" w:cstheme="minorEastAsia"/>
          <w:lang w:eastAsia="zh-CN"/>
        </w:rPr>
      </w:pPr>
    </w:p>
    <w:p w14:paraId="3697941D">
      <w:pPr>
        <w:spacing w:line="258" w:lineRule="auto"/>
        <w:rPr>
          <w:rFonts w:asciiTheme="minorEastAsia" w:hAnsiTheme="minorEastAsia" w:eastAsiaTheme="minorEastAsia" w:cstheme="minorEastAsia"/>
          <w:lang w:eastAsia="zh-CN"/>
        </w:rPr>
      </w:pPr>
    </w:p>
    <w:p w14:paraId="6831755D">
      <w:pPr>
        <w:rPr>
          <w:rFonts w:asciiTheme="minorEastAsia" w:hAnsiTheme="minorEastAsia" w:eastAsiaTheme="minorEastAsia" w:cstheme="minorEastAsia"/>
          <w:b/>
          <w:bCs/>
          <w:spacing w:val="-5"/>
          <w:sz w:val="36"/>
          <w:szCs w:val="36"/>
          <w:lang w:eastAsia="zh-CN"/>
        </w:rPr>
      </w:pPr>
      <w:bookmarkStart w:id="21" w:name="bookmark4"/>
      <w:bookmarkEnd w:id="21"/>
      <w:bookmarkStart w:id="22" w:name="bookmark3"/>
      <w:bookmarkEnd w:id="22"/>
      <w:bookmarkStart w:id="23" w:name="bookmark6"/>
      <w:bookmarkEnd w:id="23"/>
      <w:r>
        <w:rPr>
          <w:rFonts w:hint="eastAsia" w:asciiTheme="minorEastAsia" w:hAnsiTheme="minorEastAsia" w:eastAsiaTheme="minorEastAsia" w:cstheme="minorEastAsia"/>
          <w:b/>
          <w:bCs/>
          <w:spacing w:val="-5"/>
          <w:sz w:val="36"/>
          <w:szCs w:val="36"/>
          <w:lang w:eastAsia="zh-CN"/>
        </w:rPr>
        <w:br w:type="page"/>
      </w:r>
    </w:p>
    <w:p w14:paraId="1FA086F2">
      <w:pPr>
        <w:pStyle w:val="6"/>
        <w:spacing w:before="117" w:line="220" w:lineRule="auto"/>
        <w:ind w:left="3235"/>
        <w:outlineLvl w:val="0"/>
        <w:rPr>
          <w:rFonts w:asciiTheme="minorEastAsia" w:hAnsiTheme="minorEastAsia" w:eastAsiaTheme="minorEastAsia" w:cstheme="minorEastAsia"/>
          <w:sz w:val="36"/>
          <w:szCs w:val="36"/>
          <w:lang w:eastAsia="zh-CN"/>
        </w:rPr>
      </w:pPr>
      <w:bookmarkStart w:id="24" w:name="_Toc809"/>
      <w:r>
        <w:rPr>
          <w:rFonts w:hint="eastAsia" w:asciiTheme="minorEastAsia" w:hAnsiTheme="minorEastAsia" w:eastAsiaTheme="minorEastAsia" w:cstheme="minorEastAsia"/>
          <w:b/>
          <w:bCs/>
          <w:spacing w:val="-5"/>
          <w:sz w:val="36"/>
          <w:szCs w:val="36"/>
          <w:lang w:eastAsia="zh-CN"/>
        </w:rPr>
        <w:t>第二部分</w:t>
      </w:r>
      <w:r>
        <w:rPr>
          <w:rFonts w:hint="eastAsia" w:asciiTheme="minorEastAsia" w:hAnsiTheme="minorEastAsia" w:eastAsiaTheme="minorEastAsia" w:cstheme="minorEastAsia"/>
          <w:spacing w:val="-5"/>
          <w:sz w:val="36"/>
          <w:szCs w:val="36"/>
          <w:lang w:eastAsia="zh-CN"/>
        </w:rPr>
        <w:t xml:space="preserve"> </w:t>
      </w:r>
      <w:r>
        <w:rPr>
          <w:rFonts w:hint="eastAsia" w:asciiTheme="minorEastAsia" w:hAnsiTheme="minorEastAsia" w:eastAsiaTheme="minorEastAsia" w:cstheme="minorEastAsia"/>
          <w:b/>
          <w:bCs/>
          <w:spacing w:val="-5"/>
          <w:sz w:val="36"/>
          <w:szCs w:val="36"/>
          <w:lang w:eastAsia="zh-CN"/>
        </w:rPr>
        <w:t>投标人须知</w:t>
      </w:r>
      <w:bookmarkEnd w:id="24"/>
    </w:p>
    <w:p w14:paraId="37EA43BB">
      <w:pPr>
        <w:pStyle w:val="6"/>
        <w:spacing w:before="236" w:line="219" w:lineRule="auto"/>
        <w:ind w:left="3826"/>
        <w:outlineLvl w:val="1"/>
        <w:rPr>
          <w:rFonts w:asciiTheme="minorEastAsia" w:hAnsiTheme="minorEastAsia" w:eastAsiaTheme="minorEastAsia" w:cstheme="minorEastAsia"/>
          <w:sz w:val="28"/>
          <w:szCs w:val="28"/>
          <w:lang w:eastAsia="zh-CN"/>
        </w:rPr>
      </w:pPr>
      <w:bookmarkStart w:id="25" w:name="bookmark5"/>
      <w:bookmarkEnd w:id="25"/>
      <w:bookmarkStart w:id="26" w:name="_Toc12011"/>
      <w:r>
        <w:rPr>
          <w:rFonts w:hint="eastAsia" w:asciiTheme="minorEastAsia" w:hAnsiTheme="minorEastAsia" w:eastAsiaTheme="minorEastAsia" w:cstheme="minorEastAsia"/>
          <w:b/>
          <w:bCs/>
          <w:spacing w:val="-5"/>
          <w:sz w:val="28"/>
          <w:szCs w:val="28"/>
          <w:lang w:eastAsia="zh-CN"/>
        </w:rPr>
        <w:t>投标人须知前附表</w:t>
      </w:r>
      <w:bookmarkEnd w:id="26"/>
    </w:p>
    <w:p w14:paraId="252411E6">
      <w:pPr>
        <w:spacing w:line="119" w:lineRule="exact"/>
        <w:rPr>
          <w:rFonts w:asciiTheme="minorEastAsia" w:hAnsiTheme="minorEastAsia" w:eastAsiaTheme="minorEastAsia" w:cstheme="minorEastAsia"/>
          <w:lang w:eastAsia="zh-CN"/>
        </w:rPr>
      </w:pPr>
    </w:p>
    <w:p w14:paraId="12A80D9F">
      <w:pPr>
        <w:rPr>
          <w:rFonts w:asciiTheme="minorEastAsia" w:hAnsiTheme="minorEastAsia" w:eastAsiaTheme="minorEastAsia" w:cstheme="minorEastAsia"/>
          <w:lang w:eastAsia="zh-CN"/>
        </w:rPr>
      </w:pPr>
    </w:p>
    <w:tbl>
      <w:tblPr>
        <w:tblStyle w:val="21"/>
        <w:tblW w:w="5368" w:type="pct"/>
        <w:jc w:val="center"/>
        <w:tblLayout w:type="autofit"/>
        <w:tblCellMar>
          <w:top w:w="0" w:type="dxa"/>
          <w:left w:w="0" w:type="dxa"/>
          <w:bottom w:w="0" w:type="dxa"/>
          <w:right w:w="0" w:type="dxa"/>
        </w:tblCellMar>
      </w:tblPr>
      <w:tblGrid>
        <w:gridCol w:w="1041"/>
        <w:gridCol w:w="1627"/>
        <w:gridCol w:w="7084"/>
      </w:tblGrid>
      <w:tr w14:paraId="67A07F2E">
        <w:tblPrEx>
          <w:tblCellMar>
            <w:top w:w="0" w:type="dxa"/>
            <w:left w:w="0" w:type="dxa"/>
            <w:bottom w:w="0" w:type="dxa"/>
            <w:right w:w="0" w:type="dxa"/>
          </w:tblCellMar>
        </w:tblPrEx>
        <w:trPr>
          <w:trHeight w:val="311" w:hRule="atLeast"/>
          <w:jc w:val="center"/>
        </w:trPr>
        <w:tc>
          <w:tcPr>
            <w:tcW w:w="534" w:type="pct"/>
            <w:tcBorders>
              <w:top w:val="single" w:color="000000" w:sz="4" w:space="0"/>
              <w:left w:val="single" w:color="000000" w:sz="4" w:space="0"/>
              <w:bottom w:val="single" w:color="000000" w:sz="4" w:space="0"/>
              <w:right w:val="single" w:color="000000" w:sz="4" w:space="0"/>
            </w:tcBorders>
          </w:tcPr>
          <w:p w14:paraId="3E5BC4B1">
            <w:pPr>
              <w:pStyle w:val="29"/>
              <w:overflowPunct w:val="0"/>
              <w:spacing w:before="0" w:line="360" w:lineRule="auto"/>
              <w:ind w:right="-37"/>
              <w:jc w:val="center"/>
              <w:rPr>
                <w:rFonts w:eastAsia="宋体"/>
                <w:sz w:val="24"/>
                <w:szCs w:val="24"/>
              </w:rPr>
            </w:pPr>
            <w:r>
              <w:rPr>
                <w:rFonts w:hint="eastAsia" w:eastAsia="宋体"/>
                <w:sz w:val="24"/>
                <w:szCs w:val="24"/>
              </w:rPr>
              <w:t>序号</w:t>
            </w:r>
          </w:p>
        </w:tc>
        <w:tc>
          <w:tcPr>
            <w:tcW w:w="834" w:type="pct"/>
            <w:tcBorders>
              <w:top w:val="single" w:color="000000" w:sz="4" w:space="0"/>
              <w:left w:val="single" w:color="000000" w:sz="4" w:space="0"/>
              <w:bottom w:val="single" w:color="000000" w:sz="4" w:space="0"/>
              <w:right w:val="single" w:color="000000" w:sz="4" w:space="0"/>
            </w:tcBorders>
          </w:tcPr>
          <w:p w14:paraId="0BC0083F">
            <w:pPr>
              <w:pStyle w:val="29"/>
              <w:tabs>
                <w:tab w:val="left" w:pos="488"/>
              </w:tabs>
              <w:overflowPunct w:val="0"/>
              <w:spacing w:before="0" w:line="360" w:lineRule="auto"/>
              <w:ind w:left="8"/>
              <w:jc w:val="center"/>
              <w:rPr>
                <w:rFonts w:eastAsia="宋体"/>
                <w:sz w:val="24"/>
                <w:szCs w:val="24"/>
              </w:rPr>
            </w:pPr>
            <w:r>
              <w:rPr>
                <w:rFonts w:hint="eastAsia" w:eastAsia="宋体"/>
                <w:sz w:val="24"/>
                <w:szCs w:val="24"/>
              </w:rPr>
              <w:t>名称</w:t>
            </w:r>
          </w:p>
        </w:tc>
        <w:tc>
          <w:tcPr>
            <w:tcW w:w="3631" w:type="pct"/>
            <w:tcBorders>
              <w:top w:val="single" w:color="000000" w:sz="4" w:space="0"/>
              <w:left w:val="single" w:color="000000" w:sz="4" w:space="0"/>
              <w:bottom w:val="single" w:color="000000" w:sz="4" w:space="0"/>
              <w:right w:val="single" w:color="000000" w:sz="4" w:space="0"/>
            </w:tcBorders>
          </w:tcPr>
          <w:p w14:paraId="00883667">
            <w:pPr>
              <w:pStyle w:val="29"/>
              <w:tabs>
                <w:tab w:val="left" w:pos="489"/>
              </w:tabs>
              <w:overflowPunct w:val="0"/>
              <w:spacing w:before="0" w:line="360" w:lineRule="auto"/>
              <w:ind w:left="9"/>
              <w:jc w:val="center"/>
              <w:rPr>
                <w:rFonts w:eastAsia="宋体"/>
                <w:sz w:val="24"/>
                <w:szCs w:val="24"/>
              </w:rPr>
            </w:pPr>
            <w:r>
              <w:rPr>
                <w:rFonts w:hint="eastAsia" w:eastAsia="宋体"/>
                <w:sz w:val="24"/>
                <w:szCs w:val="24"/>
              </w:rPr>
              <w:t>内</w:t>
            </w:r>
            <w:r>
              <w:rPr>
                <w:rFonts w:hint="eastAsia" w:eastAsia="宋体"/>
                <w:sz w:val="24"/>
                <w:szCs w:val="24"/>
              </w:rPr>
              <w:tab/>
            </w:r>
            <w:r>
              <w:rPr>
                <w:rFonts w:hint="eastAsia" w:eastAsia="宋体"/>
                <w:sz w:val="24"/>
                <w:szCs w:val="24"/>
              </w:rPr>
              <w:t>容</w:t>
            </w:r>
          </w:p>
        </w:tc>
      </w:tr>
      <w:tr w14:paraId="4BE7804A">
        <w:tblPrEx>
          <w:tblCellMar>
            <w:top w:w="0" w:type="dxa"/>
            <w:left w:w="0" w:type="dxa"/>
            <w:bottom w:w="0" w:type="dxa"/>
            <w:right w:w="0" w:type="dxa"/>
          </w:tblCellMar>
        </w:tblPrEx>
        <w:trPr>
          <w:trHeight w:val="1052"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331472FE">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834" w:type="pct"/>
            <w:tcBorders>
              <w:top w:val="single" w:color="000000" w:sz="4" w:space="0"/>
              <w:left w:val="single" w:color="000000" w:sz="4" w:space="0"/>
              <w:bottom w:val="single" w:color="000000" w:sz="4" w:space="0"/>
              <w:right w:val="single" w:color="000000" w:sz="4" w:space="0"/>
            </w:tcBorders>
            <w:vAlign w:val="center"/>
          </w:tcPr>
          <w:p w14:paraId="4267C49B">
            <w:pPr>
              <w:spacing w:line="360" w:lineRule="auto"/>
              <w:jc w:val="center"/>
              <w:rPr>
                <w:rFonts w:ascii="宋体" w:hAnsi="宋体" w:eastAsia="宋体" w:cs="宋体"/>
                <w:sz w:val="24"/>
                <w:szCs w:val="24"/>
              </w:rPr>
            </w:pPr>
            <w:r>
              <w:rPr>
                <w:rFonts w:hint="eastAsia" w:ascii="宋体" w:hAnsi="宋体" w:eastAsia="宋体" w:cs="宋体"/>
                <w:sz w:val="24"/>
                <w:szCs w:val="24"/>
              </w:rPr>
              <w:t>采购人</w:t>
            </w:r>
          </w:p>
        </w:tc>
        <w:tc>
          <w:tcPr>
            <w:tcW w:w="3631" w:type="pct"/>
            <w:tcBorders>
              <w:top w:val="single" w:color="000000" w:sz="4" w:space="0"/>
              <w:left w:val="single" w:color="000000" w:sz="4" w:space="0"/>
              <w:bottom w:val="single" w:color="000000" w:sz="4" w:space="0"/>
              <w:right w:val="single" w:color="000000" w:sz="4" w:space="0"/>
            </w:tcBorders>
            <w:vAlign w:val="center"/>
          </w:tcPr>
          <w:p w14:paraId="683B4E3A">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名称：鲁山县教育体育局 </w:t>
            </w:r>
          </w:p>
          <w:p w14:paraId="49FC4FD4">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地址：平顶山市鲁山县人民路西段</w:t>
            </w:r>
          </w:p>
          <w:p w14:paraId="4316E4D6">
            <w:pPr>
              <w:spacing w:line="360" w:lineRule="auto"/>
              <w:rPr>
                <w:rFonts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魏先生</w:t>
            </w:r>
            <w:bookmarkStart w:id="462" w:name="_GoBack"/>
            <w:bookmarkEnd w:id="462"/>
          </w:p>
          <w:p w14:paraId="1EA84A53">
            <w:pPr>
              <w:spacing w:line="360" w:lineRule="auto"/>
              <w:rPr>
                <w:rFonts w:ascii="宋体" w:hAnsi="宋体" w:eastAsia="宋体" w:cs="宋体"/>
                <w:sz w:val="24"/>
                <w:szCs w:val="24"/>
              </w:rPr>
            </w:pPr>
            <w:r>
              <w:rPr>
                <w:rFonts w:hint="eastAsia" w:ascii="宋体" w:hAnsi="宋体" w:eastAsia="宋体" w:cs="宋体"/>
                <w:sz w:val="24"/>
                <w:szCs w:val="24"/>
              </w:rPr>
              <w:t>联系方式：0375-</w:t>
            </w:r>
            <w:r>
              <w:rPr>
                <w:rFonts w:hint="eastAsia" w:ascii="宋体" w:hAnsi="宋体" w:eastAsia="宋体" w:cs="宋体"/>
                <w:sz w:val="24"/>
                <w:szCs w:val="24"/>
                <w:lang w:eastAsia="zh-CN"/>
              </w:rPr>
              <w:t>5051132</w:t>
            </w:r>
          </w:p>
        </w:tc>
      </w:tr>
      <w:tr w14:paraId="2F94FBFF">
        <w:tblPrEx>
          <w:tblCellMar>
            <w:top w:w="0" w:type="dxa"/>
            <w:left w:w="0" w:type="dxa"/>
            <w:bottom w:w="0" w:type="dxa"/>
            <w:right w:w="0" w:type="dxa"/>
          </w:tblCellMar>
        </w:tblPrEx>
        <w:trPr>
          <w:trHeight w:val="56"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7735F7B8">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834" w:type="pct"/>
            <w:tcBorders>
              <w:top w:val="single" w:color="000000" w:sz="4" w:space="0"/>
              <w:left w:val="single" w:color="000000" w:sz="4" w:space="0"/>
              <w:bottom w:val="single" w:color="000000" w:sz="4" w:space="0"/>
              <w:right w:val="single" w:color="000000" w:sz="4" w:space="0"/>
            </w:tcBorders>
            <w:vAlign w:val="center"/>
          </w:tcPr>
          <w:p w14:paraId="2EC2FDB8">
            <w:pPr>
              <w:spacing w:line="360" w:lineRule="auto"/>
              <w:jc w:val="center"/>
              <w:rPr>
                <w:rFonts w:ascii="宋体" w:hAnsi="宋体" w:eastAsia="宋体" w:cs="宋体"/>
                <w:sz w:val="24"/>
                <w:szCs w:val="24"/>
              </w:rPr>
            </w:pPr>
            <w:r>
              <w:rPr>
                <w:rFonts w:hint="eastAsia" w:ascii="宋体" w:hAnsi="宋体" w:eastAsia="宋体" w:cs="宋体"/>
                <w:sz w:val="24"/>
                <w:szCs w:val="24"/>
              </w:rPr>
              <w:t>采购代理机构</w:t>
            </w:r>
          </w:p>
        </w:tc>
        <w:tc>
          <w:tcPr>
            <w:tcW w:w="3631" w:type="pct"/>
            <w:tcBorders>
              <w:top w:val="single" w:color="000000" w:sz="4" w:space="0"/>
              <w:left w:val="single" w:color="000000" w:sz="4" w:space="0"/>
              <w:bottom w:val="single" w:color="000000" w:sz="4" w:space="0"/>
              <w:right w:val="single" w:color="000000" w:sz="4" w:space="0"/>
            </w:tcBorders>
            <w:vAlign w:val="center"/>
          </w:tcPr>
          <w:p w14:paraId="5E11427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名称：河南润豫工程管理有限公司</w:t>
            </w:r>
          </w:p>
          <w:p w14:paraId="1CAD4DFF">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en-US" w:eastAsia="zh-CN"/>
              </w:rPr>
              <w:t>郑州市金水区顺河路38号</w:t>
            </w:r>
          </w:p>
          <w:p w14:paraId="165B8BD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薄文明</w:t>
            </w:r>
            <w:r>
              <w:rPr>
                <w:rFonts w:hint="eastAsia" w:ascii="宋体" w:hAnsi="宋体" w:eastAsia="宋体" w:cs="宋体"/>
                <w:sz w:val="24"/>
                <w:szCs w:val="24"/>
                <w:lang w:eastAsia="zh-CN"/>
              </w:rPr>
              <w:t xml:space="preserve">   </w:t>
            </w:r>
          </w:p>
          <w:p w14:paraId="1101F41E">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联系方式：0371-</w:t>
            </w:r>
            <w:r>
              <w:rPr>
                <w:rFonts w:hint="eastAsia" w:ascii="宋体" w:hAnsi="宋体" w:eastAsia="宋体" w:cs="宋体"/>
                <w:sz w:val="24"/>
                <w:szCs w:val="24"/>
                <w:lang w:val="en-US" w:eastAsia="zh-CN"/>
              </w:rPr>
              <w:t>60949089</w:t>
            </w:r>
          </w:p>
        </w:tc>
      </w:tr>
      <w:tr w14:paraId="25944277">
        <w:tblPrEx>
          <w:tblCellMar>
            <w:top w:w="0" w:type="dxa"/>
            <w:left w:w="0" w:type="dxa"/>
            <w:bottom w:w="0" w:type="dxa"/>
            <w:right w:w="0" w:type="dxa"/>
          </w:tblCellMar>
        </w:tblPrEx>
        <w:trPr>
          <w:trHeight w:val="46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4FD18D69">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834" w:type="pct"/>
            <w:tcBorders>
              <w:top w:val="single" w:color="000000" w:sz="4" w:space="0"/>
              <w:left w:val="single" w:color="000000" w:sz="4" w:space="0"/>
              <w:bottom w:val="single" w:color="000000" w:sz="4" w:space="0"/>
              <w:right w:val="single" w:color="000000" w:sz="4" w:space="0"/>
            </w:tcBorders>
            <w:vAlign w:val="center"/>
          </w:tcPr>
          <w:p w14:paraId="7861A6FA">
            <w:pPr>
              <w:spacing w:line="36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3631" w:type="pct"/>
            <w:tcBorders>
              <w:top w:val="single" w:color="000000" w:sz="4" w:space="0"/>
              <w:left w:val="single" w:color="000000" w:sz="4" w:space="0"/>
              <w:bottom w:val="single" w:color="000000" w:sz="4" w:space="0"/>
              <w:right w:val="single" w:color="000000" w:sz="4" w:space="0"/>
            </w:tcBorders>
            <w:vAlign w:val="center"/>
          </w:tcPr>
          <w:p w14:paraId="05FC7798">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鲁山县教育体育局鲁山县农村义务教育学校营养改善计划食材采购项目</w:t>
            </w:r>
          </w:p>
        </w:tc>
      </w:tr>
      <w:tr w14:paraId="4ECB83B2">
        <w:tblPrEx>
          <w:tblCellMar>
            <w:top w:w="0" w:type="dxa"/>
            <w:left w:w="0" w:type="dxa"/>
            <w:bottom w:w="0" w:type="dxa"/>
            <w:right w:w="0" w:type="dxa"/>
          </w:tblCellMar>
        </w:tblPrEx>
        <w:trPr>
          <w:trHeight w:val="633"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78EEDBE5">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834" w:type="pct"/>
            <w:tcBorders>
              <w:top w:val="single" w:color="000000" w:sz="4" w:space="0"/>
              <w:left w:val="single" w:color="000000" w:sz="4" w:space="0"/>
              <w:bottom w:val="single" w:color="000000" w:sz="4" w:space="0"/>
              <w:right w:val="single" w:color="000000" w:sz="4" w:space="0"/>
            </w:tcBorders>
            <w:vAlign w:val="center"/>
          </w:tcPr>
          <w:p w14:paraId="0F10EE57">
            <w:pPr>
              <w:spacing w:line="360" w:lineRule="auto"/>
              <w:jc w:val="center"/>
              <w:rPr>
                <w:rFonts w:ascii="宋体" w:hAnsi="宋体" w:eastAsia="宋体" w:cs="宋体"/>
                <w:sz w:val="24"/>
                <w:szCs w:val="24"/>
              </w:rPr>
            </w:pPr>
            <w:r>
              <w:rPr>
                <w:rFonts w:hint="eastAsia" w:ascii="宋体" w:hAnsi="宋体" w:eastAsia="宋体" w:cs="宋体"/>
                <w:sz w:val="24"/>
                <w:szCs w:val="24"/>
              </w:rPr>
              <w:t>资金来源及落实情况</w:t>
            </w:r>
          </w:p>
        </w:tc>
        <w:tc>
          <w:tcPr>
            <w:tcW w:w="3631" w:type="pct"/>
            <w:tcBorders>
              <w:top w:val="single" w:color="000000" w:sz="4" w:space="0"/>
              <w:left w:val="single" w:color="000000" w:sz="4" w:space="0"/>
              <w:bottom w:val="single" w:color="000000" w:sz="4" w:space="0"/>
              <w:right w:val="single" w:color="000000" w:sz="4" w:space="0"/>
            </w:tcBorders>
            <w:vAlign w:val="center"/>
          </w:tcPr>
          <w:p w14:paraId="003A8384">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中央财政专项资金，已落实。</w:t>
            </w:r>
          </w:p>
        </w:tc>
      </w:tr>
      <w:tr w14:paraId="79AEE745">
        <w:tblPrEx>
          <w:tblCellMar>
            <w:top w:w="0" w:type="dxa"/>
            <w:left w:w="0" w:type="dxa"/>
            <w:bottom w:w="0" w:type="dxa"/>
            <w:right w:w="0" w:type="dxa"/>
          </w:tblCellMar>
        </w:tblPrEx>
        <w:trPr>
          <w:trHeight w:val="55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4C58680D">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834" w:type="pct"/>
            <w:tcBorders>
              <w:top w:val="single" w:color="000000" w:sz="4" w:space="0"/>
              <w:left w:val="single" w:color="000000" w:sz="4" w:space="0"/>
              <w:bottom w:val="single" w:color="000000" w:sz="4" w:space="0"/>
              <w:right w:val="single" w:color="000000" w:sz="4" w:space="0"/>
            </w:tcBorders>
            <w:vAlign w:val="center"/>
          </w:tcPr>
          <w:p w14:paraId="2A0B4C21">
            <w:pPr>
              <w:spacing w:line="360" w:lineRule="auto"/>
              <w:jc w:val="center"/>
              <w:rPr>
                <w:rFonts w:ascii="宋体" w:hAnsi="宋体" w:eastAsia="宋体" w:cs="宋体"/>
                <w:sz w:val="24"/>
                <w:szCs w:val="24"/>
              </w:rPr>
            </w:pPr>
            <w:r>
              <w:rPr>
                <w:rFonts w:hint="eastAsia" w:ascii="宋体" w:hAnsi="宋体" w:eastAsia="宋体" w:cs="宋体"/>
                <w:sz w:val="24"/>
                <w:szCs w:val="24"/>
              </w:rPr>
              <w:t>采购内容</w:t>
            </w:r>
          </w:p>
        </w:tc>
        <w:tc>
          <w:tcPr>
            <w:tcW w:w="3631" w:type="pct"/>
            <w:tcBorders>
              <w:top w:val="single" w:color="000000" w:sz="4" w:space="0"/>
              <w:left w:val="single" w:color="000000" w:sz="4" w:space="0"/>
              <w:bottom w:val="single" w:color="000000" w:sz="4" w:space="0"/>
              <w:right w:val="single" w:color="000000" w:sz="4" w:space="0"/>
            </w:tcBorders>
            <w:vAlign w:val="center"/>
          </w:tcPr>
          <w:p w14:paraId="70EE13A7">
            <w:pPr>
              <w:pStyle w:val="4"/>
              <w:spacing w:line="360" w:lineRule="auto"/>
              <w:ind w:firstLine="0" w:firstLineChars="0"/>
              <w:rPr>
                <w:rFonts w:ascii="宋体" w:hAnsi="宋体" w:eastAsia="宋体" w:cs="宋体"/>
                <w:sz w:val="24"/>
                <w:szCs w:val="24"/>
                <w:lang w:eastAsia="zh-CN"/>
              </w:rPr>
            </w:pPr>
            <w:r>
              <w:rPr>
                <w:rFonts w:hint="eastAsia" w:ascii="宋体" w:hAnsi="宋体" w:eastAsia="宋体" w:cs="宋体"/>
                <w:sz w:val="24"/>
                <w:szCs w:val="24"/>
                <w:lang w:eastAsia="zh-CN"/>
              </w:rPr>
              <w:t>鲁山县202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至202</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学年度农村义务教育阶段的学校营养餐食材采购和配送。</w:t>
            </w:r>
          </w:p>
        </w:tc>
      </w:tr>
      <w:tr w14:paraId="6A25D025">
        <w:tblPrEx>
          <w:tblCellMar>
            <w:top w:w="0" w:type="dxa"/>
            <w:left w:w="0" w:type="dxa"/>
            <w:bottom w:w="0" w:type="dxa"/>
            <w:right w:w="0" w:type="dxa"/>
          </w:tblCellMar>
        </w:tblPrEx>
        <w:trPr>
          <w:trHeight w:val="55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415B4C59">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834" w:type="pct"/>
            <w:tcBorders>
              <w:top w:val="single" w:color="000000" w:sz="4" w:space="0"/>
              <w:left w:val="single" w:color="000000" w:sz="4" w:space="0"/>
              <w:bottom w:val="single" w:color="000000" w:sz="4" w:space="0"/>
              <w:right w:val="single" w:color="000000" w:sz="4" w:space="0"/>
            </w:tcBorders>
            <w:vAlign w:val="center"/>
          </w:tcPr>
          <w:p w14:paraId="48FB6A2D">
            <w:pPr>
              <w:spacing w:line="360" w:lineRule="auto"/>
              <w:jc w:val="center"/>
              <w:rPr>
                <w:rFonts w:ascii="宋体" w:hAnsi="宋体" w:eastAsia="宋体" w:cs="宋体"/>
                <w:sz w:val="24"/>
                <w:szCs w:val="24"/>
              </w:rPr>
            </w:pPr>
            <w:r>
              <w:rPr>
                <w:rFonts w:hint="eastAsia" w:ascii="宋体" w:hAnsi="宋体" w:eastAsia="宋体" w:cs="宋体"/>
                <w:sz w:val="24"/>
                <w:szCs w:val="24"/>
              </w:rPr>
              <w:t>采购方式</w:t>
            </w:r>
          </w:p>
        </w:tc>
        <w:tc>
          <w:tcPr>
            <w:tcW w:w="3631" w:type="pct"/>
            <w:tcBorders>
              <w:top w:val="single" w:color="000000" w:sz="4" w:space="0"/>
              <w:left w:val="single" w:color="000000" w:sz="4" w:space="0"/>
              <w:bottom w:val="single" w:color="000000" w:sz="4" w:space="0"/>
              <w:right w:val="single" w:color="000000" w:sz="4" w:space="0"/>
            </w:tcBorders>
            <w:vAlign w:val="center"/>
          </w:tcPr>
          <w:p w14:paraId="369E4747">
            <w:pPr>
              <w:spacing w:line="360" w:lineRule="auto"/>
              <w:rPr>
                <w:rFonts w:ascii="宋体" w:hAnsi="宋体" w:eastAsia="宋体" w:cs="宋体"/>
                <w:sz w:val="24"/>
                <w:szCs w:val="24"/>
              </w:rPr>
            </w:pPr>
            <w:r>
              <w:rPr>
                <w:rFonts w:hint="eastAsia" w:ascii="宋体" w:hAnsi="宋体" w:eastAsia="宋体" w:cs="宋体"/>
                <w:sz w:val="24"/>
                <w:szCs w:val="24"/>
              </w:rPr>
              <w:t>公开招标</w:t>
            </w:r>
          </w:p>
        </w:tc>
      </w:tr>
      <w:tr w14:paraId="3AED9F03">
        <w:tblPrEx>
          <w:tblCellMar>
            <w:top w:w="0" w:type="dxa"/>
            <w:left w:w="0" w:type="dxa"/>
            <w:bottom w:w="0" w:type="dxa"/>
            <w:right w:w="0" w:type="dxa"/>
          </w:tblCellMar>
        </w:tblPrEx>
        <w:trPr>
          <w:trHeight w:val="55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45DAE0C5">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834" w:type="pct"/>
            <w:tcBorders>
              <w:top w:val="single" w:color="000000" w:sz="4" w:space="0"/>
              <w:left w:val="single" w:color="000000" w:sz="4" w:space="0"/>
              <w:bottom w:val="single" w:color="000000" w:sz="4" w:space="0"/>
              <w:right w:val="single" w:color="000000" w:sz="4" w:space="0"/>
            </w:tcBorders>
            <w:vAlign w:val="center"/>
          </w:tcPr>
          <w:p w14:paraId="07D8D12F">
            <w:pPr>
              <w:spacing w:line="360" w:lineRule="auto"/>
              <w:rPr>
                <w:rFonts w:ascii="宋体" w:hAnsi="宋体" w:eastAsia="宋体" w:cs="宋体"/>
                <w:sz w:val="24"/>
                <w:szCs w:val="24"/>
              </w:rPr>
            </w:pPr>
            <w:r>
              <w:rPr>
                <w:rFonts w:hint="eastAsia" w:ascii="宋体" w:hAnsi="宋体" w:eastAsia="宋体" w:cs="宋体"/>
                <w:sz w:val="24"/>
                <w:szCs w:val="24"/>
              </w:rPr>
              <w:t>采购项目属性</w:t>
            </w:r>
          </w:p>
        </w:tc>
        <w:tc>
          <w:tcPr>
            <w:tcW w:w="3631" w:type="pct"/>
            <w:tcBorders>
              <w:top w:val="single" w:color="000000" w:sz="4" w:space="0"/>
              <w:left w:val="single" w:color="000000" w:sz="4" w:space="0"/>
              <w:bottom w:val="single" w:color="000000" w:sz="4" w:space="0"/>
              <w:right w:val="single" w:color="000000" w:sz="4" w:space="0"/>
            </w:tcBorders>
            <w:vAlign w:val="center"/>
          </w:tcPr>
          <w:p w14:paraId="6965E76C">
            <w:pPr>
              <w:spacing w:line="360" w:lineRule="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货物      □服务       □工程</w:t>
            </w:r>
          </w:p>
        </w:tc>
      </w:tr>
      <w:tr w14:paraId="7CCA0ED7">
        <w:tblPrEx>
          <w:tblCellMar>
            <w:top w:w="0" w:type="dxa"/>
            <w:left w:w="0" w:type="dxa"/>
            <w:bottom w:w="0" w:type="dxa"/>
            <w:right w:w="0" w:type="dxa"/>
          </w:tblCellMar>
        </w:tblPrEx>
        <w:trPr>
          <w:trHeight w:val="453"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7E408D8">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834" w:type="pct"/>
            <w:tcBorders>
              <w:top w:val="single" w:color="000000" w:sz="4" w:space="0"/>
              <w:left w:val="single" w:color="000000" w:sz="4" w:space="0"/>
              <w:bottom w:val="single" w:color="000000" w:sz="4" w:space="0"/>
              <w:right w:val="single" w:color="000000" w:sz="4" w:space="0"/>
            </w:tcBorders>
            <w:vAlign w:val="center"/>
          </w:tcPr>
          <w:p w14:paraId="42096ABB">
            <w:pPr>
              <w:spacing w:line="360" w:lineRule="auto"/>
              <w:jc w:val="center"/>
              <w:rPr>
                <w:rFonts w:ascii="宋体" w:hAnsi="宋体" w:eastAsia="宋体" w:cs="宋体"/>
                <w:sz w:val="24"/>
                <w:szCs w:val="24"/>
              </w:rPr>
            </w:pPr>
            <w:r>
              <w:rPr>
                <w:rFonts w:hint="eastAsia" w:ascii="宋体" w:hAnsi="宋体" w:eastAsia="宋体" w:cs="宋体"/>
                <w:sz w:val="24"/>
                <w:szCs w:val="24"/>
                <w:lang w:eastAsia="zh-CN"/>
              </w:rPr>
              <w:t>配送地点</w:t>
            </w:r>
          </w:p>
        </w:tc>
        <w:tc>
          <w:tcPr>
            <w:tcW w:w="3631" w:type="pct"/>
            <w:tcBorders>
              <w:top w:val="single" w:color="000000" w:sz="4" w:space="0"/>
              <w:left w:val="single" w:color="000000" w:sz="4" w:space="0"/>
              <w:bottom w:val="single" w:color="000000" w:sz="4" w:space="0"/>
              <w:right w:val="single" w:color="000000" w:sz="4" w:space="0"/>
            </w:tcBorders>
            <w:vAlign w:val="center"/>
          </w:tcPr>
          <w:p w14:paraId="588F2F04">
            <w:pPr>
              <w:spacing w:line="360" w:lineRule="auto"/>
              <w:rPr>
                <w:rFonts w:ascii="宋体" w:hAnsi="宋体" w:eastAsia="宋体" w:cs="宋体"/>
                <w:b/>
                <w:sz w:val="24"/>
                <w:szCs w:val="24"/>
              </w:rPr>
            </w:pPr>
            <w:r>
              <w:rPr>
                <w:rFonts w:hint="eastAsia" w:ascii="宋体" w:hAnsi="宋体" w:eastAsia="宋体" w:cs="宋体"/>
                <w:sz w:val="24"/>
                <w:szCs w:val="24"/>
                <w:lang w:eastAsia="zh-CN"/>
              </w:rPr>
              <w:t>鲁山县农村义务教育阶段享受营养改善计划的学校</w:t>
            </w:r>
          </w:p>
        </w:tc>
      </w:tr>
      <w:tr w14:paraId="60B758C0">
        <w:tblPrEx>
          <w:tblCellMar>
            <w:top w:w="0" w:type="dxa"/>
            <w:left w:w="0" w:type="dxa"/>
            <w:bottom w:w="0" w:type="dxa"/>
            <w:right w:w="0" w:type="dxa"/>
          </w:tblCellMar>
        </w:tblPrEx>
        <w:trPr>
          <w:trHeight w:val="46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4ADD9766">
            <w:pPr>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834" w:type="pct"/>
            <w:tcBorders>
              <w:top w:val="single" w:color="000000" w:sz="4" w:space="0"/>
              <w:left w:val="single" w:color="000000" w:sz="4" w:space="0"/>
              <w:bottom w:val="single" w:color="000000" w:sz="4" w:space="0"/>
              <w:right w:val="single" w:color="000000" w:sz="4" w:space="0"/>
            </w:tcBorders>
            <w:vAlign w:val="center"/>
          </w:tcPr>
          <w:p w14:paraId="15A912F3">
            <w:pPr>
              <w:spacing w:line="360" w:lineRule="auto"/>
              <w:jc w:val="center"/>
              <w:rPr>
                <w:rFonts w:ascii="宋体" w:hAnsi="宋体" w:eastAsia="宋体" w:cs="宋体"/>
                <w:sz w:val="24"/>
                <w:szCs w:val="24"/>
              </w:rPr>
            </w:pPr>
            <w:r>
              <w:rPr>
                <w:rFonts w:hint="eastAsia" w:ascii="宋体" w:hAnsi="宋体" w:eastAsia="宋体" w:cs="宋体"/>
                <w:sz w:val="24"/>
                <w:szCs w:val="24"/>
              </w:rPr>
              <w:t>服务要求</w:t>
            </w:r>
          </w:p>
        </w:tc>
        <w:tc>
          <w:tcPr>
            <w:tcW w:w="3631" w:type="pct"/>
            <w:tcBorders>
              <w:top w:val="single" w:color="000000" w:sz="4" w:space="0"/>
              <w:left w:val="single" w:color="000000" w:sz="4" w:space="0"/>
              <w:bottom w:val="single" w:color="000000" w:sz="4" w:space="0"/>
              <w:right w:val="single" w:color="000000" w:sz="4" w:space="0"/>
            </w:tcBorders>
            <w:vAlign w:val="center"/>
          </w:tcPr>
          <w:p w14:paraId="3D367FB2">
            <w:pPr>
              <w:spacing w:before="50" w:after="50" w:line="380" w:lineRule="exact"/>
              <w:jc w:val="both"/>
              <w:rPr>
                <w:rFonts w:ascii="宋体" w:hAnsi="宋体" w:eastAsia="宋体" w:cs="宋体"/>
                <w:sz w:val="24"/>
                <w:szCs w:val="24"/>
                <w:lang w:eastAsia="zh-CN"/>
              </w:rPr>
            </w:pPr>
            <w:bookmarkStart w:id="27" w:name="_Toc11489"/>
            <w:r>
              <w:rPr>
                <w:rFonts w:hint="eastAsia" w:ascii="宋体" w:hAnsi="宋体" w:eastAsia="宋体" w:cs="宋体"/>
                <w:sz w:val="24"/>
                <w:szCs w:val="24"/>
                <w:lang w:eastAsia="zh-CN"/>
              </w:rPr>
              <w:t>满足采购人的实际需求</w:t>
            </w:r>
            <w:bookmarkEnd w:id="27"/>
          </w:p>
        </w:tc>
      </w:tr>
      <w:tr w14:paraId="3B4B128B">
        <w:tblPrEx>
          <w:tblCellMar>
            <w:top w:w="0" w:type="dxa"/>
            <w:left w:w="0" w:type="dxa"/>
            <w:bottom w:w="0" w:type="dxa"/>
            <w:right w:w="0" w:type="dxa"/>
          </w:tblCellMar>
        </w:tblPrEx>
        <w:trPr>
          <w:trHeight w:val="466"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32198ABD">
            <w:pPr>
              <w:spacing w:line="360" w:lineRule="auto"/>
              <w:jc w:val="center"/>
              <w:rPr>
                <w:rFonts w:ascii="宋体" w:hAnsi="宋体" w:eastAsia="宋体" w:cs="宋体"/>
                <w:sz w:val="24"/>
                <w:szCs w:val="24"/>
              </w:rPr>
            </w:pPr>
            <w:r>
              <w:rPr>
                <w:rFonts w:hint="eastAsia" w:ascii="宋体" w:hAnsi="宋体" w:eastAsia="宋体" w:cs="宋体"/>
                <w:sz w:val="24"/>
                <w:szCs w:val="24"/>
              </w:rPr>
              <w:t>10</w:t>
            </w:r>
          </w:p>
        </w:tc>
        <w:tc>
          <w:tcPr>
            <w:tcW w:w="834" w:type="pct"/>
            <w:tcBorders>
              <w:top w:val="single" w:color="000000" w:sz="4" w:space="0"/>
              <w:left w:val="single" w:color="000000" w:sz="4" w:space="0"/>
              <w:bottom w:val="single" w:color="000000" w:sz="4" w:space="0"/>
              <w:right w:val="single" w:color="000000" w:sz="4" w:space="0"/>
            </w:tcBorders>
            <w:vAlign w:val="center"/>
          </w:tcPr>
          <w:p w14:paraId="071C496F">
            <w:pPr>
              <w:spacing w:line="360" w:lineRule="auto"/>
              <w:jc w:val="center"/>
              <w:rPr>
                <w:rFonts w:ascii="宋体" w:hAnsi="宋体" w:eastAsia="宋体" w:cs="宋体"/>
                <w:sz w:val="24"/>
                <w:szCs w:val="24"/>
              </w:rPr>
            </w:pPr>
            <w:r>
              <w:rPr>
                <w:rFonts w:hint="eastAsia" w:ascii="宋体" w:hAnsi="宋体" w:eastAsia="宋体" w:cs="宋体"/>
                <w:sz w:val="24"/>
                <w:szCs w:val="24"/>
              </w:rPr>
              <w:t>食材质量要求</w:t>
            </w:r>
          </w:p>
        </w:tc>
        <w:tc>
          <w:tcPr>
            <w:tcW w:w="3631" w:type="pct"/>
            <w:tcBorders>
              <w:top w:val="single" w:color="000000" w:sz="4" w:space="0"/>
              <w:left w:val="single" w:color="000000" w:sz="4" w:space="0"/>
              <w:bottom w:val="single" w:color="000000" w:sz="4" w:space="0"/>
              <w:right w:val="single" w:color="000000" w:sz="4" w:space="0"/>
            </w:tcBorders>
            <w:vAlign w:val="center"/>
          </w:tcPr>
          <w:p w14:paraId="24F19E80">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符合国家相关标准和强制性规定要求</w:t>
            </w:r>
          </w:p>
        </w:tc>
      </w:tr>
      <w:tr w14:paraId="4C85EFE0">
        <w:tblPrEx>
          <w:tblCellMar>
            <w:top w:w="0" w:type="dxa"/>
            <w:left w:w="0" w:type="dxa"/>
            <w:bottom w:w="0" w:type="dxa"/>
            <w:right w:w="0" w:type="dxa"/>
          </w:tblCellMar>
        </w:tblPrEx>
        <w:trPr>
          <w:trHeight w:val="46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45EC84E">
            <w:pPr>
              <w:spacing w:line="360" w:lineRule="auto"/>
              <w:jc w:val="center"/>
              <w:rPr>
                <w:rFonts w:ascii="宋体" w:hAnsi="宋体" w:eastAsia="宋体" w:cs="宋体"/>
                <w:sz w:val="24"/>
                <w:szCs w:val="24"/>
              </w:rPr>
            </w:pPr>
            <w:r>
              <w:rPr>
                <w:rFonts w:hint="eastAsia" w:ascii="宋体" w:hAnsi="宋体" w:eastAsia="宋体" w:cs="宋体"/>
                <w:sz w:val="24"/>
                <w:szCs w:val="24"/>
              </w:rPr>
              <w:t>11</w:t>
            </w:r>
          </w:p>
        </w:tc>
        <w:tc>
          <w:tcPr>
            <w:tcW w:w="834" w:type="pct"/>
            <w:tcBorders>
              <w:top w:val="single" w:color="000000" w:sz="4" w:space="0"/>
              <w:left w:val="single" w:color="000000" w:sz="4" w:space="0"/>
              <w:bottom w:val="single" w:color="000000" w:sz="4" w:space="0"/>
              <w:right w:val="single" w:color="000000" w:sz="4" w:space="0"/>
            </w:tcBorders>
            <w:vAlign w:val="center"/>
          </w:tcPr>
          <w:p w14:paraId="3A38988A">
            <w:pPr>
              <w:spacing w:line="360" w:lineRule="auto"/>
              <w:jc w:val="center"/>
              <w:rPr>
                <w:rFonts w:ascii="宋体" w:hAnsi="宋体" w:eastAsia="宋体" w:cs="宋体"/>
                <w:sz w:val="24"/>
                <w:szCs w:val="24"/>
              </w:rPr>
            </w:pPr>
            <w:r>
              <w:rPr>
                <w:rFonts w:hint="eastAsia" w:ascii="宋体" w:hAnsi="宋体" w:eastAsia="宋体" w:cs="宋体"/>
                <w:sz w:val="24"/>
                <w:szCs w:val="24"/>
              </w:rPr>
              <w:t>合同履行期限</w:t>
            </w:r>
          </w:p>
        </w:tc>
        <w:tc>
          <w:tcPr>
            <w:tcW w:w="3631" w:type="pct"/>
            <w:tcBorders>
              <w:top w:val="single" w:color="000000" w:sz="4" w:space="0"/>
              <w:left w:val="single" w:color="000000" w:sz="4" w:space="0"/>
              <w:bottom w:val="single" w:color="000000" w:sz="4" w:space="0"/>
              <w:right w:val="single" w:color="000000" w:sz="4" w:space="0"/>
            </w:tcBorders>
            <w:vAlign w:val="center"/>
          </w:tcPr>
          <w:p w14:paraId="60F44E09">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至202</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学年度，以当学年度实际在校学生数量及学生在校天数为准。</w:t>
            </w:r>
          </w:p>
        </w:tc>
      </w:tr>
      <w:tr w14:paraId="4AE4A0D8">
        <w:tblPrEx>
          <w:tblCellMar>
            <w:top w:w="0" w:type="dxa"/>
            <w:left w:w="0" w:type="dxa"/>
            <w:bottom w:w="0" w:type="dxa"/>
            <w:right w:w="0" w:type="dxa"/>
          </w:tblCellMar>
        </w:tblPrEx>
        <w:trPr>
          <w:trHeight w:val="416"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DF1E674">
            <w:pPr>
              <w:spacing w:line="360" w:lineRule="auto"/>
              <w:jc w:val="center"/>
              <w:rPr>
                <w:rFonts w:ascii="宋体" w:hAnsi="宋体" w:eastAsia="宋体" w:cs="宋体"/>
                <w:sz w:val="24"/>
                <w:szCs w:val="24"/>
              </w:rPr>
            </w:pPr>
            <w:r>
              <w:rPr>
                <w:rFonts w:hint="eastAsia" w:ascii="宋体" w:hAnsi="宋体" w:eastAsia="宋体" w:cs="宋体"/>
                <w:sz w:val="24"/>
                <w:szCs w:val="24"/>
              </w:rPr>
              <w:t>12</w:t>
            </w:r>
          </w:p>
        </w:tc>
        <w:tc>
          <w:tcPr>
            <w:tcW w:w="834" w:type="pct"/>
            <w:tcBorders>
              <w:top w:val="single" w:color="000000" w:sz="4" w:space="0"/>
              <w:left w:val="single" w:color="000000" w:sz="4" w:space="0"/>
              <w:bottom w:val="single" w:color="000000" w:sz="4" w:space="0"/>
              <w:right w:val="single" w:color="000000" w:sz="4" w:space="0"/>
            </w:tcBorders>
            <w:vAlign w:val="center"/>
          </w:tcPr>
          <w:p w14:paraId="3AC09084">
            <w:pPr>
              <w:spacing w:line="360" w:lineRule="auto"/>
              <w:jc w:val="center"/>
              <w:rPr>
                <w:rFonts w:ascii="宋体" w:hAnsi="宋体" w:eastAsia="宋体" w:cs="宋体"/>
                <w:sz w:val="24"/>
                <w:szCs w:val="24"/>
              </w:rPr>
            </w:pPr>
            <w:r>
              <w:rPr>
                <w:rFonts w:hint="eastAsia" w:ascii="宋体" w:hAnsi="宋体" w:eastAsia="宋体" w:cs="宋体"/>
                <w:sz w:val="24"/>
                <w:szCs w:val="24"/>
              </w:rPr>
              <w:t>投标人资格</w:t>
            </w:r>
          </w:p>
          <w:p w14:paraId="1CC08F79">
            <w:pPr>
              <w:spacing w:line="360" w:lineRule="auto"/>
              <w:jc w:val="center"/>
              <w:rPr>
                <w:rFonts w:ascii="宋体" w:hAnsi="宋体" w:eastAsia="宋体" w:cs="宋体"/>
                <w:sz w:val="24"/>
                <w:szCs w:val="24"/>
              </w:rPr>
            </w:pPr>
            <w:r>
              <w:rPr>
                <w:rFonts w:hint="eastAsia" w:ascii="宋体" w:hAnsi="宋体" w:eastAsia="宋体" w:cs="宋体"/>
                <w:sz w:val="24"/>
                <w:szCs w:val="24"/>
              </w:rPr>
              <w:t>要求</w:t>
            </w:r>
          </w:p>
        </w:tc>
        <w:tc>
          <w:tcPr>
            <w:tcW w:w="3631" w:type="pct"/>
            <w:tcBorders>
              <w:top w:val="single" w:color="000000" w:sz="4" w:space="0"/>
              <w:left w:val="single" w:color="000000" w:sz="4" w:space="0"/>
              <w:bottom w:val="single" w:color="000000" w:sz="4" w:space="0"/>
              <w:right w:val="single" w:color="000000" w:sz="4" w:space="0"/>
            </w:tcBorders>
            <w:vAlign w:val="center"/>
          </w:tcPr>
          <w:p w14:paraId="6BA917B4">
            <w:pPr>
              <w:spacing w:line="360" w:lineRule="auto"/>
              <w:rPr>
                <w:rFonts w:ascii="宋体" w:hAnsi="宋体" w:eastAsia="宋体" w:cs="宋体"/>
                <w:sz w:val="24"/>
                <w:szCs w:val="24"/>
              </w:rPr>
            </w:pPr>
            <w:r>
              <w:rPr>
                <w:rFonts w:hint="eastAsia" w:ascii="宋体" w:hAnsi="宋体" w:eastAsia="宋体" w:cs="宋体"/>
                <w:bCs/>
                <w:sz w:val="24"/>
                <w:szCs w:val="24"/>
              </w:rPr>
              <w:t>详见招标公告</w:t>
            </w:r>
          </w:p>
        </w:tc>
      </w:tr>
      <w:tr w14:paraId="41A684BE">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70552D85">
            <w:pPr>
              <w:spacing w:line="360" w:lineRule="auto"/>
              <w:jc w:val="center"/>
              <w:rPr>
                <w:rFonts w:ascii="宋体" w:hAnsi="宋体" w:eastAsia="宋体" w:cs="宋体"/>
                <w:sz w:val="24"/>
                <w:szCs w:val="24"/>
              </w:rPr>
            </w:pPr>
            <w:r>
              <w:rPr>
                <w:rFonts w:hint="eastAsia" w:ascii="宋体" w:hAnsi="宋体" w:eastAsia="宋体" w:cs="宋体"/>
                <w:sz w:val="24"/>
                <w:szCs w:val="24"/>
              </w:rPr>
              <w:t>13</w:t>
            </w:r>
          </w:p>
        </w:tc>
        <w:tc>
          <w:tcPr>
            <w:tcW w:w="834" w:type="pct"/>
            <w:tcBorders>
              <w:top w:val="single" w:color="000000" w:sz="4" w:space="0"/>
              <w:left w:val="single" w:color="000000" w:sz="4" w:space="0"/>
              <w:bottom w:val="single" w:color="000000" w:sz="4" w:space="0"/>
              <w:right w:val="single" w:color="000000" w:sz="4" w:space="0"/>
            </w:tcBorders>
            <w:vAlign w:val="center"/>
          </w:tcPr>
          <w:p w14:paraId="677BEC45">
            <w:pPr>
              <w:spacing w:line="360" w:lineRule="auto"/>
              <w:jc w:val="center"/>
              <w:rPr>
                <w:rFonts w:ascii="宋体" w:hAnsi="宋体" w:eastAsia="宋体" w:cs="宋体"/>
                <w:sz w:val="24"/>
                <w:szCs w:val="24"/>
              </w:rPr>
            </w:pPr>
            <w:r>
              <w:rPr>
                <w:rFonts w:hint="eastAsia" w:ascii="宋体" w:hAnsi="宋体" w:eastAsia="宋体" w:cs="宋体"/>
                <w:sz w:val="24"/>
                <w:szCs w:val="24"/>
              </w:rPr>
              <w:t>是否接受联合体投标</w:t>
            </w:r>
          </w:p>
        </w:tc>
        <w:tc>
          <w:tcPr>
            <w:tcW w:w="3631" w:type="pct"/>
            <w:tcBorders>
              <w:top w:val="single" w:color="000000" w:sz="4" w:space="0"/>
              <w:left w:val="single" w:color="000000" w:sz="4" w:space="0"/>
              <w:bottom w:val="single" w:color="000000" w:sz="4" w:space="0"/>
              <w:right w:val="single" w:color="000000" w:sz="4" w:space="0"/>
            </w:tcBorders>
            <w:vAlign w:val="center"/>
          </w:tcPr>
          <w:p w14:paraId="02E2E5A3">
            <w:pPr>
              <w:spacing w:line="360" w:lineRule="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不接受</w:t>
            </w:r>
          </w:p>
          <w:p w14:paraId="501D9A30">
            <w:pPr>
              <w:spacing w:line="360" w:lineRule="auto"/>
              <w:rPr>
                <w:rFonts w:ascii="宋体" w:hAnsi="宋体" w:eastAsia="宋体" w:cs="宋体"/>
                <w:sz w:val="24"/>
                <w:szCs w:val="24"/>
              </w:rPr>
            </w:pPr>
            <w:r>
              <w:rPr>
                <w:rFonts w:hint="eastAsia" w:ascii="宋体" w:hAnsi="宋体" w:eastAsia="宋体" w:cs="宋体"/>
                <w:sz w:val="24"/>
                <w:szCs w:val="24"/>
              </w:rPr>
              <w:t>□接受</w:t>
            </w:r>
          </w:p>
        </w:tc>
      </w:tr>
      <w:tr w14:paraId="4E55DE69">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7387A7AD">
            <w:pPr>
              <w:spacing w:line="360" w:lineRule="auto"/>
              <w:jc w:val="center"/>
              <w:rPr>
                <w:rFonts w:ascii="宋体" w:hAnsi="宋体" w:eastAsia="宋体" w:cs="宋体"/>
                <w:sz w:val="24"/>
                <w:szCs w:val="24"/>
              </w:rPr>
            </w:pPr>
            <w:r>
              <w:rPr>
                <w:rFonts w:hint="eastAsia" w:ascii="宋体" w:hAnsi="宋体" w:eastAsia="宋体" w:cs="宋体"/>
                <w:sz w:val="24"/>
                <w:szCs w:val="24"/>
              </w:rPr>
              <w:t>14</w:t>
            </w:r>
          </w:p>
        </w:tc>
        <w:tc>
          <w:tcPr>
            <w:tcW w:w="834" w:type="pct"/>
            <w:tcBorders>
              <w:top w:val="single" w:color="000000" w:sz="4" w:space="0"/>
              <w:left w:val="single" w:color="000000" w:sz="4" w:space="0"/>
              <w:bottom w:val="single" w:color="000000" w:sz="4" w:space="0"/>
              <w:right w:val="single" w:color="000000" w:sz="4" w:space="0"/>
            </w:tcBorders>
            <w:vAlign w:val="center"/>
          </w:tcPr>
          <w:p w14:paraId="296B21E4">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是否专门面向中小企业</w:t>
            </w:r>
          </w:p>
        </w:tc>
        <w:tc>
          <w:tcPr>
            <w:tcW w:w="3631" w:type="pct"/>
            <w:tcBorders>
              <w:top w:val="single" w:color="000000" w:sz="4" w:space="0"/>
              <w:left w:val="single" w:color="000000" w:sz="4" w:space="0"/>
              <w:bottom w:val="single" w:color="000000" w:sz="4" w:space="0"/>
              <w:right w:val="single" w:color="000000" w:sz="4" w:space="0"/>
            </w:tcBorders>
            <w:vAlign w:val="center"/>
          </w:tcPr>
          <w:p w14:paraId="2357022D">
            <w:pPr>
              <w:spacing w:line="360" w:lineRule="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是</w:t>
            </w:r>
          </w:p>
          <w:p w14:paraId="0CC5CA54">
            <w:pPr>
              <w:spacing w:line="360" w:lineRule="auto"/>
              <w:rPr>
                <w:rFonts w:ascii="宋体" w:hAnsi="宋体" w:eastAsia="宋体" w:cs="宋体"/>
                <w:sz w:val="24"/>
                <w:szCs w:val="24"/>
              </w:rPr>
            </w:pPr>
            <w:r>
              <w:rPr>
                <w:rFonts w:hint="eastAsia" w:ascii="宋体" w:hAnsi="宋体" w:eastAsia="宋体" w:cs="宋体"/>
                <w:sz w:val="24"/>
                <w:szCs w:val="24"/>
              </w:rPr>
              <w:t>□否</w:t>
            </w:r>
          </w:p>
        </w:tc>
      </w:tr>
      <w:tr w14:paraId="30EA4A0B">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01D266C0">
            <w:pPr>
              <w:spacing w:line="360" w:lineRule="auto"/>
              <w:jc w:val="center"/>
              <w:rPr>
                <w:rFonts w:ascii="宋体" w:hAnsi="宋体" w:eastAsia="宋体" w:cs="宋体"/>
                <w:sz w:val="24"/>
                <w:szCs w:val="24"/>
              </w:rPr>
            </w:pPr>
            <w:r>
              <w:rPr>
                <w:rFonts w:hint="eastAsia" w:ascii="宋体" w:hAnsi="宋体" w:eastAsia="宋体" w:cs="宋体"/>
                <w:sz w:val="24"/>
                <w:szCs w:val="24"/>
              </w:rPr>
              <w:t>15</w:t>
            </w:r>
          </w:p>
        </w:tc>
        <w:tc>
          <w:tcPr>
            <w:tcW w:w="834" w:type="pct"/>
            <w:tcBorders>
              <w:top w:val="single" w:color="000000" w:sz="4" w:space="0"/>
              <w:left w:val="single" w:color="000000" w:sz="4" w:space="0"/>
              <w:bottom w:val="single" w:color="000000" w:sz="4" w:space="0"/>
              <w:right w:val="single" w:color="000000" w:sz="4" w:space="0"/>
            </w:tcBorders>
            <w:vAlign w:val="center"/>
          </w:tcPr>
          <w:p w14:paraId="5DF35A75">
            <w:pPr>
              <w:spacing w:line="360" w:lineRule="auto"/>
              <w:jc w:val="center"/>
              <w:rPr>
                <w:rFonts w:ascii="宋体" w:hAnsi="宋体" w:eastAsia="宋体" w:cs="宋体"/>
                <w:sz w:val="24"/>
                <w:szCs w:val="24"/>
              </w:rPr>
            </w:pPr>
            <w:r>
              <w:rPr>
                <w:rFonts w:hint="eastAsia" w:ascii="宋体" w:hAnsi="宋体" w:eastAsia="宋体" w:cs="宋体"/>
                <w:sz w:val="24"/>
                <w:szCs w:val="24"/>
              </w:rPr>
              <w:t>踏勘现场及</w:t>
            </w:r>
          </w:p>
          <w:p w14:paraId="347A2FC0">
            <w:pPr>
              <w:spacing w:line="360" w:lineRule="auto"/>
              <w:jc w:val="center"/>
              <w:rPr>
                <w:rFonts w:ascii="宋体" w:hAnsi="宋体" w:eastAsia="宋体" w:cs="宋体"/>
                <w:sz w:val="24"/>
                <w:szCs w:val="24"/>
              </w:rPr>
            </w:pPr>
            <w:r>
              <w:rPr>
                <w:rFonts w:hint="eastAsia" w:ascii="宋体" w:hAnsi="宋体" w:eastAsia="宋体" w:cs="宋体"/>
                <w:sz w:val="24"/>
                <w:szCs w:val="24"/>
              </w:rPr>
              <w:t>答疑</w:t>
            </w:r>
          </w:p>
        </w:tc>
        <w:tc>
          <w:tcPr>
            <w:tcW w:w="3631" w:type="pct"/>
            <w:tcBorders>
              <w:top w:val="single" w:color="000000" w:sz="4" w:space="0"/>
              <w:left w:val="single" w:color="000000" w:sz="4" w:space="0"/>
              <w:bottom w:val="single" w:color="000000" w:sz="4" w:space="0"/>
              <w:right w:val="single" w:color="000000" w:sz="4" w:space="0"/>
            </w:tcBorders>
            <w:vAlign w:val="center"/>
          </w:tcPr>
          <w:p w14:paraId="2D7C41E6">
            <w:pPr>
              <w:spacing w:line="360" w:lineRule="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不组织</w:t>
            </w:r>
          </w:p>
          <w:p w14:paraId="1161939A">
            <w:pPr>
              <w:spacing w:line="360" w:lineRule="auto"/>
              <w:rPr>
                <w:rFonts w:ascii="宋体" w:hAnsi="宋体" w:eastAsia="宋体" w:cs="宋体"/>
                <w:sz w:val="24"/>
                <w:szCs w:val="24"/>
              </w:rPr>
            </w:pPr>
            <w:r>
              <w:rPr>
                <w:rFonts w:hint="eastAsia" w:ascii="宋体" w:hAnsi="宋体" w:eastAsia="宋体" w:cs="宋体"/>
                <w:sz w:val="24"/>
                <w:szCs w:val="24"/>
              </w:rPr>
              <w:t>□组织</w:t>
            </w:r>
          </w:p>
        </w:tc>
      </w:tr>
      <w:tr w14:paraId="1B7AE102">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54B107B9">
            <w:pPr>
              <w:spacing w:line="360" w:lineRule="auto"/>
              <w:jc w:val="center"/>
              <w:rPr>
                <w:rFonts w:ascii="宋体" w:hAnsi="宋体" w:eastAsia="宋体" w:cs="宋体"/>
                <w:sz w:val="24"/>
                <w:szCs w:val="24"/>
              </w:rPr>
            </w:pPr>
            <w:r>
              <w:rPr>
                <w:rFonts w:hint="eastAsia" w:ascii="宋体" w:hAnsi="宋体" w:eastAsia="宋体" w:cs="宋体"/>
                <w:sz w:val="24"/>
                <w:szCs w:val="24"/>
              </w:rPr>
              <w:t>16</w:t>
            </w:r>
          </w:p>
        </w:tc>
        <w:tc>
          <w:tcPr>
            <w:tcW w:w="834" w:type="pct"/>
            <w:tcBorders>
              <w:top w:val="single" w:color="000000" w:sz="4" w:space="0"/>
              <w:left w:val="single" w:color="000000" w:sz="4" w:space="0"/>
              <w:bottom w:val="single" w:color="000000" w:sz="4" w:space="0"/>
              <w:right w:val="single" w:color="000000" w:sz="4" w:space="0"/>
            </w:tcBorders>
            <w:vAlign w:val="center"/>
          </w:tcPr>
          <w:p w14:paraId="344F6CB2">
            <w:pPr>
              <w:spacing w:line="360" w:lineRule="auto"/>
              <w:jc w:val="center"/>
              <w:rPr>
                <w:rFonts w:ascii="宋体" w:hAnsi="宋体" w:eastAsia="宋体" w:cs="宋体"/>
                <w:sz w:val="24"/>
                <w:szCs w:val="24"/>
              </w:rPr>
            </w:pPr>
            <w:r>
              <w:rPr>
                <w:rFonts w:hint="eastAsia" w:ascii="宋体" w:hAnsi="宋体" w:eastAsia="宋体" w:cs="宋体"/>
                <w:sz w:val="24"/>
                <w:szCs w:val="24"/>
              </w:rPr>
              <w:t>投标预备会</w:t>
            </w:r>
          </w:p>
        </w:tc>
        <w:tc>
          <w:tcPr>
            <w:tcW w:w="3631" w:type="pct"/>
            <w:tcBorders>
              <w:top w:val="single" w:color="000000" w:sz="4" w:space="0"/>
              <w:left w:val="single" w:color="000000" w:sz="4" w:space="0"/>
              <w:bottom w:val="single" w:color="000000" w:sz="4" w:space="0"/>
              <w:right w:val="single" w:color="000000" w:sz="4" w:space="0"/>
            </w:tcBorders>
            <w:vAlign w:val="center"/>
          </w:tcPr>
          <w:p w14:paraId="351056E2">
            <w:pPr>
              <w:spacing w:line="360" w:lineRule="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不召开</w:t>
            </w:r>
          </w:p>
          <w:p w14:paraId="609EAD77">
            <w:pPr>
              <w:spacing w:line="360" w:lineRule="auto"/>
              <w:rPr>
                <w:rFonts w:ascii="宋体" w:hAnsi="宋体" w:eastAsia="宋体" w:cs="宋体"/>
                <w:sz w:val="24"/>
                <w:szCs w:val="24"/>
              </w:rPr>
            </w:pPr>
            <w:r>
              <w:rPr>
                <w:rFonts w:hint="eastAsia" w:ascii="宋体" w:hAnsi="宋体" w:eastAsia="宋体" w:cs="宋体"/>
                <w:sz w:val="24"/>
                <w:szCs w:val="24"/>
              </w:rPr>
              <w:t>□召开</w:t>
            </w:r>
          </w:p>
        </w:tc>
      </w:tr>
      <w:tr w14:paraId="28952807">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75577088">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17</w:t>
            </w:r>
          </w:p>
        </w:tc>
        <w:tc>
          <w:tcPr>
            <w:tcW w:w="834" w:type="pct"/>
            <w:tcBorders>
              <w:top w:val="single" w:color="000000" w:sz="4" w:space="0"/>
              <w:left w:val="single" w:color="000000" w:sz="4" w:space="0"/>
              <w:bottom w:val="single" w:color="000000" w:sz="4" w:space="0"/>
              <w:right w:val="single" w:color="000000" w:sz="4" w:space="0"/>
            </w:tcBorders>
            <w:vAlign w:val="center"/>
          </w:tcPr>
          <w:p w14:paraId="219E8C59">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构成招标文件的其他材料</w:t>
            </w:r>
          </w:p>
        </w:tc>
        <w:tc>
          <w:tcPr>
            <w:tcW w:w="3631" w:type="pct"/>
            <w:tcBorders>
              <w:top w:val="single" w:color="000000" w:sz="4" w:space="0"/>
              <w:left w:val="single" w:color="000000" w:sz="4" w:space="0"/>
              <w:bottom w:val="single" w:color="000000" w:sz="4" w:space="0"/>
              <w:right w:val="single" w:color="000000" w:sz="4" w:space="0"/>
            </w:tcBorders>
            <w:vAlign w:val="center"/>
          </w:tcPr>
          <w:p w14:paraId="46E281E5">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与本项目有关的解答、澄清、修改与补充等</w:t>
            </w:r>
          </w:p>
        </w:tc>
      </w:tr>
      <w:tr w14:paraId="14AE727C">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892EA4A">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18</w:t>
            </w:r>
          </w:p>
        </w:tc>
        <w:tc>
          <w:tcPr>
            <w:tcW w:w="834" w:type="pct"/>
            <w:tcBorders>
              <w:top w:val="single" w:color="000000" w:sz="4" w:space="0"/>
              <w:left w:val="single" w:color="000000" w:sz="4" w:space="0"/>
              <w:bottom w:val="single" w:color="000000" w:sz="4" w:space="0"/>
              <w:right w:val="single" w:color="000000" w:sz="4" w:space="0"/>
            </w:tcBorders>
            <w:vAlign w:val="center"/>
          </w:tcPr>
          <w:p w14:paraId="0CE24F16">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投标人要求澄清招标文件的截止时间</w:t>
            </w:r>
          </w:p>
        </w:tc>
        <w:tc>
          <w:tcPr>
            <w:tcW w:w="3631" w:type="pct"/>
            <w:tcBorders>
              <w:top w:val="single" w:color="000000" w:sz="4" w:space="0"/>
              <w:left w:val="single" w:color="000000" w:sz="4" w:space="0"/>
              <w:bottom w:val="single" w:color="000000" w:sz="4" w:space="0"/>
              <w:right w:val="single" w:color="000000" w:sz="4" w:space="0"/>
            </w:tcBorders>
            <w:vAlign w:val="center"/>
          </w:tcPr>
          <w:p w14:paraId="25E4D448">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按招标文件规定的投标文件截止前15日前</w:t>
            </w:r>
          </w:p>
        </w:tc>
      </w:tr>
      <w:tr w14:paraId="5C1213B4">
        <w:tblPrEx>
          <w:tblCellMar>
            <w:top w:w="0" w:type="dxa"/>
            <w:left w:w="0" w:type="dxa"/>
            <w:bottom w:w="0" w:type="dxa"/>
            <w:right w:w="0" w:type="dxa"/>
          </w:tblCellMar>
        </w:tblPrEx>
        <w:trPr>
          <w:trHeight w:val="47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431AF41">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19</w:t>
            </w:r>
          </w:p>
        </w:tc>
        <w:tc>
          <w:tcPr>
            <w:tcW w:w="834" w:type="pct"/>
            <w:tcBorders>
              <w:top w:val="single" w:color="000000" w:sz="4" w:space="0"/>
              <w:left w:val="single" w:color="000000" w:sz="4" w:space="0"/>
              <w:bottom w:val="single" w:color="000000" w:sz="4" w:space="0"/>
              <w:right w:val="single" w:color="000000" w:sz="4" w:space="0"/>
            </w:tcBorders>
            <w:vAlign w:val="center"/>
          </w:tcPr>
          <w:p w14:paraId="50308DC3">
            <w:pPr>
              <w:spacing w:line="360" w:lineRule="auto"/>
              <w:jc w:val="center"/>
              <w:rPr>
                <w:rFonts w:ascii="宋体" w:hAnsi="宋体" w:eastAsia="宋体" w:cs="宋体"/>
                <w:sz w:val="24"/>
                <w:szCs w:val="24"/>
              </w:rPr>
            </w:pPr>
            <w:r>
              <w:rPr>
                <w:rFonts w:hint="eastAsia" w:ascii="宋体" w:hAnsi="宋体" w:eastAsia="宋体" w:cs="宋体"/>
                <w:sz w:val="24"/>
                <w:szCs w:val="24"/>
              </w:rPr>
              <w:t>投标截止时间</w:t>
            </w:r>
          </w:p>
        </w:tc>
        <w:tc>
          <w:tcPr>
            <w:tcW w:w="3631" w:type="pct"/>
            <w:tcBorders>
              <w:top w:val="single" w:color="000000" w:sz="4" w:space="0"/>
              <w:left w:val="single" w:color="000000" w:sz="4" w:space="0"/>
              <w:bottom w:val="single" w:color="000000" w:sz="4" w:space="0"/>
              <w:right w:val="single" w:color="000000" w:sz="4" w:space="0"/>
            </w:tcBorders>
            <w:vAlign w:val="center"/>
          </w:tcPr>
          <w:p w14:paraId="0025DE3A">
            <w:pPr>
              <w:spacing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lang w:eastAsia="zh-CN"/>
              </w:rPr>
              <w:t>日9时00分（北京时间）</w:t>
            </w:r>
          </w:p>
          <w:p w14:paraId="689E3A54">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注：全面实行在线“不见面”开标，投标人远程在线解密投标文件，不再到开标现场，投标人开标前应仔细阅读《“不见面”开标注意事项及操作流程》。</w:t>
            </w:r>
          </w:p>
        </w:tc>
      </w:tr>
      <w:tr w14:paraId="572616F8">
        <w:tblPrEx>
          <w:tblCellMar>
            <w:top w:w="0" w:type="dxa"/>
            <w:left w:w="0" w:type="dxa"/>
            <w:bottom w:w="0" w:type="dxa"/>
            <w:right w:w="0" w:type="dxa"/>
          </w:tblCellMar>
        </w:tblPrEx>
        <w:trPr>
          <w:trHeight w:val="9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593B3E59">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20</w:t>
            </w:r>
          </w:p>
        </w:tc>
        <w:tc>
          <w:tcPr>
            <w:tcW w:w="834" w:type="pct"/>
            <w:tcBorders>
              <w:top w:val="single" w:color="000000" w:sz="4" w:space="0"/>
              <w:left w:val="single" w:color="000000" w:sz="4" w:space="0"/>
              <w:bottom w:val="single" w:color="000000" w:sz="4" w:space="0"/>
              <w:right w:val="single" w:color="000000" w:sz="4" w:space="0"/>
            </w:tcBorders>
            <w:vAlign w:val="center"/>
          </w:tcPr>
          <w:p w14:paraId="6A63BEDB">
            <w:pPr>
              <w:spacing w:line="360" w:lineRule="auto"/>
              <w:jc w:val="center"/>
              <w:rPr>
                <w:rFonts w:ascii="宋体" w:hAnsi="宋体" w:eastAsia="宋体" w:cs="宋体"/>
                <w:sz w:val="24"/>
                <w:szCs w:val="24"/>
              </w:rPr>
            </w:pPr>
            <w:r>
              <w:rPr>
                <w:rFonts w:hint="eastAsia" w:ascii="宋体" w:hAnsi="宋体" w:eastAsia="宋体" w:cs="宋体"/>
                <w:sz w:val="24"/>
                <w:szCs w:val="24"/>
              </w:rPr>
              <w:t>投标文件电子版</w:t>
            </w:r>
          </w:p>
        </w:tc>
        <w:tc>
          <w:tcPr>
            <w:tcW w:w="3631" w:type="pct"/>
            <w:tcBorders>
              <w:top w:val="single" w:color="000000" w:sz="4" w:space="0"/>
              <w:left w:val="single" w:color="000000" w:sz="4" w:space="0"/>
              <w:bottom w:val="single" w:color="000000" w:sz="4" w:space="0"/>
              <w:right w:val="single" w:color="000000" w:sz="4" w:space="0"/>
            </w:tcBorders>
            <w:vAlign w:val="center"/>
          </w:tcPr>
          <w:p w14:paraId="1570EDB3">
            <w:pPr>
              <w:tabs>
                <w:tab w:val="left" w:pos="1519"/>
              </w:tabs>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加密版投标文件1份（.file格式），并按规定进行上传。</w:t>
            </w:r>
          </w:p>
        </w:tc>
      </w:tr>
      <w:tr w14:paraId="2AB2BD50">
        <w:tblPrEx>
          <w:tblCellMar>
            <w:top w:w="0" w:type="dxa"/>
            <w:left w:w="0" w:type="dxa"/>
            <w:bottom w:w="0" w:type="dxa"/>
            <w:right w:w="0" w:type="dxa"/>
          </w:tblCellMar>
        </w:tblPrEx>
        <w:trPr>
          <w:trHeight w:val="47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2E8D669">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21</w:t>
            </w:r>
          </w:p>
        </w:tc>
        <w:tc>
          <w:tcPr>
            <w:tcW w:w="834" w:type="pct"/>
            <w:tcBorders>
              <w:top w:val="single" w:color="000000" w:sz="4" w:space="0"/>
              <w:left w:val="single" w:color="000000" w:sz="4" w:space="0"/>
              <w:bottom w:val="single" w:color="000000" w:sz="4" w:space="0"/>
              <w:right w:val="single" w:color="000000" w:sz="4" w:space="0"/>
            </w:tcBorders>
            <w:vAlign w:val="center"/>
          </w:tcPr>
          <w:p w14:paraId="28D92B78">
            <w:pPr>
              <w:spacing w:line="360" w:lineRule="auto"/>
              <w:jc w:val="center"/>
              <w:rPr>
                <w:rFonts w:ascii="宋体" w:hAnsi="宋体" w:eastAsia="宋体" w:cs="宋体"/>
                <w:sz w:val="24"/>
                <w:szCs w:val="24"/>
              </w:rPr>
            </w:pPr>
            <w:r>
              <w:rPr>
                <w:rFonts w:hint="eastAsia" w:ascii="宋体" w:hAnsi="宋体" w:eastAsia="宋体" w:cs="宋体"/>
                <w:sz w:val="24"/>
                <w:szCs w:val="24"/>
              </w:rPr>
              <w:t>投标有效期</w:t>
            </w:r>
          </w:p>
        </w:tc>
        <w:tc>
          <w:tcPr>
            <w:tcW w:w="3631" w:type="pct"/>
            <w:tcBorders>
              <w:top w:val="single" w:color="000000" w:sz="4" w:space="0"/>
              <w:left w:val="single" w:color="000000" w:sz="4" w:space="0"/>
              <w:bottom w:val="single" w:color="000000" w:sz="4" w:space="0"/>
              <w:right w:val="single" w:color="000000" w:sz="4" w:space="0"/>
            </w:tcBorders>
            <w:vAlign w:val="center"/>
          </w:tcPr>
          <w:p w14:paraId="0D364684">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投标截止之日起60个日历天</w:t>
            </w:r>
          </w:p>
        </w:tc>
      </w:tr>
      <w:tr w14:paraId="6A6749C3">
        <w:tblPrEx>
          <w:tblCellMar>
            <w:top w:w="0" w:type="dxa"/>
            <w:left w:w="0" w:type="dxa"/>
            <w:bottom w:w="0" w:type="dxa"/>
            <w:right w:w="0" w:type="dxa"/>
          </w:tblCellMar>
        </w:tblPrEx>
        <w:trPr>
          <w:trHeight w:val="477" w:hRule="atLeast"/>
          <w:jc w:val="center"/>
        </w:trPr>
        <w:tc>
          <w:tcPr>
            <w:tcW w:w="534" w:type="pct"/>
            <w:vMerge w:val="restart"/>
            <w:tcBorders>
              <w:top w:val="single" w:color="000000" w:sz="4" w:space="0"/>
              <w:left w:val="single" w:color="000000" w:sz="4" w:space="0"/>
              <w:right w:val="single" w:color="000000" w:sz="4" w:space="0"/>
            </w:tcBorders>
            <w:vAlign w:val="center"/>
          </w:tcPr>
          <w:p w14:paraId="482AE3DF">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22</w:t>
            </w:r>
          </w:p>
        </w:tc>
        <w:tc>
          <w:tcPr>
            <w:tcW w:w="834" w:type="pct"/>
            <w:tcBorders>
              <w:top w:val="single" w:color="000000" w:sz="4" w:space="0"/>
              <w:left w:val="single" w:color="000000" w:sz="4" w:space="0"/>
              <w:bottom w:val="single" w:color="000000" w:sz="4" w:space="0"/>
              <w:right w:val="single" w:color="000000" w:sz="4" w:space="0"/>
            </w:tcBorders>
          </w:tcPr>
          <w:p w14:paraId="06AB5ECA">
            <w:pPr>
              <w:spacing w:line="360" w:lineRule="auto"/>
              <w:jc w:val="center"/>
              <w:rPr>
                <w:rFonts w:ascii="宋体" w:hAnsi="宋体" w:eastAsia="宋体" w:cs="宋体"/>
                <w:sz w:val="24"/>
                <w:szCs w:val="24"/>
              </w:rPr>
            </w:pPr>
            <w:r>
              <w:rPr>
                <w:rFonts w:hint="eastAsia" w:ascii="宋体" w:hAnsi="宋体" w:eastAsia="宋体" w:cs="宋体"/>
                <w:sz w:val="24"/>
                <w:szCs w:val="24"/>
              </w:rPr>
              <w:t>招标文件费用</w:t>
            </w:r>
          </w:p>
        </w:tc>
        <w:tc>
          <w:tcPr>
            <w:tcW w:w="3631" w:type="pct"/>
            <w:tcBorders>
              <w:top w:val="single" w:color="000000" w:sz="4" w:space="0"/>
              <w:left w:val="single" w:color="000000" w:sz="4" w:space="0"/>
              <w:bottom w:val="single" w:color="000000" w:sz="4" w:space="0"/>
              <w:right w:val="single" w:color="000000" w:sz="4" w:space="0"/>
            </w:tcBorders>
          </w:tcPr>
          <w:p w14:paraId="512B030C">
            <w:pPr>
              <w:spacing w:line="360" w:lineRule="auto"/>
              <w:rPr>
                <w:rFonts w:ascii="宋体" w:hAnsi="宋体" w:eastAsia="宋体" w:cs="宋体"/>
                <w:sz w:val="24"/>
                <w:szCs w:val="24"/>
              </w:rPr>
            </w:pPr>
            <w:r>
              <w:rPr>
                <w:rFonts w:hint="eastAsia" w:ascii="宋体" w:hAnsi="宋体" w:eastAsia="宋体" w:cs="宋体"/>
                <w:sz w:val="24"/>
                <w:szCs w:val="24"/>
              </w:rPr>
              <w:t>不收取</w:t>
            </w:r>
          </w:p>
        </w:tc>
      </w:tr>
      <w:tr w14:paraId="607DF4D6">
        <w:tblPrEx>
          <w:tblCellMar>
            <w:top w:w="0" w:type="dxa"/>
            <w:left w:w="0" w:type="dxa"/>
            <w:bottom w:w="0" w:type="dxa"/>
            <w:right w:w="0" w:type="dxa"/>
          </w:tblCellMar>
        </w:tblPrEx>
        <w:trPr>
          <w:trHeight w:val="349" w:hRule="atLeast"/>
          <w:jc w:val="center"/>
        </w:trPr>
        <w:tc>
          <w:tcPr>
            <w:tcW w:w="534" w:type="pct"/>
            <w:vMerge w:val="continue"/>
            <w:tcBorders>
              <w:left w:val="single" w:color="000000" w:sz="4" w:space="0"/>
              <w:right w:val="single" w:color="000000" w:sz="4" w:space="0"/>
            </w:tcBorders>
            <w:vAlign w:val="center"/>
          </w:tcPr>
          <w:p w14:paraId="2E106077">
            <w:pPr>
              <w:spacing w:line="360" w:lineRule="auto"/>
              <w:jc w:val="center"/>
              <w:rPr>
                <w:rFonts w:ascii="宋体" w:hAnsi="宋体" w:eastAsia="宋体" w:cs="宋体"/>
                <w:sz w:val="24"/>
                <w:szCs w:val="24"/>
                <w:lang w:eastAsia="zh-CN"/>
              </w:rPr>
            </w:pPr>
          </w:p>
        </w:tc>
        <w:tc>
          <w:tcPr>
            <w:tcW w:w="834" w:type="pct"/>
            <w:tcBorders>
              <w:top w:val="single" w:color="000000" w:sz="4" w:space="0"/>
              <w:left w:val="single" w:color="000000" w:sz="4" w:space="0"/>
              <w:bottom w:val="single" w:color="000000" w:sz="4" w:space="0"/>
              <w:right w:val="single" w:color="000000" w:sz="4" w:space="0"/>
            </w:tcBorders>
          </w:tcPr>
          <w:p w14:paraId="3C84B3C2">
            <w:pPr>
              <w:spacing w:line="360" w:lineRule="auto"/>
              <w:jc w:val="center"/>
              <w:rPr>
                <w:rFonts w:ascii="宋体" w:hAnsi="宋体" w:eastAsia="宋体" w:cs="宋体"/>
                <w:sz w:val="24"/>
                <w:szCs w:val="24"/>
              </w:rPr>
            </w:pPr>
            <w:r>
              <w:rPr>
                <w:rFonts w:hint="eastAsia" w:ascii="宋体" w:hAnsi="宋体" w:eastAsia="宋体" w:cs="宋体"/>
                <w:sz w:val="24"/>
                <w:szCs w:val="24"/>
              </w:rPr>
              <w:t>投标保证金</w:t>
            </w:r>
          </w:p>
        </w:tc>
        <w:tc>
          <w:tcPr>
            <w:tcW w:w="3631" w:type="pct"/>
            <w:tcBorders>
              <w:top w:val="single" w:color="000000" w:sz="4" w:space="0"/>
              <w:left w:val="single" w:color="000000" w:sz="4" w:space="0"/>
              <w:bottom w:val="single" w:color="000000" w:sz="4" w:space="0"/>
              <w:right w:val="single" w:color="000000" w:sz="4" w:space="0"/>
            </w:tcBorders>
          </w:tcPr>
          <w:p w14:paraId="16294177">
            <w:pPr>
              <w:spacing w:line="360" w:lineRule="auto"/>
              <w:rPr>
                <w:rFonts w:ascii="宋体" w:hAnsi="宋体" w:eastAsia="宋体" w:cs="宋体"/>
                <w:sz w:val="24"/>
                <w:szCs w:val="24"/>
              </w:rPr>
            </w:pPr>
            <w:r>
              <w:rPr>
                <w:rFonts w:hint="eastAsia" w:ascii="宋体" w:hAnsi="宋体" w:eastAsia="宋体" w:cs="宋体"/>
                <w:sz w:val="24"/>
                <w:szCs w:val="24"/>
              </w:rPr>
              <w:t>不收取</w:t>
            </w:r>
          </w:p>
        </w:tc>
      </w:tr>
      <w:tr w14:paraId="60283B68">
        <w:tblPrEx>
          <w:tblCellMar>
            <w:top w:w="0" w:type="dxa"/>
            <w:left w:w="0" w:type="dxa"/>
            <w:bottom w:w="0" w:type="dxa"/>
            <w:right w:w="0" w:type="dxa"/>
          </w:tblCellMar>
        </w:tblPrEx>
        <w:trPr>
          <w:trHeight w:val="349" w:hRule="atLeast"/>
          <w:jc w:val="center"/>
        </w:trPr>
        <w:tc>
          <w:tcPr>
            <w:tcW w:w="534" w:type="pct"/>
            <w:vMerge w:val="continue"/>
            <w:tcBorders>
              <w:left w:val="single" w:color="000000" w:sz="4" w:space="0"/>
              <w:right w:val="single" w:color="000000" w:sz="4" w:space="0"/>
            </w:tcBorders>
            <w:vAlign w:val="center"/>
          </w:tcPr>
          <w:p w14:paraId="3C2AC549">
            <w:pPr>
              <w:spacing w:line="360" w:lineRule="auto"/>
              <w:jc w:val="center"/>
              <w:rPr>
                <w:rFonts w:ascii="宋体" w:hAnsi="宋体" w:eastAsia="宋体" w:cs="宋体"/>
                <w:sz w:val="24"/>
                <w:szCs w:val="24"/>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56BBD591">
            <w:pPr>
              <w:spacing w:line="360" w:lineRule="auto"/>
              <w:jc w:val="center"/>
              <w:rPr>
                <w:rFonts w:ascii="宋体" w:hAnsi="宋体" w:eastAsia="宋体" w:cs="宋体"/>
                <w:sz w:val="24"/>
                <w:szCs w:val="24"/>
              </w:rPr>
            </w:pPr>
            <w:r>
              <w:rPr>
                <w:rFonts w:hint="eastAsia" w:ascii="宋体" w:hAnsi="宋体" w:eastAsia="宋体" w:cs="宋体"/>
                <w:sz w:val="24"/>
                <w:szCs w:val="24"/>
              </w:rPr>
              <w:t>履约保证金</w:t>
            </w:r>
          </w:p>
        </w:tc>
        <w:tc>
          <w:tcPr>
            <w:tcW w:w="3631" w:type="pct"/>
            <w:tcBorders>
              <w:top w:val="single" w:color="000000" w:sz="4" w:space="0"/>
              <w:left w:val="single" w:color="000000" w:sz="4" w:space="0"/>
              <w:bottom w:val="single" w:color="000000" w:sz="4" w:space="0"/>
              <w:right w:val="single" w:color="000000" w:sz="4" w:space="0"/>
            </w:tcBorders>
          </w:tcPr>
          <w:p w14:paraId="0F377A5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不收取</w:t>
            </w:r>
          </w:p>
        </w:tc>
      </w:tr>
      <w:tr w14:paraId="1B0143B3">
        <w:tblPrEx>
          <w:tblCellMar>
            <w:top w:w="0" w:type="dxa"/>
            <w:left w:w="0" w:type="dxa"/>
            <w:bottom w:w="0" w:type="dxa"/>
            <w:right w:w="0" w:type="dxa"/>
          </w:tblCellMar>
        </w:tblPrEx>
        <w:trPr>
          <w:trHeight w:val="47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6F62A67E">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23</w:t>
            </w:r>
          </w:p>
        </w:tc>
        <w:tc>
          <w:tcPr>
            <w:tcW w:w="834" w:type="pct"/>
            <w:tcBorders>
              <w:top w:val="single" w:color="000000" w:sz="4" w:space="0"/>
              <w:left w:val="single" w:color="000000" w:sz="4" w:space="0"/>
              <w:bottom w:val="single" w:color="000000" w:sz="4" w:space="0"/>
              <w:right w:val="single" w:color="000000" w:sz="4" w:space="0"/>
            </w:tcBorders>
            <w:vAlign w:val="center"/>
          </w:tcPr>
          <w:p w14:paraId="359F63D3">
            <w:pPr>
              <w:spacing w:line="360" w:lineRule="auto"/>
              <w:jc w:val="center"/>
              <w:rPr>
                <w:rFonts w:ascii="宋体" w:hAnsi="宋体" w:eastAsia="宋体" w:cs="宋体"/>
                <w:sz w:val="24"/>
                <w:szCs w:val="24"/>
              </w:rPr>
            </w:pPr>
            <w:r>
              <w:rPr>
                <w:rFonts w:hint="eastAsia" w:ascii="宋体" w:hAnsi="宋体" w:eastAsia="宋体" w:cs="宋体"/>
                <w:sz w:val="24"/>
                <w:szCs w:val="24"/>
              </w:rPr>
              <w:t>签字或盖章</w:t>
            </w:r>
          </w:p>
          <w:p w14:paraId="65245CEA">
            <w:pPr>
              <w:spacing w:line="360" w:lineRule="auto"/>
              <w:jc w:val="center"/>
              <w:rPr>
                <w:rFonts w:ascii="宋体" w:hAnsi="宋体" w:eastAsia="宋体" w:cs="宋体"/>
                <w:sz w:val="24"/>
                <w:szCs w:val="24"/>
              </w:rPr>
            </w:pPr>
            <w:r>
              <w:rPr>
                <w:rFonts w:hint="eastAsia" w:ascii="宋体" w:hAnsi="宋体" w:eastAsia="宋体" w:cs="宋体"/>
                <w:sz w:val="24"/>
                <w:szCs w:val="24"/>
              </w:rPr>
              <w:t>要求</w:t>
            </w:r>
          </w:p>
        </w:tc>
        <w:tc>
          <w:tcPr>
            <w:tcW w:w="3631" w:type="pct"/>
            <w:tcBorders>
              <w:top w:val="single" w:color="000000" w:sz="4" w:space="0"/>
              <w:left w:val="single" w:color="000000" w:sz="4" w:space="0"/>
              <w:bottom w:val="single" w:color="000000" w:sz="4" w:space="0"/>
              <w:right w:val="single" w:color="000000" w:sz="4" w:space="0"/>
            </w:tcBorders>
            <w:vAlign w:val="center"/>
          </w:tcPr>
          <w:p w14:paraId="3BD215DB">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投标文件应按招标文件要求加盖单位公章、签字、盖章。投标文件中的各类证书及企业相关证明资料复印件须加盖投标人电子印章。若被授权代理人签字或盖章的，投标文件中应附法定代表人有效授权委托书。</w:t>
            </w:r>
          </w:p>
        </w:tc>
      </w:tr>
      <w:tr w14:paraId="28929FF3">
        <w:tblPrEx>
          <w:tblCellMar>
            <w:top w:w="0" w:type="dxa"/>
            <w:left w:w="0" w:type="dxa"/>
            <w:bottom w:w="0" w:type="dxa"/>
            <w:right w:w="0" w:type="dxa"/>
          </w:tblCellMar>
        </w:tblPrEx>
        <w:trPr>
          <w:trHeight w:val="47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1C38F26A">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24</w:t>
            </w:r>
          </w:p>
        </w:tc>
        <w:tc>
          <w:tcPr>
            <w:tcW w:w="834" w:type="pct"/>
            <w:tcBorders>
              <w:top w:val="single" w:color="000000" w:sz="4" w:space="0"/>
              <w:left w:val="single" w:color="000000" w:sz="4" w:space="0"/>
              <w:bottom w:val="single" w:color="000000" w:sz="4" w:space="0"/>
              <w:right w:val="single" w:color="000000" w:sz="4" w:space="0"/>
            </w:tcBorders>
            <w:vAlign w:val="center"/>
          </w:tcPr>
          <w:p w14:paraId="7769FD1D">
            <w:pPr>
              <w:spacing w:line="360" w:lineRule="auto"/>
              <w:jc w:val="center"/>
              <w:rPr>
                <w:rFonts w:ascii="宋体" w:hAnsi="宋体" w:eastAsia="宋体" w:cs="宋体"/>
                <w:sz w:val="24"/>
                <w:szCs w:val="24"/>
              </w:rPr>
            </w:pPr>
            <w:r>
              <w:rPr>
                <w:rFonts w:hint="eastAsia" w:ascii="宋体" w:hAnsi="宋体" w:eastAsia="宋体" w:cs="宋体"/>
                <w:sz w:val="24"/>
                <w:szCs w:val="24"/>
              </w:rPr>
              <w:t>递交投标文件地点</w:t>
            </w:r>
          </w:p>
        </w:tc>
        <w:tc>
          <w:tcPr>
            <w:tcW w:w="3631" w:type="pct"/>
            <w:tcBorders>
              <w:top w:val="single" w:color="000000" w:sz="4" w:space="0"/>
              <w:left w:val="single" w:color="000000" w:sz="4" w:space="0"/>
              <w:bottom w:val="single" w:color="000000" w:sz="4" w:space="0"/>
              <w:right w:val="single" w:color="000000" w:sz="4" w:space="0"/>
            </w:tcBorders>
            <w:vAlign w:val="center"/>
          </w:tcPr>
          <w:p w14:paraId="01CC135D">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平顶山市公共资源交易中心电子交易系统</w:t>
            </w:r>
          </w:p>
        </w:tc>
      </w:tr>
      <w:tr w14:paraId="48FD7C55">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AD66236">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25</w:t>
            </w:r>
          </w:p>
        </w:tc>
        <w:tc>
          <w:tcPr>
            <w:tcW w:w="834" w:type="pct"/>
            <w:tcBorders>
              <w:top w:val="single" w:color="000000" w:sz="4" w:space="0"/>
              <w:left w:val="single" w:color="000000" w:sz="4" w:space="0"/>
              <w:bottom w:val="single" w:color="000000" w:sz="4" w:space="0"/>
              <w:right w:val="single" w:color="000000" w:sz="4" w:space="0"/>
            </w:tcBorders>
            <w:vAlign w:val="center"/>
          </w:tcPr>
          <w:p w14:paraId="2B0504FB">
            <w:pPr>
              <w:spacing w:line="360" w:lineRule="auto"/>
              <w:jc w:val="center"/>
              <w:rPr>
                <w:rFonts w:ascii="宋体" w:hAnsi="宋体" w:eastAsia="宋体" w:cs="宋体"/>
                <w:sz w:val="24"/>
                <w:szCs w:val="24"/>
              </w:rPr>
            </w:pPr>
            <w:r>
              <w:rPr>
                <w:rFonts w:hint="eastAsia" w:ascii="宋体" w:hAnsi="宋体" w:eastAsia="宋体" w:cs="宋体"/>
                <w:sz w:val="24"/>
                <w:szCs w:val="24"/>
              </w:rPr>
              <w:t>开标时间和</w:t>
            </w:r>
          </w:p>
          <w:p w14:paraId="17D1FCC8">
            <w:pPr>
              <w:spacing w:line="360" w:lineRule="auto"/>
              <w:jc w:val="center"/>
              <w:rPr>
                <w:rFonts w:ascii="宋体" w:hAnsi="宋体" w:eastAsia="宋体" w:cs="宋体"/>
                <w:sz w:val="24"/>
                <w:szCs w:val="24"/>
              </w:rPr>
            </w:pPr>
            <w:r>
              <w:rPr>
                <w:rFonts w:hint="eastAsia" w:ascii="宋体" w:hAnsi="宋体" w:eastAsia="宋体" w:cs="宋体"/>
                <w:sz w:val="24"/>
                <w:szCs w:val="24"/>
              </w:rPr>
              <w:t>地点</w:t>
            </w:r>
          </w:p>
        </w:tc>
        <w:tc>
          <w:tcPr>
            <w:tcW w:w="3631" w:type="pct"/>
            <w:tcBorders>
              <w:top w:val="single" w:color="000000" w:sz="4" w:space="0"/>
              <w:left w:val="single" w:color="000000" w:sz="4" w:space="0"/>
              <w:bottom w:val="single" w:color="000000" w:sz="4" w:space="0"/>
              <w:right w:val="single" w:color="000000" w:sz="4" w:space="0"/>
            </w:tcBorders>
            <w:vAlign w:val="center"/>
          </w:tcPr>
          <w:p w14:paraId="76BF6E5E">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开标时间：同投标截止时间；</w:t>
            </w:r>
          </w:p>
          <w:p w14:paraId="25F4F2E8">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开标地点：平顶山市公共资源交易中心</w:t>
            </w:r>
          </w:p>
        </w:tc>
      </w:tr>
      <w:tr w14:paraId="480B4754">
        <w:tblPrEx>
          <w:tblCellMar>
            <w:top w:w="0" w:type="dxa"/>
            <w:left w:w="0" w:type="dxa"/>
            <w:bottom w:w="0" w:type="dxa"/>
            <w:right w:w="0" w:type="dxa"/>
          </w:tblCellMar>
        </w:tblPrEx>
        <w:trPr>
          <w:trHeight w:val="53"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52A050D8">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26</w:t>
            </w:r>
          </w:p>
        </w:tc>
        <w:tc>
          <w:tcPr>
            <w:tcW w:w="834" w:type="pct"/>
            <w:tcBorders>
              <w:top w:val="single" w:color="000000" w:sz="4" w:space="0"/>
              <w:left w:val="single" w:color="000000" w:sz="4" w:space="0"/>
              <w:bottom w:val="single" w:color="000000" w:sz="4" w:space="0"/>
              <w:right w:val="single" w:color="000000" w:sz="4" w:space="0"/>
            </w:tcBorders>
            <w:vAlign w:val="center"/>
          </w:tcPr>
          <w:p w14:paraId="7B56FBEB">
            <w:pPr>
              <w:spacing w:line="360" w:lineRule="auto"/>
              <w:jc w:val="center"/>
              <w:rPr>
                <w:rFonts w:ascii="宋体" w:hAnsi="宋体" w:eastAsia="宋体" w:cs="宋体"/>
                <w:sz w:val="24"/>
                <w:szCs w:val="24"/>
              </w:rPr>
            </w:pPr>
            <w:r>
              <w:rPr>
                <w:rFonts w:hint="eastAsia" w:ascii="宋体" w:hAnsi="宋体" w:eastAsia="宋体" w:cs="宋体"/>
                <w:sz w:val="24"/>
                <w:szCs w:val="24"/>
              </w:rPr>
              <w:t>开标程序</w:t>
            </w:r>
          </w:p>
        </w:tc>
        <w:tc>
          <w:tcPr>
            <w:tcW w:w="3631" w:type="pct"/>
            <w:tcBorders>
              <w:top w:val="single" w:color="000000" w:sz="4" w:space="0"/>
              <w:left w:val="single" w:color="000000" w:sz="4" w:space="0"/>
              <w:bottom w:val="single" w:color="000000" w:sz="4" w:space="0"/>
              <w:right w:val="single" w:color="000000" w:sz="4" w:space="0"/>
            </w:tcBorders>
            <w:vAlign w:val="center"/>
          </w:tcPr>
          <w:p w14:paraId="49F76E04">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（1）电子化投标文件采用双重加密方式。开标时，首先由投标人使用CA证书，在规定时间内对其电子化投标文件进行首次解密，投标人解密完成后，再由中介服务机构使用CA证书对投标文件进行再次解密。</w:t>
            </w:r>
          </w:p>
          <w:p w14:paraId="58F28C98">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（2）待所有投标人投标文件解密完成后，由中介服务机构操作，对所有已解密投标文件进行唱标。</w:t>
            </w:r>
          </w:p>
        </w:tc>
      </w:tr>
      <w:tr w14:paraId="7A60FC69">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BDBF31E">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27</w:t>
            </w:r>
          </w:p>
        </w:tc>
        <w:tc>
          <w:tcPr>
            <w:tcW w:w="834" w:type="pct"/>
            <w:tcBorders>
              <w:top w:val="single" w:color="000000" w:sz="4" w:space="0"/>
              <w:left w:val="single" w:color="000000" w:sz="4" w:space="0"/>
              <w:bottom w:val="single" w:color="000000" w:sz="4" w:space="0"/>
              <w:right w:val="single" w:color="000000" w:sz="4" w:space="0"/>
            </w:tcBorders>
            <w:vAlign w:val="center"/>
          </w:tcPr>
          <w:p w14:paraId="2A325CC6">
            <w:pPr>
              <w:spacing w:line="360" w:lineRule="auto"/>
              <w:jc w:val="center"/>
              <w:rPr>
                <w:rFonts w:ascii="宋体" w:hAnsi="宋体" w:eastAsia="宋体" w:cs="宋体"/>
                <w:sz w:val="24"/>
                <w:szCs w:val="24"/>
              </w:rPr>
            </w:pPr>
            <w:r>
              <w:rPr>
                <w:rFonts w:hint="eastAsia" w:ascii="宋体" w:hAnsi="宋体" w:eastAsia="宋体" w:cs="宋体"/>
                <w:sz w:val="24"/>
                <w:szCs w:val="24"/>
              </w:rPr>
              <w:t>评标委员会的组建</w:t>
            </w:r>
          </w:p>
        </w:tc>
        <w:tc>
          <w:tcPr>
            <w:tcW w:w="3631" w:type="pct"/>
            <w:tcBorders>
              <w:top w:val="single" w:color="000000" w:sz="4" w:space="0"/>
              <w:left w:val="single" w:color="000000" w:sz="4" w:space="0"/>
              <w:bottom w:val="single" w:color="000000" w:sz="4" w:space="0"/>
              <w:right w:val="single" w:color="000000" w:sz="4" w:space="0"/>
            </w:tcBorders>
            <w:vAlign w:val="center"/>
          </w:tcPr>
          <w:p w14:paraId="685F43C4">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评标委员会构成：由采购人代表及相关技术、经济专家7人及以上组成。</w:t>
            </w:r>
          </w:p>
          <w:p w14:paraId="071742BF">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评标专家确定方式:由招标人从专家库中随机抽取。</w:t>
            </w:r>
          </w:p>
        </w:tc>
      </w:tr>
      <w:tr w14:paraId="6F9FAF38">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64416E1D">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28</w:t>
            </w:r>
          </w:p>
        </w:tc>
        <w:tc>
          <w:tcPr>
            <w:tcW w:w="834" w:type="pct"/>
            <w:tcBorders>
              <w:top w:val="single" w:color="000000" w:sz="4" w:space="0"/>
              <w:left w:val="single" w:color="000000" w:sz="4" w:space="0"/>
              <w:bottom w:val="single" w:color="000000" w:sz="4" w:space="0"/>
              <w:right w:val="single" w:color="000000" w:sz="4" w:space="0"/>
            </w:tcBorders>
            <w:vAlign w:val="center"/>
          </w:tcPr>
          <w:p w14:paraId="164DC4B0">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是否授权评标委员会确定中标人</w:t>
            </w:r>
          </w:p>
        </w:tc>
        <w:tc>
          <w:tcPr>
            <w:tcW w:w="3631" w:type="pct"/>
            <w:tcBorders>
              <w:top w:val="single" w:color="000000" w:sz="4" w:space="0"/>
              <w:left w:val="single" w:color="000000" w:sz="4" w:space="0"/>
              <w:bottom w:val="single" w:color="000000" w:sz="4" w:space="0"/>
              <w:right w:val="single" w:color="000000" w:sz="4" w:space="0"/>
            </w:tcBorders>
            <w:vAlign w:val="center"/>
          </w:tcPr>
          <w:p w14:paraId="26ADE899">
            <w:pPr>
              <w:spacing w:line="360" w:lineRule="auto"/>
              <w:rPr>
                <w:rFonts w:ascii="宋体" w:hAnsi="宋体" w:eastAsia="宋体" w:cs="宋体"/>
                <w:kern w:val="1"/>
                <w:sz w:val="24"/>
                <w:szCs w:val="24"/>
                <w:lang w:eastAsia="zh-CN"/>
              </w:rPr>
            </w:pPr>
            <w:bookmarkStart w:id="28" w:name="_Toc18765"/>
            <w:r>
              <w:rPr>
                <w:rFonts w:hint="eastAsia" w:ascii="宋体" w:hAnsi="宋体" w:eastAsia="宋体" w:cs="宋体"/>
                <w:sz w:val="24"/>
                <w:szCs w:val="24"/>
                <w:lang w:eastAsia="zh-CN"/>
              </w:rPr>
              <w:t>否，由评标委员会按投标人最后得分高低推荐前1-3名为中标候选人。若排名第一的中标候选人放弃中标或因不可抗力提出不能履行合同的，招标人可以重新招标或者确定排名第二的中标候选人为中标人。排名第二的中标候选人因前款规定的同样原因不能签订合同的，招标人可以重新招标或者确定排名第三的中标候选人为中标人。</w:t>
            </w:r>
            <w:r>
              <w:rPr>
                <w:rFonts w:hint="eastAsia" w:ascii="宋体" w:hAnsi="宋体" w:eastAsia="宋体" w:cs="宋体"/>
                <w:kern w:val="1"/>
                <w:sz w:val="24"/>
                <w:szCs w:val="24"/>
                <w:lang w:eastAsia="zh-CN"/>
              </w:rPr>
              <w:t>中标或者成交供应商拒绝与采购人签订合同的，采购人可以按照评审报告推荐的中标或者成交候选人名单排序，确定下一候选人为中标或者成交供应商，也可以重新开展政府采购活动。</w:t>
            </w:r>
            <w:bookmarkEnd w:id="28"/>
          </w:p>
        </w:tc>
      </w:tr>
      <w:tr w14:paraId="4DB113B1">
        <w:tblPrEx>
          <w:tblCellMar>
            <w:top w:w="0" w:type="dxa"/>
            <w:left w:w="0" w:type="dxa"/>
            <w:bottom w:w="0" w:type="dxa"/>
            <w:right w:w="0" w:type="dxa"/>
          </w:tblCellMar>
        </w:tblPrEx>
        <w:trPr>
          <w:trHeight w:val="431"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3974CEFE">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29</w:t>
            </w:r>
          </w:p>
        </w:tc>
        <w:tc>
          <w:tcPr>
            <w:tcW w:w="834" w:type="pct"/>
            <w:tcBorders>
              <w:top w:val="single" w:color="000000" w:sz="4" w:space="0"/>
              <w:left w:val="single" w:color="000000" w:sz="4" w:space="0"/>
              <w:bottom w:val="single" w:color="000000" w:sz="4" w:space="0"/>
              <w:right w:val="single" w:color="000000" w:sz="4" w:space="0"/>
            </w:tcBorders>
            <w:vAlign w:val="center"/>
          </w:tcPr>
          <w:p w14:paraId="6A5066C0">
            <w:pPr>
              <w:spacing w:line="360" w:lineRule="auto"/>
              <w:jc w:val="center"/>
              <w:rPr>
                <w:rFonts w:ascii="宋体" w:hAnsi="宋体" w:eastAsia="宋体" w:cs="宋体"/>
                <w:sz w:val="24"/>
                <w:szCs w:val="24"/>
              </w:rPr>
            </w:pPr>
            <w:r>
              <w:rPr>
                <w:rFonts w:hint="eastAsia" w:ascii="宋体" w:hAnsi="宋体" w:eastAsia="宋体" w:cs="宋体"/>
                <w:sz w:val="24"/>
                <w:szCs w:val="24"/>
              </w:rPr>
              <w:t>接收质疑函的方式</w:t>
            </w:r>
          </w:p>
        </w:tc>
        <w:tc>
          <w:tcPr>
            <w:tcW w:w="3631" w:type="pct"/>
            <w:tcBorders>
              <w:top w:val="single" w:color="000000" w:sz="4" w:space="0"/>
              <w:left w:val="single" w:color="000000" w:sz="4" w:space="0"/>
              <w:bottom w:val="single" w:color="000000" w:sz="4" w:space="0"/>
              <w:right w:val="single" w:color="000000" w:sz="4" w:space="0"/>
            </w:tcBorders>
            <w:vAlign w:val="center"/>
          </w:tcPr>
          <w:p w14:paraId="100A0AAF">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质疑函应在平顶山市公共资源交易系统中接收，质疑函的格式和内容应当符合相关法律法规的要求。</w:t>
            </w:r>
          </w:p>
        </w:tc>
      </w:tr>
      <w:tr w14:paraId="75C40A33">
        <w:tblPrEx>
          <w:tblCellMar>
            <w:top w:w="0" w:type="dxa"/>
            <w:left w:w="0" w:type="dxa"/>
            <w:bottom w:w="0" w:type="dxa"/>
            <w:right w:w="0" w:type="dxa"/>
          </w:tblCellMar>
        </w:tblPrEx>
        <w:trPr>
          <w:trHeight w:val="691" w:hRule="atLeast"/>
          <w:jc w:val="center"/>
        </w:trPr>
        <w:tc>
          <w:tcPr>
            <w:tcW w:w="534" w:type="pct"/>
            <w:tcBorders>
              <w:top w:val="single" w:color="000000" w:sz="4" w:space="0"/>
              <w:left w:val="single" w:color="000000" w:sz="4" w:space="0"/>
              <w:right w:val="single" w:color="000000" w:sz="4" w:space="0"/>
            </w:tcBorders>
            <w:vAlign w:val="center"/>
          </w:tcPr>
          <w:p w14:paraId="18E67775">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30</w:t>
            </w:r>
          </w:p>
        </w:tc>
        <w:tc>
          <w:tcPr>
            <w:tcW w:w="834" w:type="pct"/>
            <w:tcBorders>
              <w:top w:val="single" w:color="000000" w:sz="4" w:space="0"/>
              <w:left w:val="single" w:color="000000" w:sz="4" w:space="0"/>
              <w:right w:val="single" w:color="000000" w:sz="4" w:space="0"/>
            </w:tcBorders>
            <w:vAlign w:val="center"/>
          </w:tcPr>
          <w:p w14:paraId="112B4F05">
            <w:pPr>
              <w:spacing w:line="360" w:lineRule="auto"/>
              <w:jc w:val="center"/>
              <w:rPr>
                <w:rFonts w:ascii="宋体" w:hAnsi="宋体" w:eastAsia="宋体" w:cs="宋体"/>
                <w:sz w:val="24"/>
                <w:szCs w:val="24"/>
              </w:rPr>
            </w:pPr>
            <w:r>
              <w:rPr>
                <w:rFonts w:hint="eastAsia" w:ascii="宋体" w:hAnsi="宋体" w:eastAsia="宋体" w:cs="宋体"/>
                <w:sz w:val="24"/>
                <w:szCs w:val="24"/>
              </w:rPr>
              <w:t>最高投标限价</w:t>
            </w:r>
          </w:p>
        </w:tc>
        <w:tc>
          <w:tcPr>
            <w:tcW w:w="3631" w:type="pct"/>
            <w:tcBorders>
              <w:top w:val="single" w:color="000000" w:sz="4" w:space="0"/>
              <w:left w:val="single" w:color="000000" w:sz="4" w:space="0"/>
              <w:right w:val="single" w:color="000000" w:sz="4" w:space="0"/>
            </w:tcBorders>
            <w:vAlign w:val="center"/>
          </w:tcPr>
          <w:p w14:paraId="37BE0B86">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第一标段最高限价：</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0000000元，第二标段最高限价：</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0000000元，第三标段最高限价：</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0000000元，第四标段最高限价：</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0000000元，第五标段最高限价：</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0000000元。</w:t>
            </w:r>
          </w:p>
        </w:tc>
      </w:tr>
      <w:tr w14:paraId="76243778">
        <w:tblPrEx>
          <w:tblCellMar>
            <w:top w:w="0" w:type="dxa"/>
            <w:left w:w="0" w:type="dxa"/>
            <w:bottom w:w="0" w:type="dxa"/>
            <w:right w:w="0" w:type="dxa"/>
          </w:tblCellMar>
        </w:tblPrEx>
        <w:trPr>
          <w:trHeight w:val="36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404E977">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31</w:t>
            </w:r>
          </w:p>
        </w:tc>
        <w:tc>
          <w:tcPr>
            <w:tcW w:w="834" w:type="pct"/>
            <w:tcBorders>
              <w:top w:val="single" w:color="000000" w:sz="4" w:space="0"/>
              <w:left w:val="single" w:color="000000" w:sz="4" w:space="0"/>
              <w:bottom w:val="single" w:color="000000" w:sz="4" w:space="0"/>
              <w:right w:val="single" w:color="000000" w:sz="4" w:space="0"/>
            </w:tcBorders>
            <w:vAlign w:val="center"/>
          </w:tcPr>
          <w:p w14:paraId="02FFCA1A">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招标代理</w:t>
            </w:r>
          </w:p>
          <w:p w14:paraId="7FC47A8C">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服务费</w:t>
            </w:r>
          </w:p>
        </w:tc>
        <w:tc>
          <w:tcPr>
            <w:tcW w:w="3631" w:type="pct"/>
            <w:tcBorders>
              <w:top w:val="single" w:color="000000" w:sz="4" w:space="0"/>
              <w:left w:val="single" w:color="000000" w:sz="4" w:space="0"/>
              <w:bottom w:val="single" w:color="000000" w:sz="4" w:space="0"/>
              <w:right w:val="single" w:color="000000" w:sz="4" w:space="0"/>
            </w:tcBorders>
            <w:vAlign w:val="center"/>
          </w:tcPr>
          <w:p w14:paraId="412CE353">
            <w:pPr>
              <w:spacing w:before="50" w:after="50" w:line="360" w:lineRule="auto"/>
              <w:rPr>
                <w:rFonts w:ascii="宋体" w:hAnsi="宋体" w:eastAsia="宋体" w:cs="宋体"/>
                <w:sz w:val="24"/>
                <w:szCs w:val="24"/>
                <w:highlight w:val="none"/>
                <w:lang w:eastAsia="zh-CN"/>
              </w:rPr>
            </w:pPr>
            <w:bookmarkStart w:id="29" w:name="_Toc15565"/>
            <w:r>
              <w:rPr>
                <w:rFonts w:hint="eastAsia" w:asciiTheme="minorEastAsia" w:hAnsiTheme="minorEastAsia" w:eastAsiaTheme="minorEastAsia" w:cstheme="minorEastAsia"/>
                <w:sz w:val="24"/>
                <w:szCs w:val="24"/>
                <w:highlight w:val="none"/>
                <w:lang w:eastAsia="zh-CN"/>
              </w:rPr>
              <w:t>本次招标代理服务费的收取标准执行河南省招标投标协会关于印发《河南省招标代理服务收费指导意见》</w:t>
            </w:r>
            <w:r>
              <w:rPr>
                <w:rFonts w:hint="eastAsia" w:ascii="宋体" w:hAnsi="宋体" w:eastAsia="宋体" w:cs="宋体"/>
                <w:sz w:val="24"/>
                <w:highlight w:val="none"/>
                <w:u w:val="none"/>
                <w:lang w:val="en-US" w:eastAsia="zh-CN"/>
              </w:rPr>
              <w:t>（豫招协[2023]002号）</w:t>
            </w:r>
            <w:r>
              <w:rPr>
                <w:rFonts w:hint="eastAsia" w:asciiTheme="minorEastAsia" w:hAnsiTheme="minorEastAsia" w:eastAsiaTheme="minorEastAsia" w:cstheme="minorEastAsia"/>
                <w:sz w:val="24"/>
                <w:szCs w:val="24"/>
                <w:highlight w:val="none"/>
                <w:lang w:eastAsia="zh-CN"/>
              </w:rPr>
              <w:t>的通知文件，由中标人支付招标代理服务费</w:t>
            </w:r>
            <w:bookmarkEnd w:id="29"/>
            <w:r>
              <w:rPr>
                <w:rFonts w:hint="eastAsia" w:asciiTheme="minorEastAsia" w:hAnsiTheme="minorEastAsia" w:eastAsiaTheme="minorEastAsia" w:cstheme="minorEastAsia"/>
                <w:sz w:val="24"/>
                <w:szCs w:val="24"/>
                <w:highlight w:val="none"/>
                <w:lang w:eastAsia="zh-CN"/>
              </w:rPr>
              <w:t>，招标代理服务费为</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5.5万元/标段。</w:t>
            </w:r>
          </w:p>
        </w:tc>
      </w:tr>
      <w:tr w14:paraId="691491A2">
        <w:tblPrEx>
          <w:tblCellMar>
            <w:top w:w="0" w:type="dxa"/>
            <w:left w:w="0" w:type="dxa"/>
            <w:bottom w:w="0" w:type="dxa"/>
            <w:right w:w="0" w:type="dxa"/>
          </w:tblCellMar>
        </w:tblPrEx>
        <w:trPr>
          <w:trHeight w:val="274"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0CAE926C">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32</w:t>
            </w:r>
          </w:p>
        </w:tc>
        <w:tc>
          <w:tcPr>
            <w:tcW w:w="834" w:type="pct"/>
            <w:tcBorders>
              <w:top w:val="single" w:color="000000" w:sz="4" w:space="0"/>
              <w:left w:val="single" w:color="000000" w:sz="4" w:space="0"/>
              <w:bottom w:val="single" w:color="000000" w:sz="4" w:space="0"/>
              <w:right w:val="single" w:color="000000" w:sz="4" w:space="0"/>
            </w:tcBorders>
            <w:vAlign w:val="center"/>
          </w:tcPr>
          <w:p w14:paraId="187D679F">
            <w:pPr>
              <w:spacing w:line="360" w:lineRule="auto"/>
              <w:jc w:val="center"/>
              <w:rPr>
                <w:rFonts w:ascii="宋体" w:hAnsi="宋体" w:eastAsia="宋体" w:cs="宋体"/>
                <w:b/>
                <w:sz w:val="24"/>
                <w:szCs w:val="24"/>
                <w:lang w:eastAsia="zh-CN"/>
              </w:rPr>
            </w:pPr>
            <w:r>
              <w:rPr>
                <w:rFonts w:hint="eastAsia" w:ascii="宋体" w:hAnsi="宋体" w:eastAsia="宋体" w:cs="宋体"/>
                <w:b/>
                <w:sz w:val="24"/>
                <w:szCs w:val="24"/>
                <w:lang w:eastAsia="zh-CN"/>
              </w:rPr>
              <w:t>政采领域优化营商环境相关政策</w:t>
            </w:r>
          </w:p>
          <w:p w14:paraId="43F849FF">
            <w:pPr>
              <w:spacing w:line="360" w:lineRule="auto"/>
              <w:jc w:val="center"/>
              <w:rPr>
                <w:rFonts w:ascii="宋体" w:hAnsi="宋体" w:eastAsia="宋体" w:cs="宋体"/>
                <w:sz w:val="24"/>
                <w:szCs w:val="24"/>
                <w:lang w:eastAsia="zh-CN"/>
              </w:rPr>
            </w:pPr>
          </w:p>
        </w:tc>
        <w:tc>
          <w:tcPr>
            <w:tcW w:w="3631" w:type="pct"/>
            <w:tcBorders>
              <w:top w:val="single" w:color="000000" w:sz="4" w:space="0"/>
              <w:left w:val="single" w:color="000000" w:sz="4" w:space="0"/>
              <w:bottom w:val="single" w:color="000000" w:sz="4" w:space="0"/>
              <w:right w:val="single" w:color="000000" w:sz="4" w:space="0"/>
            </w:tcBorders>
            <w:vAlign w:val="center"/>
          </w:tcPr>
          <w:p w14:paraId="0B740CF2">
            <w:pPr>
              <w:spacing w:line="360" w:lineRule="auto"/>
              <w:rPr>
                <w:rFonts w:ascii="宋体" w:hAnsi="宋体" w:eastAsia="宋体" w:cs="宋体"/>
                <w:b/>
                <w:sz w:val="24"/>
                <w:szCs w:val="24"/>
                <w:lang w:eastAsia="zh-CN"/>
              </w:rPr>
            </w:pPr>
            <w:r>
              <w:rPr>
                <w:rFonts w:hint="eastAsia" w:ascii="宋体" w:hAnsi="宋体" w:eastAsia="宋体" w:cs="宋体"/>
                <w:b/>
                <w:sz w:val="24"/>
                <w:szCs w:val="24"/>
                <w:lang w:eastAsia="zh-CN"/>
              </w:rPr>
              <w:t>一、落实四个“一日办”精神：</w:t>
            </w:r>
          </w:p>
          <w:p w14:paraId="0CEA6ADA">
            <w:pPr>
              <w:spacing w:line="360" w:lineRule="auto"/>
              <w:ind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按照《平顶山市财政局关于压减政府采购各环节时限进一步优化政府采购营商环境的通知》（平财购〔2021〕34号）通知，落实四个“一日办”精神：</w:t>
            </w:r>
          </w:p>
          <w:p w14:paraId="3F1790C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（1）在评审结束后1日内确定采购结果，同时对中标单位发出中标或成交通知书，并在网上进行公告；</w:t>
            </w:r>
          </w:p>
          <w:p w14:paraId="5AB3F8AE">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（2）中标或成交通知书发出后，1日内与中标或成交供应商签订合同，合同签订当日完成合同备案工作；</w:t>
            </w:r>
          </w:p>
          <w:p w14:paraId="27EE9DBD">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（3）政府采购项目供应商履约完成后，采购人应在供应商提出验收申请1个工作日内完成验收，同时在平顶山市政府采购网发布验收结果公告；</w:t>
            </w:r>
          </w:p>
          <w:p w14:paraId="12C2D370">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（4）验收合格具备付款条件的项目，采购人要在1个工作日内按照合同约定支付项目资金。</w:t>
            </w:r>
          </w:p>
          <w:p w14:paraId="7CCAD00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注：签合同需法定代表人携带本人身份证（如为授权委托人，则携带法定代表人授权委托书及本人身份证）、单位公章、合同纸质版本一式六份及合同电子版。</w:t>
            </w:r>
          </w:p>
          <w:p w14:paraId="510BB574">
            <w:pPr>
              <w:spacing w:line="360" w:lineRule="auto"/>
              <w:rPr>
                <w:rFonts w:ascii="宋体" w:hAnsi="宋体" w:eastAsia="宋体" w:cs="宋体"/>
                <w:b/>
                <w:sz w:val="24"/>
                <w:szCs w:val="24"/>
                <w:lang w:eastAsia="zh-CN"/>
              </w:rPr>
            </w:pPr>
            <w:r>
              <w:rPr>
                <w:rFonts w:hint="eastAsia" w:ascii="宋体" w:hAnsi="宋体" w:eastAsia="宋体" w:cs="宋体"/>
                <w:b/>
                <w:sz w:val="24"/>
                <w:szCs w:val="24"/>
                <w:lang w:eastAsia="zh-CN"/>
              </w:rPr>
              <w:t>二、维护企业在政府采购活动中的知情权</w:t>
            </w:r>
          </w:p>
          <w:p w14:paraId="052C19BA">
            <w:pPr>
              <w:spacing w:line="360" w:lineRule="auto"/>
              <w:ind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6C686EBF">
            <w:pPr>
              <w:spacing w:line="360" w:lineRule="auto"/>
              <w:rPr>
                <w:rFonts w:ascii="宋体" w:hAnsi="宋体" w:eastAsia="宋体" w:cs="宋体"/>
                <w:b/>
                <w:sz w:val="24"/>
                <w:szCs w:val="24"/>
                <w:lang w:eastAsia="zh-CN"/>
              </w:rPr>
            </w:pPr>
            <w:r>
              <w:rPr>
                <w:rFonts w:hint="eastAsia" w:ascii="宋体" w:hAnsi="宋体" w:eastAsia="宋体" w:cs="宋体"/>
                <w:b/>
                <w:sz w:val="24"/>
                <w:szCs w:val="24"/>
                <w:lang w:eastAsia="zh-CN"/>
              </w:rPr>
              <w:t>三、提供中小企业声明函格式</w:t>
            </w:r>
          </w:p>
          <w:p w14:paraId="0CE5A6AC">
            <w:pPr>
              <w:pStyle w:val="19"/>
              <w:spacing w:line="360" w:lineRule="auto"/>
              <w:ind w:firstLine="240"/>
              <w:rPr>
                <w:rFonts w:ascii="宋体" w:hAnsi="宋体"/>
                <w:sz w:val="24"/>
                <w:szCs w:val="24"/>
                <w:lang w:eastAsia="zh-CN"/>
              </w:rPr>
            </w:pPr>
            <w:r>
              <w:rPr>
                <w:rFonts w:hint="eastAsia" w:ascii="宋体" w:hAnsi="宋体"/>
                <w:sz w:val="24"/>
                <w:szCs w:val="24"/>
                <w:lang w:eastAsia="zh-CN"/>
              </w:rPr>
              <w:t>在采购文件中，采购代理机构应按照财政部、工信部印发的《政府采购促进中小企业发展管理办法》的通知精神（财库〔2020〕46号）提供中小企业声明函格式。</w:t>
            </w:r>
          </w:p>
          <w:p w14:paraId="5A34572A">
            <w:pPr>
              <w:pStyle w:val="19"/>
              <w:spacing w:line="360" w:lineRule="auto"/>
              <w:ind w:left="105" w:leftChars="50" w:firstLine="240"/>
              <w:rPr>
                <w:rFonts w:ascii="宋体" w:hAnsi="宋体"/>
                <w:sz w:val="24"/>
                <w:szCs w:val="24"/>
                <w:lang w:eastAsia="zh-CN"/>
              </w:rPr>
            </w:pPr>
            <w:r>
              <w:rPr>
                <w:rFonts w:hint="eastAsia" w:ascii="宋体" w:hAnsi="宋体"/>
                <w:sz w:val="24"/>
                <w:szCs w:val="24"/>
                <w:lang w:eastAsia="zh-CN"/>
              </w:rPr>
              <w:t>根据《政府采购促进中小企业发展管理办法》（财库〔2020〕46号）第四条：在政府采购活动中，供应商提供的货物、工程或者服务符合下列情形的，享受本办法规定的中小企业扶持政策：</w:t>
            </w:r>
          </w:p>
          <w:p w14:paraId="63C025F5">
            <w:pPr>
              <w:pStyle w:val="19"/>
              <w:spacing w:line="360" w:lineRule="auto"/>
              <w:ind w:left="105" w:leftChars="50" w:firstLine="240"/>
              <w:rPr>
                <w:rFonts w:ascii="宋体" w:hAnsi="宋体"/>
                <w:sz w:val="24"/>
                <w:szCs w:val="24"/>
                <w:lang w:eastAsia="zh-CN"/>
              </w:rPr>
            </w:pPr>
            <w:r>
              <w:rPr>
                <w:rFonts w:hint="eastAsia" w:ascii="宋体" w:hAnsi="宋体"/>
                <w:sz w:val="24"/>
                <w:szCs w:val="24"/>
                <w:lang w:eastAsia="zh-CN"/>
              </w:rPr>
              <w:t>（一）在货物采购项目中，货物由中小企业制造，即货物由中小企业生产且使用该中小企业商号或者注册商标；</w:t>
            </w:r>
          </w:p>
          <w:p w14:paraId="754283E9">
            <w:pPr>
              <w:pStyle w:val="19"/>
              <w:spacing w:line="360" w:lineRule="auto"/>
              <w:ind w:left="105" w:leftChars="50" w:firstLine="240"/>
              <w:rPr>
                <w:rFonts w:ascii="宋体" w:hAnsi="宋体"/>
                <w:sz w:val="24"/>
                <w:szCs w:val="24"/>
                <w:lang w:eastAsia="zh-CN"/>
              </w:rPr>
            </w:pPr>
            <w:r>
              <w:rPr>
                <w:rFonts w:hint="eastAsia" w:ascii="宋体" w:hAnsi="宋体"/>
                <w:sz w:val="24"/>
                <w:szCs w:val="24"/>
                <w:lang w:eastAsia="zh-CN"/>
              </w:rPr>
              <w:t>（二）在工程采购项目中，工程由中小企业承建，即工程施工单位为中小企业；</w:t>
            </w:r>
          </w:p>
          <w:p w14:paraId="796281B1">
            <w:pPr>
              <w:pStyle w:val="19"/>
              <w:spacing w:line="360" w:lineRule="auto"/>
              <w:ind w:left="105" w:leftChars="50" w:firstLine="240"/>
              <w:rPr>
                <w:rFonts w:ascii="宋体" w:hAnsi="宋体"/>
                <w:sz w:val="24"/>
                <w:szCs w:val="24"/>
                <w:lang w:eastAsia="zh-CN"/>
              </w:rPr>
            </w:pPr>
            <w:r>
              <w:rPr>
                <w:rFonts w:hint="eastAsia" w:ascii="宋体" w:hAnsi="宋体"/>
                <w:sz w:val="24"/>
                <w:szCs w:val="24"/>
                <w:lang w:eastAsia="zh-CN"/>
              </w:rPr>
              <w:t>（三）在服务采购项目中，服务由中小企业承接，即提供服务的人员为中小企业依照《中华人民共和国劳动合同法》订立劳动合同的从业人员。</w:t>
            </w:r>
          </w:p>
          <w:p w14:paraId="5EF00E9B">
            <w:pPr>
              <w:pStyle w:val="19"/>
              <w:spacing w:line="360" w:lineRule="auto"/>
              <w:ind w:left="0" w:leftChars="0" w:firstLine="480" w:firstLineChars="200"/>
              <w:rPr>
                <w:rFonts w:ascii="宋体" w:hAnsi="宋体"/>
                <w:sz w:val="24"/>
                <w:szCs w:val="24"/>
                <w:lang w:eastAsia="zh-CN"/>
              </w:rPr>
            </w:pPr>
            <w:r>
              <w:rPr>
                <w:rFonts w:hint="eastAsia" w:ascii="宋体" w:hAnsi="宋体"/>
                <w:sz w:val="24"/>
                <w:szCs w:val="24"/>
                <w:lang w:eastAsia="zh-CN"/>
              </w:rPr>
              <w:t>在货物采购项目中，供应商提供的货物既有中小企业制造货物，也有大型企业制造货物的，不享受本办法规定的中小企业扶持政策。</w:t>
            </w:r>
          </w:p>
          <w:p w14:paraId="76CC8C63">
            <w:pPr>
              <w:pStyle w:val="19"/>
              <w:spacing w:line="360" w:lineRule="auto"/>
              <w:ind w:firstLine="480" w:firstLineChars="200"/>
              <w:rPr>
                <w:rFonts w:ascii="宋体" w:hAnsi="宋体"/>
                <w:sz w:val="24"/>
                <w:szCs w:val="24"/>
                <w:lang w:eastAsia="zh-CN"/>
              </w:rPr>
            </w:pPr>
            <w:r>
              <w:rPr>
                <w:rFonts w:hint="eastAsia" w:ascii="宋体" w:hAnsi="宋体"/>
                <w:sz w:val="24"/>
                <w:szCs w:val="24"/>
                <w:lang w:eastAsia="zh-CN"/>
              </w:rPr>
              <w:t>以联合体形式参加政府采购活动，联合体各方均为中小企业的，联合体视同中小企业。其中，联合体各方均为小微企业的，联合体视同小微企业。</w:t>
            </w:r>
          </w:p>
          <w:p w14:paraId="5A8D1C83">
            <w:pPr>
              <w:spacing w:line="360" w:lineRule="auto"/>
              <w:ind w:left="105" w:leftChars="50"/>
              <w:rPr>
                <w:rFonts w:ascii="宋体" w:hAnsi="宋体" w:eastAsia="宋体" w:cs="宋体"/>
                <w:b/>
                <w:sz w:val="24"/>
                <w:szCs w:val="24"/>
                <w:lang w:eastAsia="zh-CN"/>
              </w:rPr>
            </w:pPr>
            <w:r>
              <w:rPr>
                <w:rFonts w:hint="eastAsia" w:ascii="宋体" w:hAnsi="宋体" w:eastAsia="宋体" w:cs="宋体"/>
                <w:b/>
                <w:sz w:val="24"/>
                <w:szCs w:val="24"/>
                <w:lang w:eastAsia="zh-CN"/>
              </w:rPr>
              <w:t>四、推广政府采购合同融资</w:t>
            </w:r>
          </w:p>
          <w:p w14:paraId="7E590CD1">
            <w:pPr>
              <w:pStyle w:val="19"/>
              <w:spacing w:line="360" w:lineRule="auto"/>
              <w:ind w:left="105" w:leftChars="50" w:firstLine="240"/>
              <w:rPr>
                <w:rFonts w:ascii="宋体" w:hAnsi="宋体"/>
                <w:sz w:val="24"/>
                <w:szCs w:val="24"/>
                <w:lang w:eastAsia="zh-CN"/>
              </w:rPr>
            </w:pPr>
            <w:r>
              <w:rPr>
                <w:rFonts w:hint="eastAsia" w:ascii="宋体" w:hAnsi="宋体"/>
                <w:sz w:val="24"/>
                <w:szCs w:val="24"/>
                <w:lang w:eastAsia="zh-CN"/>
              </w:rPr>
              <w:t>要求采购人和代理机构将“政府采购合同融资告知函”写入招标文件，鼓励中标供应商凭借采购合同申请贷款，助力解决中小企业融资难、融资贵的问题。</w:t>
            </w:r>
          </w:p>
          <w:p w14:paraId="248B0667">
            <w:pPr>
              <w:spacing w:line="360" w:lineRule="auto"/>
              <w:ind w:left="105" w:leftChars="50"/>
              <w:rPr>
                <w:rFonts w:ascii="宋体" w:hAnsi="宋体" w:eastAsia="宋体" w:cs="宋体"/>
                <w:b/>
                <w:sz w:val="24"/>
                <w:szCs w:val="24"/>
                <w:lang w:eastAsia="zh-CN"/>
              </w:rPr>
            </w:pPr>
            <w:r>
              <w:rPr>
                <w:rFonts w:hint="eastAsia" w:ascii="宋体" w:hAnsi="宋体" w:eastAsia="宋体" w:cs="宋体"/>
                <w:b/>
                <w:sz w:val="24"/>
                <w:szCs w:val="24"/>
                <w:lang w:eastAsia="zh-CN"/>
              </w:rPr>
              <w:t>五、落实预留采购份额</w:t>
            </w:r>
          </w:p>
          <w:p w14:paraId="205DC305">
            <w:pPr>
              <w:pStyle w:val="19"/>
              <w:spacing w:line="360" w:lineRule="auto"/>
              <w:ind w:left="105" w:leftChars="50" w:firstLine="240"/>
              <w:rPr>
                <w:rFonts w:ascii="宋体" w:hAnsi="宋体"/>
                <w:sz w:val="24"/>
                <w:szCs w:val="24"/>
                <w:lang w:eastAsia="zh-CN"/>
              </w:rPr>
            </w:pPr>
            <w:r>
              <w:rPr>
                <w:rFonts w:hint="eastAsia" w:ascii="宋体" w:hAnsi="宋体"/>
                <w:sz w:val="24"/>
                <w:szCs w:val="24"/>
                <w:lang w:eastAsia="zh-CN"/>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33AE93D1">
            <w:pPr>
              <w:spacing w:line="360" w:lineRule="auto"/>
              <w:ind w:left="105" w:leftChars="50"/>
              <w:rPr>
                <w:rFonts w:ascii="宋体" w:hAnsi="宋体" w:eastAsia="宋体" w:cs="宋体"/>
                <w:b/>
                <w:sz w:val="24"/>
                <w:szCs w:val="24"/>
                <w:lang w:eastAsia="zh-CN"/>
              </w:rPr>
            </w:pPr>
            <w:r>
              <w:rPr>
                <w:rFonts w:hint="eastAsia" w:ascii="宋体" w:hAnsi="宋体" w:eastAsia="宋体" w:cs="宋体"/>
                <w:b/>
                <w:sz w:val="24"/>
                <w:szCs w:val="24"/>
                <w:lang w:eastAsia="zh-CN"/>
              </w:rPr>
              <w:t>六、落实价格评审优惠政策</w:t>
            </w:r>
          </w:p>
          <w:p w14:paraId="7337D63F">
            <w:pPr>
              <w:spacing w:line="360" w:lineRule="auto"/>
              <w:rPr>
                <w:rFonts w:ascii="宋体" w:hAnsi="宋体" w:eastAsia="宋体" w:cs="宋体"/>
                <w:sz w:val="24"/>
                <w:szCs w:val="24"/>
                <w:lang w:eastAsia="zh-CN"/>
              </w:rPr>
            </w:pPr>
            <w:bookmarkStart w:id="30" w:name="_Toc19508"/>
            <w:r>
              <w:rPr>
                <w:rFonts w:hint="eastAsia" w:ascii="宋体" w:hAnsi="宋体" w:eastAsia="宋体" w:cs="宋体"/>
                <w:sz w:val="24"/>
                <w:szCs w:val="24"/>
                <w:lang w:eastAsia="zh-CN"/>
              </w:rPr>
              <w:t>1.根据《政府采购促进中小企业发展管理办法》（财库〔2020〕46号）、财政部、司法部关于政府采购支持监狱企业发展有关问题的通知（财库[2014]68号）的要求、财政部民政部中国残疾人联合会《关于促进残疾人就业政府采购政策的通知》（财库〔2017〕141号）、《平顶山市财政局关于进一步加大政府采购支持中小企业力度的通知》（平财购〔2022〕8号）的规定：采购人在货物和服务采购项目中，对于经主管预算单位统筹后未预留份额专门面向中小企业的采购项目，以及预留份额项目中的非预留部分采购包，给予小微企业20%的价格扣除优惠。大中型企业与小微企业组成联合体或者大中型企业向小微企业分包的（联合协议或者分包意向协议约定小微企业的合同份额应占合同总金额的30%以上），给予联合体或大中型企业6%的价格扣除优惠，用扣除后的价格参加评审。</w:t>
            </w:r>
            <w:bookmarkEnd w:id="30"/>
          </w:p>
          <w:p w14:paraId="7AF62AE6">
            <w:pPr>
              <w:spacing w:line="360" w:lineRule="auto"/>
              <w:rPr>
                <w:rFonts w:ascii="宋体" w:hAnsi="宋体" w:eastAsia="宋体" w:cs="宋体"/>
                <w:sz w:val="24"/>
                <w:szCs w:val="24"/>
                <w:lang w:eastAsia="zh-CN"/>
              </w:rPr>
            </w:pPr>
            <w:bookmarkStart w:id="31" w:name="_Toc21436"/>
            <w:r>
              <w:rPr>
                <w:rFonts w:hint="eastAsia" w:ascii="宋体" w:hAnsi="宋体" w:eastAsia="宋体" w:cs="宋体"/>
                <w:sz w:val="24"/>
                <w:szCs w:val="24"/>
                <w:lang w:eastAsia="zh-CN"/>
              </w:rPr>
              <w:t>2.中小企业参加政府采购活动，应当出具《中小企业声明函》，否则不得享受相关中小企业扶持政策。</w:t>
            </w:r>
            <w:bookmarkEnd w:id="31"/>
          </w:p>
          <w:p w14:paraId="1A37B5E2">
            <w:pPr>
              <w:spacing w:line="360" w:lineRule="auto"/>
              <w:rPr>
                <w:rFonts w:ascii="宋体" w:hAnsi="宋体" w:eastAsia="宋体" w:cs="宋体"/>
                <w:sz w:val="24"/>
                <w:szCs w:val="24"/>
                <w:lang w:eastAsia="zh-CN"/>
              </w:rPr>
            </w:pPr>
            <w:bookmarkStart w:id="32" w:name="_Toc410"/>
            <w:bookmarkStart w:id="33" w:name="_Toc536542536"/>
            <w:bookmarkStart w:id="34" w:name="_Toc536541974"/>
            <w:r>
              <w:rPr>
                <w:rFonts w:hint="eastAsia" w:ascii="宋体" w:hAnsi="宋体" w:eastAsia="宋体" w:cs="宋体"/>
                <w:sz w:val="24"/>
                <w:szCs w:val="24"/>
                <w:lang w:eastAsia="zh-CN"/>
              </w:rPr>
              <w:t>3.残疾人福利性单位在参加采购活动时，应当提供（财库〔2017〕141号）文件规定的《残疾人福利性单位声明函》，并对声明的真实性负责。</w:t>
            </w:r>
            <w:bookmarkEnd w:id="32"/>
            <w:bookmarkEnd w:id="33"/>
            <w:bookmarkEnd w:id="34"/>
          </w:p>
          <w:p w14:paraId="4EB4E7F7">
            <w:pPr>
              <w:spacing w:line="360" w:lineRule="auto"/>
              <w:rPr>
                <w:rFonts w:ascii="宋体" w:hAnsi="宋体" w:eastAsia="宋体" w:cs="宋体"/>
                <w:sz w:val="24"/>
                <w:szCs w:val="24"/>
                <w:lang w:eastAsia="zh-CN"/>
              </w:rPr>
            </w:pPr>
            <w:bookmarkStart w:id="35" w:name="_Toc536541975"/>
            <w:bookmarkStart w:id="36" w:name="_Toc14731"/>
            <w:bookmarkStart w:id="37" w:name="_Toc536542537"/>
            <w:r>
              <w:rPr>
                <w:rFonts w:hint="eastAsia" w:ascii="宋体" w:hAnsi="宋体" w:eastAsia="宋体" w:cs="宋体"/>
                <w:sz w:val="24"/>
                <w:szCs w:val="24"/>
                <w:lang w:eastAsia="zh-CN"/>
              </w:rPr>
              <w:t>4.监狱企业参加政府采购活动时，应当提供由省级以上监狱管理局、戒毒管理局（含新疆生产建设兵团）出具的属于监狱企业的证明文件。</w:t>
            </w:r>
            <w:bookmarkEnd w:id="35"/>
            <w:bookmarkEnd w:id="36"/>
            <w:bookmarkEnd w:id="37"/>
          </w:p>
          <w:p w14:paraId="270718A0">
            <w:pPr>
              <w:pStyle w:val="19"/>
              <w:spacing w:line="360" w:lineRule="auto"/>
              <w:ind w:firstLine="0" w:firstLineChars="0"/>
              <w:rPr>
                <w:rFonts w:ascii="宋体" w:hAnsi="宋体"/>
                <w:sz w:val="24"/>
                <w:szCs w:val="24"/>
                <w:lang w:eastAsia="zh-CN"/>
              </w:rPr>
            </w:pPr>
            <w:r>
              <w:rPr>
                <w:rFonts w:hint="eastAsia" w:ascii="宋体" w:hAnsi="宋体"/>
                <w:sz w:val="24"/>
                <w:szCs w:val="24"/>
                <w:lang w:eastAsia="zh-CN"/>
              </w:rPr>
              <w:t>5.残疾人福利性单位、监狱企业视为中小企业。</w:t>
            </w:r>
          </w:p>
        </w:tc>
      </w:tr>
      <w:tr w14:paraId="68F115E6">
        <w:tblPrEx>
          <w:tblCellMar>
            <w:top w:w="0" w:type="dxa"/>
            <w:left w:w="0" w:type="dxa"/>
            <w:bottom w:w="0" w:type="dxa"/>
            <w:right w:w="0" w:type="dxa"/>
          </w:tblCellMar>
        </w:tblPrEx>
        <w:trPr>
          <w:trHeight w:val="274"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0E000F1A">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33</w:t>
            </w:r>
          </w:p>
        </w:tc>
        <w:tc>
          <w:tcPr>
            <w:tcW w:w="834" w:type="pct"/>
            <w:tcBorders>
              <w:top w:val="single" w:color="000000" w:sz="4" w:space="0"/>
              <w:left w:val="single" w:color="000000" w:sz="4" w:space="0"/>
              <w:bottom w:val="single" w:color="000000" w:sz="4" w:space="0"/>
              <w:right w:val="single" w:color="000000" w:sz="4" w:space="0"/>
            </w:tcBorders>
            <w:vAlign w:val="center"/>
          </w:tcPr>
          <w:p w14:paraId="720F0CC6">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河南省政府</w:t>
            </w:r>
          </w:p>
          <w:p w14:paraId="0A4180A4">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采购合同融资</w:t>
            </w:r>
          </w:p>
          <w:p w14:paraId="5FD871DB">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政策告知函</w:t>
            </w:r>
          </w:p>
        </w:tc>
        <w:tc>
          <w:tcPr>
            <w:tcW w:w="3631" w:type="pct"/>
            <w:tcBorders>
              <w:top w:val="single" w:color="000000" w:sz="4" w:space="0"/>
              <w:left w:val="single" w:color="000000" w:sz="4" w:space="0"/>
              <w:bottom w:val="single" w:color="000000" w:sz="4" w:space="0"/>
              <w:right w:val="single" w:color="000000" w:sz="4" w:space="0"/>
            </w:tcBorders>
            <w:vAlign w:val="center"/>
          </w:tcPr>
          <w:p w14:paraId="08D030DC">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河南省政府采购合同融资政策告知函</w:t>
            </w:r>
          </w:p>
          <w:p w14:paraId="05DB47C1">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各供应商:</w:t>
            </w:r>
          </w:p>
          <w:p w14:paraId="18BEBB8B">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欢迎贵公司参与河南省政府采购活动!</w:t>
            </w:r>
          </w:p>
          <w:p w14:paraId="5F3B5AD2">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贷款渠道和提供贷款的金融机构，可在河南省政府采购网"河南省政府采购合同融资平台"查询联系。</w:t>
            </w:r>
          </w:p>
        </w:tc>
      </w:tr>
      <w:tr w14:paraId="7E0775BB">
        <w:tblPrEx>
          <w:tblCellMar>
            <w:top w:w="0" w:type="dxa"/>
            <w:left w:w="0" w:type="dxa"/>
            <w:bottom w:w="0" w:type="dxa"/>
            <w:right w:w="0" w:type="dxa"/>
          </w:tblCellMar>
        </w:tblPrEx>
        <w:trPr>
          <w:trHeight w:val="274"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5D828B39">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34</w:t>
            </w:r>
          </w:p>
        </w:tc>
        <w:tc>
          <w:tcPr>
            <w:tcW w:w="834" w:type="pct"/>
            <w:tcBorders>
              <w:top w:val="single" w:color="000000" w:sz="4" w:space="0"/>
              <w:left w:val="single" w:color="000000" w:sz="4" w:space="0"/>
              <w:bottom w:val="single" w:color="000000" w:sz="4" w:space="0"/>
              <w:right w:val="single" w:color="000000" w:sz="4" w:space="0"/>
            </w:tcBorders>
            <w:vAlign w:val="center"/>
          </w:tcPr>
          <w:p w14:paraId="2439980E">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四方信用评价</w:t>
            </w:r>
          </w:p>
        </w:tc>
        <w:tc>
          <w:tcPr>
            <w:tcW w:w="3631" w:type="pct"/>
            <w:tcBorders>
              <w:top w:val="single" w:color="000000" w:sz="4" w:space="0"/>
              <w:left w:val="single" w:color="000000" w:sz="4" w:space="0"/>
              <w:bottom w:val="single" w:color="000000" w:sz="4" w:space="0"/>
              <w:right w:val="single" w:color="000000" w:sz="4" w:space="0"/>
            </w:tcBorders>
          </w:tcPr>
          <w:p w14:paraId="589EAFAC">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《平顶山市政府采购项目已实行四方信用评价功能，各方主体请登录“ 平顶山市政府采购网 ”按照评价要求进行客观公正的评价。</w:t>
            </w:r>
          </w:p>
          <w:p w14:paraId="0A6DCB1D">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1.采购人评价指标</w:t>
            </w:r>
          </w:p>
          <w:p w14:paraId="6C066133">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评价主体:中标、成交供应商。</w:t>
            </w:r>
          </w:p>
          <w:p w14:paraId="5EEE5F0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评价节点:合同履约完成后。</w:t>
            </w:r>
          </w:p>
          <w:p w14:paraId="59DC2D72">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2.对中标、成交供应商评价指标评价主体为:采购人。</w:t>
            </w:r>
          </w:p>
          <w:p w14:paraId="2E69494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评价节点:合同履约完成后。</w:t>
            </w:r>
          </w:p>
          <w:p w14:paraId="50487593">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3.评审专家评价指标</w:t>
            </w:r>
          </w:p>
          <w:p w14:paraId="4348C509">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评价主体为:采购人、代理机构。</w:t>
            </w:r>
          </w:p>
          <w:p w14:paraId="74A398E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评价节点:项目评审结束后。</w:t>
            </w:r>
          </w:p>
          <w:p w14:paraId="1EF77CCE">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4.代理机构评价指标</w:t>
            </w:r>
          </w:p>
          <w:p w14:paraId="642382DC">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评价主体为:采购人、评审专家、供应商。</w:t>
            </w:r>
          </w:p>
          <w:p w14:paraId="4619D345">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评价节点:项目评审结束后。</w:t>
            </w:r>
          </w:p>
        </w:tc>
      </w:tr>
      <w:tr w14:paraId="37393AEE">
        <w:tblPrEx>
          <w:tblCellMar>
            <w:top w:w="0" w:type="dxa"/>
            <w:left w:w="0" w:type="dxa"/>
            <w:bottom w:w="0" w:type="dxa"/>
            <w:right w:w="0" w:type="dxa"/>
          </w:tblCellMar>
        </w:tblPrEx>
        <w:trPr>
          <w:trHeight w:val="274"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087EA137">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35</w:t>
            </w:r>
          </w:p>
        </w:tc>
        <w:tc>
          <w:tcPr>
            <w:tcW w:w="834" w:type="pct"/>
            <w:tcBorders>
              <w:top w:val="single" w:color="000000" w:sz="4" w:space="0"/>
              <w:left w:val="single" w:color="000000" w:sz="4" w:space="0"/>
              <w:bottom w:val="single" w:color="000000" w:sz="4" w:space="0"/>
              <w:right w:val="single" w:color="000000" w:sz="4" w:space="0"/>
            </w:tcBorders>
            <w:vAlign w:val="center"/>
          </w:tcPr>
          <w:tbl>
            <w:tblPr>
              <w:tblStyle w:val="21"/>
              <w:tblW w:w="0" w:type="auto"/>
              <w:tblInd w:w="0" w:type="dxa"/>
              <w:tblLayout w:type="autofit"/>
              <w:tblCellMar>
                <w:top w:w="0" w:type="dxa"/>
                <w:left w:w="108" w:type="dxa"/>
                <w:bottom w:w="0" w:type="dxa"/>
                <w:right w:w="108" w:type="dxa"/>
              </w:tblCellMar>
            </w:tblPr>
            <w:tblGrid>
              <w:gridCol w:w="1617"/>
            </w:tblGrid>
            <w:tr w14:paraId="2E793395">
              <w:tblPrEx>
                <w:tblCellMar>
                  <w:top w:w="0" w:type="dxa"/>
                  <w:left w:w="108" w:type="dxa"/>
                  <w:bottom w:w="0" w:type="dxa"/>
                  <w:right w:w="108" w:type="dxa"/>
                </w:tblCellMar>
              </w:tblPrEx>
              <w:trPr>
                <w:trHeight w:val="276" w:hRule="atLeast"/>
              </w:trPr>
              <w:tc>
                <w:tcPr>
                  <w:tcW w:w="0" w:type="auto"/>
                  <w:tcBorders>
                    <w:tl2br w:val="nil"/>
                    <w:tr2bl w:val="nil"/>
                  </w:tcBorders>
                </w:tcPr>
                <w:p w14:paraId="48D8DA21">
                  <w:pPr>
                    <w:jc w:val="center"/>
                    <w:rPr>
                      <w:rFonts w:ascii="宋体" w:hAnsi="宋体" w:eastAsia="宋体" w:cs="宋体"/>
                      <w:sz w:val="23"/>
                      <w:szCs w:val="24"/>
                      <w:lang w:eastAsia="zh-CN"/>
                    </w:rPr>
                  </w:pPr>
                  <w:r>
                    <w:rPr>
                      <w:rFonts w:hint="eastAsia" w:ascii="宋体" w:hAnsi="宋体" w:eastAsia="宋体" w:cs="宋体"/>
                      <w:sz w:val="24"/>
                      <w:szCs w:val="24"/>
                      <w:lang w:eastAsia="zh-CN"/>
                    </w:rPr>
                    <w:t>本项目对应的中小企业划分标准所属行业</w:t>
                  </w:r>
                </w:p>
              </w:tc>
            </w:tr>
          </w:tbl>
          <w:p w14:paraId="09992966">
            <w:pPr>
              <w:spacing w:line="360" w:lineRule="auto"/>
              <w:jc w:val="center"/>
              <w:rPr>
                <w:rFonts w:ascii="宋体" w:hAnsi="宋体" w:eastAsia="宋体" w:cs="宋体"/>
                <w:b/>
                <w:sz w:val="24"/>
                <w:szCs w:val="24"/>
                <w:lang w:eastAsia="zh-CN"/>
              </w:rPr>
            </w:pPr>
          </w:p>
        </w:tc>
        <w:tc>
          <w:tcPr>
            <w:tcW w:w="3631" w:type="pct"/>
            <w:tcBorders>
              <w:top w:val="single" w:color="000000" w:sz="4" w:space="0"/>
              <w:left w:val="single" w:color="000000" w:sz="4" w:space="0"/>
              <w:bottom w:val="single" w:color="000000" w:sz="4" w:space="0"/>
              <w:right w:val="single" w:color="000000" w:sz="4" w:space="0"/>
            </w:tcBorders>
            <w:vAlign w:val="center"/>
          </w:tcPr>
          <w:p w14:paraId="62F50CAE">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《中小企业划型标准规定》（工信部联企业〔2011〕300号）</w:t>
            </w:r>
          </w:p>
          <w:p w14:paraId="50BFDE2A">
            <w:pPr>
              <w:spacing w:line="360" w:lineRule="auto"/>
              <w:jc w:val="both"/>
              <w:rPr>
                <w:rFonts w:ascii="宋体" w:hAnsi="宋体" w:eastAsia="宋体" w:cs="宋体"/>
                <w:sz w:val="24"/>
                <w:szCs w:val="24"/>
                <w:u w:val="single"/>
              </w:rPr>
            </w:pPr>
            <w:r>
              <w:rPr>
                <w:rFonts w:hint="eastAsia" w:ascii="宋体" w:hAnsi="宋体" w:eastAsia="宋体" w:cs="宋体"/>
                <w:sz w:val="24"/>
                <w:szCs w:val="24"/>
                <w:lang w:eastAsia="zh-CN"/>
              </w:rPr>
              <w:t>批发</w:t>
            </w:r>
            <w:r>
              <w:rPr>
                <w:rFonts w:hint="eastAsia" w:ascii="宋体" w:hAnsi="宋体" w:eastAsia="宋体" w:cs="宋体"/>
                <w:sz w:val="24"/>
                <w:szCs w:val="24"/>
              </w:rPr>
              <w:t>业</w:t>
            </w:r>
          </w:p>
        </w:tc>
      </w:tr>
      <w:tr w14:paraId="16C7822E">
        <w:tblPrEx>
          <w:tblCellMar>
            <w:top w:w="0" w:type="dxa"/>
            <w:left w:w="0" w:type="dxa"/>
            <w:bottom w:w="0" w:type="dxa"/>
            <w:right w:w="0" w:type="dxa"/>
          </w:tblCellMar>
        </w:tblPrEx>
        <w:trPr>
          <w:trHeight w:val="274"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333B68DD">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36</w:t>
            </w:r>
          </w:p>
        </w:tc>
        <w:tc>
          <w:tcPr>
            <w:tcW w:w="834" w:type="pct"/>
            <w:tcBorders>
              <w:top w:val="single" w:color="000000" w:sz="4" w:space="0"/>
              <w:left w:val="single" w:color="000000" w:sz="4" w:space="0"/>
              <w:bottom w:val="single" w:color="000000" w:sz="4" w:space="0"/>
              <w:right w:val="single" w:color="000000" w:sz="4" w:space="0"/>
            </w:tcBorders>
            <w:vAlign w:val="center"/>
          </w:tcPr>
          <w:p w14:paraId="115DA848">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招标实质性要 求和条件</w:t>
            </w:r>
          </w:p>
        </w:tc>
        <w:tc>
          <w:tcPr>
            <w:tcW w:w="3631" w:type="pct"/>
            <w:tcBorders>
              <w:top w:val="single" w:color="000000" w:sz="4" w:space="0"/>
              <w:left w:val="single" w:color="000000" w:sz="4" w:space="0"/>
              <w:bottom w:val="single" w:color="000000" w:sz="4" w:space="0"/>
              <w:right w:val="single" w:color="000000" w:sz="4" w:space="0"/>
            </w:tcBorders>
            <w:vAlign w:val="center"/>
          </w:tcPr>
          <w:p w14:paraId="06193946">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一、供应方式</w:t>
            </w:r>
          </w:p>
          <w:p w14:paraId="22CD3EE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按照每人每天平均五元的午餐食材标准，根据不同季节，以时令新鲜蔬菜为主，由乙方提供全年不少于60个菜品的营养均衡的带量食谱，保证每餐二菜一汤一主食（一荤、一素、一主食、一汤）。以中心校为单位提前选定每周的食谱，生产及配送商根据学校选定的食谱对所需的各类食材进行采购，并进行定时、定量精准配送至各学校。米、面、油、干调类根据学校用量实行周配送，生鲜类每天配送。</w:t>
            </w:r>
          </w:p>
          <w:p w14:paraId="5F26BEB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2.乙方配送的生鲜类（蔬菜、肉、鸡蛋、水果等）原料，必须从源头种养殖一采购一运输一储存一粗加工一细加工都有安全控制措施，送到学校的肉、蔬菜等生鲜类为干净、安全卫生的半成品，学校在接收后可直接烹饪加工。所配送的食品原材料必须经过包装，食品包装必须具有保鲜防菌功能，达到食品安全存放相关要求，确保食品原材料质量安全无害，符合《食品安全法》等相关法律、法规的规定，达到国家相关要求。</w:t>
            </w:r>
          </w:p>
          <w:p w14:paraId="65B9BE8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3.生产及配送商必须具有食品安全检测检验能力，有自己的监测化验室及专业检测人员，所供食品必须留样且提供每批次的安全检测报告。</w:t>
            </w:r>
          </w:p>
          <w:p w14:paraId="06EB9464">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二、各类食品的采购要求</w:t>
            </w:r>
          </w:p>
          <w:p w14:paraId="4FC868B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所有配送食材品牌规格均由乙方提供，由甲方选定，乙方应保证食材的新鲜度，采购的食品原（辅）材料，鼓励在鲁山县境内优先采购，本地确实无法采购的品类，征得甲方同意后可以自行采购。</w:t>
            </w:r>
          </w:p>
          <w:p w14:paraId="665DDAF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1.小麦粉为专用馒头粉、特等一级粉，符合国家GB/T 1355-2021标准要求。</w:t>
            </w:r>
          </w:p>
          <w:p w14:paraId="6CEF4AE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2.大米符合GB/T 1354-2018标准要求标准，优质一级大米，合格证，并有质量检验报告。</w:t>
            </w:r>
          </w:p>
          <w:p w14:paraId="74B0929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3.食用油为非转基因一级大豆油（符合GB/T 1535-2017标准）、花生油（符合GB/T 1534-2017标准）、菜籽油（符合GB/T 1536-2021标准）、芝麻油（符合GB/T 8233-2018标准）。</w:t>
            </w:r>
          </w:p>
          <w:p w14:paraId="3A1CBB9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4.鲜肉类必须来自定点屠宰企业并提供两章两证，即：有动物检疫验讫印章和动物检验验讫印章、有动物检验检疫合格证明和品质检验合格证明；禽蛋必须保证新鲜、无公害。</w:t>
            </w:r>
          </w:p>
          <w:p w14:paraId="0AAF88A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5.干调类必须具有“QS”或“SC”食品质量认证标志，配料必须符合国家食品安全相关要求的名优商品。</w:t>
            </w:r>
          </w:p>
          <w:p w14:paraId="74DE70A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6.蔬菜类必须保证新鲜，无农药残留、无重金属超标等，符合国家食品安全标准。</w:t>
            </w:r>
          </w:p>
          <w:p w14:paraId="73B95E26">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三、价格确定</w:t>
            </w:r>
          </w:p>
          <w:p w14:paraId="0F82A8B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食材单价由中标人提供参考价格，由采购人询价确定最终价格，所有食材单价不高于鲁山当地市场价格。</w:t>
            </w:r>
          </w:p>
          <w:p w14:paraId="0F27FF38">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四、食品安全要求</w:t>
            </w:r>
          </w:p>
          <w:p w14:paraId="32BAD5B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中标人应对本项目食品安全进行全权负责，中标人应制定食品安全相关制度和管理办法、食品安全工作考核办法和食品安全事故责任追究制度以及食品安全事故处理（置）应急预案。采购人对中标人进行食品安全的监管。</w:t>
            </w:r>
          </w:p>
          <w:p w14:paraId="36A72A5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2.采购人有权对中标人种养殖的肉、蔬菜类食材和配送的食品原材（辅）材料不定期委托第三方进行检验。</w:t>
            </w:r>
          </w:p>
          <w:p w14:paraId="4C14749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3.学校食堂管理及从业人员食品安全培训由采购人组织，采购人与中标人共同制定食品安全方面的培训方案。</w:t>
            </w:r>
          </w:p>
          <w:p w14:paraId="150294F1">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五、配送中心要求</w:t>
            </w:r>
          </w:p>
          <w:p w14:paraId="242F8FE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1.根据食品安全、服务管理、企业投资、学生人数等综合因素，配送服务期1年，配送服务期内接受采购人定期考核。</w:t>
            </w:r>
          </w:p>
          <w:p w14:paraId="23ADFE7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日常考核：在服务过程中出现质量问题被甲方一年下达三次书面整改通知书且未整改到位的，甲方有权终止合同。若出现食品安全事故的，乙方无条件退出，并承担相应的责任。</w:t>
            </w:r>
          </w:p>
          <w:p w14:paraId="6B87487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月度考核：甲方每月将对乙方进行考评，月优秀率高于80%的，视为考核合格；月累计3次考核不合格，无条件终止合同。</w:t>
            </w:r>
          </w:p>
          <w:p w14:paraId="6BA84DF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年度考核：甲方每年对乙方进行2次年度考核，考核不合格视为乙方违约，甲方有权终止合同。</w:t>
            </w:r>
          </w:p>
          <w:p w14:paraId="5165CEE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因违约、考核不合格及其他违反合同事项被清退，或因其自身原因无法继续履行合同的生产及配送商，其负责配送的区域，由甲方选择本项目其他标段的中标人继续履行合同，不再重新招标。</w:t>
            </w:r>
          </w:p>
          <w:p w14:paraId="1EF9641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2.为确保食品安全，本项目不允许中标人对采购内容进行分包或转包，所有食材必须从公司统一分装配送，若出现分包或转包，采购人有权终止合同。</w:t>
            </w:r>
          </w:p>
          <w:p w14:paraId="6392627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3.中标人配送中心含有停车场、办公区、加工区、仓储区、冷藏库等场所和能满足配送标准要求和配送需求量的运输车辆，并对运输车辆进行全程监控及对运输车辆安全责任事故负责。仓库必须达到食品安全存放要求，厂房的进出口区域、食品加工区域、食品储存区域等功能区必须安装监控设备，冷藏运输车及专用食品材料配送车辆必须保证需求。</w:t>
            </w:r>
          </w:p>
          <w:p w14:paraId="5EB7CF77">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六、食材采购管理系统</w:t>
            </w:r>
          </w:p>
          <w:p w14:paraId="19A78D2D">
            <w:pPr>
              <w:keepNext w:val="0"/>
              <w:keepLines w:val="0"/>
              <w:pageBreakBefore w:val="0"/>
              <w:widowControl/>
              <w:kinsoku/>
              <w:wordWrap/>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中标人应承诺签订合同30日历天内为本项目提供食材采购管理系统，系统的主要功能包括采购管理、食材追溯、库存管理、数据分析等。通过食材采购管理系统，采购人能够及时了解到供应商的价格、库存、交货期等信息，从而进行合理的采购计划。</w:t>
            </w:r>
          </w:p>
          <w:p w14:paraId="483B4515">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1.采购管理：为采购人和中心校设置监管及管理账号，可实现采购计划的制定、审批、执行和监控，确保采购过程的透明度和规范性。</w:t>
            </w:r>
          </w:p>
          <w:p w14:paraId="29614F10">
            <w:pPr>
              <w:keepNext w:val="0"/>
              <w:keepLines w:val="0"/>
              <w:pageBreakBefore w:val="0"/>
              <w:widowControl/>
              <w:kinsoku/>
              <w:wordWrap/>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2.食材追溯：可对食材来源、运输、存储等环节进行全程追溯，确保食材来源可靠、质量可控。此外，通过数据分析，可对食材消耗进行预测，合理安排采购计划，避免浪费。</w:t>
            </w:r>
          </w:p>
          <w:p w14:paraId="4889C604">
            <w:pPr>
              <w:keepNext w:val="0"/>
              <w:keepLines w:val="0"/>
              <w:pageBreakBefore w:val="0"/>
              <w:widowControl/>
              <w:kinsoku/>
              <w:wordWrap/>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color w:val="191919"/>
                <w:sz w:val="24"/>
                <w:szCs w:val="24"/>
                <w:shd w:val="clear" w:color="auto" w:fill="FFFFFF"/>
              </w:rPr>
            </w:pPr>
            <w:r>
              <w:rPr>
                <w:rFonts w:hint="eastAsia" w:ascii="宋体" w:hAnsi="宋体" w:eastAsia="宋体" w:cs="宋体"/>
                <w:color w:val="191919"/>
                <w:sz w:val="24"/>
                <w:szCs w:val="24"/>
                <w:shd w:val="clear" w:color="auto" w:fill="FFFFFF"/>
                <w:lang w:eastAsia="zh-CN"/>
              </w:rPr>
              <w:t>3.</w:t>
            </w:r>
            <w:r>
              <w:rPr>
                <w:rFonts w:hint="eastAsia" w:ascii="宋体" w:hAnsi="宋体" w:eastAsia="宋体" w:cs="宋体"/>
                <w:color w:val="191919"/>
                <w:sz w:val="24"/>
                <w:szCs w:val="24"/>
                <w:shd w:val="clear" w:color="auto" w:fill="FFFFFF"/>
              </w:rPr>
              <w:t>库存管理：可实现食材库存的实时监控和预警，确保食材新鲜度，减少库存积压。同时，通过对库存数据的分析，为食堂管理者</w:t>
            </w:r>
            <w:r>
              <w:rPr>
                <w:rFonts w:hint="eastAsia" w:ascii="宋体" w:hAnsi="宋体" w:eastAsia="宋体" w:cs="宋体"/>
                <w:color w:val="191919"/>
                <w:sz w:val="24"/>
                <w:szCs w:val="24"/>
                <w:shd w:val="clear" w:color="auto" w:fill="FFFFFF"/>
                <w:lang w:eastAsia="zh-CN"/>
              </w:rPr>
              <w:t>及采购人</w:t>
            </w:r>
            <w:r>
              <w:rPr>
                <w:rFonts w:hint="eastAsia" w:ascii="宋体" w:hAnsi="宋体" w:eastAsia="宋体" w:cs="宋体"/>
                <w:color w:val="191919"/>
                <w:sz w:val="24"/>
                <w:szCs w:val="24"/>
                <w:shd w:val="clear" w:color="auto" w:fill="FFFFFF"/>
              </w:rPr>
              <w:t>提供决策支持，优化库存结构。</w:t>
            </w:r>
          </w:p>
          <w:p w14:paraId="139973CD">
            <w:pPr>
              <w:keepNext w:val="0"/>
              <w:keepLines w:val="0"/>
              <w:pageBreakBefore w:val="0"/>
              <w:widowControl/>
              <w:kinsoku/>
              <w:wordWrap/>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color w:val="191919"/>
                <w:sz w:val="24"/>
                <w:szCs w:val="24"/>
                <w:shd w:val="clear" w:color="auto" w:fill="FFFFFF"/>
                <w:lang w:eastAsia="zh-CN"/>
              </w:rPr>
            </w:pPr>
            <w:r>
              <w:rPr>
                <w:rFonts w:hint="eastAsia" w:ascii="宋体" w:hAnsi="宋体" w:eastAsia="宋体" w:cs="宋体"/>
                <w:color w:val="191919"/>
                <w:sz w:val="24"/>
                <w:szCs w:val="24"/>
                <w:shd w:val="clear" w:color="auto" w:fill="FFFFFF"/>
              </w:rPr>
              <w:t>4.数据分析：可对采购、库存、销售等数据进行统计分析，</w:t>
            </w:r>
            <w:r>
              <w:rPr>
                <w:rFonts w:hint="eastAsia" w:ascii="宋体" w:hAnsi="宋体" w:eastAsia="宋体" w:cs="宋体"/>
                <w:color w:val="191919"/>
                <w:sz w:val="24"/>
                <w:szCs w:val="24"/>
                <w:shd w:val="clear" w:color="auto" w:fill="FFFFFF"/>
                <w:lang w:eastAsia="zh-CN"/>
              </w:rPr>
              <w:t>采购人可实时查看全部供货订单及供货金额且可从系统导出数据等功能</w:t>
            </w:r>
            <w:r>
              <w:rPr>
                <w:rFonts w:hint="eastAsia" w:ascii="宋体" w:hAnsi="宋体" w:eastAsia="宋体" w:cs="宋体"/>
                <w:color w:val="191919"/>
                <w:sz w:val="24"/>
                <w:szCs w:val="24"/>
                <w:shd w:val="clear" w:color="auto" w:fill="FFFFFF"/>
              </w:rPr>
              <w:t>。</w:t>
            </w:r>
          </w:p>
          <w:p w14:paraId="428AB495">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七、其他</w:t>
            </w:r>
          </w:p>
          <w:p w14:paraId="352FC64A">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本项目的合同实施根据国家营养改善计划政策变动而调整；</w:t>
            </w:r>
          </w:p>
        </w:tc>
      </w:tr>
      <w:tr w14:paraId="626F9484">
        <w:tblPrEx>
          <w:tblCellMar>
            <w:top w:w="0" w:type="dxa"/>
            <w:left w:w="0" w:type="dxa"/>
            <w:bottom w:w="0" w:type="dxa"/>
            <w:right w:w="0" w:type="dxa"/>
          </w:tblCellMar>
        </w:tblPrEx>
        <w:trPr>
          <w:trHeight w:val="274"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15AA8EC9">
            <w:pPr>
              <w:spacing w:line="360" w:lineRule="auto"/>
              <w:jc w:val="both"/>
              <w:rPr>
                <w:rFonts w:ascii="宋体" w:hAnsi="宋体" w:eastAsia="宋体" w:cs="宋体"/>
                <w:sz w:val="24"/>
                <w:szCs w:val="24"/>
                <w:lang w:eastAsia="zh-CN"/>
              </w:rPr>
            </w:pPr>
            <w:r>
              <w:rPr>
                <w:rFonts w:hint="eastAsia" w:ascii="宋体" w:hAnsi="宋体" w:eastAsia="宋体" w:cs="宋体"/>
                <w:b/>
                <w:bCs/>
                <w:color w:val="auto"/>
                <w:sz w:val="24"/>
                <w:szCs w:val="24"/>
                <w:lang w:eastAsia="zh-CN"/>
              </w:rPr>
              <w:t>投标人应对“投标人须知前附表”中“条款号、第36号”的所有内容进行逐条全文承诺。承诺条件必须优于或等于招标文件要求，否则视为未实质上响应招标文件要求，评标委员会可否决其投标。</w:t>
            </w:r>
          </w:p>
        </w:tc>
      </w:tr>
      <w:tr w14:paraId="4FD8879C">
        <w:tblPrEx>
          <w:tblCellMar>
            <w:top w:w="0" w:type="dxa"/>
            <w:left w:w="0" w:type="dxa"/>
            <w:bottom w:w="0" w:type="dxa"/>
            <w:right w:w="0" w:type="dxa"/>
          </w:tblCellMar>
        </w:tblPrEx>
        <w:trPr>
          <w:trHeight w:val="274"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0BAEFAF9">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37</w:t>
            </w:r>
          </w:p>
        </w:tc>
        <w:tc>
          <w:tcPr>
            <w:tcW w:w="834" w:type="pct"/>
            <w:tcBorders>
              <w:top w:val="single" w:color="000000" w:sz="4" w:space="0"/>
              <w:left w:val="single" w:color="000000" w:sz="4" w:space="0"/>
              <w:bottom w:val="single" w:color="000000" w:sz="4" w:space="0"/>
              <w:right w:val="single" w:color="000000" w:sz="4" w:space="0"/>
            </w:tcBorders>
            <w:vAlign w:val="center"/>
          </w:tcPr>
          <w:p w14:paraId="462E1FFF">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解释权</w:t>
            </w:r>
          </w:p>
        </w:tc>
        <w:tc>
          <w:tcPr>
            <w:tcW w:w="3631" w:type="pct"/>
            <w:tcBorders>
              <w:top w:val="single" w:color="000000" w:sz="4" w:space="0"/>
              <w:left w:val="single" w:color="000000" w:sz="4" w:space="0"/>
              <w:bottom w:val="single" w:color="000000" w:sz="4" w:space="0"/>
              <w:right w:val="single" w:color="000000" w:sz="4" w:space="0"/>
            </w:tcBorders>
            <w:vAlign w:val="center"/>
          </w:tcPr>
          <w:p w14:paraId="621B6A8C">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及代理机构负责解释。</w:t>
            </w:r>
          </w:p>
        </w:tc>
      </w:tr>
      <w:tr w14:paraId="0332B5EB">
        <w:tblPrEx>
          <w:tblCellMar>
            <w:top w:w="0" w:type="dxa"/>
            <w:left w:w="0" w:type="dxa"/>
            <w:bottom w:w="0" w:type="dxa"/>
            <w:right w:w="0" w:type="dxa"/>
          </w:tblCellMar>
        </w:tblPrEx>
        <w:trPr>
          <w:trHeight w:val="274"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6CE089D0">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38</w:t>
            </w:r>
          </w:p>
        </w:tc>
        <w:tc>
          <w:tcPr>
            <w:tcW w:w="834" w:type="pct"/>
            <w:tcBorders>
              <w:top w:val="single" w:color="000000" w:sz="4" w:space="0"/>
              <w:left w:val="single" w:color="000000" w:sz="4" w:space="0"/>
              <w:bottom w:val="single" w:color="000000" w:sz="4" w:space="0"/>
              <w:right w:val="single" w:color="000000" w:sz="4" w:space="0"/>
            </w:tcBorders>
            <w:vAlign w:val="center"/>
          </w:tcPr>
          <w:p w14:paraId="76690C9A">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合同签订</w:t>
            </w:r>
          </w:p>
        </w:tc>
        <w:tc>
          <w:tcPr>
            <w:tcW w:w="3631" w:type="pct"/>
            <w:tcBorders>
              <w:top w:val="single" w:color="000000" w:sz="4" w:space="0"/>
              <w:left w:val="single" w:color="000000" w:sz="4" w:space="0"/>
              <w:bottom w:val="single" w:color="000000" w:sz="4" w:space="0"/>
              <w:right w:val="single" w:color="000000" w:sz="4" w:space="0"/>
            </w:tcBorders>
            <w:vAlign w:val="center"/>
          </w:tcPr>
          <w:p w14:paraId="5BE505C9">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中标或成交供应商合同签订方式为在线签订（在公共资源交易中心网站进行）</w:t>
            </w:r>
          </w:p>
        </w:tc>
      </w:tr>
      <w:tr w14:paraId="26B3B172">
        <w:tblPrEx>
          <w:tblCellMar>
            <w:top w:w="0" w:type="dxa"/>
            <w:left w:w="0" w:type="dxa"/>
            <w:bottom w:w="0" w:type="dxa"/>
            <w:right w:w="0" w:type="dxa"/>
          </w:tblCellMar>
        </w:tblPrEx>
        <w:trPr>
          <w:trHeight w:val="274"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27DD5732">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未尽事宜按现行的政府采购有关法律法规和规定执行。</w:t>
            </w:r>
          </w:p>
        </w:tc>
      </w:tr>
    </w:tbl>
    <w:p w14:paraId="05EA3204">
      <w:pPr>
        <w:spacing w:line="314" w:lineRule="auto"/>
        <w:rPr>
          <w:rFonts w:asciiTheme="minorEastAsia" w:hAnsiTheme="minorEastAsia" w:eastAsiaTheme="minorEastAsia" w:cstheme="minorEastAsia"/>
          <w:lang w:eastAsia="zh-CN"/>
        </w:rPr>
      </w:pPr>
    </w:p>
    <w:p w14:paraId="5EF514C1">
      <w:pPr>
        <w:rPr>
          <w:rFonts w:asciiTheme="minorEastAsia" w:hAnsiTheme="minorEastAsia" w:eastAsiaTheme="minorEastAsia" w:cstheme="minorEastAsia"/>
          <w:b/>
          <w:bCs/>
          <w:spacing w:val="-13"/>
          <w:sz w:val="29"/>
          <w:szCs w:val="29"/>
          <w:lang w:eastAsia="zh-CN"/>
        </w:rPr>
      </w:pPr>
      <w:r>
        <w:rPr>
          <w:rFonts w:hint="eastAsia" w:asciiTheme="minorEastAsia" w:hAnsiTheme="minorEastAsia" w:eastAsiaTheme="minorEastAsia" w:cstheme="minorEastAsia"/>
          <w:b/>
          <w:bCs/>
          <w:spacing w:val="-13"/>
          <w:sz w:val="29"/>
          <w:szCs w:val="29"/>
          <w:lang w:eastAsia="zh-CN"/>
        </w:rPr>
        <w:br w:type="page"/>
      </w:r>
    </w:p>
    <w:p w14:paraId="06B83287">
      <w:pPr>
        <w:spacing w:line="279" w:lineRule="auto"/>
        <w:rPr>
          <w:rFonts w:asciiTheme="minorEastAsia" w:hAnsiTheme="minorEastAsia" w:eastAsiaTheme="minorEastAsia" w:cstheme="minorEastAsia"/>
          <w:lang w:eastAsia="zh-CN"/>
        </w:rPr>
      </w:pPr>
    </w:p>
    <w:p w14:paraId="34F8F3F1">
      <w:pPr>
        <w:spacing w:line="360" w:lineRule="auto"/>
        <w:ind w:firstLine="480" w:firstLineChars="200"/>
        <w:rPr>
          <w:rFonts w:asciiTheme="minorEastAsia" w:hAnsiTheme="minorEastAsia" w:eastAsiaTheme="minorEastAsia" w:cstheme="minorEastAsia"/>
          <w:sz w:val="24"/>
          <w:szCs w:val="24"/>
          <w:lang w:eastAsia="zh-CN"/>
        </w:rPr>
      </w:pPr>
      <w:bookmarkStart w:id="38" w:name="bookmark21"/>
      <w:bookmarkEnd w:id="38"/>
      <w:bookmarkStart w:id="39" w:name="bookmark8"/>
      <w:bookmarkEnd w:id="39"/>
      <w:bookmarkStart w:id="40" w:name="bookmark7"/>
      <w:bookmarkEnd w:id="40"/>
      <w:bookmarkStart w:id="41" w:name="bookmark22"/>
      <w:bookmarkEnd w:id="41"/>
      <w:bookmarkStart w:id="42" w:name="_Toc24647"/>
      <w:r>
        <w:rPr>
          <w:rFonts w:hint="eastAsia" w:asciiTheme="minorEastAsia" w:hAnsiTheme="minorEastAsia" w:eastAsiaTheme="minorEastAsia" w:cstheme="minorEastAsia"/>
          <w:sz w:val="24"/>
          <w:szCs w:val="24"/>
          <w:lang w:eastAsia="zh-CN"/>
        </w:rPr>
        <w:t>一、说明</w:t>
      </w:r>
      <w:bookmarkEnd w:id="42"/>
    </w:p>
    <w:p w14:paraId="7F8A84B5">
      <w:pPr>
        <w:tabs>
          <w:tab w:val="left" w:pos="3544"/>
        </w:tabs>
        <w:spacing w:line="360" w:lineRule="auto"/>
        <w:ind w:firstLine="480" w:firstLineChars="200"/>
        <w:rPr>
          <w:rFonts w:asciiTheme="minorEastAsia" w:hAnsiTheme="minorEastAsia" w:eastAsiaTheme="minorEastAsia" w:cstheme="minorEastAsia"/>
          <w:sz w:val="24"/>
          <w:szCs w:val="24"/>
          <w:lang w:eastAsia="zh-CN"/>
        </w:rPr>
      </w:pPr>
      <w:bookmarkStart w:id="43" w:name="_Toc536542557"/>
      <w:bookmarkStart w:id="44" w:name="_Toc82524590"/>
      <w:bookmarkStart w:id="45" w:name="_Toc536541995"/>
      <w:bookmarkStart w:id="46" w:name="_Toc1753"/>
      <w:r>
        <w:rPr>
          <w:rFonts w:hint="eastAsia" w:asciiTheme="minorEastAsia" w:hAnsiTheme="minorEastAsia" w:eastAsiaTheme="minorEastAsia" w:cstheme="minorEastAsia"/>
          <w:sz w:val="24"/>
          <w:szCs w:val="24"/>
          <w:lang w:eastAsia="zh-CN"/>
        </w:rPr>
        <w:t>1．适用范围</w:t>
      </w:r>
      <w:bookmarkEnd w:id="43"/>
      <w:bookmarkEnd w:id="44"/>
      <w:bookmarkEnd w:id="45"/>
      <w:bookmarkEnd w:id="46"/>
    </w:p>
    <w:p w14:paraId="055023B0">
      <w:pPr>
        <w:tabs>
          <w:tab w:val="left" w:pos="3544"/>
        </w:tabs>
        <w:spacing w:line="360" w:lineRule="auto"/>
        <w:ind w:firstLine="480" w:firstLineChars="200"/>
        <w:rPr>
          <w:rFonts w:asciiTheme="minorEastAsia" w:hAnsiTheme="minorEastAsia" w:eastAsiaTheme="minorEastAsia" w:cstheme="minorEastAsia"/>
          <w:sz w:val="24"/>
          <w:szCs w:val="24"/>
          <w:lang w:eastAsia="zh-CN"/>
        </w:rPr>
      </w:pPr>
      <w:bookmarkStart w:id="47" w:name="_Toc536541996"/>
      <w:bookmarkStart w:id="48" w:name="_Toc536542558"/>
      <w:bookmarkStart w:id="49" w:name="_Toc82524591"/>
      <w:r>
        <w:rPr>
          <w:rFonts w:hint="eastAsia" w:asciiTheme="minorEastAsia" w:hAnsiTheme="minorEastAsia" w:eastAsiaTheme="minorEastAsia" w:cstheme="minorEastAsia"/>
          <w:sz w:val="24"/>
          <w:szCs w:val="24"/>
          <w:lang w:eastAsia="zh-CN"/>
        </w:rPr>
        <w:t>本招标文件仅适用于本次为202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-202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学年度鲁山县教育体育局鲁山县农村义务教育学校营养改善计划食材采购项目采购项目。</w:t>
      </w:r>
      <w:bookmarkEnd w:id="47"/>
      <w:bookmarkEnd w:id="48"/>
      <w:bookmarkEnd w:id="49"/>
    </w:p>
    <w:p w14:paraId="39E59B0C">
      <w:pPr>
        <w:tabs>
          <w:tab w:val="left" w:pos="7035"/>
        </w:tabs>
        <w:spacing w:line="360" w:lineRule="auto"/>
        <w:ind w:firstLine="480" w:firstLineChars="200"/>
        <w:rPr>
          <w:rFonts w:asciiTheme="minorEastAsia" w:hAnsiTheme="minorEastAsia" w:eastAsiaTheme="minorEastAsia" w:cstheme="minorEastAsia"/>
          <w:sz w:val="24"/>
          <w:szCs w:val="24"/>
          <w:lang w:eastAsia="zh-CN"/>
        </w:rPr>
      </w:pPr>
      <w:bookmarkStart w:id="50" w:name="_Toc536542559"/>
      <w:bookmarkStart w:id="51" w:name="_Toc536541997"/>
      <w:bookmarkStart w:id="52" w:name="_Toc82524592"/>
      <w:bookmarkStart w:id="53" w:name="_Toc23096"/>
      <w:r>
        <w:rPr>
          <w:rFonts w:hint="eastAsia" w:asciiTheme="minorEastAsia" w:hAnsiTheme="minorEastAsia" w:eastAsiaTheme="minorEastAsia" w:cstheme="minorEastAsia"/>
          <w:sz w:val="24"/>
          <w:szCs w:val="24"/>
          <w:lang w:eastAsia="zh-CN"/>
        </w:rPr>
        <w:t>2．定义</w:t>
      </w:r>
      <w:bookmarkEnd w:id="50"/>
      <w:bookmarkEnd w:id="51"/>
      <w:bookmarkEnd w:id="52"/>
      <w:bookmarkEnd w:id="53"/>
    </w:p>
    <w:p w14:paraId="2F97C06F">
      <w:pPr>
        <w:spacing w:line="360" w:lineRule="auto"/>
        <w:ind w:firstLine="480" w:firstLineChars="200"/>
        <w:rPr>
          <w:rFonts w:asciiTheme="minorEastAsia" w:hAnsiTheme="minorEastAsia" w:eastAsiaTheme="minorEastAsia" w:cstheme="minorEastAsia"/>
          <w:sz w:val="24"/>
          <w:szCs w:val="24"/>
          <w:lang w:eastAsia="zh-CN"/>
        </w:rPr>
      </w:pPr>
      <w:bookmarkStart w:id="54" w:name="_Toc82524593"/>
      <w:bookmarkStart w:id="55" w:name="_Toc536542560"/>
      <w:bookmarkStart w:id="56" w:name="_Toc536541998"/>
      <w:r>
        <w:rPr>
          <w:rFonts w:hint="eastAsia" w:asciiTheme="minorEastAsia" w:hAnsiTheme="minorEastAsia" w:eastAsiaTheme="minorEastAsia" w:cstheme="minorEastAsia"/>
          <w:sz w:val="24"/>
          <w:szCs w:val="24"/>
          <w:lang w:eastAsia="zh-CN"/>
        </w:rPr>
        <w:t>2.1“代理机构”：系指组织本次招标的招标代理机构：</w:t>
      </w:r>
      <w:r>
        <w:rPr>
          <w:rFonts w:hint="eastAsia" w:asciiTheme="minorEastAsia" w:hAnsiTheme="minorEastAsia" w:eastAsiaTheme="minorEastAsia" w:cstheme="minorEastAsia"/>
          <w:sz w:val="24"/>
          <w:szCs w:val="24"/>
          <w:lang w:val="en-US" w:eastAsia="zh-CN"/>
        </w:rPr>
        <w:t>河南润豫工程管理有限公司</w:t>
      </w:r>
      <w:r>
        <w:rPr>
          <w:rFonts w:hint="eastAsia" w:asciiTheme="minorEastAsia" w:hAnsiTheme="minorEastAsia" w:eastAsiaTheme="minorEastAsia" w:cstheme="minorEastAsia"/>
          <w:sz w:val="24"/>
          <w:szCs w:val="24"/>
          <w:lang w:eastAsia="zh-CN"/>
        </w:rPr>
        <w:t>；</w:t>
      </w:r>
      <w:bookmarkEnd w:id="54"/>
      <w:bookmarkEnd w:id="55"/>
      <w:bookmarkEnd w:id="56"/>
    </w:p>
    <w:p w14:paraId="46A84280">
      <w:pPr>
        <w:tabs>
          <w:tab w:val="right" w:pos="9900"/>
        </w:tabs>
        <w:spacing w:line="360" w:lineRule="auto"/>
        <w:ind w:firstLine="480" w:firstLineChars="200"/>
        <w:rPr>
          <w:rFonts w:asciiTheme="minorEastAsia" w:hAnsiTheme="minorEastAsia" w:eastAsiaTheme="minorEastAsia" w:cstheme="minorEastAsia"/>
          <w:sz w:val="24"/>
          <w:szCs w:val="24"/>
          <w:lang w:eastAsia="zh-CN"/>
        </w:rPr>
      </w:pPr>
      <w:bookmarkStart w:id="57" w:name="_Toc82524594"/>
      <w:bookmarkStart w:id="58" w:name="_Toc536541999"/>
      <w:bookmarkStart w:id="59" w:name="_Toc536542561"/>
      <w:r>
        <w:rPr>
          <w:rFonts w:hint="eastAsia" w:asciiTheme="minorEastAsia" w:hAnsiTheme="minorEastAsia" w:eastAsiaTheme="minorEastAsia" w:cstheme="minorEastAsia"/>
          <w:sz w:val="24"/>
          <w:szCs w:val="24"/>
          <w:lang w:eastAsia="zh-CN"/>
        </w:rPr>
        <w:t>2.2“投标人”：系指符合招标文件要求向代理机构提交投标文件的供应商；</w:t>
      </w:r>
      <w:bookmarkEnd w:id="57"/>
      <w:bookmarkEnd w:id="58"/>
      <w:bookmarkEnd w:id="59"/>
    </w:p>
    <w:p w14:paraId="0D87CE33">
      <w:pPr>
        <w:spacing w:line="360" w:lineRule="auto"/>
        <w:ind w:firstLine="480" w:firstLineChars="200"/>
        <w:rPr>
          <w:rFonts w:asciiTheme="minorEastAsia" w:hAnsiTheme="minorEastAsia" w:eastAsiaTheme="minorEastAsia" w:cstheme="minorEastAsia"/>
          <w:sz w:val="24"/>
          <w:szCs w:val="24"/>
          <w:lang w:eastAsia="zh-CN"/>
        </w:rPr>
      </w:pPr>
      <w:bookmarkStart w:id="60" w:name="_Toc82524595"/>
      <w:bookmarkStart w:id="61" w:name="_Toc536542000"/>
      <w:bookmarkStart w:id="62" w:name="_Toc536542562"/>
      <w:r>
        <w:rPr>
          <w:rFonts w:hint="eastAsia" w:asciiTheme="minorEastAsia" w:hAnsiTheme="minorEastAsia" w:eastAsiaTheme="minorEastAsia" w:cstheme="minorEastAsia"/>
          <w:sz w:val="24"/>
          <w:szCs w:val="24"/>
          <w:lang w:eastAsia="zh-CN"/>
        </w:rPr>
        <w:t>2.3“招标单位”：系指鲁山县教育体育局；</w:t>
      </w:r>
      <w:bookmarkEnd w:id="60"/>
      <w:bookmarkEnd w:id="61"/>
      <w:bookmarkEnd w:id="62"/>
    </w:p>
    <w:p w14:paraId="1EEC1F61">
      <w:pPr>
        <w:spacing w:line="360" w:lineRule="auto"/>
        <w:ind w:firstLine="480" w:firstLineChars="200"/>
        <w:rPr>
          <w:rFonts w:asciiTheme="minorEastAsia" w:hAnsiTheme="minorEastAsia" w:eastAsiaTheme="minorEastAsia" w:cstheme="minorEastAsia"/>
          <w:sz w:val="24"/>
          <w:szCs w:val="24"/>
          <w:lang w:eastAsia="zh-CN"/>
        </w:rPr>
      </w:pPr>
      <w:bookmarkStart w:id="63" w:name="_Toc536542565"/>
      <w:bookmarkStart w:id="64" w:name="_Toc536542003"/>
      <w:bookmarkStart w:id="65" w:name="_Toc82524598"/>
      <w:r>
        <w:rPr>
          <w:rFonts w:hint="eastAsia" w:asciiTheme="minorEastAsia" w:hAnsiTheme="minorEastAsia" w:eastAsiaTheme="minorEastAsia" w:cstheme="minorEastAsia"/>
          <w:sz w:val="24"/>
          <w:szCs w:val="24"/>
          <w:lang w:eastAsia="zh-CN"/>
        </w:rPr>
        <w:t>3．投标费用：投标人应承担所有与参加本项目投标有关的费用，无论投标结果如何，代理机构和招标方均无责任和义务承担与投标有关的任何费用。</w:t>
      </w:r>
      <w:bookmarkEnd w:id="63"/>
      <w:bookmarkEnd w:id="64"/>
      <w:bookmarkEnd w:id="65"/>
    </w:p>
    <w:p w14:paraId="2562F70D">
      <w:pPr>
        <w:spacing w:line="360" w:lineRule="auto"/>
        <w:ind w:firstLine="480" w:firstLineChars="200"/>
        <w:rPr>
          <w:rFonts w:asciiTheme="minorEastAsia" w:hAnsiTheme="minorEastAsia" w:eastAsiaTheme="minorEastAsia" w:cstheme="minorEastAsia"/>
          <w:sz w:val="24"/>
          <w:szCs w:val="24"/>
          <w:lang w:eastAsia="zh-CN"/>
        </w:rPr>
      </w:pPr>
      <w:bookmarkStart w:id="66" w:name="_Toc536541109"/>
      <w:bookmarkStart w:id="67" w:name="_Toc82524602"/>
      <w:bookmarkStart w:id="68" w:name="_Toc536541420"/>
      <w:bookmarkStart w:id="69" w:name="_Toc413941323"/>
      <w:bookmarkStart w:id="70" w:name="_Toc536542007"/>
      <w:bookmarkStart w:id="71" w:name="_Toc530989732"/>
      <w:bookmarkStart w:id="72" w:name="_Toc15900"/>
      <w:r>
        <w:rPr>
          <w:rFonts w:hint="eastAsia" w:asciiTheme="minorEastAsia" w:hAnsiTheme="minorEastAsia" w:eastAsiaTheme="minorEastAsia" w:cstheme="minorEastAsia"/>
          <w:sz w:val="24"/>
          <w:szCs w:val="24"/>
          <w:lang w:eastAsia="zh-CN"/>
        </w:rPr>
        <w:t>二、招标文件说明</w:t>
      </w:r>
      <w:bookmarkEnd w:id="66"/>
      <w:bookmarkEnd w:id="67"/>
      <w:bookmarkEnd w:id="68"/>
      <w:bookmarkEnd w:id="69"/>
      <w:bookmarkEnd w:id="70"/>
      <w:bookmarkEnd w:id="71"/>
      <w:bookmarkEnd w:id="72"/>
    </w:p>
    <w:p w14:paraId="6C07B397">
      <w:pPr>
        <w:pStyle w:val="15"/>
        <w:tabs>
          <w:tab w:val="left" w:pos="540"/>
        </w:tabs>
        <w:spacing w:line="360" w:lineRule="auto"/>
        <w:ind w:firstLine="480" w:firstLineChars="200"/>
        <w:rPr>
          <w:rFonts w:asciiTheme="minorEastAsia" w:hAnsiTheme="minorEastAsia" w:eastAsiaTheme="minorEastAsia" w:cstheme="minorEastAsia"/>
          <w:szCs w:val="24"/>
          <w:lang w:eastAsia="zh-CN"/>
        </w:rPr>
      </w:pPr>
      <w:bookmarkStart w:id="73" w:name="_Toc536542570"/>
      <w:bookmarkStart w:id="74" w:name="_Toc536542008"/>
      <w:bookmarkStart w:id="75" w:name="_Toc12293"/>
      <w:bookmarkStart w:id="76" w:name="_Toc82524603"/>
      <w:r>
        <w:rPr>
          <w:rFonts w:hint="eastAsia" w:asciiTheme="minorEastAsia" w:hAnsiTheme="minorEastAsia" w:eastAsiaTheme="minorEastAsia" w:cstheme="minorEastAsia"/>
          <w:szCs w:val="24"/>
          <w:lang w:eastAsia="zh-CN"/>
        </w:rPr>
        <w:t>1．招标文件的构成</w:t>
      </w:r>
      <w:bookmarkEnd w:id="73"/>
      <w:bookmarkEnd w:id="74"/>
      <w:bookmarkEnd w:id="75"/>
      <w:bookmarkEnd w:id="76"/>
    </w:p>
    <w:p w14:paraId="1E9D53B7">
      <w:pPr>
        <w:pStyle w:val="15"/>
        <w:tabs>
          <w:tab w:val="left" w:pos="540"/>
        </w:tabs>
        <w:spacing w:line="360" w:lineRule="auto"/>
        <w:ind w:firstLine="480" w:firstLineChars="200"/>
        <w:rPr>
          <w:rFonts w:asciiTheme="minorEastAsia" w:hAnsiTheme="minorEastAsia" w:eastAsiaTheme="minorEastAsia" w:cstheme="minorEastAsia"/>
          <w:szCs w:val="24"/>
          <w:lang w:eastAsia="zh-CN"/>
        </w:rPr>
      </w:pPr>
      <w:bookmarkStart w:id="77" w:name="_Toc536542009"/>
      <w:bookmarkStart w:id="78" w:name="_Toc536542571"/>
      <w:bookmarkStart w:id="79" w:name="_Toc82524604"/>
      <w:r>
        <w:rPr>
          <w:rFonts w:hint="eastAsia" w:asciiTheme="minorEastAsia" w:hAnsiTheme="minorEastAsia" w:eastAsiaTheme="minorEastAsia" w:cstheme="minorEastAsia"/>
          <w:szCs w:val="24"/>
          <w:lang w:eastAsia="zh-CN"/>
        </w:rPr>
        <w:t>招标文件用于阐明政府采购所需货物及服务、招标、投标程序和合同主要条款。招标文件由下述部分组成：</w:t>
      </w:r>
      <w:bookmarkEnd w:id="77"/>
      <w:bookmarkEnd w:id="78"/>
      <w:bookmarkEnd w:id="79"/>
    </w:p>
    <w:p w14:paraId="18E7510A">
      <w:pPr>
        <w:spacing w:line="360" w:lineRule="auto"/>
        <w:ind w:firstLine="480" w:firstLineChars="200"/>
        <w:rPr>
          <w:rFonts w:asciiTheme="minorEastAsia" w:hAnsiTheme="minorEastAsia" w:eastAsiaTheme="minorEastAsia" w:cstheme="minorEastAsia"/>
          <w:sz w:val="24"/>
          <w:szCs w:val="24"/>
          <w:lang w:eastAsia="zh-CN"/>
        </w:rPr>
      </w:pPr>
      <w:bookmarkStart w:id="80" w:name="_Toc536542572"/>
      <w:bookmarkStart w:id="81" w:name="_Toc536542010"/>
      <w:bookmarkStart w:id="82" w:name="_Toc82524605"/>
      <w:r>
        <w:rPr>
          <w:rFonts w:hint="eastAsia" w:asciiTheme="minorEastAsia" w:hAnsiTheme="minorEastAsia" w:eastAsiaTheme="minorEastAsia" w:cstheme="minorEastAsia"/>
          <w:sz w:val="24"/>
          <w:szCs w:val="24"/>
          <w:lang w:eastAsia="zh-CN"/>
        </w:rPr>
        <w:t>1.1</w:t>
      </w:r>
      <w:bookmarkEnd w:id="80"/>
      <w:bookmarkEnd w:id="81"/>
      <w:r>
        <w:rPr>
          <w:rFonts w:hint="eastAsia" w:asciiTheme="minorEastAsia" w:hAnsiTheme="minorEastAsia" w:eastAsiaTheme="minorEastAsia" w:cstheme="minorEastAsia"/>
          <w:sz w:val="24"/>
          <w:szCs w:val="24"/>
          <w:lang w:eastAsia="zh-CN"/>
        </w:rPr>
        <w:t>招标公告</w:t>
      </w:r>
      <w:bookmarkEnd w:id="82"/>
      <w:bookmarkStart w:id="83" w:name="_Toc536542011"/>
      <w:bookmarkStart w:id="84" w:name="_Toc536542573"/>
    </w:p>
    <w:p w14:paraId="7A37F372">
      <w:pPr>
        <w:spacing w:line="360" w:lineRule="auto"/>
        <w:ind w:firstLine="480" w:firstLineChars="200"/>
        <w:rPr>
          <w:rFonts w:asciiTheme="minorEastAsia" w:hAnsiTheme="minorEastAsia" w:eastAsiaTheme="minorEastAsia" w:cstheme="minorEastAsia"/>
          <w:sz w:val="24"/>
          <w:szCs w:val="24"/>
          <w:lang w:eastAsia="zh-CN"/>
        </w:rPr>
      </w:pPr>
      <w:bookmarkStart w:id="85" w:name="_Toc82524606"/>
      <w:r>
        <w:rPr>
          <w:rFonts w:hint="eastAsia" w:asciiTheme="minorEastAsia" w:hAnsiTheme="minorEastAsia" w:eastAsiaTheme="minorEastAsia" w:cstheme="minorEastAsia"/>
          <w:sz w:val="24"/>
          <w:szCs w:val="24"/>
          <w:lang w:eastAsia="zh-CN"/>
        </w:rPr>
        <w:t>1.2投标人须知</w:t>
      </w:r>
      <w:bookmarkEnd w:id="83"/>
      <w:bookmarkEnd w:id="84"/>
      <w:bookmarkEnd w:id="85"/>
    </w:p>
    <w:p w14:paraId="3B2C6864">
      <w:pPr>
        <w:spacing w:line="360" w:lineRule="auto"/>
        <w:ind w:firstLine="480" w:firstLineChars="200"/>
        <w:rPr>
          <w:rFonts w:asciiTheme="minorEastAsia" w:hAnsiTheme="minorEastAsia" w:eastAsiaTheme="minorEastAsia" w:cstheme="minorEastAsia"/>
          <w:sz w:val="24"/>
          <w:szCs w:val="24"/>
          <w:lang w:eastAsia="zh-CN"/>
        </w:rPr>
      </w:pPr>
      <w:bookmarkStart w:id="86" w:name="_Toc536542012"/>
      <w:bookmarkStart w:id="87" w:name="_Toc82524607"/>
      <w:bookmarkStart w:id="88" w:name="_Toc536542574"/>
      <w:r>
        <w:rPr>
          <w:rFonts w:hint="eastAsia" w:asciiTheme="minorEastAsia" w:hAnsiTheme="minorEastAsia" w:eastAsiaTheme="minorEastAsia" w:cstheme="minorEastAsia"/>
          <w:sz w:val="24"/>
          <w:szCs w:val="24"/>
          <w:lang w:eastAsia="zh-CN"/>
        </w:rPr>
        <w:t>1.3</w:t>
      </w:r>
      <w:bookmarkEnd w:id="86"/>
      <w:bookmarkEnd w:id="87"/>
      <w:bookmarkEnd w:id="88"/>
      <w:r>
        <w:rPr>
          <w:rFonts w:hint="eastAsia" w:asciiTheme="minorEastAsia" w:hAnsiTheme="minorEastAsia" w:eastAsiaTheme="minorEastAsia" w:cstheme="minorEastAsia"/>
          <w:sz w:val="24"/>
          <w:szCs w:val="24"/>
          <w:lang w:eastAsia="zh-CN"/>
        </w:rPr>
        <w:t>合同条款及格式</w:t>
      </w:r>
    </w:p>
    <w:p w14:paraId="4F0C393E">
      <w:pPr>
        <w:spacing w:line="360" w:lineRule="auto"/>
        <w:ind w:firstLine="480" w:firstLineChars="200"/>
        <w:rPr>
          <w:rFonts w:asciiTheme="minorEastAsia" w:hAnsiTheme="minorEastAsia" w:eastAsiaTheme="minorEastAsia" w:cstheme="minorEastAsia"/>
          <w:sz w:val="24"/>
          <w:szCs w:val="24"/>
          <w:lang w:eastAsia="zh-CN"/>
        </w:rPr>
      </w:pPr>
      <w:bookmarkStart w:id="89" w:name="_Toc536542013"/>
      <w:bookmarkStart w:id="90" w:name="_Toc82524608"/>
      <w:bookmarkStart w:id="91" w:name="_Toc536542575"/>
      <w:r>
        <w:rPr>
          <w:rFonts w:hint="eastAsia" w:asciiTheme="minorEastAsia" w:hAnsiTheme="minorEastAsia" w:eastAsiaTheme="minorEastAsia" w:cstheme="minorEastAsia"/>
          <w:sz w:val="24"/>
          <w:szCs w:val="24"/>
          <w:lang w:eastAsia="zh-CN"/>
        </w:rPr>
        <w:t>1.4</w:t>
      </w:r>
      <w:bookmarkEnd w:id="89"/>
      <w:bookmarkEnd w:id="90"/>
      <w:bookmarkEnd w:id="91"/>
      <w:r>
        <w:rPr>
          <w:rFonts w:hint="eastAsia" w:asciiTheme="minorEastAsia" w:hAnsiTheme="minorEastAsia" w:eastAsiaTheme="minorEastAsia" w:cstheme="minorEastAsia"/>
          <w:sz w:val="24"/>
          <w:szCs w:val="24"/>
          <w:lang w:eastAsia="zh-CN"/>
        </w:rPr>
        <w:t>技术标准</w:t>
      </w:r>
    </w:p>
    <w:p w14:paraId="48B1A770">
      <w:pPr>
        <w:spacing w:line="360" w:lineRule="auto"/>
        <w:ind w:firstLine="480" w:firstLineChars="200"/>
        <w:rPr>
          <w:rFonts w:hint="eastAsia" w:asciiTheme="minorEastAsia" w:hAnsiTheme="minorEastAsia" w:eastAsiaTheme="minorEastAsia" w:cstheme="minorEastAsia"/>
          <w:sz w:val="24"/>
          <w:szCs w:val="24"/>
          <w:lang w:eastAsia="zh-CN"/>
        </w:rPr>
      </w:pPr>
      <w:bookmarkStart w:id="92" w:name="_Toc82524609"/>
      <w:bookmarkStart w:id="93" w:name="_Toc536542014"/>
      <w:bookmarkStart w:id="94" w:name="_Toc536542576"/>
      <w:r>
        <w:rPr>
          <w:rFonts w:hint="eastAsia" w:asciiTheme="minorEastAsia" w:hAnsiTheme="minorEastAsia" w:eastAsiaTheme="minorEastAsia" w:cstheme="minorEastAsia"/>
          <w:sz w:val="24"/>
          <w:szCs w:val="24"/>
          <w:lang w:eastAsia="zh-CN"/>
        </w:rPr>
        <w:t>1.5投标文件格式</w:t>
      </w:r>
      <w:bookmarkEnd w:id="92"/>
      <w:bookmarkEnd w:id="93"/>
      <w:bookmarkEnd w:id="94"/>
    </w:p>
    <w:p w14:paraId="56A20A28">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1.6评分标准和方法</w:t>
      </w:r>
    </w:p>
    <w:p w14:paraId="2C12AF56">
      <w:pPr>
        <w:spacing w:line="360" w:lineRule="auto"/>
        <w:ind w:firstLine="480" w:firstLineChars="200"/>
        <w:rPr>
          <w:rFonts w:asciiTheme="minorEastAsia" w:hAnsiTheme="minorEastAsia" w:eastAsiaTheme="minorEastAsia" w:cstheme="minorEastAsia"/>
          <w:sz w:val="24"/>
          <w:szCs w:val="24"/>
          <w:lang w:eastAsia="zh-CN"/>
        </w:rPr>
      </w:pPr>
      <w:bookmarkStart w:id="95" w:name="_Toc82524610"/>
      <w:bookmarkStart w:id="96" w:name="_Toc536542577"/>
      <w:bookmarkStart w:id="97" w:name="_Toc536542015"/>
      <w:bookmarkStart w:id="98" w:name="_Toc9531"/>
      <w:r>
        <w:rPr>
          <w:rFonts w:hint="eastAsia" w:asciiTheme="minorEastAsia" w:hAnsiTheme="minorEastAsia" w:eastAsiaTheme="minorEastAsia" w:cstheme="minorEastAsia"/>
          <w:sz w:val="24"/>
          <w:szCs w:val="24"/>
          <w:lang w:eastAsia="zh-CN"/>
        </w:rPr>
        <w:t>2．招标文件的澄清</w:t>
      </w:r>
      <w:bookmarkEnd w:id="95"/>
      <w:bookmarkEnd w:id="96"/>
      <w:bookmarkEnd w:id="97"/>
      <w:bookmarkEnd w:id="98"/>
    </w:p>
    <w:p w14:paraId="72D4DF53">
      <w:pPr>
        <w:spacing w:line="360" w:lineRule="auto"/>
        <w:ind w:firstLine="480" w:firstLineChars="200"/>
        <w:rPr>
          <w:rFonts w:asciiTheme="minorEastAsia" w:hAnsiTheme="minorEastAsia" w:eastAsiaTheme="minorEastAsia" w:cstheme="minorEastAsia"/>
          <w:sz w:val="24"/>
          <w:szCs w:val="24"/>
          <w:lang w:eastAsia="zh-CN"/>
        </w:rPr>
      </w:pPr>
      <w:bookmarkStart w:id="99" w:name="_Toc536542578"/>
      <w:bookmarkStart w:id="100" w:name="_Toc536542016"/>
      <w:bookmarkStart w:id="101" w:name="_Toc82524611"/>
      <w:r>
        <w:rPr>
          <w:rFonts w:hint="eastAsia" w:asciiTheme="minorEastAsia" w:hAnsiTheme="minorEastAsia" w:eastAsiaTheme="minorEastAsia" w:cstheme="minorEastAsia"/>
          <w:sz w:val="24"/>
          <w:szCs w:val="24"/>
          <w:lang w:eastAsia="zh-CN"/>
        </w:rPr>
        <w:t>投标人对招标文件如有需要澄清的疑问，应在提交投标文件截止时间十五日前按投标人须知在电子交易系统中提出。代理机构在提交投标文件截止时间十五日前在电子交易系统中以澄清形式公示给所有购买招标文件的投标人。</w:t>
      </w:r>
      <w:bookmarkEnd w:id="99"/>
      <w:bookmarkEnd w:id="100"/>
      <w:bookmarkEnd w:id="101"/>
    </w:p>
    <w:p w14:paraId="3A4CBB01">
      <w:pPr>
        <w:spacing w:line="360" w:lineRule="auto"/>
        <w:ind w:firstLine="480" w:firstLineChars="200"/>
        <w:rPr>
          <w:rFonts w:asciiTheme="minorEastAsia" w:hAnsiTheme="minorEastAsia" w:eastAsiaTheme="minorEastAsia" w:cstheme="minorEastAsia"/>
          <w:sz w:val="24"/>
          <w:szCs w:val="24"/>
          <w:lang w:eastAsia="zh-CN"/>
        </w:rPr>
      </w:pPr>
      <w:bookmarkStart w:id="102" w:name="_Toc82524612"/>
      <w:bookmarkStart w:id="103" w:name="_Toc14774"/>
      <w:bookmarkStart w:id="104" w:name="_Toc536542017"/>
      <w:bookmarkStart w:id="105" w:name="_Toc536542579"/>
      <w:r>
        <w:rPr>
          <w:rFonts w:hint="eastAsia" w:asciiTheme="minorEastAsia" w:hAnsiTheme="minorEastAsia" w:eastAsiaTheme="minorEastAsia" w:cstheme="minorEastAsia"/>
          <w:sz w:val="24"/>
          <w:szCs w:val="24"/>
          <w:lang w:eastAsia="zh-CN"/>
        </w:rPr>
        <w:t>3．招标文件的修改和补充</w:t>
      </w:r>
      <w:bookmarkEnd w:id="102"/>
      <w:bookmarkEnd w:id="103"/>
      <w:bookmarkEnd w:id="104"/>
      <w:bookmarkEnd w:id="105"/>
    </w:p>
    <w:p w14:paraId="0015C56A">
      <w:pPr>
        <w:spacing w:line="360" w:lineRule="auto"/>
        <w:ind w:firstLine="480" w:firstLineChars="200"/>
        <w:rPr>
          <w:rFonts w:asciiTheme="minorEastAsia" w:hAnsiTheme="minorEastAsia" w:eastAsiaTheme="minorEastAsia" w:cstheme="minorEastAsia"/>
          <w:sz w:val="24"/>
          <w:szCs w:val="24"/>
          <w:lang w:eastAsia="zh-CN"/>
        </w:rPr>
      </w:pPr>
      <w:bookmarkStart w:id="106" w:name="_Toc536542580"/>
      <w:bookmarkStart w:id="107" w:name="_Toc82524613"/>
      <w:bookmarkStart w:id="108" w:name="_Toc536542018"/>
      <w:r>
        <w:rPr>
          <w:rFonts w:hint="eastAsia" w:asciiTheme="minorEastAsia" w:hAnsiTheme="minorEastAsia" w:eastAsiaTheme="minorEastAsia" w:cstheme="minorEastAsia"/>
          <w:sz w:val="24"/>
          <w:szCs w:val="24"/>
          <w:lang w:eastAsia="zh-CN"/>
        </w:rPr>
        <w:t>3.1招标采购单位对已发出的招标文件进行必要澄清或者修改的，应当在招标文件要求提交投标文件截止时间十五日前在电子交易系统中修改招标文件，并公示给购买招标文件的投标人。该澄清或者修改的内容为招标文件的组成部分</w:t>
      </w:r>
      <w:bookmarkEnd w:id="106"/>
      <w:bookmarkEnd w:id="107"/>
      <w:bookmarkEnd w:id="108"/>
      <w:r>
        <w:rPr>
          <w:rFonts w:hint="eastAsia" w:asciiTheme="minorEastAsia" w:hAnsiTheme="minorEastAsia" w:eastAsiaTheme="minorEastAsia" w:cstheme="minorEastAsia"/>
          <w:sz w:val="24"/>
          <w:szCs w:val="24"/>
          <w:lang w:eastAsia="zh-CN"/>
        </w:rPr>
        <w:t>。</w:t>
      </w:r>
    </w:p>
    <w:p w14:paraId="1D3908B7">
      <w:pPr>
        <w:spacing w:line="360" w:lineRule="auto"/>
        <w:ind w:firstLine="480" w:firstLineChars="200"/>
        <w:rPr>
          <w:rFonts w:asciiTheme="minorEastAsia" w:hAnsiTheme="minorEastAsia" w:eastAsiaTheme="minorEastAsia" w:cstheme="minorEastAsia"/>
          <w:sz w:val="24"/>
          <w:szCs w:val="24"/>
          <w:lang w:eastAsia="zh-CN"/>
        </w:rPr>
      </w:pPr>
      <w:bookmarkStart w:id="109" w:name="_Toc82524614"/>
      <w:bookmarkStart w:id="110" w:name="_Toc536542581"/>
      <w:bookmarkStart w:id="111" w:name="_Toc536542019"/>
      <w:r>
        <w:rPr>
          <w:rFonts w:hint="eastAsia" w:asciiTheme="minorEastAsia" w:hAnsiTheme="minorEastAsia" w:eastAsiaTheme="minorEastAsia" w:cstheme="minorEastAsia"/>
          <w:sz w:val="24"/>
          <w:szCs w:val="24"/>
          <w:lang w:eastAsia="zh-CN"/>
        </w:rPr>
        <w:t>3.2为了使投标人编写投标文件有充分的时间对修改或补充部分进行研究，代理机构有权推迟投标截止日期和开标日期，并将此变更通知所有购买招标文件的投标人。</w:t>
      </w:r>
      <w:bookmarkEnd w:id="109"/>
      <w:bookmarkEnd w:id="110"/>
      <w:bookmarkEnd w:id="111"/>
    </w:p>
    <w:p w14:paraId="560961FD">
      <w:pPr>
        <w:spacing w:line="360" w:lineRule="auto"/>
        <w:ind w:firstLine="480" w:firstLineChars="200"/>
        <w:rPr>
          <w:rFonts w:asciiTheme="minorEastAsia" w:hAnsiTheme="minorEastAsia" w:eastAsiaTheme="minorEastAsia" w:cstheme="minorEastAsia"/>
          <w:sz w:val="24"/>
          <w:szCs w:val="24"/>
          <w:lang w:eastAsia="zh-CN"/>
        </w:rPr>
      </w:pPr>
      <w:bookmarkStart w:id="112" w:name="_Toc24858"/>
      <w:bookmarkStart w:id="113" w:name="_Toc82524615"/>
      <w:bookmarkStart w:id="114" w:name="_Toc536541110"/>
      <w:bookmarkStart w:id="115" w:name="_Toc413941324"/>
      <w:bookmarkStart w:id="116" w:name="_Toc530989733"/>
      <w:bookmarkStart w:id="117" w:name="_Toc536541421"/>
      <w:bookmarkStart w:id="118" w:name="_Toc536542020"/>
      <w:r>
        <w:rPr>
          <w:rFonts w:hint="eastAsia" w:asciiTheme="minorEastAsia" w:hAnsiTheme="minorEastAsia" w:eastAsiaTheme="minorEastAsia" w:cstheme="minorEastAsia"/>
          <w:sz w:val="24"/>
          <w:szCs w:val="24"/>
          <w:lang w:eastAsia="zh-CN"/>
        </w:rPr>
        <w:t>三、投标文件的编制</w:t>
      </w:r>
      <w:bookmarkEnd w:id="112"/>
      <w:bookmarkEnd w:id="113"/>
      <w:bookmarkEnd w:id="114"/>
      <w:bookmarkEnd w:id="115"/>
      <w:bookmarkEnd w:id="116"/>
      <w:bookmarkEnd w:id="117"/>
      <w:bookmarkEnd w:id="118"/>
    </w:p>
    <w:p w14:paraId="17FF07F4">
      <w:pPr>
        <w:spacing w:line="360" w:lineRule="auto"/>
        <w:ind w:firstLine="480" w:firstLineChars="200"/>
        <w:rPr>
          <w:rFonts w:asciiTheme="minorEastAsia" w:hAnsiTheme="minorEastAsia" w:eastAsiaTheme="minorEastAsia" w:cstheme="minorEastAsia"/>
          <w:sz w:val="24"/>
          <w:szCs w:val="24"/>
          <w:lang w:eastAsia="zh-CN"/>
        </w:rPr>
      </w:pPr>
      <w:bookmarkStart w:id="119" w:name="_Toc536542021"/>
      <w:bookmarkStart w:id="120" w:name="_Toc14563"/>
      <w:bookmarkStart w:id="121" w:name="_Toc536542583"/>
      <w:bookmarkStart w:id="122" w:name="_Toc82524616"/>
      <w:r>
        <w:rPr>
          <w:rFonts w:hint="eastAsia" w:asciiTheme="minorEastAsia" w:hAnsiTheme="minorEastAsia" w:eastAsiaTheme="minorEastAsia" w:cstheme="minorEastAsia"/>
          <w:sz w:val="24"/>
          <w:szCs w:val="24"/>
          <w:lang w:eastAsia="zh-CN"/>
        </w:rPr>
        <w:t>1．要求</w:t>
      </w:r>
      <w:bookmarkEnd w:id="119"/>
      <w:bookmarkEnd w:id="120"/>
      <w:bookmarkEnd w:id="121"/>
      <w:bookmarkEnd w:id="122"/>
    </w:p>
    <w:p w14:paraId="4DCE8E62">
      <w:pPr>
        <w:pStyle w:val="7"/>
        <w:ind w:firstLine="480" w:firstLineChars="200"/>
        <w:rPr>
          <w:rFonts w:asciiTheme="minorEastAsia" w:hAnsiTheme="minorEastAsia" w:eastAsiaTheme="minorEastAsia" w:cstheme="minorEastAsia"/>
          <w:szCs w:val="24"/>
          <w:lang w:eastAsia="zh-CN"/>
        </w:rPr>
      </w:pPr>
      <w:bookmarkStart w:id="123" w:name="_Toc536542584"/>
      <w:bookmarkStart w:id="124" w:name="_Toc536542022"/>
      <w:bookmarkStart w:id="125" w:name="_Toc82524617"/>
      <w:r>
        <w:rPr>
          <w:rFonts w:hint="eastAsia" w:asciiTheme="minorEastAsia" w:hAnsiTheme="minorEastAsia" w:eastAsiaTheme="minorEastAsia" w:cstheme="minorEastAsia"/>
          <w:szCs w:val="24"/>
          <w:lang w:eastAsia="zh-CN"/>
        </w:rPr>
        <w:t>投标人应仔细阅读招标文件中所有的事项、格式、条款和规范等要求，按招标文件规定的要求提供投标文件，并保证所提供的全部资料的真实性。如果投标文件没有按照招标文件要求提供全部资料，或者投标文件没有对招标文件在各方面都做出实质性响应，其投标将被拒绝，其风险应由投标人承担。</w:t>
      </w:r>
      <w:bookmarkEnd w:id="123"/>
      <w:bookmarkEnd w:id="124"/>
      <w:bookmarkEnd w:id="125"/>
    </w:p>
    <w:p w14:paraId="260C2885">
      <w:pPr>
        <w:spacing w:line="360" w:lineRule="auto"/>
        <w:ind w:firstLine="480" w:firstLineChars="200"/>
        <w:rPr>
          <w:rFonts w:asciiTheme="minorEastAsia" w:hAnsiTheme="minorEastAsia" w:eastAsiaTheme="minorEastAsia" w:cstheme="minorEastAsia"/>
          <w:sz w:val="24"/>
          <w:szCs w:val="24"/>
          <w:lang w:eastAsia="zh-CN"/>
        </w:rPr>
      </w:pPr>
      <w:bookmarkStart w:id="126" w:name="_Toc536542585"/>
      <w:bookmarkStart w:id="127" w:name="_Toc4702"/>
      <w:bookmarkStart w:id="128" w:name="_Toc536542023"/>
      <w:bookmarkStart w:id="129" w:name="_Toc82524618"/>
      <w:r>
        <w:rPr>
          <w:rFonts w:hint="eastAsia" w:asciiTheme="minorEastAsia" w:hAnsiTheme="minorEastAsia" w:eastAsiaTheme="minorEastAsia" w:cstheme="minorEastAsia"/>
          <w:sz w:val="24"/>
          <w:szCs w:val="24"/>
          <w:lang w:eastAsia="zh-CN"/>
        </w:rPr>
        <w:t>2．投标文件的语言及计量单位</w:t>
      </w:r>
      <w:bookmarkEnd w:id="126"/>
      <w:bookmarkEnd w:id="127"/>
      <w:bookmarkEnd w:id="128"/>
      <w:bookmarkEnd w:id="129"/>
    </w:p>
    <w:p w14:paraId="2E7019CC">
      <w:pPr>
        <w:spacing w:line="360" w:lineRule="auto"/>
        <w:ind w:firstLine="480" w:firstLineChars="200"/>
        <w:rPr>
          <w:rFonts w:asciiTheme="minorEastAsia" w:hAnsiTheme="minorEastAsia" w:eastAsiaTheme="minorEastAsia" w:cstheme="minorEastAsia"/>
          <w:sz w:val="24"/>
          <w:szCs w:val="24"/>
          <w:lang w:eastAsia="zh-CN"/>
        </w:rPr>
      </w:pPr>
      <w:bookmarkStart w:id="130" w:name="_Toc82524619"/>
      <w:bookmarkStart w:id="131" w:name="_Toc536542024"/>
      <w:bookmarkStart w:id="132" w:name="_Toc536542586"/>
      <w:r>
        <w:rPr>
          <w:rFonts w:hint="eastAsia" w:asciiTheme="minorEastAsia" w:hAnsiTheme="minorEastAsia" w:eastAsiaTheme="minorEastAsia" w:cstheme="minorEastAsia"/>
          <w:sz w:val="24"/>
          <w:szCs w:val="24"/>
          <w:lang w:eastAsia="zh-CN"/>
        </w:rPr>
        <w:t>2.1投标人提交的投标文件以及投标人与代理机构就有关投标的所有来往函电等均应使用中文，若有其他语言必须有中文译文，对不同文字文本投标文件的解释发生异议的，以中文文本为准。</w:t>
      </w:r>
      <w:bookmarkEnd w:id="130"/>
      <w:bookmarkEnd w:id="131"/>
      <w:bookmarkEnd w:id="132"/>
    </w:p>
    <w:p w14:paraId="3DBDD7EA">
      <w:pPr>
        <w:spacing w:line="360" w:lineRule="auto"/>
        <w:ind w:firstLine="480" w:firstLineChars="200"/>
        <w:rPr>
          <w:rFonts w:asciiTheme="minorEastAsia" w:hAnsiTheme="minorEastAsia" w:eastAsiaTheme="minorEastAsia" w:cstheme="minorEastAsia"/>
          <w:sz w:val="24"/>
          <w:szCs w:val="24"/>
          <w:lang w:eastAsia="zh-CN"/>
        </w:rPr>
      </w:pPr>
      <w:bookmarkStart w:id="133" w:name="_Toc536542025"/>
      <w:bookmarkStart w:id="134" w:name="_Toc536542587"/>
      <w:bookmarkStart w:id="135" w:name="_Toc82524620"/>
      <w:r>
        <w:rPr>
          <w:rFonts w:hint="eastAsia" w:asciiTheme="minorEastAsia" w:hAnsiTheme="minorEastAsia" w:eastAsiaTheme="minorEastAsia" w:cstheme="minorEastAsia"/>
          <w:sz w:val="24"/>
          <w:szCs w:val="24"/>
          <w:lang w:eastAsia="zh-CN"/>
        </w:rPr>
        <w:t>2.2除技术性能中另有规定外，投标文件所使用的度量单位均须采用法定标准计量单位。</w:t>
      </w:r>
      <w:bookmarkEnd w:id="133"/>
      <w:bookmarkEnd w:id="134"/>
      <w:bookmarkEnd w:id="135"/>
    </w:p>
    <w:p w14:paraId="2D9812A0">
      <w:pPr>
        <w:spacing w:line="360" w:lineRule="auto"/>
        <w:ind w:firstLine="480" w:firstLineChars="200"/>
        <w:rPr>
          <w:rFonts w:asciiTheme="minorEastAsia" w:hAnsiTheme="minorEastAsia" w:eastAsiaTheme="minorEastAsia" w:cstheme="minorEastAsia"/>
          <w:sz w:val="24"/>
          <w:szCs w:val="24"/>
          <w:lang w:eastAsia="zh-CN"/>
        </w:rPr>
      </w:pPr>
      <w:bookmarkStart w:id="136" w:name="_Toc82524621"/>
      <w:bookmarkStart w:id="137" w:name="_Toc536542588"/>
      <w:bookmarkStart w:id="138" w:name="_Toc536542026"/>
      <w:bookmarkStart w:id="139" w:name="_Toc17240"/>
      <w:r>
        <w:rPr>
          <w:rFonts w:hint="eastAsia" w:asciiTheme="minorEastAsia" w:hAnsiTheme="minorEastAsia" w:eastAsiaTheme="minorEastAsia" w:cstheme="minorEastAsia"/>
          <w:sz w:val="24"/>
          <w:szCs w:val="24"/>
          <w:lang w:eastAsia="zh-CN"/>
        </w:rPr>
        <w:t>3.投标文件的组成</w:t>
      </w:r>
      <w:bookmarkEnd w:id="136"/>
      <w:bookmarkEnd w:id="137"/>
      <w:bookmarkEnd w:id="138"/>
      <w:bookmarkEnd w:id="139"/>
    </w:p>
    <w:p w14:paraId="53281E7E">
      <w:pPr>
        <w:tabs>
          <w:tab w:val="left" w:pos="1260"/>
        </w:tabs>
        <w:spacing w:line="360" w:lineRule="auto"/>
        <w:ind w:firstLine="480" w:firstLineChars="200"/>
        <w:rPr>
          <w:rFonts w:asciiTheme="minorEastAsia" w:hAnsiTheme="minorEastAsia" w:eastAsiaTheme="minorEastAsia" w:cstheme="minorEastAsia"/>
          <w:sz w:val="24"/>
          <w:szCs w:val="24"/>
          <w:lang w:eastAsia="zh-CN"/>
        </w:rPr>
      </w:pPr>
      <w:bookmarkStart w:id="140" w:name="_Toc82524622"/>
      <w:bookmarkStart w:id="141" w:name="_Toc536542027"/>
      <w:bookmarkStart w:id="142" w:name="_Toc536542589"/>
      <w:r>
        <w:rPr>
          <w:rFonts w:hint="eastAsia" w:asciiTheme="minorEastAsia" w:hAnsiTheme="minorEastAsia" w:eastAsiaTheme="minorEastAsia" w:cstheme="minorEastAsia"/>
          <w:sz w:val="24"/>
          <w:szCs w:val="24"/>
          <w:lang w:eastAsia="zh-CN"/>
        </w:rPr>
        <w:t>3.1投标人编制的投标文件应包括下列部分：</w:t>
      </w:r>
      <w:bookmarkEnd w:id="140"/>
      <w:bookmarkEnd w:id="141"/>
      <w:bookmarkEnd w:id="142"/>
      <w:r>
        <w:rPr>
          <w:rFonts w:hint="eastAsia" w:asciiTheme="minorEastAsia" w:hAnsiTheme="minorEastAsia" w:eastAsiaTheme="minorEastAsia" w:cstheme="minorEastAsia"/>
          <w:sz w:val="24"/>
          <w:szCs w:val="24"/>
          <w:lang w:eastAsia="zh-CN"/>
        </w:rPr>
        <w:t>详见投标文件格式</w:t>
      </w:r>
      <w:r>
        <w:rPr>
          <w:rFonts w:hint="eastAsia" w:asciiTheme="minorEastAsia" w:hAnsiTheme="minorEastAsia" w:eastAsiaTheme="minorEastAsia" w:cstheme="minorEastAsia"/>
          <w:sz w:val="24"/>
          <w:szCs w:val="24"/>
          <w:lang w:eastAsia="zh-CN"/>
        </w:rPr>
        <w:tab/>
      </w:r>
    </w:p>
    <w:p w14:paraId="2DC4280F">
      <w:pPr>
        <w:spacing w:line="360" w:lineRule="auto"/>
        <w:ind w:firstLine="480" w:firstLineChars="200"/>
        <w:rPr>
          <w:rFonts w:asciiTheme="minorEastAsia" w:hAnsiTheme="minorEastAsia" w:eastAsiaTheme="minorEastAsia" w:cstheme="minorEastAsia"/>
          <w:sz w:val="24"/>
          <w:szCs w:val="24"/>
          <w:lang w:eastAsia="zh-CN"/>
        </w:rPr>
      </w:pPr>
      <w:bookmarkStart w:id="143" w:name="_Toc536542037"/>
      <w:bookmarkStart w:id="144" w:name="_Toc82524630"/>
      <w:bookmarkStart w:id="145" w:name="_Toc6236"/>
      <w:bookmarkStart w:id="146" w:name="_Toc536542599"/>
      <w:r>
        <w:rPr>
          <w:rFonts w:hint="eastAsia" w:asciiTheme="minorEastAsia" w:hAnsiTheme="minorEastAsia" w:eastAsiaTheme="minorEastAsia" w:cstheme="minorEastAsia"/>
          <w:sz w:val="24"/>
          <w:szCs w:val="24"/>
          <w:lang w:eastAsia="zh-CN"/>
        </w:rPr>
        <w:t>4.投标文件的格式</w:t>
      </w:r>
      <w:bookmarkEnd w:id="143"/>
      <w:bookmarkEnd w:id="144"/>
      <w:bookmarkEnd w:id="145"/>
      <w:bookmarkEnd w:id="146"/>
    </w:p>
    <w:p w14:paraId="0DFD5899">
      <w:pPr>
        <w:spacing w:line="360" w:lineRule="auto"/>
        <w:ind w:firstLine="480" w:firstLineChars="200"/>
        <w:rPr>
          <w:rFonts w:asciiTheme="minorEastAsia" w:hAnsiTheme="minorEastAsia" w:eastAsiaTheme="minorEastAsia" w:cstheme="minorEastAsia"/>
          <w:sz w:val="24"/>
          <w:szCs w:val="24"/>
          <w:lang w:eastAsia="zh-CN"/>
        </w:rPr>
      </w:pPr>
      <w:bookmarkStart w:id="147" w:name="_Toc536542600"/>
      <w:bookmarkStart w:id="148" w:name="_Toc536542038"/>
      <w:bookmarkStart w:id="149" w:name="_Toc82524631"/>
      <w:r>
        <w:rPr>
          <w:rFonts w:hint="eastAsia" w:asciiTheme="minorEastAsia" w:hAnsiTheme="minorEastAsia" w:eastAsiaTheme="minorEastAsia" w:cstheme="minorEastAsia"/>
          <w:sz w:val="24"/>
          <w:szCs w:val="24"/>
          <w:lang w:eastAsia="zh-CN"/>
        </w:rPr>
        <w:t>投标人应按招标文件中提供的投标文件格式充分填写。</w:t>
      </w:r>
      <w:bookmarkEnd w:id="147"/>
      <w:bookmarkEnd w:id="148"/>
      <w:bookmarkEnd w:id="149"/>
    </w:p>
    <w:p w14:paraId="2FBDA513">
      <w:pPr>
        <w:spacing w:line="360" w:lineRule="auto"/>
        <w:ind w:firstLine="480" w:firstLineChars="200"/>
        <w:rPr>
          <w:rFonts w:asciiTheme="minorEastAsia" w:hAnsiTheme="minorEastAsia" w:eastAsiaTheme="minorEastAsia" w:cstheme="minorEastAsia"/>
          <w:sz w:val="24"/>
          <w:szCs w:val="24"/>
          <w:lang w:eastAsia="zh-CN"/>
        </w:rPr>
      </w:pPr>
      <w:bookmarkStart w:id="150" w:name="_Toc536542039"/>
      <w:bookmarkStart w:id="151" w:name="_Toc82524632"/>
      <w:bookmarkStart w:id="152" w:name="_Toc536542601"/>
      <w:r>
        <w:rPr>
          <w:rFonts w:hint="eastAsia" w:asciiTheme="minorEastAsia" w:hAnsiTheme="minorEastAsia" w:eastAsiaTheme="minorEastAsia" w:cstheme="minorEastAsia"/>
          <w:sz w:val="24"/>
          <w:szCs w:val="24"/>
          <w:lang w:eastAsia="zh-CN"/>
        </w:rPr>
        <w:t>5.食材质量要求：符合国家相关标准和强制性规定要求。</w:t>
      </w:r>
      <w:bookmarkEnd w:id="150"/>
      <w:bookmarkEnd w:id="151"/>
      <w:bookmarkEnd w:id="152"/>
    </w:p>
    <w:p w14:paraId="66C1D8B5">
      <w:pPr>
        <w:spacing w:line="360" w:lineRule="auto"/>
        <w:ind w:firstLine="480" w:firstLineChars="200"/>
        <w:rPr>
          <w:rFonts w:asciiTheme="minorEastAsia" w:hAnsiTheme="minorEastAsia" w:eastAsiaTheme="minorEastAsia" w:cstheme="minorEastAsia"/>
          <w:sz w:val="24"/>
          <w:szCs w:val="24"/>
          <w:lang w:eastAsia="zh-CN"/>
        </w:rPr>
      </w:pPr>
      <w:bookmarkStart w:id="153" w:name="_Toc536542602"/>
      <w:bookmarkStart w:id="154" w:name="_Toc536542040"/>
      <w:bookmarkStart w:id="155" w:name="_Toc82524633"/>
      <w:r>
        <w:rPr>
          <w:rFonts w:hint="eastAsia" w:asciiTheme="minorEastAsia" w:hAnsiTheme="minorEastAsia" w:eastAsiaTheme="minorEastAsia" w:cstheme="minorEastAsia"/>
          <w:sz w:val="24"/>
          <w:szCs w:val="24"/>
          <w:lang w:eastAsia="zh-CN"/>
        </w:rPr>
        <w:t>6.投标报价</w:t>
      </w:r>
      <w:bookmarkEnd w:id="153"/>
      <w:bookmarkEnd w:id="154"/>
      <w:bookmarkEnd w:id="155"/>
    </w:p>
    <w:p w14:paraId="56EF0C60">
      <w:pPr>
        <w:tabs>
          <w:tab w:val="left" w:pos="720"/>
        </w:tabs>
        <w:spacing w:line="360" w:lineRule="auto"/>
        <w:ind w:firstLine="480" w:firstLineChars="200"/>
        <w:rPr>
          <w:rFonts w:asciiTheme="minorEastAsia" w:hAnsiTheme="minorEastAsia" w:eastAsiaTheme="minorEastAsia" w:cstheme="minorEastAsia"/>
          <w:sz w:val="24"/>
          <w:szCs w:val="24"/>
          <w:lang w:eastAsia="zh-CN"/>
        </w:rPr>
      </w:pPr>
      <w:bookmarkStart w:id="156" w:name="_Toc536542041"/>
      <w:bookmarkStart w:id="157" w:name="_Toc536542603"/>
      <w:bookmarkStart w:id="158" w:name="_Toc82524634"/>
      <w:r>
        <w:rPr>
          <w:rFonts w:hint="eastAsia" w:asciiTheme="minorEastAsia" w:hAnsiTheme="minorEastAsia" w:eastAsiaTheme="minorEastAsia" w:cstheme="minorEastAsia"/>
          <w:sz w:val="24"/>
          <w:szCs w:val="24"/>
          <w:lang w:eastAsia="zh-CN"/>
        </w:rPr>
        <w:t>6.1投标人可根据企业具体情况在合理范围内进行报价，招标人不接受任何有选择性的</w:t>
      </w:r>
      <w:bookmarkEnd w:id="156"/>
      <w:bookmarkEnd w:id="157"/>
      <w:bookmarkEnd w:id="158"/>
      <w:bookmarkStart w:id="159" w:name="_Toc536542042"/>
      <w:bookmarkStart w:id="160" w:name="_Toc536542604"/>
      <w:r>
        <w:rPr>
          <w:rFonts w:hint="eastAsia" w:asciiTheme="minorEastAsia" w:hAnsiTheme="minorEastAsia" w:eastAsiaTheme="minorEastAsia" w:cstheme="minorEastAsia"/>
          <w:sz w:val="24"/>
          <w:szCs w:val="24"/>
          <w:lang w:eastAsia="zh-CN"/>
        </w:rPr>
        <w:t>报价；</w:t>
      </w:r>
    </w:p>
    <w:bookmarkEnd w:id="159"/>
    <w:bookmarkEnd w:id="160"/>
    <w:p w14:paraId="0436075B">
      <w:pPr>
        <w:tabs>
          <w:tab w:val="left" w:pos="720"/>
        </w:tabs>
        <w:spacing w:line="360" w:lineRule="auto"/>
        <w:ind w:firstLine="480" w:firstLineChars="200"/>
        <w:rPr>
          <w:rFonts w:asciiTheme="minorEastAsia" w:hAnsiTheme="minorEastAsia" w:eastAsiaTheme="minorEastAsia" w:cstheme="minorEastAsia"/>
          <w:sz w:val="24"/>
          <w:szCs w:val="24"/>
          <w:lang w:eastAsia="zh-CN"/>
        </w:rPr>
      </w:pPr>
      <w:bookmarkStart w:id="161" w:name="_Toc536542605"/>
      <w:bookmarkStart w:id="162" w:name="_Toc82524636"/>
      <w:bookmarkStart w:id="163" w:name="_Toc536542043"/>
      <w:r>
        <w:rPr>
          <w:rFonts w:hint="eastAsia" w:asciiTheme="minorEastAsia" w:hAnsiTheme="minorEastAsia" w:eastAsiaTheme="minorEastAsia" w:cstheme="minorEastAsia"/>
          <w:sz w:val="24"/>
          <w:szCs w:val="24"/>
          <w:lang w:eastAsia="zh-CN"/>
        </w:rPr>
        <w:t>6.</w:t>
      </w:r>
      <w:bookmarkEnd w:id="161"/>
      <w:bookmarkEnd w:id="162"/>
      <w:bookmarkEnd w:id="163"/>
      <w:bookmarkStart w:id="164" w:name="_Toc536542044"/>
      <w:bookmarkStart w:id="165" w:name="_Toc536542606"/>
      <w:bookmarkStart w:id="166" w:name="_Toc82524637"/>
      <w:r>
        <w:rPr>
          <w:rFonts w:hint="eastAsia" w:asciiTheme="minorEastAsia" w:hAnsiTheme="minorEastAsia" w:eastAsiaTheme="minorEastAsia" w:cstheme="minorEastAsia"/>
          <w:sz w:val="24"/>
          <w:szCs w:val="24"/>
          <w:lang w:eastAsia="zh-CN"/>
        </w:rPr>
        <w:t xml:space="preserve">2投标人的报价应包含所投服务、保险、税费、包装、加工及加工损耗、运输、现场落地、安装及安装损耗、调试、检测验收和交付后约定期限内免费维保等工作所发生的一切应有费用。投标报价为签订合同的依据。 </w:t>
      </w:r>
    </w:p>
    <w:p w14:paraId="5F779097">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6.3开标时，投标文件中唱标内容与投标文件中明细表内容不一致的，以唱标内容为准。投标文件的大写金额和小写金额不一致的，以大写金额为准；总价金额与单价汇总金额不一致的，以单价金额计算结果为准；单价金额小数点有明显错位的，应以总价为准，并修改单价。</w:t>
      </w:r>
      <w:bookmarkEnd w:id="164"/>
      <w:bookmarkEnd w:id="165"/>
      <w:bookmarkEnd w:id="166"/>
    </w:p>
    <w:p w14:paraId="68C64013">
      <w:pPr>
        <w:spacing w:line="360" w:lineRule="auto"/>
        <w:ind w:firstLine="480" w:firstLineChars="200"/>
        <w:rPr>
          <w:rFonts w:asciiTheme="minorEastAsia" w:hAnsiTheme="minorEastAsia" w:eastAsiaTheme="minorEastAsia" w:cstheme="minorEastAsia"/>
          <w:sz w:val="24"/>
          <w:szCs w:val="24"/>
          <w:lang w:eastAsia="zh-CN"/>
        </w:rPr>
      </w:pPr>
      <w:bookmarkStart w:id="167" w:name="_Toc82524639"/>
      <w:bookmarkStart w:id="168" w:name="_Toc536542608"/>
      <w:bookmarkStart w:id="169" w:name="_Toc536542046"/>
      <w:bookmarkStart w:id="170" w:name="_Toc16620"/>
      <w:r>
        <w:rPr>
          <w:rFonts w:hint="eastAsia" w:asciiTheme="minorEastAsia" w:hAnsiTheme="minorEastAsia" w:eastAsiaTheme="minorEastAsia" w:cstheme="minorEastAsia"/>
          <w:sz w:val="24"/>
          <w:szCs w:val="24"/>
          <w:lang w:eastAsia="zh-CN"/>
        </w:rPr>
        <w:t>7.投标货币</w:t>
      </w:r>
      <w:bookmarkEnd w:id="167"/>
      <w:bookmarkEnd w:id="168"/>
      <w:bookmarkEnd w:id="169"/>
      <w:bookmarkEnd w:id="170"/>
    </w:p>
    <w:p w14:paraId="28BACC03">
      <w:pPr>
        <w:spacing w:line="360" w:lineRule="auto"/>
        <w:ind w:firstLine="480" w:firstLineChars="200"/>
        <w:rPr>
          <w:rFonts w:asciiTheme="minorEastAsia" w:hAnsiTheme="minorEastAsia" w:eastAsiaTheme="minorEastAsia" w:cstheme="minorEastAsia"/>
          <w:sz w:val="24"/>
          <w:szCs w:val="24"/>
          <w:lang w:eastAsia="zh-CN"/>
        </w:rPr>
      </w:pPr>
      <w:bookmarkStart w:id="171" w:name="_Toc536542609"/>
      <w:bookmarkStart w:id="172" w:name="_Toc536542047"/>
      <w:bookmarkStart w:id="173" w:name="_Toc82524640"/>
      <w:r>
        <w:rPr>
          <w:rFonts w:hint="eastAsia" w:asciiTheme="minorEastAsia" w:hAnsiTheme="minorEastAsia" w:eastAsiaTheme="minorEastAsia" w:cstheme="minorEastAsia"/>
          <w:sz w:val="24"/>
          <w:szCs w:val="24"/>
          <w:lang w:eastAsia="zh-CN"/>
        </w:rPr>
        <w:t>投标人应以人民币报价。投标人的投标报价应遵守“中华人民共和国价格法”，以不低于成本的价格销售货物或服务，否则应对其价格构成情况做出详细说明并提供相关证明资料。评标委员会评审中认为投标人的投标报价低于成本价时，有权利要求投标人在一定期限内做出澄清或解释。如果评标委员会认为投标人所做的澄清或者解释不能被接受，有权利拒绝其中标。投标人的澄清、说明或者补正不得超出投标文件的范围或者改变投标文件的实质性内容，书面承诺为其投标文件的组成部分。</w:t>
      </w:r>
      <w:bookmarkEnd w:id="171"/>
      <w:bookmarkEnd w:id="172"/>
      <w:bookmarkEnd w:id="173"/>
    </w:p>
    <w:p w14:paraId="6C218D02">
      <w:pPr>
        <w:spacing w:line="360" w:lineRule="auto"/>
        <w:ind w:firstLine="480" w:firstLineChars="200"/>
        <w:rPr>
          <w:rFonts w:asciiTheme="minorEastAsia" w:hAnsiTheme="minorEastAsia" w:eastAsiaTheme="minorEastAsia" w:cstheme="minorEastAsia"/>
          <w:sz w:val="24"/>
          <w:szCs w:val="24"/>
          <w:lang w:eastAsia="zh-CN"/>
        </w:rPr>
      </w:pPr>
      <w:bookmarkStart w:id="174" w:name="_Toc82524641"/>
      <w:bookmarkStart w:id="175" w:name="_Toc536542048"/>
      <w:bookmarkStart w:id="176" w:name="_Toc536542610"/>
      <w:bookmarkStart w:id="177" w:name="_Toc29204"/>
      <w:r>
        <w:rPr>
          <w:rFonts w:hint="eastAsia" w:asciiTheme="minorEastAsia" w:hAnsiTheme="minorEastAsia" w:eastAsiaTheme="minorEastAsia" w:cstheme="minorEastAsia"/>
          <w:sz w:val="24"/>
          <w:szCs w:val="24"/>
          <w:lang w:eastAsia="zh-CN"/>
        </w:rPr>
        <w:t>8.投标人资格的证明文件</w:t>
      </w:r>
      <w:bookmarkEnd w:id="174"/>
      <w:bookmarkEnd w:id="175"/>
      <w:bookmarkEnd w:id="176"/>
      <w:bookmarkEnd w:id="177"/>
    </w:p>
    <w:p w14:paraId="609781E0">
      <w:pPr>
        <w:spacing w:line="360" w:lineRule="auto"/>
        <w:ind w:firstLine="480" w:firstLineChars="200"/>
        <w:rPr>
          <w:rFonts w:asciiTheme="minorEastAsia" w:hAnsiTheme="minorEastAsia" w:eastAsiaTheme="minorEastAsia" w:cstheme="minorEastAsia"/>
          <w:sz w:val="24"/>
          <w:szCs w:val="24"/>
          <w:lang w:eastAsia="zh-CN"/>
        </w:rPr>
      </w:pPr>
      <w:bookmarkStart w:id="178" w:name="_Toc536542049"/>
      <w:bookmarkStart w:id="179" w:name="_Toc536542611"/>
      <w:bookmarkStart w:id="180" w:name="_Toc82524642"/>
      <w:r>
        <w:rPr>
          <w:rFonts w:hint="eastAsia" w:asciiTheme="minorEastAsia" w:hAnsiTheme="minorEastAsia" w:eastAsiaTheme="minorEastAsia" w:cstheme="minorEastAsia"/>
          <w:sz w:val="24"/>
          <w:szCs w:val="24"/>
          <w:lang w:eastAsia="zh-CN"/>
        </w:rPr>
        <w:t>8.1投标人必须提交证明其有资格参加投标和有能力履行合同的文件；</w:t>
      </w:r>
      <w:bookmarkEnd w:id="178"/>
      <w:bookmarkEnd w:id="179"/>
      <w:bookmarkEnd w:id="180"/>
    </w:p>
    <w:p w14:paraId="0BD58C3E">
      <w:pPr>
        <w:spacing w:line="360" w:lineRule="auto"/>
        <w:ind w:firstLine="480" w:firstLineChars="200"/>
        <w:rPr>
          <w:rFonts w:asciiTheme="minorEastAsia" w:hAnsiTheme="minorEastAsia" w:eastAsiaTheme="minorEastAsia" w:cstheme="minorEastAsia"/>
          <w:sz w:val="24"/>
          <w:szCs w:val="24"/>
          <w:lang w:eastAsia="zh-CN"/>
        </w:rPr>
      </w:pPr>
      <w:bookmarkStart w:id="181" w:name="_Toc536542612"/>
      <w:bookmarkStart w:id="182" w:name="_Toc536542050"/>
      <w:bookmarkStart w:id="183" w:name="_Toc82524643"/>
      <w:r>
        <w:rPr>
          <w:rFonts w:hint="eastAsia" w:asciiTheme="minorEastAsia" w:hAnsiTheme="minorEastAsia" w:eastAsiaTheme="minorEastAsia" w:cstheme="minorEastAsia"/>
          <w:sz w:val="24"/>
          <w:szCs w:val="24"/>
          <w:lang w:eastAsia="zh-CN"/>
        </w:rPr>
        <w:t>8.2投标人应提供有能力履行招标文件中合同条款和项目规定的要求和服务；</w:t>
      </w:r>
      <w:bookmarkEnd w:id="181"/>
      <w:bookmarkEnd w:id="182"/>
      <w:bookmarkEnd w:id="183"/>
    </w:p>
    <w:p w14:paraId="755A57F9">
      <w:pPr>
        <w:spacing w:line="360" w:lineRule="auto"/>
        <w:ind w:firstLine="480" w:firstLineChars="200"/>
        <w:rPr>
          <w:rFonts w:asciiTheme="minorEastAsia" w:hAnsiTheme="minorEastAsia" w:eastAsiaTheme="minorEastAsia" w:cstheme="minorEastAsia"/>
          <w:sz w:val="24"/>
          <w:szCs w:val="24"/>
          <w:lang w:eastAsia="zh-CN"/>
        </w:rPr>
      </w:pPr>
      <w:bookmarkStart w:id="184" w:name="_Toc536542051"/>
      <w:bookmarkStart w:id="185" w:name="_Toc82524644"/>
      <w:bookmarkStart w:id="186" w:name="_Toc536542613"/>
      <w:r>
        <w:rPr>
          <w:rFonts w:hint="eastAsia" w:asciiTheme="minorEastAsia" w:hAnsiTheme="minorEastAsia" w:eastAsiaTheme="minorEastAsia" w:cstheme="minorEastAsia"/>
          <w:sz w:val="24"/>
          <w:szCs w:val="24"/>
          <w:lang w:eastAsia="zh-CN"/>
        </w:rPr>
        <w:t>8.3所投产品涉及到政策功能(中小企业产品、节能产品、环保标志产品)的投标人需按要求提供相关有效证明材料。</w:t>
      </w:r>
      <w:bookmarkEnd w:id="184"/>
      <w:bookmarkEnd w:id="185"/>
      <w:bookmarkEnd w:id="186"/>
    </w:p>
    <w:p w14:paraId="73A4AC7C">
      <w:pPr>
        <w:spacing w:line="360" w:lineRule="auto"/>
        <w:ind w:firstLine="480" w:firstLineChars="200"/>
        <w:rPr>
          <w:rFonts w:asciiTheme="minorEastAsia" w:hAnsiTheme="minorEastAsia" w:eastAsiaTheme="minorEastAsia" w:cstheme="minorEastAsia"/>
          <w:sz w:val="24"/>
          <w:szCs w:val="24"/>
          <w:lang w:eastAsia="zh-CN"/>
        </w:rPr>
      </w:pPr>
      <w:bookmarkStart w:id="187" w:name="_Toc82524645"/>
      <w:bookmarkStart w:id="188" w:name="_Toc536542615"/>
      <w:bookmarkStart w:id="189" w:name="_Toc14590"/>
      <w:bookmarkStart w:id="190" w:name="_Toc536542053"/>
      <w:r>
        <w:rPr>
          <w:rFonts w:hint="eastAsia" w:asciiTheme="minorEastAsia" w:hAnsiTheme="minorEastAsia" w:eastAsiaTheme="minorEastAsia" w:cstheme="minorEastAsia"/>
          <w:sz w:val="24"/>
          <w:szCs w:val="24"/>
          <w:lang w:eastAsia="zh-CN"/>
        </w:rPr>
        <w:t>9.投标有效期</w:t>
      </w:r>
      <w:bookmarkEnd w:id="187"/>
      <w:bookmarkEnd w:id="188"/>
      <w:bookmarkEnd w:id="189"/>
      <w:bookmarkEnd w:id="190"/>
    </w:p>
    <w:p w14:paraId="3C5CFF0B">
      <w:pPr>
        <w:tabs>
          <w:tab w:val="left" w:pos="900"/>
          <w:tab w:val="left" w:pos="1260"/>
        </w:tabs>
        <w:spacing w:line="360" w:lineRule="auto"/>
        <w:ind w:firstLine="480" w:firstLineChars="200"/>
        <w:rPr>
          <w:rFonts w:asciiTheme="minorEastAsia" w:hAnsiTheme="minorEastAsia" w:eastAsiaTheme="minorEastAsia" w:cstheme="minorEastAsia"/>
          <w:sz w:val="24"/>
          <w:szCs w:val="24"/>
          <w:lang w:eastAsia="zh-CN"/>
        </w:rPr>
      </w:pPr>
      <w:bookmarkStart w:id="191" w:name="_Toc82524646"/>
      <w:bookmarkStart w:id="192" w:name="_Toc536542616"/>
      <w:bookmarkStart w:id="193" w:name="_Toc536542054"/>
      <w:r>
        <w:rPr>
          <w:rFonts w:hint="eastAsia" w:asciiTheme="minorEastAsia" w:hAnsiTheme="minorEastAsia" w:eastAsiaTheme="minorEastAsia" w:cstheme="minorEastAsia"/>
          <w:sz w:val="24"/>
          <w:szCs w:val="24"/>
          <w:lang w:eastAsia="zh-CN"/>
        </w:rPr>
        <w:t>9.1投标有效期</w:t>
      </w:r>
      <w:bookmarkEnd w:id="191"/>
      <w:bookmarkEnd w:id="192"/>
      <w:bookmarkEnd w:id="193"/>
      <w:r>
        <w:rPr>
          <w:rFonts w:hint="eastAsia" w:asciiTheme="minorEastAsia" w:hAnsiTheme="minorEastAsia" w:eastAsiaTheme="minorEastAsia" w:cstheme="minorEastAsia"/>
          <w:sz w:val="24"/>
          <w:szCs w:val="24"/>
          <w:lang w:eastAsia="zh-CN"/>
        </w:rPr>
        <w:t>：详见投标人须知。</w:t>
      </w:r>
    </w:p>
    <w:p w14:paraId="6D4C28B6">
      <w:pPr>
        <w:tabs>
          <w:tab w:val="left" w:pos="900"/>
          <w:tab w:val="left" w:pos="1260"/>
        </w:tabs>
        <w:spacing w:line="360" w:lineRule="auto"/>
        <w:ind w:firstLine="480" w:firstLineChars="200"/>
        <w:rPr>
          <w:rFonts w:asciiTheme="minorEastAsia" w:hAnsiTheme="minorEastAsia" w:eastAsiaTheme="minorEastAsia" w:cstheme="minorEastAsia"/>
          <w:sz w:val="24"/>
          <w:szCs w:val="24"/>
          <w:lang w:eastAsia="zh-CN"/>
        </w:rPr>
      </w:pPr>
      <w:bookmarkStart w:id="194" w:name="_Toc536542055"/>
      <w:bookmarkStart w:id="195" w:name="_Toc536542617"/>
      <w:bookmarkStart w:id="196" w:name="_Toc82524647"/>
      <w:r>
        <w:rPr>
          <w:rFonts w:hint="eastAsia" w:asciiTheme="minorEastAsia" w:hAnsiTheme="minorEastAsia" w:eastAsiaTheme="minorEastAsia" w:cstheme="minorEastAsia"/>
          <w:sz w:val="24"/>
          <w:szCs w:val="24"/>
          <w:lang w:eastAsia="zh-CN"/>
        </w:rPr>
        <w:t>9.2特殊情况下，代理机构可在投标有效期满之前要求投标人同意延长有效期。</w:t>
      </w:r>
      <w:bookmarkEnd w:id="194"/>
      <w:bookmarkEnd w:id="195"/>
      <w:bookmarkEnd w:id="196"/>
    </w:p>
    <w:p w14:paraId="570225A1">
      <w:pPr>
        <w:spacing w:line="360" w:lineRule="auto"/>
        <w:ind w:firstLine="482" w:firstLineChars="200"/>
        <w:rPr>
          <w:rFonts w:asciiTheme="minorEastAsia" w:hAnsiTheme="minorEastAsia" w:eastAsiaTheme="minorEastAsia" w:cstheme="minorEastAsia"/>
          <w:b/>
          <w:sz w:val="24"/>
          <w:szCs w:val="24"/>
          <w:lang w:eastAsia="zh-CN"/>
        </w:rPr>
      </w:pPr>
      <w:bookmarkStart w:id="197" w:name="_Toc536542618"/>
      <w:bookmarkStart w:id="198" w:name="_Toc536542056"/>
      <w:bookmarkStart w:id="199" w:name="_Toc82524648"/>
      <w:bookmarkStart w:id="200" w:name="_Toc1100"/>
      <w:r>
        <w:rPr>
          <w:rFonts w:hint="eastAsia" w:asciiTheme="minorEastAsia" w:hAnsiTheme="minorEastAsia" w:eastAsiaTheme="minorEastAsia" w:cstheme="minorEastAsia"/>
          <w:b/>
          <w:sz w:val="24"/>
          <w:szCs w:val="24"/>
          <w:lang w:eastAsia="zh-CN"/>
        </w:rPr>
        <w:t>10</w:t>
      </w:r>
      <w:bookmarkEnd w:id="197"/>
      <w:bookmarkEnd w:id="198"/>
      <w:r>
        <w:rPr>
          <w:rFonts w:hint="eastAsia" w:asciiTheme="minorEastAsia" w:hAnsiTheme="minorEastAsia" w:eastAsiaTheme="minorEastAsia" w:cstheme="minorEastAsia"/>
          <w:b/>
          <w:sz w:val="24"/>
          <w:szCs w:val="24"/>
          <w:lang w:eastAsia="zh-CN"/>
        </w:rPr>
        <w:t>.电子化投标文件的签章</w:t>
      </w:r>
      <w:bookmarkEnd w:id="199"/>
      <w:bookmarkEnd w:id="200"/>
    </w:p>
    <w:p w14:paraId="77CD6891">
      <w:pPr>
        <w:spacing w:line="360" w:lineRule="auto"/>
        <w:ind w:firstLine="482" w:firstLineChars="200"/>
        <w:rPr>
          <w:rFonts w:asciiTheme="minorEastAsia" w:hAnsiTheme="minorEastAsia" w:eastAsiaTheme="minorEastAsia" w:cstheme="minorEastAsia"/>
          <w:b/>
          <w:sz w:val="24"/>
          <w:szCs w:val="24"/>
          <w:lang w:eastAsia="zh-CN"/>
        </w:rPr>
      </w:pPr>
      <w:bookmarkStart w:id="201" w:name="_Toc536542057"/>
      <w:bookmarkStart w:id="202" w:name="_Toc536542619"/>
      <w:bookmarkStart w:id="203" w:name="_Toc82524649"/>
      <w:r>
        <w:rPr>
          <w:rFonts w:hint="eastAsia" w:asciiTheme="minorEastAsia" w:hAnsiTheme="minorEastAsia" w:eastAsiaTheme="minorEastAsia" w:cstheme="minorEastAsia"/>
          <w:b/>
          <w:sz w:val="24"/>
          <w:szCs w:val="24"/>
          <w:lang w:eastAsia="zh-CN"/>
        </w:rPr>
        <w:t>10.1</w:t>
      </w:r>
      <w:bookmarkEnd w:id="201"/>
      <w:bookmarkEnd w:id="202"/>
      <w:bookmarkStart w:id="204" w:name="_Toc536542060"/>
      <w:bookmarkStart w:id="205" w:name="_Toc536542622"/>
      <w:r>
        <w:rPr>
          <w:rFonts w:hint="eastAsia" w:asciiTheme="minorEastAsia" w:hAnsiTheme="minorEastAsia" w:eastAsiaTheme="minorEastAsia" w:cstheme="minorEastAsia"/>
          <w:b/>
          <w:sz w:val="24"/>
          <w:szCs w:val="24"/>
          <w:lang w:eastAsia="zh-CN"/>
        </w:rPr>
        <w:t>投标人在生成电子化投标文件后，应对电子化投标文件进行签章，未进行签章的视为无效投标。</w:t>
      </w:r>
      <w:bookmarkEnd w:id="203"/>
    </w:p>
    <w:p w14:paraId="5342F7D0">
      <w:pPr>
        <w:spacing w:line="360" w:lineRule="auto"/>
        <w:ind w:firstLine="482" w:firstLineChars="200"/>
        <w:rPr>
          <w:rFonts w:asciiTheme="minorEastAsia" w:hAnsiTheme="minorEastAsia" w:eastAsiaTheme="minorEastAsia" w:cstheme="minorEastAsia"/>
          <w:b/>
          <w:sz w:val="24"/>
          <w:szCs w:val="24"/>
          <w:lang w:eastAsia="zh-CN"/>
        </w:rPr>
      </w:pPr>
      <w:bookmarkStart w:id="206" w:name="_Toc82524650"/>
      <w:r>
        <w:rPr>
          <w:rFonts w:hint="eastAsia" w:asciiTheme="minorEastAsia" w:hAnsiTheme="minorEastAsia" w:eastAsiaTheme="minorEastAsia" w:cstheme="minorEastAsia"/>
          <w:b/>
          <w:sz w:val="24"/>
          <w:szCs w:val="24"/>
          <w:lang w:eastAsia="zh-CN"/>
        </w:rPr>
        <w:t>10.2电子化投标文件具体制作教材请投标人通过CA证书登录平顶山市公共资源电子化交易系统在右上角“组建下载”中查看。</w:t>
      </w:r>
      <w:bookmarkEnd w:id="206"/>
    </w:p>
    <w:p w14:paraId="2438CB8B">
      <w:pPr>
        <w:spacing w:line="360" w:lineRule="auto"/>
        <w:ind w:firstLine="482" w:firstLineChars="200"/>
        <w:rPr>
          <w:rFonts w:asciiTheme="minorEastAsia" w:hAnsiTheme="minorEastAsia" w:eastAsiaTheme="minorEastAsia" w:cstheme="minorEastAsia"/>
          <w:b/>
          <w:sz w:val="24"/>
          <w:szCs w:val="24"/>
          <w:lang w:eastAsia="zh-CN"/>
        </w:rPr>
      </w:pPr>
      <w:bookmarkStart w:id="207" w:name="_Toc82524651"/>
      <w:r>
        <w:rPr>
          <w:rFonts w:hint="eastAsia" w:asciiTheme="minorEastAsia" w:hAnsiTheme="minorEastAsia" w:eastAsiaTheme="minorEastAsia" w:cstheme="minorEastAsia"/>
          <w:b/>
          <w:sz w:val="24"/>
          <w:szCs w:val="24"/>
          <w:lang w:eastAsia="zh-CN"/>
        </w:rPr>
        <w:t>10.3电话、电报、传真、电子邮件形式的投标概不接受。</w:t>
      </w:r>
      <w:bookmarkEnd w:id="204"/>
      <w:bookmarkEnd w:id="205"/>
      <w:bookmarkEnd w:id="207"/>
    </w:p>
    <w:p w14:paraId="2490A8E5">
      <w:pPr>
        <w:spacing w:line="360" w:lineRule="auto"/>
        <w:ind w:firstLine="480" w:firstLineChars="200"/>
        <w:rPr>
          <w:rFonts w:asciiTheme="minorEastAsia" w:hAnsiTheme="minorEastAsia" w:eastAsiaTheme="minorEastAsia" w:cstheme="minorEastAsia"/>
          <w:sz w:val="24"/>
          <w:szCs w:val="24"/>
          <w:lang w:eastAsia="zh-CN"/>
        </w:rPr>
      </w:pPr>
      <w:bookmarkStart w:id="208" w:name="_Toc536541422"/>
      <w:bookmarkStart w:id="209" w:name="_Toc413941325"/>
      <w:bookmarkStart w:id="210" w:name="_Toc536542062"/>
      <w:bookmarkStart w:id="211" w:name="_Toc536541111"/>
      <w:bookmarkStart w:id="212" w:name="_Toc530989734"/>
      <w:bookmarkStart w:id="213" w:name="_Toc82524652"/>
      <w:bookmarkStart w:id="214" w:name="_Toc29877"/>
      <w:r>
        <w:rPr>
          <w:rFonts w:hint="eastAsia" w:asciiTheme="minorEastAsia" w:hAnsiTheme="minorEastAsia" w:eastAsiaTheme="minorEastAsia" w:cstheme="minorEastAsia"/>
          <w:sz w:val="24"/>
          <w:szCs w:val="24"/>
          <w:lang w:eastAsia="zh-CN"/>
        </w:rPr>
        <w:t>四、</w:t>
      </w:r>
      <w:bookmarkEnd w:id="208"/>
      <w:bookmarkEnd w:id="209"/>
      <w:bookmarkEnd w:id="210"/>
      <w:bookmarkEnd w:id="211"/>
      <w:bookmarkEnd w:id="212"/>
      <w:r>
        <w:rPr>
          <w:rFonts w:hint="eastAsia" w:asciiTheme="minorEastAsia" w:hAnsiTheme="minorEastAsia" w:eastAsiaTheme="minorEastAsia" w:cstheme="minorEastAsia"/>
          <w:sz w:val="24"/>
          <w:szCs w:val="24"/>
          <w:lang w:eastAsia="zh-CN"/>
        </w:rPr>
        <w:t>电子化投标文件的格式及上传投标</w:t>
      </w:r>
      <w:bookmarkEnd w:id="213"/>
      <w:bookmarkEnd w:id="214"/>
    </w:p>
    <w:p w14:paraId="065B2813">
      <w:pPr>
        <w:spacing w:line="360" w:lineRule="auto"/>
        <w:ind w:firstLine="482" w:firstLineChars="200"/>
        <w:rPr>
          <w:rFonts w:asciiTheme="minorEastAsia" w:hAnsiTheme="minorEastAsia" w:eastAsiaTheme="minorEastAsia" w:cstheme="minorEastAsia"/>
          <w:b/>
          <w:sz w:val="24"/>
          <w:szCs w:val="24"/>
          <w:lang w:eastAsia="zh-CN"/>
        </w:rPr>
      </w:pPr>
      <w:bookmarkStart w:id="215" w:name="_Toc82524653"/>
      <w:r>
        <w:rPr>
          <w:rFonts w:hint="eastAsia" w:asciiTheme="minorEastAsia" w:hAnsiTheme="minorEastAsia" w:eastAsiaTheme="minorEastAsia" w:cstheme="minorEastAsia"/>
          <w:b/>
          <w:sz w:val="24"/>
          <w:szCs w:val="24"/>
          <w:lang w:eastAsia="zh-CN"/>
        </w:rPr>
        <w:t>1.投标人所上传的电子化投标文件，应是通过中心投标文件制作系统制作的，经过签章和加密后生成的电子版投标文件。生成的电子版投标文件包含用于投标文件上传的主文件（项目文件格式为：xxx公司_项目名称.file）和用于应急补救的投标文件备份文件（项目文件格式为：xxx公司_项目名称.bin），备份文件主要用于电子化开标出现技术问题后的补救，请投标人随身携带。</w:t>
      </w:r>
      <w:bookmarkEnd w:id="215"/>
    </w:p>
    <w:p w14:paraId="32BB8F15">
      <w:pPr>
        <w:spacing w:line="360" w:lineRule="auto"/>
        <w:ind w:firstLine="482" w:firstLineChars="200"/>
        <w:rPr>
          <w:rFonts w:asciiTheme="minorEastAsia" w:hAnsiTheme="minorEastAsia" w:eastAsiaTheme="minorEastAsia" w:cstheme="minorEastAsia"/>
          <w:b/>
          <w:sz w:val="24"/>
          <w:szCs w:val="24"/>
          <w:lang w:eastAsia="zh-CN"/>
        </w:rPr>
      </w:pPr>
      <w:bookmarkStart w:id="216" w:name="_Toc82524655"/>
      <w:r>
        <w:rPr>
          <w:rFonts w:hint="eastAsia" w:asciiTheme="minorEastAsia" w:hAnsiTheme="minorEastAsia" w:eastAsiaTheme="minorEastAsia" w:cstheme="minorEastAsia"/>
          <w:b/>
          <w:sz w:val="24"/>
          <w:szCs w:val="24"/>
          <w:lang w:eastAsia="zh-CN"/>
        </w:rPr>
        <w:t>2.电子化投标文件应在投标截止时间前成功上传至平顶山市公共资源电子化交易系统。至投标截止时间止，仍未上传成功的电子化投标文件将不予接收。</w:t>
      </w:r>
      <w:bookmarkEnd w:id="216"/>
    </w:p>
    <w:p w14:paraId="7F2C738A">
      <w:pPr>
        <w:spacing w:line="360" w:lineRule="auto"/>
        <w:ind w:firstLine="482" w:firstLineChars="200"/>
        <w:rPr>
          <w:rFonts w:asciiTheme="minorEastAsia" w:hAnsiTheme="minorEastAsia" w:eastAsiaTheme="minorEastAsia" w:cstheme="minorEastAsia"/>
          <w:b/>
          <w:sz w:val="24"/>
          <w:szCs w:val="24"/>
          <w:lang w:eastAsia="zh-CN"/>
        </w:rPr>
      </w:pPr>
      <w:bookmarkStart w:id="217" w:name="_Toc82524656"/>
      <w:r>
        <w:rPr>
          <w:rFonts w:hint="eastAsia" w:asciiTheme="minorEastAsia" w:hAnsiTheme="minorEastAsia" w:eastAsiaTheme="minorEastAsia" w:cstheme="minorEastAsia"/>
          <w:b/>
          <w:sz w:val="24"/>
          <w:szCs w:val="24"/>
          <w:lang w:eastAsia="zh-CN"/>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bookmarkEnd w:id="217"/>
    </w:p>
    <w:p w14:paraId="4FAF3E8E">
      <w:pPr>
        <w:spacing w:line="360" w:lineRule="auto"/>
        <w:ind w:firstLine="480" w:firstLineChars="200"/>
        <w:rPr>
          <w:rFonts w:asciiTheme="minorEastAsia" w:hAnsiTheme="minorEastAsia" w:eastAsiaTheme="minorEastAsia" w:cstheme="minorEastAsia"/>
          <w:sz w:val="24"/>
          <w:szCs w:val="24"/>
          <w:lang w:eastAsia="zh-CN"/>
        </w:rPr>
      </w:pPr>
      <w:bookmarkStart w:id="218" w:name="_Toc536541112"/>
      <w:bookmarkStart w:id="219" w:name="_Toc536542077"/>
      <w:bookmarkStart w:id="220" w:name="_Toc536541423"/>
      <w:bookmarkStart w:id="221" w:name="_Toc530989735"/>
      <w:bookmarkStart w:id="222" w:name="_Toc413941326"/>
      <w:bookmarkStart w:id="223" w:name="_Toc21810"/>
      <w:bookmarkStart w:id="224" w:name="_Toc82524657"/>
      <w:r>
        <w:rPr>
          <w:rFonts w:hint="eastAsia" w:asciiTheme="minorEastAsia" w:hAnsiTheme="minorEastAsia" w:eastAsiaTheme="minorEastAsia" w:cstheme="minorEastAsia"/>
          <w:sz w:val="24"/>
          <w:szCs w:val="24"/>
          <w:lang w:eastAsia="zh-CN"/>
        </w:rPr>
        <w:t>五、</w:t>
      </w:r>
      <w:bookmarkEnd w:id="218"/>
      <w:bookmarkEnd w:id="219"/>
      <w:bookmarkEnd w:id="220"/>
      <w:bookmarkEnd w:id="221"/>
      <w:bookmarkEnd w:id="222"/>
      <w:r>
        <w:rPr>
          <w:rFonts w:hint="eastAsia" w:asciiTheme="minorEastAsia" w:hAnsiTheme="minorEastAsia" w:eastAsiaTheme="minorEastAsia" w:cstheme="minorEastAsia"/>
          <w:sz w:val="24"/>
          <w:szCs w:val="24"/>
          <w:lang w:eastAsia="zh-CN"/>
        </w:rPr>
        <w:t>电子化项目开标、解密、唱标、评标</w:t>
      </w:r>
      <w:bookmarkEnd w:id="223"/>
      <w:bookmarkEnd w:id="224"/>
    </w:p>
    <w:p w14:paraId="4DC5B7E6">
      <w:pPr>
        <w:spacing w:line="360" w:lineRule="auto"/>
        <w:ind w:firstLine="480" w:firstLineChars="200"/>
        <w:rPr>
          <w:rFonts w:asciiTheme="minorEastAsia" w:hAnsiTheme="minorEastAsia" w:eastAsiaTheme="minorEastAsia" w:cstheme="minorEastAsia"/>
          <w:sz w:val="24"/>
          <w:szCs w:val="24"/>
          <w:lang w:eastAsia="zh-CN"/>
        </w:rPr>
      </w:pPr>
      <w:bookmarkStart w:id="225" w:name="_Toc536542078"/>
      <w:bookmarkStart w:id="226" w:name="_Toc536542640"/>
      <w:bookmarkStart w:id="227" w:name="_Toc82524658"/>
      <w:bookmarkStart w:id="228" w:name="_Toc25729"/>
      <w:r>
        <w:rPr>
          <w:rFonts w:hint="eastAsia" w:asciiTheme="minorEastAsia" w:hAnsiTheme="minorEastAsia" w:eastAsiaTheme="minorEastAsia" w:cstheme="minorEastAsia"/>
          <w:sz w:val="24"/>
          <w:szCs w:val="24"/>
          <w:lang w:eastAsia="zh-CN"/>
        </w:rPr>
        <w:t>1.开标</w:t>
      </w:r>
      <w:bookmarkEnd w:id="225"/>
      <w:bookmarkEnd w:id="226"/>
      <w:bookmarkEnd w:id="227"/>
      <w:bookmarkEnd w:id="228"/>
    </w:p>
    <w:p w14:paraId="0433E294">
      <w:pPr>
        <w:spacing w:line="360" w:lineRule="auto"/>
        <w:ind w:firstLine="480" w:firstLineChars="200"/>
        <w:rPr>
          <w:rFonts w:asciiTheme="minorEastAsia" w:hAnsiTheme="minorEastAsia" w:eastAsiaTheme="minorEastAsia" w:cstheme="minorEastAsia"/>
          <w:sz w:val="24"/>
          <w:szCs w:val="24"/>
          <w:lang w:eastAsia="zh-CN"/>
        </w:rPr>
      </w:pPr>
      <w:bookmarkStart w:id="229" w:name="_Toc82524659"/>
      <w:bookmarkStart w:id="230" w:name="_Toc536542082"/>
      <w:bookmarkStart w:id="231" w:name="_Toc536542644"/>
      <w:r>
        <w:rPr>
          <w:rFonts w:hint="eastAsia" w:asciiTheme="minorEastAsia" w:hAnsiTheme="minorEastAsia" w:eastAsiaTheme="minorEastAsia" w:cstheme="minorEastAsia"/>
          <w:sz w:val="24"/>
          <w:szCs w:val="24"/>
          <w:lang w:eastAsia="zh-CN"/>
        </w:rPr>
        <w:t>电子化投标文件采用双重加密方式。开标时，首先由投标人使用CA证书，在规定时间内对其电子化投标文件进行首次解密，投标人解密完成后，再由中介服务机构使用CA证书对投标文件进行再次解密。</w:t>
      </w:r>
      <w:bookmarkEnd w:id="229"/>
    </w:p>
    <w:p w14:paraId="1847A951">
      <w:pPr>
        <w:spacing w:line="360" w:lineRule="auto"/>
        <w:ind w:firstLine="480" w:firstLineChars="200"/>
        <w:rPr>
          <w:rFonts w:asciiTheme="minorEastAsia" w:hAnsiTheme="minorEastAsia" w:eastAsiaTheme="minorEastAsia" w:cstheme="minorEastAsia"/>
          <w:sz w:val="24"/>
          <w:szCs w:val="24"/>
          <w:lang w:eastAsia="zh-CN"/>
        </w:rPr>
      </w:pPr>
      <w:bookmarkStart w:id="232" w:name="_Toc82524660"/>
      <w:bookmarkStart w:id="233" w:name="_Toc4723"/>
      <w:r>
        <w:rPr>
          <w:rFonts w:hint="eastAsia" w:asciiTheme="minorEastAsia" w:hAnsiTheme="minorEastAsia" w:eastAsiaTheme="minorEastAsia" w:cstheme="minorEastAsia"/>
          <w:sz w:val="24"/>
          <w:szCs w:val="24"/>
          <w:lang w:eastAsia="zh-CN"/>
        </w:rPr>
        <w:t>2.电子化投标文件解密异常的处理</w:t>
      </w:r>
      <w:bookmarkEnd w:id="232"/>
      <w:bookmarkEnd w:id="233"/>
    </w:p>
    <w:p w14:paraId="613C56F5">
      <w:pPr>
        <w:spacing w:line="360" w:lineRule="auto"/>
        <w:ind w:firstLine="480" w:firstLineChars="200"/>
        <w:rPr>
          <w:rFonts w:asciiTheme="minorEastAsia" w:hAnsiTheme="minorEastAsia" w:eastAsiaTheme="minorEastAsia" w:cstheme="minorEastAsia"/>
          <w:sz w:val="24"/>
          <w:szCs w:val="24"/>
          <w:lang w:eastAsia="zh-CN"/>
        </w:rPr>
      </w:pPr>
      <w:bookmarkStart w:id="234" w:name="_Toc82524661"/>
      <w:r>
        <w:rPr>
          <w:rFonts w:hint="eastAsia" w:asciiTheme="minorEastAsia" w:hAnsiTheme="minorEastAsia" w:eastAsiaTheme="minorEastAsia" w:cstheme="minorEastAsia"/>
          <w:sz w:val="24"/>
          <w:szCs w:val="24"/>
          <w:lang w:eastAsia="zh-CN"/>
        </w:rPr>
        <w:t>如出现投标人的电子投标文件无法解密的情况，投标人应及时联系中介服务机构说明。投标文件解密异常，按以下步骤进行处理：</w:t>
      </w:r>
      <w:bookmarkEnd w:id="234"/>
    </w:p>
    <w:p w14:paraId="005F29BB">
      <w:pPr>
        <w:spacing w:line="360" w:lineRule="auto"/>
        <w:ind w:firstLine="480" w:firstLineChars="200"/>
        <w:rPr>
          <w:rFonts w:asciiTheme="minorEastAsia" w:hAnsiTheme="minorEastAsia" w:eastAsiaTheme="minorEastAsia" w:cstheme="minorEastAsia"/>
          <w:sz w:val="24"/>
          <w:szCs w:val="24"/>
          <w:lang w:eastAsia="zh-CN"/>
        </w:rPr>
      </w:pPr>
      <w:bookmarkStart w:id="235" w:name="_Toc82524662"/>
      <w:r>
        <w:rPr>
          <w:rFonts w:hint="eastAsia" w:asciiTheme="minorEastAsia" w:hAnsiTheme="minorEastAsia" w:eastAsiaTheme="minorEastAsia" w:cstheme="minorEastAsia"/>
          <w:sz w:val="24"/>
          <w:szCs w:val="24"/>
          <w:lang w:eastAsia="zh-CN"/>
        </w:rPr>
        <w:t>2.1首先由技术人员进行问题排查。</w:t>
      </w:r>
      <w:bookmarkEnd w:id="235"/>
    </w:p>
    <w:p w14:paraId="6765B22F">
      <w:pPr>
        <w:spacing w:line="360" w:lineRule="auto"/>
        <w:ind w:firstLine="480" w:firstLineChars="200"/>
        <w:rPr>
          <w:rFonts w:asciiTheme="minorEastAsia" w:hAnsiTheme="minorEastAsia" w:eastAsiaTheme="minorEastAsia" w:cstheme="minorEastAsia"/>
          <w:sz w:val="24"/>
          <w:szCs w:val="24"/>
          <w:lang w:eastAsia="zh-CN"/>
        </w:rPr>
      </w:pPr>
      <w:bookmarkStart w:id="236" w:name="_Toc82524663"/>
      <w:r>
        <w:rPr>
          <w:rFonts w:hint="eastAsia" w:asciiTheme="minorEastAsia" w:hAnsiTheme="minorEastAsia" w:eastAsiaTheme="minorEastAsia" w:cstheme="minorEastAsia"/>
          <w:sz w:val="24"/>
          <w:szCs w:val="24"/>
          <w:lang w:eastAsia="zh-CN"/>
        </w:rPr>
        <w:t>2.2经技术人员排查后，是投标人文件自身问题导致投标文件无法解密的，该投标文件将不予接收、解密和唱标，开标会议继续进行。</w:t>
      </w:r>
      <w:bookmarkEnd w:id="236"/>
    </w:p>
    <w:p w14:paraId="05543365">
      <w:pPr>
        <w:spacing w:line="360" w:lineRule="auto"/>
        <w:ind w:firstLine="480" w:firstLineChars="200"/>
        <w:rPr>
          <w:rFonts w:asciiTheme="minorEastAsia" w:hAnsiTheme="minorEastAsia" w:eastAsiaTheme="minorEastAsia" w:cstheme="minorEastAsia"/>
          <w:sz w:val="24"/>
          <w:szCs w:val="24"/>
          <w:lang w:eastAsia="zh-CN"/>
        </w:rPr>
      </w:pPr>
      <w:bookmarkStart w:id="237" w:name="_Toc82524664"/>
      <w:r>
        <w:rPr>
          <w:rFonts w:hint="eastAsia" w:asciiTheme="minorEastAsia" w:hAnsiTheme="minorEastAsia" w:eastAsiaTheme="minorEastAsia" w:cstheme="minorEastAsia"/>
          <w:sz w:val="24"/>
          <w:szCs w:val="24"/>
          <w:lang w:eastAsia="zh-CN"/>
        </w:rPr>
        <w:t>2.3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bookmarkEnd w:id="237"/>
    </w:p>
    <w:p w14:paraId="5B8FB67A">
      <w:pPr>
        <w:spacing w:line="360" w:lineRule="auto"/>
        <w:ind w:firstLine="480" w:firstLineChars="200"/>
        <w:rPr>
          <w:rFonts w:asciiTheme="minorEastAsia" w:hAnsiTheme="minorEastAsia" w:eastAsiaTheme="minorEastAsia" w:cstheme="minorEastAsia"/>
          <w:sz w:val="24"/>
          <w:szCs w:val="24"/>
          <w:lang w:eastAsia="zh-CN"/>
        </w:rPr>
      </w:pPr>
      <w:bookmarkStart w:id="238" w:name="_Toc82524665"/>
      <w:r>
        <w:rPr>
          <w:rFonts w:hint="eastAsia" w:asciiTheme="minorEastAsia" w:hAnsiTheme="minorEastAsia" w:eastAsiaTheme="minorEastAsia" w:cstheme="minorEastAsia"/>
          <w:sz w:val="24"/>
          <w:szCs w:val="24"/>
          <w:lang w:eastAsia="zh-CN"/>
        </w:rPr>
        <w:t>3.待所有投标人投标文件解密完成后，由中介服务机构操作，对所有已解密投标文件进行唱标。</w:t>
      </w:r>
      <w:bookmarkEnd w:id="238"/>
    </w:p>
    <w:p w14:paraId="34D82BCB">
      <w:pPr>
        <w:spacing w:line="360" w:lineRule="auto"/>
        <w:ind w:firstLine="480" w:firstLineChars="200"/>
        <w:rPr>
          <w:rFonts w:asciiTheme="minorEastAsia" w:hAnsiTheme="minorEastAsia" w:eastAsiaTheme="minorEastAsia" w:cstheme="minorEastAsia"/>
          <w:sz w:val="24"/>
          <w:szCs w:val="24"/>
          <w:lang w:eastAsia="zh-CN"/>
        </w:rPr>
      </w:pPr>
      <w:bookmarkStart w:id="239" w:name="_Toc82524666"/>
      <w:r>
        <w:rPr>
          <w:rFonts w:hint="eastAsia" w:asciiTheme="minorEastAsia" w:hAnsiTheme="minorEastAsia" w:eastAsiaTheme="minorEastAsia" w:cstheme="minorEastAsia"/>
          <w:sz w:val="24"/>
          <w:szCs w:val="24"/>
          <w:lang w:eastAsia="zh-CN"/>
        </w:rPr>
        <w:t>4.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bookmarkEnd w:id="239"/>
    </w:p>
    <w:p w14:paraId="65390E99">
      <w:pPr>
        <w:spacing w:line="360" w:lineRule="auto"/>
        <w:ind w:firstLine="480" w:firstLineChars="200"/>
        <w:rPr>
          <w:rFonts w:asciiTheme="minorEastAsia" w:hAnsiTheme="minorEastAsia" w:eastAsiaTheme="minorEastAsia" w:cstheme="minorEastAsia"/>
          <w:sz w:val="24"/>
          <w:szCs w:val="24"/>
          <w:lang w:eastAsia="zh-CN"/>
        </w:rPr>
      </w:pPr>
      <w:bookmarkStart w:id="240" w:name="_Toc82524667"/>
      <w:r>
        <w:rPr>
          <w:rFonts w:hint="eastAsia" w:asciiTheme="minorEastAsia" w:hAnsiTheme="minorEastAsia" w:eastAsiaTheme="minorEastAsia" w:cstheme="minorEastAsia"/>
          <w:sz w:val="24"/>
          <w:szCs w:val="24"/>
          <w:lang w:eastAsia="zh-CN"/>
        </w:rPr>
        <w:t>5.如评标委员会对需要回复的投标人回复内容有异议的，经过几次回复仍不清楚的，需在监督下进行免提电话进行质疑。</w:t>
      </w:r>
      <w:bookmarkEnd w:id="240"/>
    </w:p>
    <w:p w14:paraId="064CE878">
      <w:pPr>
        <w:spacing w:line="360" w:lineRule="auto"/>
        <w:ind w:firstLine="480" w:firstLineChars="200"/>
        <w:rPr>
          <w:rFonts w:asciiTheme="minorEastAsia" w:hAnsiTheme="minorEastAsia" w:eastAsiaTheme="minorEastAsia" w:cstheme="minorEastAsia"/>
          <w:sz w:val="24"/>
          <w:szCs w:val="24"/>
          <w:lang w:eastAsia="zh-CN"/>
        </w:rPr>
      </w:pPr>
      <w:bookmarkStart w:id="241" w:name="_Toc82524668"/>
      <w:r>
        <w:rPr>
          <w:rFonts w:hint="eastAsia" w:asciiTheme="minorEastAsia" w:hAnsiTheme="minorEastAsia" w:eastAsiaTheme="minorEastAsia" w:cstheme="minorEastAsia"/>
          <w:sz w:val="24"/>
          <w:szCs w:val="24"/>
          <w:lang w:eastAsia="zh-CN"/>
        </w:rPr>
        <w:t>6.评标时如因系统异常、停电、电脑病毒、网络堵塞等原因无法正常进行的，由技术人员排查解决，短时间无法解决的，经监督部门同意后，暂停评标活动，待问题解决后继续评标。</w:t>
      </w:r>
      <w:bookmarkEnd w:id="241"/>
    </w:p>
    <w:p w14:paraId="16274529">
      <w:pPr>
        <w:spacing w:line="360" w:lineRule="auto"/>
        <w:ind w:firstLine="480" w:firstLineChars="200"/>
        <w:rPr>
          <w:rFonts w:asciiTheme="minorEastAsia" w:hAnsiTheme="minorEastAsia" w:eastAsiaTheme="minorEastAsia" w:cstheme="minorEastAsia"/>
          <w:sz w:val="24"/>
          <w:szCs w:val="24"/>
          <w:lang w:eastAsia="zh-CN"/>
        </w:rPr>
      </w:pPr>
      <w:bookmarkStart w:id="242" w:name="_Toc82524669"/>
      <w:bookmarkStart w:id="243" w:name="_Toc27248"/>
      <w:r>
        <w:rPr>
          <w:rFonts w:hint="eastAsia" w:asciiTheme="minorEastAsia" w:hAnsiTheme="minorEastAsia" w:eastAsiaTheme="minorEastAsia" w:cstheme="minorEastAsia"/>
          <w:sz w:val="24"/>
          <w:szCs w:val="24"/>
          <w:lang w:eastAsia="zh-CN"/>
        </w:rPr>
        <w:t>7.评标委员会</w:t>
      </w:r>
      <w:bookmarkEnd w:id="230"/>
      <w:bookmarkEnd w:id="231"/>
      <w:bookmarkEnd w:id="242"/>
      <w:bookmarkEnd w:id="243"/>
    </w:p>
    <w:p w14:paraId="0C165D66">
      <w:pPr>
        <w:spacing w:line="360" w:lineRule="auto"/>
        <w:ind w:firstLine="480" w:firstLineChars="200"/>
        <w:rPr>
          <w:rFonts w:asciiTheme="minorEastAsia" w:hAnsiTheme="minorEastAsia" w:eastAsiaTheme="minorEastAsia" w:cstheme="minorEastAsia"/>
          <w:sz w:val="24"/>
          <w:szCs w:val="24"/>
          <w:lang w:eastAsia="zh-CN"/>
        </w:rPr>
      </w:pPr>
      <w:bookmarkStart w:id="244" w:name="_Toc536542645"/>
      <w:bookmarkStart w:id="245" w:name="_Toc536542083"/>
      <w:bookmarkStart w:id="246" w:name="_Toc82524670"/>
      <w:r>
        <w:rPr>
          <w:rFonts w:hint="eastAsia" w:asciiTheme="minorEastAsia" w:hAnsiTheme="minorEastAsia" w:eastAsiaTheme="minorEastAsia" w:cstheme="minorEastAsia"/>
          <w:sz w:val="24"/>
          <w:szCs w:val="24"/>
          <w:lang w:eastAsia="zh-CN"/>
        </w:rPr>
        <w:t>7.1本次招标将依法组建评标委员会。评标委员会由采购人代表和评审专家组成，成员人数应当为7人及以上，其中评审专家不得少于成员总数的三分之二；评标委员会成员从《</w:t>
      </w:r>
      <w:r>
        <w:rPr>
          <w:rFonts w:hint="eastAsia" w:asciiTheme="minorEastAsia" w:hAnsiTheme="minorEastAsia" w:eastAsiaTheme="minorEastAsia" w:cstheme="minorEastAsia"/>
          <w:sz w:val="24"/>
          <w:szCs w:val="24"/>
          <w:lang w:val="en-US" w:eastAsia="zh-CN"/>
        </w:rPr>
        <w:t>河南省政府采购专家库</w:t>
      </w:r>
      <w:r>
        <w:rPr>
          <w:rFonts w:hint="eastAsia" w:asciiTheme="minorEastAsia" w:hAnsiTheme="minorEastAsia" w:eastAsiaTheme="minorEastAsia" w:cstheme="minorEastAsia"/>
          <w:sz w:val="24"/>
          <w:szCs w:val="24"/>
          <w:lang w:eastAsia="zh-CN"/>
        </w:rPr>
        <w:t>》中随机抽取。评标委员会负责对所有投标文件进行审查、质疑、评估、比较。</w:t>
      </w:r>
      <w:bookmarkEnd w:id="244"/>
      <w:bookmarkEnd w:id="245"/>
      <w:bookmarkEnd w:id="246"/>
    </w:p>
    <w:p w14:paraId="5DFFD946">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7.2评标中因评标委员会成员缺席、回避或者健康等特殊原因导致评标委员会组成不符合财政部87号令规定的，采购人或者采购代理机构将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w:t>
      </w:r>
    </w:p>
    <w:p w14:paraId="4C7ACE41">
      <w:pPr>
        <w:spacing w:line="360" w:lineRule="auto"/>
        <w:ind w:firstLine="480" w:firstLineChars="200"/>
        <w:rPr>
          <w:rFonts w:asciiTheme="minorEastAsia" w:hAnsiTheme="minorEastAsia" w:eastAsiaTheme="minorEastAsia" w:cstheme="minorEastAsia"/>
          <w:sz w:val="24"/>
          <w:szCs w:val="24"/>
          <w:lang w:eastAsia="zh-CN"/>
        </w:rPr>
      </w:pPr>
      <w:bookmarkStart w:id="247" w:name="_Toc82524671"/>
      <w:r>
        <w:rPr>
          <w:rFonts w:hint="eastAsia" w:asciiTheme="minorEastAsia" w:hAnsiTheme="minorEastAsia" w:eastAsiaTheme="minorEastAsia" w:cstheme="minorEastAsia"/>
          <w:sz w:val="24"/>
          <w:szCs w:val="24"/>
          <w:lang w:eastAsia="zh-CN"/>
        </w:rPr>
        <w:t>7.3评标委员会及其成员不得有下列行为：</w:t>
      </w:r>
      <w:bookmarkEnd w:id="247"/>
    </w:p>
    <w:p w14:paraId="58AE3983">
      <w:pPr>
        <w:spacing w:line="360" w:lineRule="auto"/>
        <w:ind w:firstLine="480" w:firstLineChars="200"/>
        <w:rPr>
          <w:rFonts w:asciiTheme="minorEastAsia" w:hAnsiTheme="minorEastAsia" w:eastAsiaTheme="minorEastAsia" w:cstheme="minorEastAsia"/>
          <w:sz w:val="24"/>
          <w:szCs w:val="24"/>
          <w:lang w:eastAsia="zh-CN"/>
        </w:rPr>
      </w:pPr>
      <w:bookmarkStart w:id="248" w:name="_Toc82524672"/>
      <w:r>
        <w:rPr>
          <w:rFonts w:hint="eastAsia" w:asciiTheme="minorEastAsia" w:hAnsiTheme="minorEastAsia" w:eastAsiaTheme="minorEastAsia" w:cstheme="minorEastAsia"/>
          <w:sz w:val="24"/>
          <w:szCs w:val="24"/>
          <w:lang w:eastAsia="zh-CN"/>
        </w:rPr>
        <w:t>7.3.1确定参与评标至评标结束前私自接触投标人；</w:t>
      </w:r>
      <w:bookmarkEnd w:id="248"/>
    </w:p>
    <w:p w14:paraId="6305D0C0">
      <w:pPr>
        <w:spacing w:line="360" w:lineRule="auto"/>
        <w:ind w:firstLine="480" w:firstLineChars="200"/>
        <w:rPr>
          <w:rFonts w:asciiTheme="minorEastAsia" w:hAnsiTheme="minorEastAsia" w:eastAsiaTheme="minorEastAsia" w:cstheme="minorEastAsia"/>
          <w:sz w:val="24"/>
          <w:szCs w:val="24"/>
          <w:lang w:eastAsia="zh-CN"/>
        </w:rPr>
      </w:pPr>
      <w:bookmarkStart w:id="249" w:name="_Toc82524673"/>
      <w:r>
        <w:rPr>
          <w:rFonts w:hint="eastAsia" w:asciiTheme="minorEastAsia" w:hAnsiTheme="minorEastAsia" w:eastAsiaTheme="minorEastAsia" w:cstheme="minorEastAsia"/>
          <w:sz w:val="24"/>
          <w:szCs w:val="24"/>
          <w:lang w:eastAsia="zh-CN"/>
        </w:rPr>
        <w:t>7.3.2接受投标人提出的与投标文件不一致的澄清或者说明，财政部87号令第五十一条规定的情形除外；</w:t>
      </w:r>
      <w:bookmarkEnd w:id="249"/>
    </w:p>
    <w:p w14:paraId="3C740EEB">
      <w:pPr>
        <w:spacing w:line="360" w:lineRule="auto"/>
        <w:ind w:firstLine="480" w:firstLineChars="200"/>
        <w:rPr>
          <w:rFonts w:asciiTheme="minorEastAsia" w:hAnsiTheme="minorEastAsia" w:eastAsiaTheme="minorEastAsia" w:cstheme="minorEastAsia"/>
          <w:sz w:val="24"/>
          <w:szCs w:val="24"/>
          <w:lang w:eastAsia="zh-CN"/>
        </w:rPr>
      </w:pPr>
      <w:bookmarkStart w:id="250" w:name="_Toc82524674"/>
      <w:r>
        <w:rPr>
          <w:rFonts w:hint="eastAsia" w:asciiTheme="minorEastAsia" w:hAnsiTheme="minorEastAsia" w:eastAsiaTheme="minorEastAsia" w:cstheme="minorEastAsia"/>
          <w:sz w:val="24"/>
          <w:szCs w:val="24"/>
          <w:lang w:eastAsia="zh-CN"/>
        </w:rPr>
        <w:t>7.3.3违反评标纪律发表倾向性意见或者征询采购人的倾向性意见；</w:t>
      </w:r>
      <w:bookmarkEnd w:id="250"/>
    </w:p>
    <w:p w14:paraId="24B42174">
      <w:pPr>
        <w:spacing w:line="360" w:lineRule="auto"/>
        <w:ind w:firstLine="480" w:firstLineChars="200"/>
        <w:rPr>
          <w:rFonts w:asciiTheme="minorEastAsia" w:hAnsiTheme="minorEastAsia" w:eastAsiaTheme="minorEastAsia" w:cstheme="minorEastAsia"/>
          <w:sz w:val="24"/>
          <w:szCs w:val="24"/>
          <w:lang w:eastAsia="zh-CN"/>
        </w:rPr>
      </w:pPr>
      <w:bookmarkStart w:id="251" w:name="_Toc82524675"/>
      <w:r>
        <w:rPr>
          <w:rFonts w:hint="eastAsia" w:asciiTheme="minorEastAsia" w:hAnsiTheme="minorEastAsia" w:eastAsiaTheme="minorEastAsia" w:cstheme="minorEastAsia"/>
          <w:sz w:val="24"/>
          <w:szCs w:val="24"/>
          <w:lang w:eastAsia="zh-CN"/>
        </w:rPr>
        <w:t>7.3.4对需要专业判断的主观评审因素协商评分；</w:t>
      </w:r>
      <w:bookmarkEnd w:id="251"/>
    </w:p>
    <w:p w14:paraId="1D71DDE9">
      <w:pPr>
        <w:spacing w:line="360" w:lineRule="auto"/>
        <w:ind w:firstLine="480" w:firstLineChars="200"/>
        <w:rPr>
          <w:rFonts w:asciiTheme="minorEastAsia" w:hAnsiTheme="minorEastAsia" w:eastAsiaTheme="minorEastAsia" w:cstheme="minorEastAsia"/>
          <w:sz w:val="24"/>
          <w:szCs w:val="24"/>
          <w:lang w:eastAsia="zh-CN"/>
        </w:rPr>
      </w:pPr>
      <w:bookmarkStart w:id="252" w:name="_Toc82524676"/>
      <w:r>
        <w:rPr>
          <w:rFonts w:hint="eastAsia" w:asciiTheme="minorEastAsia" w:hAnsiTheme="minorEastAsia" w:eastAsiaTheme="minorEastAsia" w:cstheme="minorEastAsia"/>
          <w:sz w:val="24"/>
          <w:szCs w:val="24"/>
          <w:lang w:eastAsia="zh-CN"/>
        </w:rPr>
        <w:t>7.3.5在评标过程中擅离职守，影响评标程序正常进行的；</w:t>
      </w:r>
      <w:bookmarkEnd w:id="252"/>
    </w:p>
    <w:p w14:paraId="1818F293">
      <w:pPr>
        <w:spacing w:line="360" w:lineRule="auto"/>
        <w:ind w:firstLine="480" w:firstLineChars="200"/>
        <w:rPr>
          <w:rFonts w:asciiTheme="minorEastAsia" w:hAnsiTheme="minorEastAsia" w:eastAsiaTheme="minorEastAsia" w:cstheme="minorEastAsia"/>
          <w:sz w:val="24"/>
          <w:szCs w:val="24"/>
          <w:lang w:eastAsia="zh-CN"/>
        </w:rPr>
      </w:pPr>
      <w:bookmarkStart w:id="253" w:name="_Toc82524677"/>
      <w:r>
        <w:rPr>
          <w:rFonts w:hint="eastAsia" w:asciiTheme="minorEastAsia" w:hAnsiTheme="minorEastAsia" w:eastAsiaTheme="minorEastAsia" w:cstheme="minorEastAsia"/>
          <w:sz w:val="24"/>
          <w:szCs w:val="24"/>
          <w:lang w:eastAsia="zh-CN"/>
        </w:rPr>
        <w:t>7.3.6录、复制或者带走任何评标资料；</w:t>
      </w:r>
      <w:bookmarkEnd w:id="253"/>
    </w:p>
    <w:p w14:paraId="55596BA4">
      <w:pPr>
        <w:spacing w:line="360" w:lineRule="auto"/>
        <w:ind w:firstLine="480" w:firstLineChars="200"/>
        <w:rPr>
          <w:rFonts w:asciiTheme="minorEastAsia" w:hAnsiTheme="minorEastAsia" w:eastAsiaTheme="minorEastAsia" w:cstheme="minorEastAsia"/>
          <w:sz w:val="24"/>
          <w:szCs w:val="24"/>
          <w:lang w:eastAsia="zh-CN"/>
        </w:rPr>
      </w:pPr>
      <w:bookmarkStart w:id="254" w:name="_Toc82524678"/>
      <w:r>
        <w:rPr>
          <w:rFonts w:hint="eastAsia" w:asciiTheme="minorEastAsia" w:hAnsiTheme="minorEastAsia" w:eastAsiaTheme="minorEastAsia" w:cstheme="minorEastAsia"/>
          <w:sz w:val="24"/>
          <w:szCs w:val="24"/>
          <w:lang w:eastAsia="zh-CN"/>
        </w:rPr>
        <w:t>7.3.7其他不遵守评标纪律的行为。</w:t>
      </w:r>
      <w:bookmarkEnd w:id="254"/>
    </w:p>
    <w:p w14:paraId="53E9176C">
      <w:pPr>
        <w:spacing w:line="360" w:lineRule="auto"/>
        <w:ind w:firstLine="480" w:firstLineChars="200"/>
        <w:rPr>
          <w:rFonts w:asciiTheme="minorEastAsia" w:hAnsiTheme="minorEastAsia" w:eastAsiaTheme="minorEastAsia" w:cstheme="minorEastAsia"/>
          <w:sz w:val="24"/>
          <w:szCs w:val="24"/>
          <w:lang w:eastAsia="zh-CN"/>
        </w:rPr>
      </w:pPr>
      <w:bookmarkStart w:id="255" w:name="_Toc82524679"/>
      <w:r>
        <w:rPr>
          <w:rFonts w:hint="eastAsia" w:asciiTheme="minorEastAsia" w:hAnsiTheme="minorEastAsia" w:eastAsiaTheme="minorEastAsia" w:cstheme="minorEastAsia"/>
          <w:sz w:val="24"/>
          <w:szCs w:val="24"/>
          <w:lang w:eastAsia="zh-CN"/>
        </w:rPr>
        <w:t>评标委员会成员有前款第一至五项行为之一的，其评审意见无效，并不得获取评审劳务报酬和报销异地评审差旅费。</w:t>
      </w:r>
      <w:bookmarkEnd w:id="255"/>
    </w:p>
    <w:p w14:paraId="3B03D185">
      <w:pPr>
        <w:spacing w:line="360" w:lineRule="auto"/>
        <w:ind w:firstLine="480" w:firstLineChars="200"/>
        <w:rPr>
          <w:rFonts w:asciiTheme="minorEastAsia" w:hAnsiTheme="minorEastAsia" w:eastAsiaTheme="minorEastAsia" w:cstheme="minorEastAsia"/>
          <w:sz w:val="24"/>
          <w:szCs w:val="24"/>
          <w:lang w:eastAsia="zh-CN"/>
        </w:rPr>
      </w:pPr>
      <w:bookmarkStart w:id="256" w:name="_Toc7339"/>
      <w:bookmarkStart w:id="257" w:name="_Toc82524680"/>
      <w:bookmarkStart w:id="258" w:name="_Toc536542646"/>
      <w:bookmarkStart w:id="259" w:name="_Toc536542084"/>
      <w:r>
        <w:rPr>
          <w:rFonts w:hint="eastAsia" w:asciiTheme="minorEastAsia" w:hAnsiTheme="minorEastAsia" w:eastAsiaTheme="minorEastAsia" w:cstheme="minorEastAsia"/>
          <w:sz w:val="24"/>
          <w:szCs w:val="24"/>
          <w:lang w:eastAsia="zh-CN"/>
        </w:rPr>
        <w:t>8.投标文件的澄清</w:t>
      </w:r>
      <w:bookmarkEnd w:id="256"/>
      <w:bookmarkEnd w:id="257"/>
      <w:bookmarkEnd w:id="258"/>
      <w:bookmarkEnd w:id="259"/>
    </w:p>
    <w:p w14:paraId="518FB6A2">
      <w:pPr>
        <w:spacing w:line="360" w:lineRule="auto"/>
        <w:ind w:firstLine="480" w:firstLineChars="200"/>
        <w:rPr>
          <w:rFonts w:asciiTheme="minorEastAsia" w:hAnsiTheme="minorEastAsia" w:eastAsiaTheme="minorEastAsia" w:cstheme="minorEastAsia"/>
          <w:sz w:val="24"/>
          <w:szCs w:val="24"/>
          <w:lang w:eastAsia="zh-CN"/>
        </w:rPr>
      </w:pPr>
      <w:bookmarkStart w:id="260" w:name="_Toc82524681"/>
      <w:bookmarkStart w:id="261" w:name="_Toc536542647"/>
      <w:bookmarkStart w:id="262" w:name="_Toc536542085"/>
      <w:r>
        <w:rPr>
          <w:rFonts w:hint="eastAsia" w:asciiTheme="minorEastAsia" w:hAnsiTheme="minorEastAsia" w:eastAsiaTheme="minorEastAsia" w:cstheme="minorEastAsia"/>
          <w:sz w:val="24"/>
          <w:szCs w:val="24"/>
          <w:lang w:eastAsia="zh-CN"/>
        </w:rPr>
        <w:t>8.1为了有助于对投标文件进行审查、评估和比较，评标委员会有权向投标人质疑，请投标人澄清其投标文件内容。投标人有责任按照代理机构通知的时间、地点指派专人进行答疑和澄清；</w:t>
      </w:r>
      <w:bookmarkEnd w:id="260"/>
      <w:bookmarkEnd w:id="261"/>
      <w:bookmarkEnd w:id="262"/>
      <w:bookmarkStart w:id="263" w:name="_Toc536542087"/>
      <w:bookmarkStart w:id="264" w:name="_Toc536542649"/>
      <w:bookmarkStart w:id="265" w:name="_Toc82524683"/>
    </w:p>
    <w:p w14:paraId="1449AC4B">
      <w:pPr>
        <w:spacing w:line="360" w:lineRule="auto"/>
        <w:ind w:firstLine="480" w:firstLineChars="200"/>
        <w:rPr>
          <w:rFonts w:asciiTheme="minorEastAsia" w:hAnsiTheme="minorEastAsia" w:eastAsiaTheme="minorEastAsia" w:cstheme="minorEastAsia"/>
          <w:sz w:val="24"/>
          <w:szCs w:val="24"/>
          <w:lang w:eastAsia="zh-CN"/>
        </w:rPr>
      </w:pPr>
      <w:bookmarkStart w:id="266" w:name="_Toc30801"/>
      <w:r>
        <w:rPr>
          <w:rFonts w:hint="eastAsia" w:asciiTheme="minorEastAsia" w:hAnsiTheme="minorEastAsia" w:eastAsiaTheme="minorEastAsia" w:cstheme="minorEastAsia"/>
          <w:sz w:val="24"/>
          <w:szCs w:val="24"/>
          <w:lang w:eastAsia="zh-CN"/>
        </w:rPr>
        <w:t>9.串通投标行为</w:t>
      </w:r>
      <w:bookmarkEnd w:id="266"/>
    </w:p>
    <w:p w14:paraId="4766AC36">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9.1投标人有以下情形之一的，视为投标人串通投标，其投标无效：</w:t>
      </w:r>
    </w:p>
    <w:p w14:paraId="72F87C1F">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9.1.1不同投标人的投标文件由同一单位或者个人编制；</w:t>
      </w:r>
    </w:p>
    <w:p w14:paraId="2BD08140">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9.1.2不同投标人委托同一单位或者个人办理投标事宜；</w:t>
      </w:r>
    </w:p>
    <w:p w14:paraId="6CC51F62">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9.1.3不同投标人的投标文件载明的项目管理成员或者联系人员为同一人；</w:t>
      </w:r>
    </w:p>
    <w:p w14:paraId="5F07688A">
      <w:pPr>
        <w:spacing w:line="360" w:lineRule="auto"/>
        <w:ind w:firstLine="480" w:firstLineChars="200"/>
        <w:rPr>
          <w:rFonts w:asciiTheme="minorEastAsia" w:hAnsiTheme="minorEastAsia" w:eastAsiaTheme="minorEastAsia" w:cstheme="minorEastAsia"/>
          <w:sz w:val="24"/>
          <w:szCs w:val="24"/>
          <w:lang w:eastAsia="zh-CN"/>
        </w:rPr>
      </w:pPr>
      <w:bookmarkStart w:id="267" w:name="_Toc82524682"/>
      <w:r>
        <w:rPr>
          <w:rFonts w:hint="eastAsia" w:asciiTheme="minorEastAsia" w:hAnsiTheme="minorEastAsia" w:eastAsiaTheme="minorEastAsia" w:cstheme="minorEastAsia"/>
          <w:sz w:val="24"/>
          <w:szCs w:val="24"/>
          <w:lang w:eastAsia="zh-CN"/>
        </w:rPr>
        <w:t>9.1.4不同投标人的“投标文件制作机器码”一致的投标单位；</w:t>
      </w:r>
      <w:bookmarkEnd w:id="267"/>
    </w:p>
    <w:p w14:paraId="65D84307">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9.1.5不同投标人的投标文件相互混装。</w:t>
      </w:r>
    </w:p>
    <w:p w14:paraId="7ABAEF83">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9.2关于河南省财政厅关于防范供应商串通投标促进政府采购公平竞争的通知，参与同一个标段（包）的供应商存在下列情形之一的，其投标（响应）文件无效：</w:t>
      </w:r>
    </w:p>
    <w:p w14:paraId="2E694EEB">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9.2.1不同供应商的电子投标（响应）文件上传计算机的网卡MAC地址、CPU序列号和硬盘序列号等硬件信息相同的；</w:t>
      </w:r>
    </w:p>
    <w:p w14:paraId="2BAAD78F">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9.2.2不同供应商的投标（响应）文件由同一电子设备编制、打印加密或者上传；</w:t>
      </w:r>
    </w:p>
    <w:p w14:paraId="5289563A">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9.2.3不同供应商的投标（响应）文件由同一电子设备打印、复印；</w:t>
      </w:r>
    </w:p>
    <w:p w14:paraId="3AAA2831">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9.2.4不同供应商的投标（响应）文件由同一人送达或者分发，或者不同供应商联系人为同一人或不同联系人的联系电话一致的；</w:t>
      </w:r>
    </w:p>
    <w:p w14:paraId="7B1F940E">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9.2.5不同供应商的投标（响应）文件的内容存在两处以上细节错误一致；</w:t>
      </w:r>
    </w:p>
    <w:p w14:paraId="27CE7968">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9.2.6不同供应商的法定代表人、委托代理人、项目经理、项目负责人等由同一个单位缴纳社会保险或者领取报酬的；</w:t>
      </w:r>
    </w:p>
    <w:p w14:paraId="7CB5CA28">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9.2.7不同供应商投标（响应）文件中法定代表人或者负责人签字出自同一人之手；</w:t>
      </w:r>
    </w:p>
    <w:p w14:paraId="184EF1B3">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9.2.8其它涉嫌串通的情形。</w:t>
      </w:r>
    </w:p>
    <w:p w14:paraId="6C446C43">
      <w:pPr>
        <w:spacing w:line="360" w:lineRule="auto"/>
        <w:ind w:firstLine="480" w:firstLineChars="200"/>
        <w:rPr>
          <w:rFonts w:asciiTheme="minorEastAsia" w:hAnsiTheme="minorEastAsia" w:eastAsiaTheme="minorEastAsia" w:cstheme="minorEastAsia"/>
          <w:sz w:val="24"/>
          <w:szCs w:val="24"/>
          <w:lang w:eastAsia="zh-CN"/>
        </w:rPr>
      </w:pPr>
      <w:bookmarkStart w:id="268" w:name="_Toc27535"/>
      <w:r>
        <w:rPr>
          <w:rFonts w:hint="eastAsia" w:asciiTheme="minorEastAsia" w:hAnsiTheme="minorEastAsia" w:eastAsiaTheme="minorEastAsia" w:cstheme="minorEastAsia"/>
          <w:sz w:val="24"/>
          <w:szCs w:val="24"/>
          <w:lang w:eastAsia="zh-CN"/>
        </w:rPr>
        <w:t>10.评标方法</w:t>
      </w:r>
      <w:bookmarkEnd w:id="263"/>
      <w:bookmarkEnd w:id="264"/>
      <w:bookmarkEnd w:id="265"/>
      <w:bookmarkEnd w:id="268"/>
    </w:p>
    <w:p w14:paraId="602762CE">
      <w:pPr>
        <w:spacing w:line="360" w:lineRule="auto"/>
        <w:ind w:firstLine="480" w:firstLineChars="200"/>
        <w:rPr>
          <w:rFonts w:asciiTheme="minorEastAsia" w:hAnsiTheme="minorEastAsia" w:eastAsiaTheme="minorEastAsia" w:cstheme="minorEastAsia"/>
          <w:sz w:val="24"/>
          <w:szCs w:val="24"/>
          <w:lang w:eastAsia="zh-CN"/>
        </w:rPr>
      </w:pPr>
      <w:bookmarkStart w:id="269" w:name="_Toc536542088"/>
      <w:bookmarkStart w:id="270" w:name="_Toc82524684"/>
      <w:bookmarkStart w:id="271" w:name="_Toc536542650"/>
      <w:r>
        <w:rPr>
          <w:rFonts w:hint="eastAsia" w:asciiTheme="minorEastAsia" w:hAnsiTheme="minorEastAsia" w:eastAsiaTheme="minorEastAsia" w:cstheme="minorEastAsia"/>
          <w:sz w:val="24"/>
          <w:szCs w:val="24"/>
          <w:lang w:eastAsia="zh-CN"/>
        </w:rPr>
        <w:t>10.1本次招标采用综合评分法。</w:t>
      </w:r>
      <w:bookmarkEnd w:id="269"/>
      <w:bookmarkEnd w:id="270"/>
      <w:bookmarkEnd w:id="271"/>
    </w:p>
    <w:p w14:paraId="77302BD7">
      <w:pPr>
        <w:spacing w:line="360" w:lineRule="auto"/>
        <w:ind w:firstLine="480" w:firstLineChars="200"/>
        <w:rPr>
          <w:rFonts w:asciiTheme="minorEastAsia" w:hAnsiTheme="minorEastAsia" w:eastAsiaTheme="minorEastAsia" w:cstheme="minorEastAsia"/>
          <w:sz w:val="24"/>
          <w:szCs w:val="24"/>
          <w:lang w:eastAsia="zh-CN"/>
        </w:rPr>
      </w:pPr>
      <w:bookmarkStart w:id="272" w:name="_Toc536542089"/>
      <w:bookmarkStart w:id="273" w:name="_Toc536542651"/>
      <w:bookmarkStart w:id="274" w:name="_Toc82524685"/>
      <w:r>
        <w:rPr>
          <w:rFonts w:hint="eastAsia" w:asciiTheme="minorEastAsia" w:hAnsiTheme="minorEastAsia" w:eastAsiaTheme="minorEastAsia" w:cstheme="minorEastAsia"/>
          <w:sz w:val="24"/>
          <w:szCs w:val="24"/>
          <w:lang w:eastAsia="zh-CN"/>
        </w:rPr>
        <w:t>10.2出现下列情况将会导致投标文件无效。</w:t>
      </w:r>
      <w:bookmarkEnd w:id="272"/>
      <w:bookmarkEnd w:id="273"/>
      <w:bookmarkEnd w:id="274"/>
    </w:p>
    <w:p w14:paraId="1A794535">
      <w:pPr>
        <w:spacing w:line="360" w:lineRule="auto"/>
        <w:ind w:firstLine="480" w:firstLineChars="200"/>
        <w:rPr>
          <w:rFonts w:asciiTheme="minorEastAsia" w:hAnsiTheme="minorEastAsia" w:eastAsiaTheme="minorEastAsia" w:cstheme="minorEastAsia"/>
          <w:sz w:val="24"/>
          <w:szCs w:val="24"/>
          <w:lang w:eastAsia="zh-CN"/>
        </w:rPr>
      </w:pPr>
      <w:bookmarkStart w:id="275" w:name="_Toc536542092"/>
      <w:bookmarkStart w:id="276" w:name="_Toc536542654"/>
      <w:bookmarkStart w:id="277" w:name="_Toc82524686"/>
      <w:r>
        <w:rPr>
          <w:rFonts w:hint="eastAsia" w:asciiTheme="minorEastAsia" w:hAnsiTheme="minorEastAsia" w:eastAsiaTheme="minorEastAsia" w:cstheme="minorEastAsia"/>
          <w:sz w:val="24"/>
          <w:szCs w:val="24"/>
          <w:lang w:eastAsia="zh-CN"/>
        </w:rPr>
        <w:t>10.2.1不具备招标文件中规定的资格要求的。</w:t>
      </w:r>
      <w:bookmarkEnd w:id="275"/>
      <w:bookmarkEnd w:id="276"/>
      <w:bookmarkEnd w:id="277"/>
    </w:p>
    <w:p w14:paraId="62323E4C">
      <w:pPr>
        <w:spacing w:line="360" w:lineRule="auto"/>
        <w:ind w:firstLine="480" w:firstLineChars="200"/>
        <w:rPr>
          <w:rFonts w:asciiTheme="minorEastAsia" w:hAnsiTheme="minorEastAsia" w:eastAsiaTheme="minorEastAsia" w:cstheme="minorEastAsia"/>
          <w:sz w:val="24"/>
          <w:szCs w:val="24"/>
          <w:lang w:eastAsia="zh-CN"/>
        </w:rPr>
      </w:pPr>
      <w:bookmarkStart w:id="278" w:name="_Toc82524687"/>
      <w:bookmarkStart w:id="279" w:name="_Toc536542655"/>
      <w:bookmarkStart w:id="280" w:name="_Toc536542093"/>
      <w:r>
        <w:rPr>
          <w:rFonts w:hint="eastAsia" w:asciiTheme="minorEastAsia" w:hAnsiTheme="minorEastAsia" w:eastAsiaTheme="minorEastAsia" w:cstheme="minorEastAsia"/>
          <w:sz w:val="24"/>
          <w:szCs w:val="24"/>
          <w:lang w:eastAsia="zh-CN"/>
        </w:rPr>
        <w:t>10.2.2报价超过招标文件中规定的预算金额或者最高限价的。</w:t>
      </w:r>
      <w:bookmarkEnd w:id="278"/>
      <w:bookmarkEnd w:id="279"/>
      <w:bookmarkEnd w:id="280"/>
    </w:p>
    <w:p w14:paraId="623D274F">
      <w:pPr>
        <w:spacing w:line="360" w:lineRule="auto"/>
        <w:ind w:firstLine="480" w:firstLineChars="200"/>
        <w:rPr>
          <w:rFonts w:asciiTheme="minorEastAsia" w:hAnsiTheme="minorEastAsia" w:eastAsiaTheme="minorEastAsia" w:cstheme="minorEastAsia"/>
          <w:sz w:val="24"/>
          <w:szCs w:val="24"/>
          <w:lang w:eastAsia="zh-CN"/>
        </w:rPr>
      </w:pPr>
      <w:bookmarkStart w:id="281" w:name="_Toc536542656"/>
      <w:bookmarkStart w:id="282" w:name="_Toc536542094"/>
      <w:bookmarkStart w:id="283" w:name="_Toc82524688"/>
      <w:r>
        <w:rPr>
          <w:rFonts w:hint="eastAsia" w:asciiTheme="minorEastAsia" w:hAnsiTheme="minorEastAsia" w:eastAsiaTheme="minorEastAsia" w:cstheme="minorEastAsia"/>
          <w:sz w:val="24"/>
          <w:szCs w:val="24"/>
          <w:lang w:eastAsia="zh-CN"/>
        </w:rPr>
        <w:t>10.2.3投标文件含有采购人不能接受的附加条件的。</w:t>
      </w:r>
      <w:bookmarkEnd w:id="281"/>
      <w:bookmarkEnd w:id="282"/>
      <w:bookmarkEnd w:id="283"/>
    </w:p>
    <w:p w14:paraId="5E6697C2">
      <w:pPr>
        <w:spacing w:line="360" w:lineRule="auto"/>
        <w:ind w:firstLine="480" w:firstLineChars="200"/>
        <w:rPr>
          <w:rFonts w:asciiTheme="minorEastAsia" w:hAnsiTheme="minorEastAsia" w:eastAsiaTheme="minorEastAsia" w:cstheme="minorEastAsia"/>
          <w:sz w:val="24"/>
          <w:szCs w:val="24"/>
          <w:lang w:eastAsia="zh-CN"/>
        </w:rPr>
      </w:pPr>
      <w:bookmarkStart w:id="284" w:name="_Toc536542095"/>
      <w:bookmarkStart w:id="285" w:name="_Toc536542657"/>
      <w:bookmarkStart w:id="286" w:name="_Toc82524689"/>
      <w:r>
        <w:rPr>
          <w:rFonts w:hint="eastAsia" w:asciiTheme="minorEastAsia" w:hAnsiTheme="minorEastAsia" w:eastAsiaTheme="minorEastAsia" w:cstheme="minorEastAsia"/>
          <w:sz w:val="24"/>
          <w:szCs w:val="24"/>
          <w:lang w:eastAsia="zh-CN"/>
        </w:rPr>
        <w:t>10.2.4法律、法规和招标文件规定的其他无效情形。</w:t>
      </w:r>
      <w:bookmarkEnd w:id="284"/>
      <w:bookmarkEnd w:id="285"/>
      <w:bookmarkEnd w:id="286"/>
    </w:p>
    <w:p w14:paraId="74BA879F">
      <w:pPr>
        <w:spacing w:line="360" w:lineRule="auto"/>
        <w:ind w:firstLine="480" w:firstLineChars="200"/>
        <w:rPr>
          <w:rFonts w:asciiTheme="minorEastAsia" w:hAnsiTheme="minorEastAsia" w:eastAsiaTheme="minorEastAsia" w:cstheme="minorEastAsia"/>
          <w:sz w:val="24"/>
          <w:szCs w:val="24"/>
          <w:lang w:eastAsia="zh-CN"/>
        </w:rPr>
      </w:pPr>
      <w:bookmarkStart w:id="287" w:name="_Toc10166"/>
      <w:bookmarkStart w:id="288" w:name="_Toc82524690"/>
      <w:bookmarkStart w:id="289" w:name="_Toc536542658"/>
      <w:bookmarkStart w:id="290" w:name="_Toc536542096"/>
      <w:r>
        <w:rPr>
          <w:rFonts w:hint="eastAsia" w:asciiTheme="minorEastAsia" w:hAnsiTheme="minorEastAsia" w:eastAsiaTheme="minorEastAsia" w:cstheme="minorEastAsia"/>
          <w:sz w:val="24"/>
          <w:szCs w:val="24"/>
          <w:lang w:eastAsia="zh-CN"/>
        </w:rPr>
        <w:t>11.评标原则</w:t>
      </w:r>
      <w:bookmarkEnd w:id="287"/>
      <w:bookmarkEnd w:id="288"/>
      <w:bookmarkEnd w:id="289"/>
      <w:bookmarkEnd w:id="290"/>
    </w:p>
    <w:p w14:paraId="18FF8E87">
      <w:pPr>
        <w:spacing w:line="360" w:lineRule="auto"/>
        <w:ind w:firstLine="480" w:firstLineChars="200"/>
        <w:rPr>
          <w:rFonts w:asciiTheme="minorEastAsia" w:hAnsiTheme="minorEastAsia" w:eastAsiaTheme="minorEastAsia" w:cstheme="minorEastAsia"/>
          <w:sz w:val="24"/>
          <w:szCs w:val="24"/>
          <w:lang w:eastAsia="zh-CN"/>
        </w:rPr>
      </w:pPr>
      <w:bookmarkStart w:id="291" w:name="_Toc536542097"/>
      <w:bookmarkStart w:id="292" w:name="_Toc536542659"/>
      <w:bookmarkStart w:id="293" w:name="_Toc82524691"/>
      <w:r>
        <w:rPr>
          <w:rFonts w:hint="eastAsia" w:asciiTheme="minorEastAsia" w:hAnsiTheme="minorEastAsia" w:eastAsiaTheme="minorEastAsia" w:cstheme="minorEastAsia"/>
          <w:sz w:val="24"/>
          <w:szCs w:val="24"/>
          <w:lang w:eastAsia="zh-CN"/>
        </w:rPr>
        <w:t>11.1遵循国家有关法律、法规；</w:t>
      </w:r>
      <w:bookmarkEnd w:id="291"/>
      <w:bookmarkEnd w:id="292"/>
      <w:bookmarkEnd w:id="293"/>
    </w:p>
    <w:p w14:paraId="12B778EF">
      <w:pPr>
        <w:spacing w:line="360" w:lineRule="auto"/>
        <w:ind w:firstLine="480" w:firstLineChars="200"/>
        <w:rPr>
          <w:rFonts w:asciiTheme="minorEastAsia" w:hAnsiTheme="minorEastAsia" w:eastAsiaTheme="minorEastAsia" w:cstheme="minorEastAsia"/>
          <w:sz w:val="24"/>
          <w:szCs w:val="24"/>
          <w:lang w:eastAsia="zh-CN"/>
        </w:rPr>
      </w:pPr>
      <w:bookmarkStart w:id="294" w:name="_Toc536542660"/>
      <w:bookmarkStart w:id="295" w:name="_Toc82524692"/>
      <w:bookmarkStart w:id="296" w:name="_Toc536542098"/>
      <w:r>
        <w:rPr>
          <w:rFonts w:hint="eastAsia" w:asciiTheme="minorEastAsia" w:hAnsiTheme="minorEastAsia" w:eastAsiaTheme="minorEastAsia" w:cstheme="minorEastAsia"/>
          <w:sz w:val="24"/>
          <w:szCs w:val="24"/>
          <w:lang w:eastAsia="zh-CN"/>
        </w:rPr>
        <w:t>11.2保护采购方的合法利益；</w:t>
      </w:r>
      <w:bookmarkEnd w:id="294"/>
      <w:bookmarkEnd w:id="295"/>
      <w:bookmarkEnd w:id="296"/>
    </w:p>
    <w:p w14:paraId="3B19AD5E">
      <w:pPr>
        <w:spacing w:line="360" w:lineRule="auto"/>
        <w:ind w:firstLine="480" w:firstLineChars="200"/>
        <w:rPr>
          <w:rFonts w:asciiTheme="minorEastAsia" w:hAnsiTheme="minorEastAsia" w:eastAsiaTheme="minorEastAsia" w:cstheme="minorEastAsia"/>
          <w:sz w:val="24"/>
          <w:szCs w:val="24"/>
          <w:lang w:eastAsia="zh-CN"/>
        </w:rPr>
      </w:pPr>
      <w:bookmarkStart w:id="297" w:name="_Toc536542099"/>
      <w:bookmarkStart w:id="298" w:name="_Toc82524693"/>
      <w:bookmarkStart w:id="299" w:name="_Toc536542661"/>
      <w:r>
        <w:rPr>
          <w:rFonts w:hint="eastAsia" w:asciiTheme="minorEastAsia" w:hAnsiTheme="minorEastAsia" w:eastAsiaTheme="minorEastAsia" w:cstheme="minorEastAsia"/>
          <w:sz w:val="24"/>
          <w:szCs w:val="24"/>
          <w:lang w:eastAsia="zh-CN"/>
        </w:rPr>
        <w:t>11.3坚持公开、公平、公正地对待所有投标人；</w:t>
      </w:r>
      <w:bookmarkEnd w:id="297"/>
      <w:bookmarkEnd w:id="298"/>
      <w:bookmarkEnd w:id="299"/>
    </w:p>
    <w:p w14:paraId="47533EB4">
      <w:pPr>
        <w:spacing w:line="360" w:lineRule="auto"/>
        <w:ind w:firstLine="480" w:firstLineChars="200"/>
        <w:rPr>
          <w:rFonts w:asciiTheme="minorEastAsia" w:hAnsiTheme="minorEastAsia" w:eastAsiaTheme="minorEastAsia" w:cstheme="minorEastAsia"/>
          <w:sz w:val="24"/>
          <w:szCs w:val="24"/>
          <w:lang w:eastAsia="zh-CN"/>
        </w:rPr>
      </w:pPr>
      <w:bookmarkStart w:id="300" w:name="_Toc536542100"/>
      <w:bookmarkStart w:id="301" w:name="_Toc82524694"/>
      <w:bookmarkStart w:id="302" w:name="_Toc536542662"/>
      <w:r>
        <w:rPr>
          <w:rFonts w:hint="eastAsia" w:asciiTheme="minorEastAsia" w:hAnsiTheme="minorEastAsia" w:eastAsiaTheme="minorEastAsia" w:cstheme="minorEastAsia"/>
          <w:sz w:val="24"/>
          <w:szCs w:val="24"/>
          <w:lang w:eastAsia="zh-CN"/>
        </w:rPr>
        <w:t>11.4以招标文件作为评标的基本依据；</w:t>
      </w:r>
      <w:bookmarkEnd w:id="300"/>
      <w:bookmarkEnd w:id="301"/>
      <w:bookmarkEnd w:id="302"/>
    </w:p>
    <w:p w14:paraId="24378EE2">
      <w:pPr>
        <w:spacing w:line="360" w:lineRule="auto"/>
        <w:ind w:firstLine="480" w:firstLineChars="200"/>
        <w:rPr>
          <w:rFonts w:asciiTheme="minorEastAsia" w:hAnsiTheme="minorEastAsia" w:eastAsiaTheme="minorEastAsia" w:cstheme="minorEastAsia"/>
          <w:sz w:val="24"/>
          <w:szCs w:val="24"/>
          <w:lang w:eastAsia="zh-CN"/>
        </w:rPr>
      </w:pPr>
      <w:bookmarkStart w:id="303" w:name="_Toc82524695"/>
      <w:bookmarkStart w:id="304" w:name="_Toc536542663"/>
      <w:bookmarkStart w:id="305" w:name="_Toc536542101"/>
      <w:r>
        <w:rPr>
          <w:rFonts w:hint="eastAsia" w:asciiTheme="minorEastAsia" w:hAnsiTheme="minorEastAsia" w:eastAsiaTheme="minorEastAsia" w:cstheme="minorEastAsia"/>
          <w:sz w:val="24"/>
          <w:szCs w:val="24"/>
          <w:lang w:eastAsia="zh-CN"/>
        </w:rPr>
        <w:t>11.5评标委员会将按同一程序及方法评价每一位投标人的投标文件；</w:t>
      </w:r>
      <w:bookmarkEnd w:id="303"/>
      <w:bookmarkEnd w:id="304"/>
      <w:bookmarkEnd w:id="305"/>
    </w:p>
    <w:p w14:paraId="6BEF9E23">
      <w:pPr>
        <w:spacing w:line="360" w:lineRule="auto"/>
        <w:ind w:firstLine="480" w:firstLineChars="200"/>
        <w:rPr>
          <w:rFonts w:asciiTheme="minorEastAsia" w:hAnsiTheme="minorEastAsia" w:eastAsiaTheme="minorEastAsia" w:cstheme="minorEastAsia"/>
          <w:sz w:val="24"/>
          <w:szCs w:val="24"/>
          <w:lang w:eastAsia="zh-CN"/>
        </w:rPr>
      </w:pPr>
      <w:bookmarkStart w:id="306" w:name="_Toc536542102"/>
      <w:bookmarkStart w:id="307" w:name="_Toc82524696"/>
      <w:bookmarkStart w:id="308" w:name="_Toc536542664"/>
      <w:r>
        <w:rPr>
          <w:rFonts w:hint="eastAsia" w:asciiTheme="minorEastAsia" w:hAnsiTheme="minorEastAsia" w:eastAsiaTheme="minorEastAsia" w:cstheme="minorEastAsia"/>
          <w:sz w:val="24"/>
          <w:szCs w:val="24"/>
          <w:lang w:eastAsia="zh-CN"/>
        </w:rPr>
        <w:t>11.6实行一次性报价原则，开标后拒绝修改报价。</w:t>
      </w:r>
      <w:bookmarkEnd w:id="306"/>
      <w:bookmarkEnd w:id="307"/>
      <w:bookmarkEnd w:id="308"/>
    </w:p>
    <w:p w14:paraId="7BBDCF81">
      <w:pPr>
        <w:spacing w:line="360" w:lineRule="auto"/>
        <w:ind w:firstLine="480" w:firstLineChars="200"/>
        <w:rPr>
          <w:rFonts w:asciiTheme="minorEastAsia" w:hAnsiTheme="minorEastAsia" w:eastAsiaTheme="minorEastAsia" w:cstheme="minorEastAsia"/>
          <w:b/>
          <w:sz w:val="24"/>
          <w:szCs w:val="24"/>
          <w:lang w:eastAsia="zh-CN"/>
        </w:rPr>
      </w:pPr>
      <w:bookmarkStart w:id="309" w:name="_Toc30796"/>
      <w:bookmarkStart w:id="310" w:name="_Toc82524697"/>
      <w:bookmarkStart w:id="311" w:name="_Toc536542665"/>
      <w:bookmarkStart w:id="312" w:name="_Toc536542103"/>
      <w:r>
        <w:rPr>
          <w:rFonts w:hint="eastAsia" w:asciiTheme="minorEastAsia" w:hAnsiTheme="minorEastAsia" w:eastAsiaTheme="minorEastAsia" w:cstheme="minorEastAsia"/>
          <w:sz w:val="24"/>
          <w:szCs w:val="24"/>
          <w:lang w:eastAsia="zh-CN"/>
        </w:rPr>
        <w:t>12.评标程序</w:t>
      </w:r>
      <w:bookmarkEnd w:id="309"/>
      <w:bookmarkEnd w:id="310"/>
      <w:bookmarkEnd w:id="311"/>
      <w:bookmarkEnd w:id="312"/>
    </w:p>
    <w:p w14:paraId="34EE601A">
      <w:pPr>
        <w:spacing w:line="360" w:lineRule="auto"/>
        <w:ind w:firstLine="480" w:firstLineChars="200"/>
        <w:rPr>
          <w:rFonts w:asciiTheme="minorEastAsia" w:hAnsiTheme="minorEastAsia" w:eastAsiaTheme="minorEastAsia" w:cstheme="minorEastAsia"/>
          <w:sz w:val="24"/>
          <w:szCs w:val="24"/>
          <w:lang w:eastAsia="zh-CN"/>
        </w:rPr>
      </w:pPr>
      <w:bookmarkStart w:id="313" w:name="_Toc536542666"/>
      <w:bookmarkStart w:id="314" w:name="_Toc82524698"/>
      <w:bookmarkStart w:id="315" w:name="_Toc536542104"/>
      <w:r>
        <w:rPr>
          <w:rFonts w:hint="eastAsia" w:asciiTheme="minorEastAsia" w:hAnsiTheme="minorEastAsia" w:eastAsiaTheme="minorEastAsia" w:cstheme="minorEastAsia"/>
          <w:sz w:val="24"/>
          <w:szCs w:val="24"/>
          <w:lang w:eastAsia="zh-CN"/>
        </w:rPr>
        <w:t>12.1投标文件的初审。</w:t>
      </w:r>
      <w:bookmarkEnd w:id="313"/>
      <w:bookmarkEnd w:id="314"/>
      <w:bookmarkEnd w:id="315"/>
    </w:p>
    <w:p w14:paraId="0B3ED194">
      <w:pPr>
        <w:spacing w:line="360" w:lineRule="auto"/>
        <w:ind w:firstLine="480" w:firstLineChars="200"/>
        <w:rPr>
          <w:rFonts w:asciiTheme="minorEastAsia" w:hAnsiTheme="minorEastAsia" w:eastAsiaTheme="minorEastAsia" w:cstheme="minorEastAsia"/>
          <w:sz w:val="24"/>
          <w:szCs w:val="24"/>
          <w:lang w:eastAsia="zh-CN"/>
        </w:rPr>
      </w:pPr>
      <w:bookmarkStart w:id="316" w:name="_Toc536542105"/>
      <w:bookmarkStart w:id="317" w:name="_Toc536542667"/>
      <w:bookmarkStart w:id="318" w:name="_Toc82524699"/>
      <w:r>
        <w:rPr>
          <w:rFonts w:hint="eastAsia" w:asciiTheme="minorEastAsia" w:hAnsiTheme="minorEastAsia" w:eastAsiaTheme="minorEastAsia" w:cstheme="minorEastAsia"/>
          <w:sz w:val="24"/>
          <w:szCs w:val="24"/>
          <w:lang w:eastAsia="zh-CN"/>
        </w:rPr>
        <w:t>12.1.1资格性审查。根据《政府采购货物和服务招标投标管理办法（财政部第87号令）》第四十四条公开招标采购项目开标结束后，采购人或者采购代理机构应当依法对投标人的资格进行审查；</w:t>
      </w:r>
      <w:bookmarkEnd w:id="316"/>
      <w:bookmarkEnd w:id="317"/>
      <w:bookmarkEnd w:id="318"/>
    </w:p>
    <w:p w14:paraId="461F67B6">
      <w:pPr>
        <w:spacing w:line="360" w:lineRule="auto"/>
        <w:ind w:firstLine="480" w:firstLineChars="200"/>
        <w:rPr>
          <w:rFonts w:asciiTheme="minorEastAsia" w:hAnsiTheme="minorEastAsia" w:eastAsiaTheme="minorEastAsia" w:cstheme="minorEastAsia"/>
          <w:sz w:val="24"/>
          <w:szCs w:val="24"/>
          <w:lang w:eastAsia="zh-CN"/>
        </w:rPr>
      </w:pPr>
      <w:bookmarkStart w:id="319" w:name="_Toc536542668"/>
      <w:bookmarkStart w:id="320" w:name="_Toc536542106"/>
      <w:bookmarkStart w:id="321" w:name="_Toc82524700"/>
      <w:r>
        <w:rPr>
          <w:rFonts w:hint="eastAsia" w:asciiTheme="minorEastAsia" w:hAnsiTheme="minorEastAsia" w:eastAsiaTheme="minorEastAsia" w:cstheme="minorEastAsia"/>
          <w:sz w:val="24"/>
          <w:szCs w:val="24"/>
          <w:lang w:eastAsia="zh-CN"/>
        </w:rPr>
        <w:t>12.1.2符合性审查。依据招标文件规定，评标委员会从投标文件的有效性、完整性和对招标文件的响应程度等进行审查，以确定是否对招标文件的实质性要求作出响应</w:t>
      </w:r>
      <w:bookmarkEnd w:id="319"/>
      <w:bookmarkEnd w:id="320"/>
      <w:bookmarkEnd w:id="321"/>
      <w:r>
        <w:rPr>
          <w:rFonts w:hint="eastAsia" w:asciiTheme="minorEastAsia" w:hAnsiTheme="minorEastAsia" w:eastAsiaTheme="minorEastAsia" w:cstheme="minorEastAsia"/>
          <w:sz w:val="24"/>
          <w:szCs w:val="24"/>
          <w:lang w:eastAsia="zh-CN"/>
        </w:rPr>
        <w:t>；</w:t>
      </w:r>
    </w:p>
    <w:p w14:paraId="1A9812FD">
      <w:pPr>
        <w:spacing w:line="360" w:lineRule="auto"/>
        <w:ind w:firstLine="480" w:firstLineChars="200"/>
        <w:rPr>
          <w:rFonts w:asciiTheme="minorEastAsia" w:hAnsiTheme="minorEastAsia" w:eastAsiaTheme="minorEastAsia" w:cstheme="minorEastAsia"/>
          <w:sz w:val="24"/>
          <w:szCs w:val="24"/>
          <w:lang w:eastAsia="zh-CN"/>
        </w:rPr>
      </w:pPr>
      <w:bookmarkStart w:id="322" w:name="_Toc536542669"/>
      <w:bookmarkStart w:id="323" w:name="_Toc536542107"/>
      <w:bookmarkStart w:id="324" w:name="_Toc82524701"/>
      <w:r>
        <w:rPr>
          <w:rFonts w:hint="eastAsia" w:asciiTheme="minorEastAsia" w:hAnsiTheme="minorEastAsia" w:eastAsiaTheme="minorEastAsia" w:cstheme="minorEastAsia"/>
          <w:sz w:val="24"/>
          <w:szCs w:val="24"/>
          <w:lang w:eastAsia="zh-CN"/>
        </w:rPr>
        <w:t>12.2比较与评价。按照招标文件中规定的评标方法和标准，评标委员会对资格性检查和符合性检查合格的投标文件进行商务和技术评审，综合比较与评价；</w:t>
      </w:r>
      <w:bookmarkEnd w:id="322"/>
      <w:bookmarkEnd w:id="323"/>
      <w:bookmarkEnd w:id="324"/>
    </w:p>
    <w:p w14:paraId="320A007E">
      <w:pPr>
        <w:spacing w:line="360" w:lineRule="auto"/>
        <w:ind w:firstLine="480" w:firstLineChars="200"/>
        <w:rPr>
          <w:rFonts w:asciiTheme="minorEastAsia" w:hAnsiTheme="minorEastAsia" w:eastAsiaTheme="minorEastAsia" w:cstheme="minorEastAsia"/>
          <w:sz w:val="24"/>
          <w:szCs w:val="24"/>
          <w:lang w:eastAsia="zh-CN"/>
        </w:rPr>
      </w:pPr>
      <w:bookmarkStart w:id="325" w:name="_Toc82524702"/>
      <w:bookmarkStart w:id="326" w:name="_Toc536542108"/>
      <w:bookmarkStart w:id="327" w:name="_Toc536542670"/>
      <w:r>
        <w:rPr>
          <w:rFonts w:hint="eastAsia" w:asciiTheme="minorEastAsia" w:hAnsiTheme="minorEastAsia" w:eastAsiaTheme="minorEastAsia" w:cstheme="minorEastAsia"/>
          <w:sz w:val="24"/>
          <w:szCs w:val="24"/>
          <w:lang w:eastAsia="zh-CN"/>
        </w:rPr>
        <w:t>12.3评标委员会推荐出中标侯选人名单并编写评标报告，所有评标委员会成员必须签字。</w:t>
      </w:r>
      <w:bookmarkEnd w:id="325"/>
      <w:bookmarkEnd w:id="326"/>
      <w:bookmarkEnd w:id="327"/>
    </w:p>
    <w:p w14:paraId="3803B138">
      <w:pPr>
        <w:spacing w:line="360" w:lineRule="auto"/>
        <w:ind w:firstLine="480" w:firstLineChars="200"/>
        <w:rPr>
          <w:rFonts w:asciiTheme="minorEastAsia" w:hAnsiTheme="minorEastAsia" w:eastAsiaTheme="minorEastAsia" w:cstheme="minorEastAsia"/>
          <w:sz w:val="24"/>
          <w:szCs w:val="24"/>
          <w:lang w:eastAsia="zh-CN"/>
        </w:rPr>
      </w:pPr>
      <w:bookmarkStart w:id="328" w:name="_Toc82524703"/>
      <w:r>
        <w:rPr>
          <w:rFonts w:hint="eastAsia" w:asciiTheme="minorEastAsia" w:hAnsiTheme="minorEastAsia" w:eastAsiaTheme="minorEastAsia" w:cstheme="minorEastAsia"/>
          <w:sz w:val="24"/>
          <w:szCs w:val="24"/>
          <w:lang w:eastAsia="zh-CN"/>
        </w:rPr>
        <w:t>12.4评标结果汇总完成后，除下列情形外，任何人不得修改评标结果：</w:t>
      </w:r>
      <w:bookmarkEnd w:id="328"/>
    </w:p>
    <w:p w14:paraId="4743D828">
      <w:pPr>
        <w:spacing w:line="360" w:lineRule="auto"/>
        <w:ind w:firstLine="480" w:firstLineChars="200"/>
        <w:rPr>
          <w:rFonts w:asciiTheme="minorEastAsia" w:hAnsiTheme="minorEastAsia" w:eastAsiaTheme="minorEastAsia" w:cstheme="minorEastAsia"/>
          <w:sz w:val="24"/>
          <w:szCs w:val="24"/>
          <w:lang w:eastAsia="zh-CN"/>
        </w:rPr>
      </w:pPr>
      <w:bookmarkStart w:id="329" w:name="_Toc82524704"/>
      <w:r>
        <w:rPr>
          <w:rFonts w:hint="eastAsia" w:asciiTheme="minorEastAsia" w:hAnsiTheme="minorEastAsia" w:eastAsiaTheme="minorEastAsia" w:cstheme="minorEastAsia"/>
          <w:sz w:val="24"/>
          <w:szCs w:val="24"/>
          <w:lang w:eastAsia="zh-CN"/>
        </w:rPr>
        <w:t>12.4.1分值汇总计算错误的；</w:t>
      </w:r>
      <w:bookmarkEnd w:id="329"/>
    </w:p>
    <w:p w14:paraId="0309957A">
      <w:pPr>
        <w:spacing w:line="360" w:lineRule="auto"/>
        <w:ind w:firstLine="480" w:firstLineChars="200"/>
        <w:rPr>
          <w:rFonts w:asciiTheme="minorEastAsia" w:hAnsiTheme="minorEastAsia" w:eastAsiaTheme="minorEastAsia" w:cstheme="minorEastAsia"/>
          <w:sz w:val="24"/>
          <w:szCs w:val="24"/>
          <w:lang w:eastAsia="zh-CN"/>
        </w:rPr>
      </w:pPr>
      <w:bookmarkStart w:id="330" w:name="_Toc82524705"/>
      <w:r>
        <w:rPr>
          <w:rFonts w:hint="eastAsia" w:asciiTheme="minorEastAsia" w:hAnsiTheme="minorEastAsia" w:eastAsiaTheme="minorEastAsia" w:cstheme="minorEastAsia"/>
          <w:sz w:val="24"/>
          <w:szCs w:val="24"/>
          <w:lang w:eastAsia="zh-CN"/>
        </w:rPr>
        <w:t>12.4.2分项评分超出评分标准范围的；</w:t>
      </w:r>
      <w:bookmarkEnd w:id="330"/>
    </w:p>
    <w:p w14:paraId="09EEE408">
      <w:pPr>
        <w:spacing w:line="360" w:lineRule="auto"/>
        <w:ind w:firstLine="480" w:firstLineChars="200"/>
        <w:rPr>
          <w:rFonts w:asciiTheme="minorEastAsia" w:hAnsiTheme="minorEastAsia" w:eastAsiaTheme="minorEastAsia" w:cstheme="minorEastAsia"/>
          <w:sz w:val="24"/>
          <w:szCs w:val="24"/>
          <w:lang w:eastAsia="zh-CN"/>
        </w:rPr>
      </w:pPr>
      <w:bookmarkStart w:id="331" w:name="_Toc82524706"/>
      <w:r>
        <w:rPr>
          <w:rFonts w:hint="eastAsia" w:asciiTheme="minorEastAsia" w:hAnsiTheme="minorEastAsia" w:eastAsiaTheme="minorEastAsia" w:cstheme="minorEastAsia"/>
          <w:sz w:val="24"/>
          <w:szCs w:val="24"/>
          <w:lang w:eastAsia="zh-CN"/>
        </w:rPr>
        <w:t>12.4.3评标委员会成员对客观评审因素评分不一致的；</w:t>
      </w:r>
      <w:bookmarkEnd w:id="331"/>
    </w:p>
    <w:p w14:paraId="27ABDA6B">
      <w:pPr>
        <w:spacing w:line="360" w:lineRule="auto"/>
        <w:ind w:firstLine="480" w:firstLineChars="200"/>
        <w:rPr>
          <w:rFonts w:asciiTheme="minorEastAsia" w:hAnsiTheme="minorEastAsia" w:eastAsiaTheme="minorEastAsia" w:cstheme="minorEastAsia"/>
          <w:sz w:val="24"/>
          <w:szCs w:val="24"/>
          <w:lang w:eastAsia="zh-CN"/>
        </w:rPr>
      </w:pPr>
      <w:bookmarkStart w:id="332" w:name="_Toc82524707"/>
      <w:r>
        <w:rPr>
          <w:rFonts w:hint="eastAsia" w:asciiTheme="minorEastAsia" w:hAnsiTheme="minorEastAsia" w:eastAsiaTheme="minorEastAsia" w:cstheme="minorEastAsia"/>
          <w:sz w:val="24"/>
          <w:szCs w:val="24"/>
          <w:lang w:eastAsia="zh-CN"/>
        </w:rPr>
        <w:t>12.4.4经评标委员会认定评分畸高、畸低的。</w:t>
      </w:r>
      <w:bookmarkEnd w:id="332"/>
    </w:p>
    <w:p w14:paraId="4372B3E9">
      <w:pPr>
        <w:spacing w:line="360" w:lineRule="auto"/>
        <w:ind w:firstLine="480" w:firstLineChars="200"/>
        <w:rPr>
          <w:rFonts w:asciiTheme="minorEastAsia" w:hAnsiTheme="minorEastAsia" w:eastAsiaTheme="minorEastAsia" w:cstheme="minorEastAsia"/>
          <w:sz w:val="24"/>
          <w:szCs w:val="24"/>
          <w:lang w:eastAsia="zh-CN"/>
        </w:rPr>
      </w:pPr>
      <w:bookmarkStart w:id="333" w:name="_Toc82524708"/>
      <w:r>
        <w:rPr>
          <w:rFonts w:hint="eastAsia" w:asciiTheme="minorEastAsia" w:hAnsiTheme="minorEastAsia" w:eastAsiaTheme="minorEastAsia" w:cstheme="minorEastAsia"/>
          <w:sz w:val="24"/>
          <w:szCs w:val="24"/>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bookmarkEnd w:id="333"/>
    </w:p>
    <w:p w14:paraId="3097B26B">
      <w:pPr>
        <w:spacing w:line="360" w:lineRule="auto"/>
        <w:ind w:firstLine="480" w:firstLineChars="200"/>
        <w:rPr>
          <w:rFonts w:asciiTheme="minorEastAsia" w:hAnsiTheme="minorEastAsia" w:eastAsiaTheme="minorEastAsia" w:cstheme="minorEastAsia"/>
          <w:sz w:val="24"/>
          <w:szCs w:val="24"/>
          <w:lang w:eastAsia="zh-CN"/>
        </w:rPr>
      </w:pPr>
      <w:bookmarkStart w:id="334" w:name="_Toc82524709"/>
      <w:r>
        <w:rPr>
          <w:rFonts w:hint="eastAsia" w:asciiTheme="minorEastAsia" w:hAnsiTheme="minorEastAsia" w:eastAsiaTheme="minorEastAsia" w:cstheme="minorEastAsia"/>
          <w:sz w:val="24"/>
          <w:szCs w:val="24"/>
          <w:lang w:eastAsia="zh-CN"/>
        </w:rPr>
        <w:t>投标人对本条第一款情形提出质疑的，采购人或者采购代理机构可以组织原评标委员会进行重新评审，重新评审改变评标结果的，应当书面报告本级财政部门。</w:t>
      </w:r>
      <w:bookmarkEnd w:id="334"/>
    </w:p>
    <w:p w14:paraId="149D38F4">
      <w:pPr>
        <w:spacing w:line="360" w:lineRule="auto"/>
        <w:ind w:firstLine="480" w:firstLineChars="200"/>
        <w:rPr>
          <w:rFonts w:asciiTheme="minorEastAsia" w:hAnsiTheme="minorEastAsia" w:eastAsiaTheme="minorEastAsia" w:cstheme="minorEastAsia"/>
          <w:sz w:val="24"/>
          <w:szCs w:val="24"/>
          <w:lang w:eastAsia="zh-CN"/>
        </w:rPr>
      </w:pPr>
      <w:bookmarkStart w:id="335" w:name="_Toc82524710"/>
      <w:r>
        <w:rPr>
          <w:rFonts w:hint="eastAsia" w:asciiTheme="minorEastAsia" w:hAnsiTheme="minorEastAsia" w:eastAsiaTheme="minorEastAsia" w:cstheme="minorEastAsia"/>
          <w:sz w:val="24"/>
          <w:szCs w:val="24"/>
          <w:lang w:eastAsia="zh-CN"/>
        </w:rPr>
        <w:t>12.4.5评标委员会成员对评标情况以及在评标过程中获悉的国家秘密、商业秘密负有保密责任。</w:t>
      </w:r>
      <w:bookmarkEnd w:id="335"/>
    </w:p>
    <w:p w14:paraId="5702EBED">
      <w:pPr>
        <w:spacing w:line="360" w:lineRule="auto"/>
        <w:ind w:firstLine="480" w:firstLineChars="200"/>
        <w:rPr>
          <w:rFonts w:asciiTheme="minorEastAsia" w:hAnsiTheme="minorEastAsia" w:eastAsiaTheme="minorEastAsia" w:cstheme="minorEastAsia"/>
          <w:sz w:val="24"/>
          <w:szCs w:val="24"/>
          <w:lang w:eastAsia="zh-CN"/>
        </w:rPr>
      </w:pPr>
      <w:bookmarkStart w:id="336" w:name="_Toc82524711"/>
      <w:r>
        <w:rPr>
          <w:rFonts w:hint="eastAsia" w:asciiTheme="minorEastAsia" w:hAnsiTheme="minorEastAsia" w:eastAsiaTheme="minorEastAsia" w:cstheme="minorEastAsia"/>
          <w:sz w:val="24"/>
          <w:szCs w:val="24"/>
          <w:lang w:eastAsia="zh-CN"/>
        </w:rPr>
        <w:t>12.4.6评标委员会或者其成员存在下列情形导致评标结果无效的，采购人、采购代理机构可以重新组建评标委员会进行评标，并书面报告本级财政部门，但采购合同已经履行的除外</w:t>
      </w:r>
      <w:bookmarkEnd w:id="336"/>
      <w:r>
        <w:rPr>
          <w:rFonts w:hint="eastAsia" w:asciiTheme="minorEastAsia" w:hAnsiTheme="minorEastAsia" w:eastAsiaTheme="minorEastAsia" w:cstheme="minorEastAsia"/>
          <w:sz w:val="24"/>
          <w:szCs w:val="24"/>
          <w:lang w:eastAsia="zh-CN"/>
        </w:rPr>
        <w:t>。</w:t>
      </w:r>
    </w:p>
    <w:p w14:paraId="3BC33FFD">
      <w:pPr>
        <w:spacing w:line="360" w:lineRule="auto"/>
        <w:ind w:firstLine="480" w:firstLineChars="200"/>
        <w:rPr>
          <w:rFonts w:asciiTheme="minorEastAsia" w:hAnsiTheme="minorEastAsia" w:eastAsiaTheme="minorEastAsia" w:cstheme="minorEastAsia"/>
          <w:sz w:val="24"/>
          <w:szCs w:val="24"/>
          <w:lang w:eastAsia="zh-CN"/>
        </w:rPr>
      </w:pPr>
      <w:bookmarkStart w:id="337" w:name="_Toc82524712"/>
      <w:r>
        <w:rPr>
          <w:rFonts w:hint="eastAsia" w:asciiTheme="minorEastAsia" w:hAnsiTheme="minorEastAsia" w:eastAsiaTheme="minorEastAsia" w:cstheme="minorEastAsia"/>
          <w:sz w:val="24"/>
          <w:szCs w:val="24"/>
          <w:lang w:eastAsia="zh-CN"/>
        </w:rPr>
        <w:t>12.4.7评标委员会组成不符合财政部87号令规定的；</w:t>
      </w:r>
      <w:bookmarkEnd w:id="337"/>
    </w:p>
    <w:p w14:paraId="441D6ACC">
      <w:pPr>
        <w:spacing w:line="360" w:lineRule="auto"/>
        <w:ind w:firstLine="480" w:firstLineChars="200"/>
        <w:rPr>
          <w:rFonts w:asciiTheme="minorEastAsia" w:hAnsiTheme="minorEastAsia" w:eastAsiaTheme="minorEastAsia" w:cstheme="minorEastAsia"/>
          <w:sz w:val="24"/>
          <w:szCs w:val="24"/>
          <w:lang w:eastAsia="zh-CN"/>
        </w:rPr>
      </w:pPr>
      <w:bookmarkStart w:id="338" w:name="_Toc82524713"/>
      <w:r>
        <w:rPr>
          <w:rFonts w:hint="eastAsia" w:asciiTheme="minorEastAsia" w:hAnsiTheme="minorEastAsia" w:eastAsiaTheme="minorEastAsia" w:cstheme="minorEastAsia"/>
          <w:sz w:val="24"/>
          <w:szCs w:val="24"/>
          <w:lang w:eastAsia="zh-CN"/>
        </w:rPr>
        <w:t>①有财政部87号令第六十二条第一至五项情形的；</w:t>
      </w:r>
      <w:bookmarkEnd w:id="338"/>
    </w:p>
    <w:p w14:paraId="61A4257F">
      <w:pPr>
        <w:spacing w:line="360" w:lineRule="auto"/>
        <w:ind w:firstLine="480" w:firstLineChars="200"/>
        <w:rPr>
          <w:rFonts w:asciiTheme="minorEastAsia" w:hAnsiTheme="minorEastAsia" w:eastAsiaTheme="minorEastAsia" w:cstheme="minorEastAsia"/>
          <w:sz w:val="24"/>
          <w:szCs w:val="24"/>
          <w:lang w:eastAsia="zh-CN"/>
        </w:rPr>
      </w:pPr>
      <w:bookmarkStart w:id="339" w:name="_Toc82524714"/>
      <w:r>
        <w:rPr>
          <w:rFonts w:hint="eastAsia" w:asciiTheme="minorEastAsia" w:hAnsiTheme="minorEastAsia" w:eastAsiaTheme="minorEastAsia" w:cstheme="minorEastAsia"/>
          <w:sz w:val="24"/>
          <w:szCs w:val="24"/>
          <w:lang w:eastAsia="zh-CN"/>
        </w:rPr>
        <w:t>②评标委员会及其成员独立评标受到非法干预的；</w:t>
      </w:r>
      <w:bookmarkEnd w:id="339"/>
    </w:p>
    <w:p w14:paraId="3CAC74F4">
      <w:pPr>
        <w:spacing w:line="360" w:lineRule="auto"/>
        <w:ind w:firstLine="480" w:firstLineChars="200"/>
        <w:rPr>
          <w:rFonts w:asciiTheme="minorEastAsia" w:hAnsiTheme="minorEastAsia" w:eastAsiaTheme="minorEastAsia" w:cstheme="minorEastAsia"/>
          <w:sz w:val="24"/>
          <w:szCs w:val="24"/>
          <w:lang w:eastAsia="zh-CN"/>
        </w:rPr>
      </w:pPr>
      <w:bookmarkStart w:id="340" w:name="_Toc82524715"/>
      <w:r>
        <w:rPr>
          <w:rFonts w:hint="eastAsia" w:asciiTheme="minorEastAsia" w:hAnsiTheme="minorEastAsia" w:eastAsiaTheme="minorEastAsia" w:cstheme="minorEastAsia"/>
          <w:sz w:val="24"/>
          <w:szCs w:val="24"/>
          <w:lang w:eastAsia="zh-CN"/>
        </w:rPr>
        <w:t>③有政府采购法实施条例第七十五条规定的违法行为的</w:t>
      </w:r>
      <w:bookmarkEnd w:id="340"/>
      <w:r>
        <w:rPr>
          <w:rFonts w:hint="eastAsia" w:asciiTheme="minorEastAsia" w:hAnsiTheme="minorEastAsia" w:eastAsiaTheme="minorEastAsia" w:cstheme="minorEastAsia"/>
          <w:sz w:val="24"/>
          <w:szCs w:val="24"/>
          <w:lang w:eastAsia="zh-CN"/>
        </w:rPr>
        <w:t>；</w:t>
      </w:r>
    </w:p>
    <w:p w14:paraId="1F737526">
      <w:pPr>
        <w:spacing w:line="360" w:lineRule="auto"/>
        <w:ind w:firstLine="480" w:firstLineChars="200"/>
        <w:rPr>
          <w:rFonts w:asciiTheme="minorEastAsia" w:hAnsiTheme="minorEastAsia" w:eastAsiaTheme="minorEastAsia" w:cstheme="minorEastAsia"/>
          <w:sz w:val="24"/>
          <w:szCs w:val="24"/>
          <w:lang w:eastAsia="zh-CN"/>
        </w:rPr>
      </w:pPr>
      <w:bookmarkStart w:id="341" w:name="_Toc82524716"/>
      <w:r>
        <w:rPr>
          <w:rFonts w:hint="eastAsia" w:asciiTheme="minorEastAsia" w:hAnsiTheme="minorEastAsia" w:eastAsiaTheme="minorEastAsia" w:cstheme="minorEastAsia"/>
          <w:sz w:val="24"/>
          <w:szCs w:val="24"/>
          <w:lang w:eastAsia="zh-CN"/>
        </w:rPr>
        <w:t>④有违法违规行为的原评标委员会成员不得参加重新组建的评标委员会。</w:t>
      </w:r>
      <w:bookmarkEnd w:id="341"/>
    </w:p>
    <w:p w14:paraId="3B4FF610">
      <w:pPr>
        <w:spacing w:line="360" w:lineRule="auto"/>
        <w:ind w:firstLine="480" w:firstLineChars="200"/>
        <w:rPr>
          <w:rFonts w:asciiTheme="minorEastAsia" w:hAnsiTheme="minorEastAsia" w:eastAsiaTheme="minorEastAsia" w:cstheme="minorEastAsia"/>
          <w:sz w:val="24"/>
          <w:szCs w:val="24"/>
          <w:lang w:eastAsia="zh-CN"/>
        </w:rPr>
      </w:pPr>
      <w:bookmarkStart w:id="342" w:name="_Toc82524717"/>
      <w:r>
        <w:rPr>
          <w:rFonts w:hint="eastAsia" w:asciiTheme="minorEastAsia" w:hAnsiTheme="minorEastAsia" w:eastAsiaTheme="minorEastAsia" w:cstheme="minorEastAsia"/>
          <w:sz w:val="24"/>
          <w:szCs w:val="24"/>
          <w:lang w:eastAsia="zh-CN"/>
        </w:rPr>
        <w:t>当出现投标人质疑时，评审专家应当配合采购人或者采购代理机构答复投标人的询问和质疑。</w:t>
      </w:r>
      <w:bookmarkEnd w:id="342"/>
    </w:p>
    <w:p w14:paraId="5245808B">
      <w:pPr>
        <w:spacing w:line="360" w:lineRule="auto"/>
        <w:ind w:firstLine="480" w:firstLineChars="200"/>
        <w:rPr>
          <w:rFonts w:asciiTheme="minorEastAsia" w:hAnsiTheme="minorEastAsia" w:eastAsiaTheme="minorEastAsia" w:cstheme="minorEastAsia"/>
          <w:sz w:val="24"/>
          <w:szCs w:val="24"/>
          <w:lang w:eastAsia="zh-CN"/>
        </w:rPr>
      </w:pPr>
      <w:bookmarkStart w:id="343" w:name="_Toc82524718"/>
      <w:bookmarkStart w:id="344" w:name="_Toc536542109"/>
      <w:bookmarkStart w:id="345" w:name="_Toc536542671"/>
      <w:bookmarkStart w:id="346" w:name="_Toc25436"/>
      <w:r>
        <w:rPr>
          <w:rFonts w:hint="eastAsia" w:asciiTheme="minorEastAsia" w:hAnsiTheme="minorEastAsia" w:eastAsiaTheme="minorEastAsia" w:cstheme="minorEastAsia"/>
          <w:sz w:val="24"/>
          <w:szCs w:val="24"/>
          <w:lang w:eastAsia="zh-CN"/>
        </w:rPr>
        <w:t>13.定标方法</w:t>
      </w:r>
      <w:bookmarkEnd w:id="343"/>
      <w:bookmarkEnd w:id="344"/>
      <w:bookmarkEnd w:id="345"/>
      <w:bookmarkEnd w:id="346"/>
    </w:p>
    <w:p w14:paraId="176DA43B">
      <w:pPr>
        <w:spacing w:line="360" w:lineRule="auto"/>
        <w:ind w:firstLine="480" w:firstLineChars="200"/>
        <w:rPr>
          <w:rFonts w:asciiTheme="minorEastAsia" w:hAnsiTheme="minorEastAsia" w:eastAsiaTheme="minorEastAsia" w:cstheme="minorEastAsia"/>
          <w:sz w:val="24"/>
          <w:szCs w:val="24"/>
          <w:lang w:eastAsia="zh-CN"/>
        </w:rPr>
      </w:pPr>
      <w:bookmarkStart w:id="347" w:name="_Toc536542672"/>
      <w:bookmarkStart w:id="348" w:name="_Toc82524719"/>
      <w:bookmarkStart w:id="349" w:name="_Toc536542110"/>
      <w:r>
        <w:rPr>
          <w:rFonts w:hint="eastAsia" w:asciiTheme="minorEastAsia" w:hAnsiTheme="minorEastAsia" w:eastAsiaTheme="minorEastAsia" w:cstheme="minorEastAsia"/>
          <w:sz w:val="24"/>
          <w:szCs w:val="24"/>
          <w:lang w:eastAsia="zh-CN"/>
        </w:rPr>
        <w:t>13.1评标结果按评审后得分由高到底顺序排列。得分相同的，按投标报价由低到高顺序排列。得分且投标报价相同的并列。投标文件满足招标文件全部实质性要求，且按照评审因素的量化指标评审得分最高的投标人为排名第一的中标候选人。向招标人推荐前三名作为中标候选供应商，原则上确定排名第一的中标侯选供应商为中标供应商，中标候选供应商并列的，采取随机抽取方式确定。</w:t>
      </w:r>
      <w:bookmarkEnd w:id="347"/>
      <w:bookmarkEnd w:id="348"/>
      <w:bookmarkEnd w:id="349"/>
    </w:p>
    <w:p w14:paraId="11A31AE9">
      <w:pPr>
        <w:spacing w:line="360" w:lineRule="auto"/>
        <w:ind w:firstLine="480" w:firstLineChars="200"/>
        <w:rPr>
          <w:rFonts w:asciiTheme="minorEastAsia" w:hAnsiTheme="minorEastAsia" w:eastAsiaTheme="minorEastAsia" w:cstheme="minorEastAsia"/>
          <w:kern w:val="1"/>
          <w:sz w:val="24"/>
          <w:szCs w:val="24"/>
          <w:lang w:eastAsia="zh-CN"/>
        </w:rPr>
      </w:pPr>
      <w:bookmarkStart w:id="350" w:name="_Toc536542111"/>
      <w:bookmarkStart w:id="351" w:name="_Toc536542673"/>
      <w:bookmarkStart w:id="352" w:name="_Toc82524720"/>
      <w:r>
        <w:rPr>
          <w:rFonts w:hint="eastAsia" w:asciiTheme="minorEastAsia" w:hAnsiTheme="minorEastAsia" w:eastAsiaTheme="minorEastAsia" w:cstheme="minorEastAsia"/>
          <w:sz w:val="24"/>
          <w:szCs w:val="24"/>
          <w:lang w:eastAsia="zh-CN"/>
        </w:rPr>
        <w:t>排名第一的中标候选人放弃中标或因不可抗力提出不能履行合同的，招标人可以重新招标或者确定排名第二的中标候选人为中标人。排名第二的中标候选人因前款规定的同样原因不能签订合同的，招标人可以重新招标或者确定排名第三的中标候选人为中标人。</w:t>
      </w:r>
      <w:r>
        <w:rPr>
          <w:rFonts w:hint="eastAsia" w:asciiTheme="minorEastAsia" w:hAnsiTheme="minorEastAsia" w:eastAsiaTheme="minorEastAsia" w:cstheme="minorEastAsia"/>
          <w:kern w:val="1"/>
          <w:sz w:val="24"/>
          <w:szCs w:val="24"/>
          <w:lang w:eastAsia="zh-CN"/>
        </w:rPr>
        <w:t>中标或者成交供应商拒绝与采购人签订合同的，采购人可以按照评审报告推荐的中标或者成交候选人名单排序，确定下一候选人为中标或者成交供应商，也可以重新开展政府采购活动。</w:t>
      </w:r>
      <w:bookmarkEnd w:id="350"/>
      <w:bookmarkEnd w:id="351"/>
      <w:bookmarkEnd w:id="352"/>
    </w:p>
    <w:p w14:paraId="6CB42864">
      <w:pPr>
        <w:spacing w:line="360" w:lineRule="auto"/>
        <w:ind w:firstLine="480" w:firstLineChars="200"/>
        <w:rPr>
          <w:rFonts w:asciiTheme="minorEastAsia" w:hAnsiTheme="minorEastAsia" w:eastAsiaTheme="minorEastAsia" w:cstheme="minorEastAsia"/>
          <w:sz w:val="24"/>
          <w:szCs w:val="24"/>
          <w:lang w:eastAsia="zh-CN"/>
        </w:rPr>
      </w:pPr>
      <w:bookmarkStart w:id="353" w:name="_Toc536542674"/>
      <w:bookmarkStart w:id="354" w:name="_Toc82524721"/>
      <w:bookmarkStart w:id="355" w:name="_Toc536542112"/>
      <w:r>
        <w:rPr>
          <w:rFonts w:hint="eastAsia" w:asciiTheme="minorEastAsia" w:hAnsiTheme="minorEastAsia" w:eastAsiaTheme="minorEastAsia" w:cstheme="minorEastAsia"/>
          <w:kern w:val="1"/>
          <w:sz w:val="24"/>
          <w:szCs w:val="24"/>
          <w:lang w:eastAsia="zh-CN"/>
        </w:rPr>
        <w:t>13.2对开标后投标人所提出的优惠条件不予以考虑。</w:t>
      </w:r>
      <w:bookmarkEnd w:id="353"/>
      <w:bookmarkEnd w:id="354"/>
      <w:bookmarkEnd w:id="355"/>
    </w:p>
    <w:p w14:paraId="2F6A1907">
      <w:pPr>
        <w:spacing w:line="360" w:lineRule="auto"/>
        <w:ind w:firstLine="480" w:firstLineChars="200"/>
        <w:rPr>
          <w:rFonts w:asciiTheme="minorEastAsia" w:hAnsiTheme="minorEastAsia" w:eastAsiaTheme="minorEastAsia" w:cstheme="minorEastAsia"/>
          <w:sz w:val="24"/>
          <w:szCs w:val="24"/>
          <w:lang w:eastAsia="zh-CN"/>
        </w:rPr>
      </w:pPr>
      <w:bookmarkStart w:id="356" w:name="_Toc82524722"/>
      <w:bookmarkStart w:id="357" w:name="_Toc2022"/>
      <w:bookmarkStart w:id="358" w:name="_Toc536542113"/>
      <w:bookmarkStart w:id="359" w:name="_Toc536542675"/>
      <w:r>
        <w:rPr>
          <w:rFonts w:hint="eastAsia" w:asciiTheme="minorEastAsia" w:hAnsiTheme="minorEastAsia" w:eastAsiaTheme="minorEastAsia" w:cstheme="minorEastAsia"/>
          <w:sz w:val="24"/>
          <w:szCs w:val="24"/>
          <w:lang w:eastAsia="zh-CN"/>
        </w:rPr>
        <w:t>14.废标条款：</w:t>
      </w:r>
      <w:bookmarkEnd w:id="356"/>
      <w:bookmarkEnd w:id="357"/>
      <w:bookmarkEnd w:id="358"/>
      <w:bookmarkEnd w:id="359"/>
    </w:p>
    <w:p w14:paraId="0D11E860">
      <w:pPr>
        <w:spacing w:line="360" w:lineRule="auto"/>
        <w:ind w:firstLine="480" w:firstLineChars="200"/>
        <w:rPr>
          <w:rFonts w:asciiTheme="minorEastAsia" w:hAnsiTheme="minorEastAsia" w:eastAsiaTheme="minorEastAsia" w:cstheme="minorEastAsia"/>
          <w:sz w:val="24"/>
          <w:szCs w:val="24"/>
          <w:lang w:eastAsia="zh-CN"/>
        </w:rPr>
      </w:pPr>
      <w:bookmarkStart w:id="360" w:name="_Toc536542676"/>
      <w:bookmarkStart w:id="361" w:name="_Toc536542114"/>
      <w:bookmarkStart w:id="362" w:name="_Toc82524723"/>
      <w:r>
        <w:rPr>
          <w:rFonts w:hint="eastAsia" w:asciiTheme="minorEastAsia" w:hAnsiTheme="minorEastAsia" w:eastAsiaTheme="minorEastAsia" w:cstheme="minorEastAsia"/>
          <w:sz w:val="24"/>
          <w:szCs w:val="24"/>
          <w:lang w:eastAsia="zh-CN"/>
        </w:rPr>
        <w:t>14.1符合条件的供应商或者对招标文件作实质响应的供应商不足三家的；</w:t>
      </w:r>
      <w:bookmarkEnd w:id="360"/>
      <w:bookmarkEnd w:id="361"/>
      <w:bookmarkEnd w:id="362"/>
    </w:p>
    <w:p w14:paraId="17F1C0FB">
      <w:pPr>
        <w:spacing w:line="360" w:lineRule="auto"/>
        <w:ind w:firstLine="480" w:firstLineChars="200"/>
        <w:rPr>
          <w:rFonts w:asciiTheme="minorEastAsia" w:hAnsiTheme="minorEastAsia" w:eastAsiaTheme="minorEastAsia" w:cstheme="minorEastAsia"/>
          <w:sz w:val="24"/>
          <w:szCs w:val="24"/>
          <w:lang w:eastAsia="zh-CN"/>
        </w:rPr>
      </w:pPr>
      <w:bookmarkStart w:id="363" w:name="_Toc536542115"/>
      <w:bookmarkStart w:id="364" w:name="_Toc82524724"/>
      <w:bookmarkStart w:id="365" w:name="_Toc536542677"/>
      <w:r>
        <w:rPr>
          <w:rFonts w:hint="eastAsia" w:asciiTheme="minorEastAsia" w:hAnsiTheme="minorEastAsia" w:eastAsiaTheme="minorEastAsia" w:cstheme="minorEastAsia"/>
          <w:sz w:val="24"/>
          <w:szCs w:val="24"/>
          <w:lang w:eastAsia="zh-CN"/>
        </w:rPr>
        <w:t>14.2出现影响采购公正的违法、违规行为的；</w:t>
      </w:r>
      <w:bookmarkEnd w:id="363"/>
      <w:bookmarkEnd w:id="364"/>
      <w:bookmarkEnd w:id="365"/>
    </w:p>
    <w:p w14:paraId="1AB25DBA">
      <w:pPr>
        <w:spacing w:line="360" w:lineRule="auto"/>
        <w:ind w:firstLine="480" w:firstLineChars="200"/>
        <w:rPr>
          <w:rFonts w:asciiTheme="minorEastAsia" w:hAnsiTheme="minorEastAsia" w:eastAsiaTheme="minorEastAsia" w:cstheme="minorEastAsia"/>
          <w:sz w:val="24"/>
          <w:szCs w:val="24"/>
          <w:lang w:eastAsia="zh-CN"/>
        </w:rPr>
      </w:pPr>
      <w:bookmarkStart w:id="366" w:name="_Toc536542116"/>
      <w:bookmarkStart w:id="367" w:name="_Toc82524725"/>
      <w:bookmarkStart w:id="368" w:name="_Toc536542678"/>
      <w:r>
        <w:rPr>
          <w:rFonts w:hint="eastAsia" w:asciiTheme="minorEastAsia" w:hAnsiTheme="minorEastAsia" w:eastAsiaTheme="minorEastAsia" w:cstheme="minorEastAsia"/>
          <w:sz w:val="24"/>
          <w:szCs w:val="24"/>
          <w:lang w:eastAsia="zh-CN"/>
        </w:rPr>
        <w:t>14.3投标人的报价均超过了采购预算，招标人不能支付的；</w:t>
      </w:r>
      <w:bookmarkEnd w:id="366"/>
      <w:bookmarkEnd w:id="367"/>
      <w:bookmarkEnd w:id="368"/>
    </w:p>
    <w:p w14:paraId="52B27339">
      <w:pPr>
        <w:spacing w:line="360" w:lineRule="auto"/>
        <w:ind w:firstLine="480" w:firstLineChars="200"/>
        <w:rPr>
          <w:rFonts w:asciiTheme="minorEastAsia" w:hAnsiTheme="minorEastAsia" w:eastAsiaTheme="minorEastAsia" w:cstheme="minorEastAsia"/>
          <w:sz w:val="24"/>
          <w:szCs w:val="24"/>
          <w:lang w:eastAsia="zh-CN"/>
        </w:rPr>
      </w:pPr>
      <w:bookmarkStart w:id="369" w:name="_Toc82524726"/>
      <w:r>
        <w:rPr>
          <w:rFonts w:hint="eastAsia" w:asciiTheme="minorEastAsia" w:hAnsiTheme="minorEastAsia" w:eastAsiaTheme="minorEastAsia" w:cstheme="minorEastAsia"/>
          <w:sz w:val="24"/>
          <w:szCs w:val="24"/>
          <w:lang w:eastAsia="zh-CN"/>
        </w:rPr>
        <w:t>14.4</w:t>
      </w:r>
      <w:bookmarkStart w:id="370" w:name="_Toc536542679"/>
      <w:bookmarkStart w:id="371" w:name="_Toc536542117"/>
      <w:r>
        <w:rPr>
          <w:rFonts w:hint="eastAsia" w:asciiTheme="minorEastAsia" w:hAnsiTheme="minorEastAsia" w:eastAsiaTheme="minorEastAsia" w:cstheme="minorEastAsia"/>
          <w:sz w:val="24"/>
          <w:szCs w:val="24"/>
          <w:lang w:eastAsia="zh-CN"/>
        </w:rPr>
        <w:t>因重大变故，采购任务取消的。</w:t>
      </w:r>
      <w:bookmarkEnd w:id="369"/>
      <w:bookmarkEnd w:id="370"/>
      <w:bookmarkEnd w:id="371"/>
    </w:p>
    <w:p w14:paraId="39B68C4C">
      <w:pPr>
        <w:spacing w:line="360" w:lineRule="auto"/>
        <w:ind w:firstLine="480" w:firstLineChars="200"/>
        <w:rPr>
          <w:rFonts w:asciiTheme="minorEastAsia" w:hAnsiTheme="minorEastAsia" w:eastAsiaTheme="minorEastAsia" w:cstheme="minorEastAsia"/>
          <w:sz w:val="24"/>
          <w:szCs w:val="24"/>
          <w:lang w:eastAsia="zh-CN"/>
        </w:rPr>
      </w:pPr>
      <w:bookmarkStart w:id="372" w:name="_Toc13444"/>
      <w:bookmarkStart w:id="373" w:name="_Toc82524727"/>
      <w:r>
        <w:rPr>
          <w:rFonts w:hint="eastAsia" w:asciiTheme="minorEastAsia" w:hAnsiTheme="minorEastAsia" w:eastAsiaTheme="minorEastAsia" w:cstheme="minorEastAsia"/>
          <w:sz w:val="24"/>
          <w:szCs w:val="24"/>
          <w:lang w:eastAsia="zh-CN"/>
        </w:rPr>
        <w:t>15.中标信息公布与投标人质疑</w:t>
      </w:r>
      <w:bookmarkEnd w:id="372"/>
      <w:bookmarkEnd w:id="373"/>
    </w:p>
    <w:p w14:paraId="0BE22505">
      <w:pPr>
        <w:spacing w:line="360" w:lineRule="auto"/>
        <w:ind w:firstLine="480" w:firstLineChars="200"/>
        <w:rPr>
          <w:rFonts w:asciiTheme="minorEastAsia" w:hAnsiTheme="minorEastAsia" w:eastAsiaTheme="minorEastAsia" w:cstheme="minorEastAsia"/>
          <w:sz w:val="24"/>
          <w:szCs w:val="24"/>
          <w:lang w:eastAsia="zh-CN"/>
        </w:rPr>
      </w:pPr>
      <w:bookmarkStart w:id="374" w:name="_Toc82524728"/>
      <w:r>
        <w:rPr>
          <w:rFonts w:hint="eastAsia" w:asciiTheme="minorEastAsia" w:hAnsiTheme="minorEastAsia" w:eastAsiaTheme="minorEastAsia" w:cstheme="minorEastAsia"/>
          <w:sz w:val="24"/>
          <w:szCs w:val="24"/>
          <w:lang w:eastAsia="zh-CN"/>
        </w:rPr>
        <w:t>15.1中标信息公布</w:t>
      </w:r>
      <w:bookmarkEnd w:id="374"/>
    </w:p>
    <w:p w14:paraId="7323FA1A">
      <w:pPr>
        <w:spacing w:line="360" w:lineRule="auto"/>
        <w:ind w:firstLine="480" w:firstLineChars="200"/>
        <w:rPr>
          <w:rFonts w:asciiTheme="minorEastAsia" w:hAnsiTheme="minorEastAsia" w:eastAsiaTheme="minorEastAsia" w:cstheme="minorEastAsia"/>
          <w:sz w:val="24"/>
          <w:szCs w:val="24"/>
          <w:lang w:eastAsia="zh-CN"/>
        </w:rPr>
      </w:pPr>
      <w:bookmarkStart w:id="375" w:name="_Toc82524729"/>
      <w:r>
        <w:rPr>
          <w:rFonts w:hint="eastAsia" w:asciiTheme="minorEastAsia" w:hAnsiTheme="minorEastAsia" w:eastAsiaTheme="minorEastAsia" w:cstheme="minorEastAsia"/>
          <w:sz w:val="24"/>
          <w:szCs w:val="24"/>
          <w:lang w:eastAsia="zh-CN"/>
        </w:rPr>
        <w:t>15.2采购代理机构将在评标结束后2个工作日内将评标报告送至采购人。</w:t>
      </w:r>
      <w:bookmarkEnd w:id="375"/>
    </w:p>
    <w:p w14:paraId="33A078A8">
      <w:pPr>
        <w:spacing w:line="360" w:lineRule="auto"/>
        <w:ind w:firstLine="480" w:firstLineChars="200"/>
        <w:rPr>
          <w:rFonts w:asciiTheme="minorEastAsia" w:hAnsiTheme="minorEastAsia" w:eastAsiaTheme="minorEastAsia" w:cstheme="minorEastAsia"/>
          <w:sz w:val="24"/>
          <w:szCs w:val="24"/>
          <w:lang w:eastAsia="zh-CN"/>
        </w:rPr>
      </w:pPr>
      <w:bookmarkStart w:id="376" w:name="_Toc82524730"/>
      <w:r>
        <w:rPr>
          <w:rFonts w:hint="eastAsia" w:asciiTheme="minorEastAsia" w:hAnsiTheme="minorEastAsia" w:eastAsiaTheme="minorEastAsia" w:cstheme="minorEastAsia"/>
          <w:sz w:val="24"/>
          <w:szCs w:val="24"/>
          <w:lang w:eastAsia="zh-CN"/>
        </w:rPr>
        <w:t>15.3采购人将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bookmarkEnd w:id="376"/>
    </w:p>
    <w:p w14:paraId="7316D911">
      <w:pPr>
        <w:spacing w:line="360" w:lineRule="auto"/>
        <w:ind w:firstLine="480" w:firstLineChars="200"/>
        <w:rPr>
          <w:rFonts w:asciiTheme="minorEastAsia" w:hAnsiTheme="minorEastAsia" w:eastAsiaTheme="minorEastAsia" w:cstheme="minorEastAsia"/>
          <w:sz w:val="24"/>
          <w:szCs w:val="24"/>
          <w:lang w:eastAsia="zh-CN"/>
        </w:rPr>
      </w:pPr>
      <w:bookmarkStart w:id="377" w:name="_Toc82524731"/>
      <w:r>
        <w:rPr>
          <w:rFonts w:hint="eastAsia" w:asciiTheme="minorEastAsia" w:hAnsiTheme="minorEastAsia" w:eastAsiaTheme="minorEastAsia" w:cstheme="minorEastAsia"/>
          <w:sz w:val="24"/>
          <w:szCs w:val="24"/>
          <w:lang w:eastAsia="zh-CN"/>
        </w:rPr>
        <w:t>15.4采购人或者采购代理机构将自中标人确定之日起2个工作日内，在省级以上财政部门指定的媒体上公告中标结果，招标文件将随中标结果同时公告。中标公告期限为1个工作日。</w:t>
      </w:r>
      <w:bookmarkEnd w:id="377"/>
    </w:p>
    <w:p w14:paraId="0B2D6AC9">
      <w:pPr>
        <w:spacing w:line="360" w:lineRule="auto"/>
        <w:ind w:firstLine="480" w:firstLineChars="200"/>
        <w:rPr>
          <w:rFonts w:asciiTheme="minorEastAsia" w:hAnsiTheme="minorEastAsia" w:eastAsiaTheme="minorEastAsia" w:cstheme="minorEastAsia"/>
          <w:sz w:val="24"/>
          <w:szCs w:val="24"/>
          <w:lang w:eastAsia="zh-CN"/>
        </w:rPr>
      </w:pPr>
      <w:bookmarkStart w:id="378" w:name="_Toc15785"/>
      <w:bookmarkStart w:id="379" w:name="_Toc82524732"/>
      <w:r>
        <w:rPr>
          <w:rFonts w:hint="eastAsia" w:asciiTheme="minorEastAsia" w:hAnsiTheme="minorEastAsia" w:eastAsiaTheme="minorEastAsia" w:cstheme="minorEastAsia"/>
          <w:sz w:val="24"/>
          <w:szCs w:val="24"/>
          <w:lang w:eastAsia="zh-CN"/>
        </w:rPr>
        <w:t>16.投标人质疑</w:t>
      </w:r>
      <w:bookmarkEnd w:id="378"/>
      <w:bookmarkEnd w:id="379"/>
    </w:p>
    <w:p w14:paraId="68D2F8D5">
      <w:pPr>
        <w:spacing w:line="360" w:lineRule="auto"/>
        <w:ind w:firstLine="480" w:firstLineChars="200"/>
        <w:rPr>
          <w:rFonts w:asciiTheme="minorEastAsia" w:hAnsiTheme="minorEastAsia" w:eastAsiaTheme="minorEastAsia" w:cstheme="minorEastAsia"/>
          <w:sz w:val="24"/>
          <w:szCs w:val="24"/>
          <w:lang w:eastAsia="zh-CN"/>
        </w:rPr>
      </w:pPr>
      <w:bookmarkStart w:id="380" w:name="_Toc82524733"/>
      <w:r>
        <w:rPr>
          <w:rFonts w:hint="eastAsia" w:asciiTheme="minorEastAsia" w:hAnsiTheme="minorEastAsia" w:eastAsiaTheme="minorEastAsia" w:cstheme="minorEastAsia"/>
          <w:sz w:val="24"/>
          <w:szCs w:val="24"/>
          <w:lang w:eastAsia="zh-CN"/>
        </w:rPr>
        <w:t>16.1投标人对政府采购活动事项有疑问的，可以向采购人提出询问，采购人应当及时作出答复，但答复的内容不得涉及商业秘密。</w:t>
      </w:r>
      <w:bookmarkEnd w:id="380"/>
    </w:p>
    <w:p w14:paraId="0E58C28C">
      <w:pPr>
        <w:spacing w:line="360" w:lineRule="auto"/>
        <w:ind w:firstLine="480" w:firstLineChars="200"/>
        <w:rPr>
          <w:rFonts w:asciiTheme="minorEastAsia" w:hAnsiTheme="minorEastAsia" w:eastAsiaTheme="minorEastAsia" w:cstheme="minorEastAsia"/>
          <w:sz w:val="24"/>
          <w:szCs w:val="24"/>
          <w:lang w:eastAsia="zh-CN"/>
        </w:rPr>
      </w:pPr>
      <w:bookmarkStart w:id="381" w:name="_Toc82524734"/>
      <w:r>
        <w:rPr>
          <w:rFonts w:hint="eastAsia" w:asciiTheme="minorEastAsia" w:hAnsiTheme="minorEastAsia" w:eastAsiaTheme="minorEastAsia" w:cstheme="minorEastAsia"/>
          <w:sz w:val="24"/>
          <w:szCs w:val="24"/>
          <w:lang w:eastAsia="zh-CN"/>
        </w:rPr>
        <w:t>16.2投标人认为采购文件、采购过程和中标、成交结果使自己的权益受到损害的，可以在知道或者应知其权益受到损害之日起在规定的时间内，以书面形式向采购人提出质疑。</w:t>
      </w:r>
      <w:bookmarkEnd w:id="381"/>
    </w:p>
    <w:p w14:paraId="6CDFEDEC">
      <w:pPr>
        <w:spacing w:line="360" w:lineRule="auto"/>
        <w:ind w:firstLine="480" w:firstLineChars="200"/>
        <w:rPr>
          <w:rFonts w:asciiTheme="minorEastAsia" w:hAnsiTheme="minorEastAsia" w:eastAsiaTheme="minorEastAsia" w:cstheme="minorEastAsia"/>
          <w:sz w:val="24"/>
          <w:szCs w:val="24"/>
          <w:lang w:eastAsia="zh-CN"/>
        </w:rPr>
      </w:pPr>
      <w:bookmarkStart w:id="382" w:name="_Toc82524735"/>
      <w:r>
        <w:rPr>
          <w:rFonts w:hint="eastAsia" w:asciiTheme="minorEastAsia" w:hAnsiTheme="minorEastAsia" w:eastAsiaTheme="minorEastAsia" w:cstheme="minorEastAsia"/>
          <w:sz w:val="24"/>
          <w:szCs w:val="24"/>
          <w:lang w:eastAsia="zh-CN"/>
        </w:rPr>
        <w:t>16.3投标人提出质疑的，应根据法律、法规和规章的有关规定提供质疑书原件。质疑书应当至少包括以下内容：</w:t>
      </w:r>
      <w:bookmarkEnd w:id="382"/>
    </w:p>
    <w:p w14:paraId="01ABD6A9">
      <w:pPr>
        <w:spacing w:line="360" w:lineRule="auto"/>
        <w:ind w:firstLine="480" w:firstLineChars="200"/>
        <w:rPr>
          <w:rFonts w:asciiTheme="minorEastAsia" w:hAnsiTheme="minorEastAsia" w:eastAsiaTheme="minorEastAsia" w:cstheme="minorEastAsia"/>
          <w:sz w:val="24"/>
          <w:szCs w:val="24"/>
          <w:lang w:eastAsia="zh-CN"/>
        </w:rPr>
      </w:pPr>
      <w:bookmarkStart w:id="383" w:name="_Toc82524736"/>
      <w:r>
        <w:rPr>
          <w:rFonts w:hint="eastAsia" w:asciiTheme="minorEastAsia" w:hAnsiTheme="minorEastAsia" w:eastAsiaTheme="minorEastAsia" w:cstheme="minorEastAsia"/>
          <w:sz w:val="24"/>
          <w:szCs w:val="24"/>
          <w:lang w:eastAsia="zh-CN"/>
        </w:rPr>
        <w:t>（1）质疑投标人的名称、地址及有效联系方式；</w:t>
      </w:r>
      <w:bookmarkEnd w:id="383"/>
    </w:p>
    <w:p w14:paraId="01AC090E">
      <w:pPr>
        <w:spacing w:line="360" w:lineRule="auto"/>
        <w:ind w:firstLine="480" w:firstLineChars="200"/>
        <w:rPr>
          <w:rFonts w:asciiTheme="minorEastAsia" w:hAnsiTheme="minorEastAsia" w:eastAsiaTheme="minorEastAsia" w:cstheme="minorEastAsia"/>
          <w:sz w:val="24"/>
          <w:szCs w:val="24"/>
          <w:lang w:eastAsia="zh-CN"/>
        </w:rPr>
      </w:pPr>
      <w:bookmarkStart w:id="384" w:name="_Toc82524737"/>
      <w:r>
        <w:rPr>
          <w:rFonts w:hint="eastAsia" w:asciiTheme="minorEastAsia" w:hAnsiTheme="minorEastAsia" w:eastAsiaTheme="minorEastAsia" w:cstheme="minorEastAsia"/>
          <w:sz w:val="24"/>
          <w:szCs w:val="24"/>
          <w:lang w:eastAsia="zh-CN"/>
        </w:rPr>
        <w:t>（2）质疑事项；</w:t>
      </w:r>
      <w:bookmarkEnd w:id="384"/>
    </w:p>
    <w:p w14:paraId="7FD8C74C">
      <w:pPr>
        <w:spacing w:line="360" w:lineRule="auto"/>
        <w:ind w:firstLine="480" w:firstLineChars="200"/>
        <w:rPr>
          <w:rFonts w:asciiTheme="minorEastAsia" w:hAnsiTheme="minorEastAsia" w:eastAsiaTheme="minorEastAsia" w:cstheme="minorEastAsia"/>
          <w:sz w:val="24"/>
          <w:szCs w:val="24"/>
          <w:lang w:eastAsia="zh-CN"/>
        </w:rPr>
      </w:pPr>
      <w:bookmarkStart w:id="385" w:name="_Toc82524738"/>
      <w:r>
        <w:rPr>
          <w:rFonts w:hint="eastAsia" w:asciiTheme="minorEastAsia" w:hAnsiTheme="minorEastAsia" w:eastAsiaTheme="minorEastAsia" w:cstheme="minorEastAsia"/>
          <w:sz w:val="24"/>
          <w:szCs w:val="24"/>
          <w:lang w:eastAsia="zh-CN"/>
        </w:rPr>
        <w:t>（3）事实依据及相关证明材料；</w:t>
      </w:r>
      <w:bookmarkEnd w:id="385"/>
    </w:p>
    <w:p w14:paraId="0D26EAC0">
      <w:pPr>
        <w:spacing w:line="360" w:lineRule="auto"/>
        <w:ind w:firstLine="480" w:firstLineChars="200"/>
        <w:rPr>
          <w:rFonts w:asciiTheme="minorEastAsia" w:hAnsiTheme="minorEastAsia" w:eastAsiaTheme="minorEastAsia" w:cstheme="minorEastAsia"/>
          <w:sz w:val="24"/>
          <w:szCs w:val="24"/>
          <w:lang w:eastAsia="zh-CN"/>
        </w:rPr>
      </w:pPr>
      <w:bookmarkStart w:id="386" w:name="_Toc82524739"/>
      <w:r>
        <w:rPr>
          <w:rFonts w:hint="eastAsia" w:asciiTheme="minorEastAsia" w:hAnsiTheme="minorEastAsia" w:eastAsiaTheme="minorEastAsia" w:cstheme="minorEastAsia"/>
          <w:sz w:val="24"/>
          <w:szCs w:val="24"/>
          <w:lang w:eastAsia="zh-CN"/>
        </w:rPr>
        <w:t>（4）相关请求及主张。</w:t>
      </w:r>
      <w:bookmarkEnd w:id="386"/>
    </w:p>
    <w:p w14:paraId="083AEDEF">
      <w:pPr>
        <w:spacing w:line="360" w:lineRule="auto"/>
        <w:ind w:firstLine="480" w:firstLineChars="200"/>
        <w:rPr>
          <w:rFonts w:asciiTheme="minorEastAsia" w:hAnsiTheme="minorEastAsia" w:eastAsiaTheme="minorEastAsia" w:cstheme="minorEastAsia"/>
          <w:sz w:val="24"/>
          <w:szCs w:val="24"/>
          <w:lang w:eastAsia="zh-CN"/>
        </w:rPr>
      </w:pPr>
      <w:bookmarkStart w:id="387" w:name="_Toc82524740"/>
      <w:r>
        <w:rPr>
          <w:rFonts w:hint="eastAsia" w:asciiTheme="minorEastAsia" w:hAnsiTheme="minorEastAsia" w:eastAsiaTheme="minorEastAsia" w:cstheme="minorEastAsia"/>
          <w:sz w:val="24"/>
          <w:szCs w:val="24"/>
          <w:lang w:eastAsia="zh-CN"/>
        </w:rPr>
        <w:t>（5）质疑事项属于有关法律、法规和规章规定处于保密阶段的事项的，质疑人应提供信息来源或有效证据，否则，应当属于无效质疑事项。</w:t>
      </w:r>
      <w:bookmarkEnd w:id="387"/>
    </w:p>
    <w:p w14:paraId="2500D906">
      <w:pPr>
        <w:spacing w:line="360" w:lineRule="auto"/>
        <w:ind w:firstLine="480" w:firstLineChars="200"/>
        <w:rPr>
          <w:rFonts w:asciiTheme="minorEastAsia" w:hAnsiTheme="minorEastAsia" w:eastAsiaTheme="minorEastAsia" w:cstheme="minorEastAsia"/>
          <w:sz w:val="24"/>
          <w:szCs w:val="24"/>
          <w:lang w:eastAsia="zh-CN"/>
        </w:rPr>
      </w:pPr>
      <w:bookmarkStart w:id="388" w:name="_Toc82524741"/>
      <w:r>
        <w:rPr>
          <w:rFonts w:hint="eastAsia" w:asciiTheme="minorEastAsia" w:hAnsiTheme="minorEastAsia" w:eastAsiaTheme="minorEastAsia" w:cstheme="minorEastAsia"/>
          <w:sz w:val="24"/>
          <w:szCs w:val="24"/>
          <w:lang w:eastAsia="zh-CN"/>
        </w:rPr>
        <w:t>（6）质疑书应当由投标人法定代表人或其授权的代理人签字并加盖投标人单位公章，质疑书由授权的代理人签字的应附投标人法定代表人委托授权书，授权委托书应当载明委托代理的具体权限和事项。</w:t>
      </w:r>
      <w:bookmarkEnd w:id="388"/>
    </w:p>
    <w:p w14:paraId="6098625F">
      <w:pPr>
        <w:spacing w:line="360" w:lineRule="auto"/>
        <w:ind w:firstLine="480" w:firstLineChars="200"/>
        <w:rPr>
          <w:rFonts w:asciiTheme="minorEastAsia" w:hAnsiTheme="minorEastAsia" w:eastAsiaTheme="minorEastAsia" w:cstheme="minorEastAsia"/>
          <w:sz w:val="24"/>
          <w:szCs w:val="24"/>
          <w:lang w:eastAsia="zh-CN"/>
        </w:rPr>
      </w:pPr>
      <w:bookmarkStart w:id="389" w:name="_Toc82524742"/>
      <w:r>
        <w:rPr>
          <w:rFonts w:hint="eastAsia" w:asciiTheme="minorEastAsia" w:hAnsiTheme="minorEastAsia" w:eastAsiaTheme="minorEastAsia" w:cstheme="minorEastAsia"/>
          <w:sz w:val="24"/>
          <w:szCs w:val="24"/>
          <w:lang w:eastAsia="zh-CN"/>
        </w:rPr>
        <w:t>16.4采购人将在收到投标人的书面质疑后及时作出答复，并以书面形式通知质疑投标人和其他有关投标人，但答复的内容不得涉及商业秘密。</w:t>
      </w:r>
      <w:bookmarkEnd w:id="389"/>
    </w:p>
    <w:p w14:paraId="0D86EA25">
      <w:pPr>
        <w:spacing w:line="360" w:lineRule="auto"/>
        <w:ind w:firstLine="480" w:firstLineChars="200"/>
        <w:rPr>
          <w:rFonts w:asciiTheme="minorEastAsia" w:hAnsiTheme="minorEastAsia" w:eastAsiaTheme="minorEastAsia" w:cstheme="minorEastAsia"/>
          <w:sz w:val="24"/>
          <w:szCs w:val="24"/>
          <w:lang w:eastAsia="zh-CN"/>
        </w:rPr>
      </w:pPr>
      <w:bookmarkStart w:id="390" w:name="_Toc82524743"/>
      <w:r>
        <w:rPr>
          <w:rFonts w:hint="eastAsia" w:asciiTheme="minorEastAsia" w:hAnsiTheme="minorEastAsia" w:eastAsiaTheme="minorEastAsia" w:cstheme="minorEastAsia"/>
          <w:sz w:val="24"/>
          <w:szCs w:val="24"/>
          <w:lang w:eastAsia="zh-CN"/>
        </w:rPr>
        <w:t>16.5在处理质疑过程中，必要时可以对质疑事项进行核实，质疑人和与质疑事项有关的当事人应当如实配合核实，并提供相关材料。</w:t>
      </w:r>
      <w:bookmarkEnd w:id="390"/>
    </w:p>
    <w:p w14:paraId="68AF6B66">
      <w:pPr>
        <w:spacing w:line="360" w:lineRule="auto"/>
        <w:ind w:firstLine="480" w:firstLineChars="200"/>
        <w:rPr>
          <w:rFonts w:asciiTheme="minorEastAsia" w:hAnsiTheme="minorEastAsia" w:eastAsiaTheme="minorEastAsia" w:cstheme="minorEastAsia"/>
          <w:sz w:val="24"/>
          <w:szCs w:val="24"/>
          <w:lang w:eastAsia="zh-CN"/>
        </w:rPr>
      </w:pPr>
      <w:bookmarkStart w:id="391" w:name="_Toc82524744"/>
      <w:r>
        <w:rPr>
          <w:rFonts w:hint="eastAsia" w:asciiTheme="minorEastAsia" w:hAnsiTheme="minorEastAsia" w:eastAsiaTheme="minorEastAsia" w:cstheme="minorEastAsia"/>
          <w:sz w:val="24"/>
          <w:szCs w:val="24"/>
          <w:lang w:eastAsia="zh-CN"/>
        </w:rPr>
        <w:t>16.6质疑人捏造事实、提供虚假材料或者以非法手段取得证明材料进行质疑和投诉的，其质疑和投诉无效，并应承担相应的经济和法律责任。</w:t>
      </w:r>
      <w:bookmarkEnd w:id="391"/>
    </w:p>
    <w:p w14:paraId="2A229D1B">
      <w:pPr>
        <w:spacing w:line="360" w:lineRule="auto"/>
        <w:ind w:firstLine="466" w:firstLineChars="200"/>
        <w:rPr>
          <w:rFonts w:asciiTheme="minorEastAsia" w:hAnsiTheme="minorEastAsia" w:eastAsiaTheme="minorEastAsia" w:cstheme="minorEastAsia"/>
          <w:b/>
          <w:bCs/>
          <w:spacing w:val="-4"/>
          <w:sz w:val="24"/>
          <w:szCs w:val="24"/>
          <w:lang w:eastAsia="zh-CN"/>
        </w:rPr>
      </w:pPr>
      <w:r>
        <w:rPr>
          <w:rFonts w:hint="eastAsia" w:asciiTheme="minorEastAsia" w:hAnsiTheme="minorEastAsia" w:eastAsiaTheme="minorEastAsia" w:cstheme="minorEastAsia"/>
          <w:b/>
          <w:bCs/>
          <w:spacing w:val="-4"/>
          <w:sz w:val="24"/>
          <w:szCs w:val="24"/>
          <w:lang w:eastAsia="zh-CN"/>
        </w:rPr>
        <w:br w:type="page"/>
      </w:r>
    </w:p>
    <w:p w14:paraId="37BE375B">
      <w:pPr>
        <w:pStyle w:val="6"/>
        <w:spacing w:before="117" w:line="220" w:lineRule="auto"/>
        <w:ind w:left="3235"/>
        <w:outlineLvl w:val="0"/>
        <w:rPr>
          <w:rFonts w:hint="eastAsia" w:asciiTheme="minorEastAsia" w:hAnsiTheme="minorEastAsia" w:eastAsiaTheme="minorEastAsia" w:cstheme="minorEastAsia"/>
          <w:b/>
          <w:bCs/>
          <w:spacing w:val="-5"/>
          <w:sz w:val="36"/>
          <w:szCs w:val="36"/>
          <w:lang w:eastAsia="zh-CN"/>
        </w:rPr>
      </w:pPr>
      <w:bookmarkStart w:id="392" w:name="_Toc20230"/>
      <w:r>
        <w:rPr>
          <w:rFonts w:hint="eastAsia" w:asciiTheme="minorEastAsia" w:hAnsiTheme="minorEastAsia" w:eastAsiaTheme="minorEastAsia" w:cstheme="minorEastAsia"/>
          <w:b/>
          <w:bCs/>
          <w:spacing w:val="-5"/>
          <w:sz w:val="36"/>
          <w:szCs w:val="36"/>
          <w:lang w:eastAsia="zh-CN"/>
        </w:rPr>
        <w:t>第三部分 合同条款及格式</w:t>
      </w:r>
      <w:bookmarkEnd w:id="392"/>
    </w:p>
    <w:p w14:paraId="6DE13913">
      <w:pPr>
        <w:rPr>
          <w:rFonts w:asciiTheme="minorEastAsia" w:hAnsiTheme="minorEastAsia" w:eastAsiaTheme="minorEastAsia" w:cstheme="minorEastAsia"/>
          <w:sz w:val="24"/>
          <w:szCs w:val="24"/>
          <w:lang w:eastAsia="zh-CN"/>
        </w:rPr>
      </w:pPr>
    </w:p>
    <w:p w14:paraId="5E835252">
      <w:pPr>
        <w:rPr>
          <w:rFonts w:asciiTheme="minorEastAsia" w:hAnsiTheme="minorEastAsia" w:eastAsiaTheme="minorEastAsia" w:cstheme="minorEastAsia"/>
          <w:sz w:val="24"/>
          <w:szCs w:val="24"/>
          <w:lang w:eastAsia="zh-CN"/>
        </w:rPr>
      </w:pPr>
    </w:p>
    <w:p w14:paraId="1A2CC0B7">
      <w:pPr>
        <w:rPr>
          <w:rFonts w:asciiTheme="minorEastAsia" w:hAnsiTheme="minorEastAsia" w:eastAsiaTheme="minorEastAsia" w:cstheme="minorEastAsia"/>
          <w:sz w:val="24"/>
          <w:szCs w:val="24"/>
          <w:lang w:eastAsia="zh-CN"/>
        </w:rPr>
      </w:pPr>
    </w:p>
    <w:p w14:paraId="3DC76D9D">
      <w:pPr>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52"/>
          <w:szCs w:val="52"/>
          <w:lang w:eastAsia="zh-CN"/>
        </w:rPr>
        <w:t>鲁山县教育体育局鲁山县农村义务教育学校营养改善计划食材采购项目</w:t>
      </w:r>
    </w:p>
    <w:p w14:paraId="1745F222">
      <w:pPr>
        <w:ind w:firstLine="2249" w:firstLineChars="800"/>
        <w:jc w:val="both"/>
        <w:rPr>
          <w:rFonts w:asciiTheme="minorEastAsia" w:hAnsiTheme="minorEastAsia" w:eastAsiaTheme="minorEastAsia" w:cstheme="minorEastAsia"/>
          <w:b/>
          <w:bCs/>
          <w:sz w:val="28"/>
          <w:szCs w:val="28"/>
          <w:lang w:eastAsia="zh-CN"/>
        </w:rPr>
      </w:pPr>
    </w:p>
    <w:p w14:paraId="2DAC24D4">
      <w:pPr>
        <w:ind w:firstLine="2249" w:firstLineChars="800"/>
        <w:jc w:val="both"/>
        <w:rPr>
          <w:rFonts w:asciiTheme="minorEastAsia" w:hAnsiTheme="minorEastAsia" w:eastAsiaTheme="minorEastAsia" w:cstheme="minorEastAsia"/>
          <w:b/>
          <w:bCs/>
          <w:sz w:val="28"/>
          <w:szCs w:val="28"/>
          <w:u w:val="single"/>
          <w:lang w:eastAsia="zh-CN"/>
        </w:rPr>
      </w:pPr>
      <w:r>
        <w:rPr>
          <w:rFonts w:hint="eastAsia" w:asciiTheme="minorEastAsia" w:hAnsiTheme="minorEastAsia" w:eastAsiaTheme="minorEastAsia" w:cstheme="minorEastAsia"/>
          <w:b/>
          <w:bCs/>
          <w:sz w:val="28"/>
          <w:szCs w:val="28"/>
          <w:lang w:eastAsia="zh-CN"/>
        </w:rPr>
        <w:t>项目编号：</w:t>
      </w:r>
      <w:r>
        <w:rPr>
          <w:rFonts w:hint="eastAsia" w:asciiTheme="minorEastAsia" w:hAnsiTheme="minorEastAsia" w:eastAsiaTheme="minorEastAsia" w:cstheme="minorEastAsia"/>
          <w:b/>
          <w:bCs/>
          <w:sz w:val="28"/>
          <w:szCs w:val="28"/>
          <w:u w:val="single"/>
          <w:lang w:eastAsia="zh-CN"/>
        </w:rPr>
        <w:t xml:space="preserve">                     </w:t>
      </w:r>
    </w:p>
    <w:p w14:paraId="0E0BE3D6">
      <w:pPr>
        <w:rPr>
          <w:rFonts w:asciiTheme="minorEastAsia" w:hAnsiTheme="minorEastAsia" w:eastAsiaTheme="minorEastAsia" w:cstheme="minorEastAsia"/>
          <w:b/>
          <w:bCs/>
          <w:sz w:val="28"/>
          <w:szCs w:val="28"/>
          <w:u w:val="single"/>
          <w:lang w:eastAsia="zh-CN"/>
        </w:rPr>
      </w:pPr>
    </w:p>
    <w:p w14:paraId="1DA039F2">
      <w:pPr>
        <w:rPr>
          <w:rFonts w:asciiTheme="minorEastAsia" w:hAnsiTheme="minorEastAsia" w:eastAsiaTheme="minorEastAsia" w:cstheme="minorEastAsia"/>
          <w:b/>
          <w:bCs/>
          <w:sz w:val="28"/>
          <w:szCs w:val="28"/>
          <w:u w:val="single"/>
          <w:lang w:eastAsia="zh-CN"/>
        </w:rPr>
      </w:pPr>
    </w:p>
    <w:p w14:paraId="405720B8">
      <w:pPr>
        <w:jc w:val="center"/>
        <w:rPr>
          <w:rFonts w:asciiTheme="minorEastAsia" w:hAnsiTheme="minorEastAsia" w:eastAsiaTheme="minorEastAsia" w:cstheme="minorEastAsia"/>
          <w:b/>
          <w:bCs/>
          <w:sz w:val="28"/>
          <w:szCs w:val="28"/>
          <w:lang w:eastAsia="zh-CN"/>
        </w:rPr>
      </w:pPr>
    </w:p>
    <w:p w14:paraId="7222515B">
      <w:pPr>
        <w:jc w:val="center"/>
        <w:rPr>
          <w:rFonts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w:t>
      </w:r>
      <w:r>
        <w:rPr>
          <w:rFonts w:hint="eastAsia" w:asciiTheme="minorEastAsia" w:hAnsiTheme="minorEastAsia" w:eastAsiaTheme="minorEastAsia" w:cstheme="minorEastAsia"/>
          <w:b/>
          <w:bCs/>
          <w:sz w:val="28"/>
          <w:szCs w:val="28"/>
          <w:u w:val="single"/>
          <w:lang w:eastAsia="zh-CN"/>
        </w:rPr>
        <w:t xml:space="preserve">     </w:t>
      </w:r>
      <w:r>
        <w:rPr>
          <w:rFonts w:hint="eastAsia" w:asciiTheme="minorEastAsia" w:hAnsiTheme="minorEastAsia" w:eastAsiaTheme="minorEastAsia" w:cstheme="minorEastAsia"/>
          <w:b/>
          <w:bCs/>
          <w:sz w:val="28"/>
          <w:szCs w:val="28"/>
          <w:lang w:eastAsia="zh-CN"/>
        </w:rPr>
        <w:t>标段</w:t>
      </w:r>
    </w:p>
    <w:p w14:paraId="210CCBC0">
      <w:pPr>
        <w:jc w:val="center"/>
        <w:rPr>
          <w:rFonts w:asciiTheme="minorEastAsia" w:hAnsiTheme="minorEastAsia" w:eastAsiaTheme="minorEastAsia" w:cstheme="minorEastAsia"/>
          <w:b/>
          <w:bCs/>
          <w:sz w:val="28"/>
          <w:szCs w:val="28"/>
          <w:lang w:eastAsia="zh-CN"/>
        </w:rPr>
      </w:pPr>
    </w:p>
    <w:p w14:paraId="4DB05867">
      <w:pPr>
        <w:jc w:val="center"/>
        <w:rPr>
          <w:rFonts w:asciiTheme="minorEastAsia" w:hAnsiTheme="minorEastAsia" w:eastAsiaTheme="minorEastAsia" w:cstheme="minorEastAsia"/>
          <w:b/>
          <w:bCs/>
          <w:sz w:val="36"/>
          <w:szCs w:val="36"/>
          <w:lang w:eastAsia="zh-CN"/>
        </w:rPr>
      </w:pPr>
    </w:p>
    <w:p w14:paraId="6F4EBB78">
      <w:pPr>
        <w:jc w:val="center"/>
        <w:rPr>
          <w:rFonts w:asciiTheme="minorEastAsia" w:hAnsiTheme="minorEastAsia" w:eastAsiaTheme="minorEastAsia" w:cstheme="minorEastAsia"/>
          <w:b/>
          <w:bCs/>
          <w:sz w:val="36"/>
          <w:szCs w:val="36"/>
          <w:lang w:eastAsia="zh-CN"/>
        </w:rPr>
      </w:pPr>
    </w:p>
    <w:p w14:paraId="0BF0925D">
      <w:pPr>
        <w:jc w:val="center"/>
        <w:rPr>
          <w:rFonts w:asciiTheme="minorEastAsia" w:hAnsiTheme="minorEastAsia" w:eastAsiaTheme="minorEastAsia" w:cstheme="minorEastAsia"/>
          <w:b/>
          <w:bCs/>
          <w:sz w:val="36"/>
          <w:szCs w:val="36"/>
          <w:lang w:eastAsia="zh-CN"/>
        </w:rPr>
      </w:pPr>
    </w:p>
    <w:p w14:paraId="7BB3369B">
      <w:pPr>
        <w:jc w:val="center"/>
        <w:rPr>
          <w:rFonts w:asciiTheme="minorEastAsia" w:hAnsiTheme="minorEastAsia" w:eastAsiaTheme="minorEastAsia" w:cstheme="minorEastAsia"/>
          <w:b/>
          <w:bCs/>
          <w:sz w:val="36"/>
          <w:szCs w:val="36"/>
          <w:lang w:eastAsia="zh-CN"/>
        </w:rPr>
      </w:pPr>
    </w:p>
    <w:p w14:paraId="130EC484">
      <w:pPr>
        <w:jc w:val="center"/>
        <w:rPr>
          <w:rFonts w:asciiTheme="minorEastAsia" w:hAnsiTheme="minorEastAsia" w:eastAsiaTheme="minorEastAsia" w:cstheme="minorEastAsia"/>
          <w:b/>
          <w:bCs/>
          <w:sz w:val="36"/>
          <w:szCs w:val="36"/>
          <w:lang w:eastAsia="zh-CN"/>
        </w:rPr>
      </w:pPr>
    </w:p>
    <w:p w14:paraId="6F01CDFB">
      <w:pPr>
        <w:rPr>
          <w:rFonts w:asciiTheme="minorEastAsia" w:hAnsiTheme="minorEastAsia" w:eastAsiaTheme="minorEastAsia" w:cstheme="minorEastAsia"/>
          <w:b/>
          <w:bCs/>
          <w:sz w:val="36"/>
          <w:szCs w:val="36"/>
          <w:lang w:eastAsia="zh-CN"/>
        </w:rPr>
      </w:pPr>
    </w:p>
    <w:p w14:paraId="0C5F48F0">
      <w:pPr>
        <w:jc w:val="center"/>
        <w:rPr>
          <w:rFonts w:asciiTheme="minorEastAsia" w:hAnsiTheme="minorEastAsia" w:eastAsiaTheme="minorEastAsia" w:cstheme="minorEastAsia"/>
          <w:b/>
          <w:bCs/>
          <w:sz w:val="36"/>
          <w:szCs w:val="36"/>
          <w:lang w:eastAsia="zh-CN"/>
        </w:rPr>
      </w:pPr>
    </w:p>
    <w:p w14:paraId="04F8CCDD">
      <w:pPr>
        <w:jc w:val="center"/>
        <w:rPr>
          <w:rFonts w:asciiTheme="minorEastAsia" w:hAnsiTheme="minorEastAsia" w:eastAsiaTheme="minorEastAsia" w:cstheme="minorEastAsia"/>
          <w:b/>
          <w:bCs/>
          <w:sz w:val="36"/>
          <w:szCs w:val="36"/>
          <w:lang w:eastAsia="zh-CN"/>
        </w:rPr>
      </w:pPr>
    </w:p>
    <w:p w14:paraId="326B4DFF">
      <w:pPr>
        <w:jc w:val="center"/>
        <w:rPr>
          <w:rFonts w:asciiTheme="minorEastAsia" w:hAnsiTheme="minorEastAsia" w:eastAsiaTheme="minorEastAsia" w:cstheme="minorEastAsia"/>
          <w:b/>
          <w:bCs/>
          <w:sz w:val="36"/>
          <w:szCs w:val="36"/>
          <w:lang w:eastAsia="zh-CN"/>
        </w:rPr>
      </w:pPr>
    </w:p>
    <w:p w14:paraId="182F2EDF">
      <w:pPr>
        <w:jc w:val="center"/>
        <w:rPr>
          <w:rFonts w:asciiTheme="minorEastAsia" w:hAnsiTheme="minorEastAsia" w:eastAsiaTheme="minorEastAsia" w:cstheme="minorEastAsia"/>
          <w:b/>
          <w:bCs/>
          <w:sz w:val="36"/>
          <w:szCs w:val="36"/>
          <w:lang w:eastAsia="zh-CN"/>
        </w:rPr>
      </w:pPr>
    </w:p>
    <w:p w14:paraId="7B40CF64">
      <w:pPr>
        <w:jc w:val="center"/>
        <w:rPr>
          <w:rFonts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鲁山县教育体育局</w:t>
      </w:r>
    </w:p>
    <w:p w14:paraId="45BD39B7">
      <w:pPr>
        <w:jc w:val="center"/>
        <w:rPr>
          <w:rFonts w:asciiTheme="minorEastAsia" w:hAnsiTheme="minorEastAsia" w:eastAsiaTheme="minorEastAsia" w:cstheme="minorEastAsia"/>
          <w:b/>
          <w:bCs/>
          <w:sz w:val="36"/>
          <w:szCs w:val="36"/>
          <w:lang w:eastAsia="zh-CN"/>
        </w:rPr>
      </w:pPr>
    </w:p>
    <w:p w14:paraId="6B187FE1">
      <w:pPr>
        <w:jc w:val="center"/>
        <w:rPr>
          <w:rFonts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u w:val="single"/>
          <w:lang w:eastAsia="zh-CN"/>
        </w:rPr>
        <w:t xml:space="preserve">    </w:t>
      </w:r>
      <w:r>
        <w:rPr>
          <w:rFonts w:hint="eastAsia" w:asciiTheme="minorEastAsia" w:hAnsiTheme="minorEastAsia" w:eastAsiaTheme="minorEastAsia" w:cstheme="minorEastAsia"/>
          <w:b/>
          <w:bCs/>
          <w:sz w:val="36"/>
          <w:szCs w:val="36"/>
          <w:lang w:eastAsia="zh-CN"/>
        </w:rPr>
        <w:t>年</w:t>
      </w:r>
      <w:r>
        <w:rPr>
          <w:rFonts w:hint="eastAsia" w:asciiTheme="minorEastAsia" w:hAnsiTheme="minorEastAsia" w:eastAsiaTheme="minorEastAsia" w:cstheme="minorEastAsia"/>
          <w:b/>
          <w:bCs/>
          <w:sz w:val="36"/>
          <w:szCs w:val="36"/>
          <w:u w:val="single"/>
          <w:lang w:eastAsia="zh-CN"/>
        </w:rPr>
        <w:t xml:space="preserve">    </w:t>
      </w:r>
      <w:r>
        <w:rPr>
          <w:rFonts w:hint="eastAsia" w:asciiTheme="minorEastAsia" w:hAnsiTheme="minorEastAsia" w:eastAsiaTheme="minorEastAsia" w:cstheme="minorEastAsia"/>
          <w:b/>
          <w:bCs/>
          <w:sz w:val="36"/>
          <w:szCs w:val="36"/>
          <w:lang w:eastAsia="zh-CN"/>
        </w:rPr>
        <w:t>月</w:t>
      </w:r>
      <w:r>
        <w:rPr>
          <w:rFonts w:hint="eastAsia" w:asciiTheme="minorEastAsia" w:hAnsiTheme="minorEastAsia" w:eastAsiaTheme="minorEastAsia" w:cstheme="minorEastAsia"/>
          <w:b/>
          <w:bCs/>
          <w:sz w:val="36"/>
          <w:szCs w:val="36"/>
          <w:u w:val="single"/>
          <w:lang w:eastAsia="zh-CN"/>
        </w:rPr>
        <w:t xml:space="preserve">    </w:t>
      </w:r>
      <w:r>
        <w:rPr>
          <w:rFonts w:hint="eastAsia" w:asciiTheme="minorEastAsia" w:hAnsiTheme="minorEastAsia" w:eastAsiaTheme="minorEastAsia" w:cstheme="minorEastAsia"/>
          <w:b/>
          <w:bCs/>
          <w:sz w:val="36"/>
          <w:szCs w:val="36"/>
          <w:lang w:eastAsia="zh-CN"/>
        </w:rPr>
        <w:t>日</w:t>
      </w:r>
    </w:p>
    <w:p w14:paraId="5FF95552">
      <w:pP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br w:type="page"/>
      </w:r>
    </w:p>
    <w:p w14:paraId="1C2B5E31">
      <w:pPr>
        <w:pStyle w:val="6"/>
        <w:spacing w:line="360" w:lineRule="auto"/>
        <w:ind w:firstLine="480" w:firstLineChars="200"/>
        <w:rPr>
          <w:rFonts w:asciiTheme="minorEastAsia" w:hAnsiTheme="minorEastAsia" w:eastAsiaTheme="minorEastAsia" w:cstheme="minorEastAsia"/>
          <w:sz w:val="24"/>
          <w:szCs w:val="24"/>
          <w:lang w:eastAsia="zh-CN"/>
        </w:rPr>
      </w:pPr>
    </w:p>
    <w:p w14:paraId="6B383B97">
      <w:pPr>
        <w:pStyle w:val="6"/>
        <w:spacing w:line="360" w:lineRule="auto"/>
        <w:ind w:firstLine="643" w:firstLineChars="200"/>
        <w:jc w:val="center"/>
        <w:rPr>
          <w:rFonts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鲁山县教育体育局鲁山县农村义务教育学校营养改善计划食材采购项目供货合同</w:t>
      </w:r>
    </w:p>
    <w:p w14:paraId="04B0C23A">
      <w:pPr>
        <w:pStyle w:val="6"/>
        <w:spacing w:line="360" w:lineRule="auto"/>
        <w:ind w:firstLine="480" w:firstLineChars="200"/>
        <w:rPr>
          <w:rFonts w:asciiTheme="minorEastAsia" w:hAnsiTheme="minorEastAsia" w:eastAsiaTheme="minorEastAsia" w:cstheme="minorEastAsia"/>
          <w:sz w:val="24"/>
          <w:szCs w:val="24"/>
          <w:lang w:eastAsia="zh-CN"/>
        </w:rPr>
      </w:pPr>
    </w:p>
    <w:p w14:paraId="2DD5DE57">
      <w:pPr>
        <w:pStyle w:val="6"/>
        <w:spacing w:line="360" w:lineRule="auto"/>
        <w:ind w:firstLine="480" w:firstLineChars="200"/>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eastAsia="zh-CN"/>
        </w:rPr>
        <w:t>项目编号：</w:t>
      </w:r>
      <w:r>
        <w:rPr>
          <w:rFonts w:hint="eastAsia" w:asciiTheme="minorEastAsia" w:hAnsiTheme="minorEastAsia" w:eastAsiaTheme="minorEastAsia" w:cstheme="minorEastAsia"/>
          <w:sz w:val="24"/>
          <w:szCs w:val="24"/>
          <w:u w:val="single"/>
          <w:lang w:eastAsia="zh-CN"/>
        </w:rPr>
        <w:t xml:space="preserve">                                                  </w:t>
      </w:r>
    </w:p>
    <w:p w14:paraId="72EB7553">
      <w:pPr>
        <w:pStyle w:val="6"/>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标段：</w:t>
      </w:r>
      <w:r>
        <w:rPr>
          <w:rFonts w:hint="eastAsia" w:asciiTheme="minorEastAsia" w:hAnsiTheme="minorEastAsia" w:eastAsiaTheme="minorEastAsia" w:cstheme="minorEastAsia"/>
          <w:sz w:val="24"/>
          <w:szCs w:val="24"/>
          <w:u w:val="single"/>
          <w:lang w:eastAsia="zh-CN"/>
        </w:rPr>
        <w:t xml:space="preserve">                                                      </w:t>
      </w:r>
    </w:p>
    <w:p w14:paraId="6F40D2A0">
      <w:pPr>
        <w:pStyle w:val="6"/>
        <w:spacing w:line="360" w:lineRule="auto"/>
        <w:ind w:firstLine="480" w:firstLineChars="200"/>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u w:val="single"/>
          <w:lang w:eastAsia="zh-CN"/>
        </w:rPr>
        <w:t xml:space="preserve">                                                      </w:t>
      </w:r>
    </w:p>
    <w:p w14:paraId="6C4A47FA">
      <w:pPr>
        <w:pStyle w:val="6"/>
        <w:spacing w:line="360" w:lineRule="auto"/>
        <w:ind w:firstLine="1200" w:firstLineChars="5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法人代表：</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职务：</w:t>
      </w:r>
      <w:r>
        <w:rPr>
          <w:rFonts w:hint="eastAsia" w:asciiTheme="minorEastAsia" w:hAnsiTheme="minorEastAsia" w:eastAsiaTheme="minorEastAsia" w:cstheme="minorEastAsia"/>
          <w:sz w:val="24"/>
          <w:szCs w:val="24"/>
          <w:u w:val="single"/>
          <w:lang w:eastAsia="zh-CN"/>
        </w:rPr>
        <w:t xml:space="preserve">                    </w:t>
      </w:r>
    </w:p>
    <w:p w14:paraId="1534A09A">
      <w:pPr>
        <w:pStyle w:val="6"/>
        <w:spacing w:line="360" w:lineRule="auto"/>
        <w:ind w:firstLine="1200" w:firstLineChars="5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w:t>
      </w:r>
      <w:r>
        <w:rPr>
          <w:rFonts w:hint="eastAsia" w:asciiTheme="minorEastAsia" w:hAnsiTheme="minorEastAsia" w:eastAsiaTheme="minorEastAsia" w:cstheme="minorEastAsia"/>
          <w:sz w:val="24"/>
          <w:szCs w:val="24"/>
          <w:u w:val="single"/>
          <w:lang w:eastAsia="zh-CN"/>
        </w:rPr>
        <w:t xml:space="preserve">                                                </w:t>
      </w:r>
    </w:p>
    <w:p w14:paraId="6012466B">
      <w:pPr>
        <w:pStyle w:val="6"/>
        <w:spacing w:line="360" w:lineRule="auto"/>
        <w:ind w:firstLine="480" w:firstLineChars="200"/>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u w:val="single"/>
          <w:lang w:eastAsia="zh-CN"/>
        </w:rPr>
        <w:t xml:space="preserve">                                                      </w:t>
      </w:r>
    </w:p>
    <w:p w14:paraId="05DD8D56">
      <w:pPr>
        <w:pStyle w:val="6"/>
        <w:spacing w:line="360" w:lineRule="auto"/>
        <w:ind w:firstLine="1200" w:firstLineChars="5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法人代表：</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职务：</w:t>
      </w:r>
      <w:r>
        <w:rPr>
          <w:rFonts w:hint="eastAsia" w:asciiTheme="minorEastAsia" w:hAnsiTheme="minorEastAsia" w:eastAsiaTheme="minorEastAsia" w:cstheme="minorEastAsia"/>
          <w:sz w:val="24"/>
          <w:szCs w:val="24"/>
          <w:u w:val="single"/>
          <w:lang w:eastAsia="zh-CN"/>
        </w:rPr>
        <w:t xml:space="preserve">                    </w:t>
      </w:r>
    </w:p>
    <w:p w14:paraId="20BE4EB0">
      <w:pPr>
        <w:pStyle w:val="6"/>
        <w:spacing w:line="360" w:lineRule="auto"/>
        <w:ind w:firstLine="1200" w:firstLineChars="5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w:t>
      </w:r>
      <w:r>
        <w:rPr>
          <w:rFonts w:hint="eastAsia" w:asciiTheme="minorEastAsia" w:hAnsiTheme="minorEastAsia" w:eastAsiaTheme="minorEastAsia" w:cstheme="minorEastAsia"/>
          <w:sz w:val="24"/>
          <w:szCs w:val="24"/>
          <w:u w:val="single"/>
          <w:lang w:eastAsia="zh-CN"/>
        </w:rPr>
        <w:t xml:space="preserve">                                                </w:t>
      </w:r>
    </w:p>
    <w:p w14:paraId="3415BAA6">
      <w:pPr>
        <w:pStyle w:val="6"/>
        <w:spacing w:line="360" w:lineRule="auto"/>
        <w:ind w:firstLine="480" w:firstLineChars="200"/>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eastAsia="zh-CN"/>
        </w:rPr>
        <w:t>合同履行期限：</w:t>
      </w:r>
      <w:r>
        <w:rPr>
          <w:rFonts w:hint="eastAsia" w:asciiTheme="minorEastAsia" w:hAnsiTheme="minorEastAsia" w:eastAsiaTheme="minorEastAsia" w:cstheme="minorEastAsia"/>
          <w:sz w:val="24"/>
          <w:szCs w:val="24"/>
          <w:u w:val="single"/>
          <w:lang w:eastAsia="zh-CN"/>
        </w:rPr>
        <w:t xml:space="preserve">                                              </w:t>
      </w:r>
    </w:p>
    <w:p w14:paraId="044802DD">
      <w:pPr>
        <w:pStyle w:val="6"/>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鲁山县教育体育局（甲方）在202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-202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学年度鲁山县教育体育局鲁山县农村义务教育学校营养改善计划食材采购项目经公开招标，确定</w:t>
      </w:r>
      <w:r>
        <w:rPr>
          <w:rFonts w:hint="eastAsia" w:asciiTheme="minorEastAsia" w:hAnsiTheme="minorEastAsia" w:eastAsiaTheme="minorEastAsia" w:cstheme="minorEastAsia"/>
          <w:spacing w:val="-120"/>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pacing w:val="-1"/>
          <w:sz w:val="24"/>
          <w:szCs w:val="24"/>
          <w:lang w:eastAsia="zh-CN"/>
        </w:rPr>
        <w:t>）为中标人。甲乙双方根据《中华人民共和国政府采购法》、《中华人民共和国民法典》</w:t>
      </w:r>
      <w:r>
        <w:rPr>
          <w:rFonts w:hint="eastAsia" w:asciiTheme="minorEastAsia" w:hAnsiTheme="minorEastAsia" w:eastAsiaTheme="minorEastAsia" w:cstheme="minorEastAsia"/>
          <w:spacing w:val="-2"/>
          <w:sz w:val="24"/>
          <w:szCs w:val="24"/>
          <w:lang w:eastAsia="zh-CN"/>
        </w:rPr>
        <w:t>等相关法律法规以及本项目招标文件的规定，经平等协商达成合同如下：</w:t>
      </w:r>
    </w:p>
    <w:p w14:paraId="6A87773A">
      <w:pPr>
        <w:pStyle w:val="6"/>
        <w:spacing w:line="360" w:lineRule="auto"/>
        <w:ind w:firstLine="458" w:firstLineChars="200"/>
        <w:rPr>
          <w:rFonts w:asciiTheme="minorEastAsia" w:hAnsiTheme="minorEastAsia" w:eastAsiaTheme="minorEastAsia" w:cstheme="minorEastAsia"/>
          <w:sz w:val="24"/>
          <w:szCs w:val="24"/>
          <w:lang w:eastAsia="zh-CN"/>
        </w:rPr>
      </w:pPr>
      <w:bookmarkStart w:id="393" w:name="_Toc24451"/>
      <w:r>
        <w:rPr>
          <w:rFonts w:hint="eastAsia" w:asciiTheme="minorEastAsia" w:hAnsiTheme="minorEastAsia" w:eastAsiaTheme="minorEastAsia" w:cstheme="minorEastAsia"/>
          <w:b/>
          <w:bCs/>
          <w:spacing w:val="-6"/>
          <w:sz w:val="24"/>
          <w:szCs w:val="24"/>
          <w:lang w:eastAsia="zh-CN"/>
        </w:rPr>
        <w:t>一、合同价格</w:t>
      </w:r>
      <w:bookmarkEnd w:id="393"/>
    </w:p>
    <w:p w14:paraId="4FE9A2F5">
      <w:pPr>
        <w:pStyle w:val="6"/>
        <w:spacing w:line="360" w:lineRule="auto"/>
        <w:ind w:firstLine="45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1.合同总价</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6"/>
          <w:sz w:val="24"/>
          <w:szCs w:val="24"/>
          <w:u w:val="single"/>
          <w:lang w:eastAsia="zh-CN"/>
        </w:rPr>
        <w:t>（以学生实际食用数量结账为准）</w:t>
      </w:r>
    </w:p>
    <w:p w14:paraId="26A21267">
      <w:pPr>
        <w:pStyle w:val="6"/>
        <w:spacing w:line="360" w:lineRule="auto"/>
        <w:ind w:firstLine="47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2.本合同价格包含食品金额及运输、财产及第三方人身损害赔偿保险、食品安全责任险、指导储存、食用等费用，是在食品交付前、交付时所发生或引起的本合同相关的全部成本、费用等，以及依约在交付后所需承担的指导、检验等售后服务价格的综合，且为完税后价格。</w:t>
      </w:r>
    </w:p>
    <w:p w14:paraId="730C2B59">
      <w:pPr>
        <w:pStyle w:val="6"/>
        <w:wordWrap w:val="0"/>
        <w:spacing w:line="360" w:lineRule="auto"/>
        <w:ind w:firstLine="476" w:firstLineChars="200"/>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食材及价格的确定：所有配送食材品牌规格均由乙方提供，同一类食材应提供多个品牌且为本地市场常见的名优产品由甲方选定。乙方为保证食材的新鲜度，采购的食品原(辅)材料，鼓励在鲁山县境内优先采购;本地确实无法采购的品类，征得甲方同意备案后可以自行采购。食材单价由中标人提供参考价格，由采购人询价确定最终价格，所有食材单价不高于鲁山当地市场价格。</w:t>
      </w:r>
    </w:p>
    <w:p w14:paraId="7A06CF4B">
      <w:pPr>
        <w:pStyle w:val="6"/>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乙方应确保每人每天平均营养午餐根据当期价格可达到五元标</w:t>
      </w:r>
      <w:r>
        <w:rPr>
          <w:rFonts w:hint="eastAsia" w:asciiTheme="minorEastAsia" w:hAnsiTheme="minorEastAsia" w:eastAsiaTheme="minorEastAsia" w:cstheme="minorEastAsia"/>
          <w:spacing w:val="-4"/>
          <w:sz w:val="24"/>
          <w:szCs w:val="24"/>
          <w:lang w:eastAsia="zh-CN"/>
        </w:rPr>
        <w:t>准；</w:t>
      </w:r>
    </w:p>
    <w:p w14:paraId="3E75C77B">
      <w:pPr>
        <w:pStyle w:val="6"/>
        <w:numPr>
          <w:ilvl w:val="0"/>
          <w:numId w:val="0"/>
        </w:numPr>
        <w:wordWrap w:val="0"/>
        <w:spacing w:line="360" w:lineRule="auto"/>
        <w:ind w:left="476" w:leftChars="0"/>
        <w:rPr>
          <w:rFonts w:asciiTheme="minorEastAsia" w:hAnsiTheme="minorEastAsia" w:eastAsiaTheme="minorEastAsia" w:cstheme="minorEastAsia"/>
          <w:spacing w:val="1"/>
          <w:sz w:val="24"/>
          <w:szCs w:val="24"/>
          <w:highlight w:val="none"/>
          <w:lang w:eastAsia="zh-CN"/>
        </w:rPr>
      </w:pPr>
      <w:bookmarkStart w:id="394" w:name="_Toc11095"/>
      <w:r>
        <w:rPr>
          <w:rFonts w:asciiTheme="minorEastAsia" w:hAnsiTheme="minorEastAsia" w:eastAsiaTheme="minorEastAsia" w:cstheme="minorEastAsia"/>
          <w:snapToGrid w:val="0"/>
          <w:color w:val="000000"/>
          <w:spacing w:val="1"/>
          <w:sz w:val="24"/>
          <w:szCs w:val="24"/>
          <w:lang w:val="en-US" w:eastAsia="zh-CN" w:bidi="ar-SA"/>
        </w:rPr>
        <w:t>4.</w:t>
      </w:r>
      <w:r>
        <w:rPr>
          <w:rFonts w:hint="eastAsia" w:asciiTheme="minorEastAsia" w:hAnsiTheme="minorEastAsia" w:eastAsiaTheme="minorEastAsia" w:cstheme="minorEastAsia"/>
          <w:spacing w:val="-2"/>
          <w:sz w:val="24"/>
          <w:szCs w:val="24"/>
          <w:highlight w:val="none"/>
          <w:lang w:eastAsia="zh-CN"/>
        </w:rPr>
        <w:t>付款方式</w:t>
      </w:r>
      <w:r>
        <w:rPr>
          <w:rFonts w:hint="eastAsia" w:asciiTheme="minorEastAsia" w:hAnsiTheme="minorEastAsia" w:eastAsiaTheme="minorEastAsia" w:cstheme="minorEastAsia"/>
          <w:spacing w:val="1"/>
          <w:sz w:val="24"/>
          <w:szCs w:val="24"/>
          <w:highlight w:val="none"/>
          <w:lang w:eastAsia="zh-CN"/>
        </w:rPr>
        <w:t>：</w:t>
      </w:r>
      <w:bookmarkEnd w:id="394"/>
      <w:r>
        <w:rPr>
          <w:rFonts w:hint="eastAsia" w:asciiTheme="minorEastAsia" w:hAnsiTheme="minorEastAsia" w:eastAsiaTheme="minorEastAsia" w:cstheme="minorEastAsia"/>
          <w:spacing w:val="1"/>
          <w:sz w:val="24"/>
          <w:szCs w:val="24"/>
          <w:highlight w:val="none"/>
          <w:lang w:eastAsia="zh-CN"/>
        </w:rPr>
        <w:t>由学校统计每月供货数量及金额，乡镇中心校审核，教体局汇总</w:t>
      </w:r>
    </w:p>
    <w:p w14:paraId="70B65FBB">
      <w:pPr>
        <w:pStyle w:val="6"/>
        <w:numPr>
          <w:ilvl w:val="0"/>
          <w:numId w:val="0"/>
        </w:numPr>
        <w:wordWrap w:val="0"/>
        <w:spacing w:line="360" w:lineRule="auto"/>
        <w:rPr>
          <w:rFonts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后至次月十日前，按相关程序报送财政预算系统提交付款申请，按月付款。</w:t>
      </w:r>
    </w:p>
    <w:p w14:paraId="7E5B5EC5">
      <w:pPr>
        <w:pStyle w:val="6"/>
        <w:wordWrap w:val="0"/>
        <w:spacing w:line="360" w:lineRule="auto"/>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5.配送模式：使用净菜配送模式</w:t>
      </w:r>
    </w:p>
    <w:p w14:paraId="369E9661">
      <w:pPr>
        <w:pStyle w:val="6"/>
        <w:wordWrap w:val="0"/>
        <w:spacing w:line="360" w:lineRule="auto"/>
        <w:ind w:firstLine="466" w:firstLineChars="200"/>
        <w:rPr>
          <w:rFonts w:asciiTheme="minorEastAsia" w:hAnsiTheme="minorEastAsia" w:eastAsiaTheme="minorEastAsia" w:cstheme="minorEastAsia"/>
          <w:sz w:val="24"/>
          <w:szCs w:val="24"/>
          <w:lang w:eastAsia="zh-CN"/>
        </w:rPr>
      </w:pPr>
      <w:bookmarkStart w:id="395" w:name="_Toc10087"/>
      <w:r>
        <w:rPr>
          <w:rFonts w:hint="eastAsia" w:asciiTheme="minorEastAsia" w:hAnsiTheme="minorEastAsia" w:eastAsiaTheme="minorEastAsia" w:cstheme="minorEastAsia"/>
          <w:b/>
          <w:bCs/>
          <w:spacing w:val="-4"/>
          <w:sz w:val="24"/>
          <w:szCs w:val="24"/>
          <w:lang w:eastAsia="zh-CN"/>
        </w:rPr>
        <w:t>二、交货方式</w:t>
      </w:r>
      <w:bookmarkEnd w:id="395"/>
    </w:p>
    <w:p w14:paraId="6CD7FE73">
      <w:pPr>
        <w:pStyle w:val="6"/>
        <w:wordWrap w:val="0"/>
        <w:spacing w:line="360" w:lineRule="auto"/>
        <w:ind w:firstLine="47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1.按照每人每天平均五元的午餐食材标准，根据不同季节，以时令新鲜蔬菜为主，</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2"/>
          <w:sz w:val="24"/>
          <w:szCs w:val="24"/>
          <w:lang w:eastAsia="zh-CN"/>
        </w:rPr>
        <w:t>由乙方提供全年不少于60个菜品的营养均衡的带量食谱，保证每餐二菜一汤一</w:t>
      </w:r>
      <w:r>
        <w:rPr>
          <w:rFonts w:hint="eastAsia" w:asciiTheme="minorEastAsia" w:hAnsiTheme="minorEastAsia" w:eastAsiaTheme="minorEastAsia" w:cstheme="minorEastAsia"/>
          <w:spacing w:val="-3"/>
          <w:sz w:val="24"/>
          <w:szCs w:val="24"/>
          <w:lang w:eastAsia="zh-CN"/>
        </w:rPr>
        <w:t>主食（一</w:t>
      </w:r>
      <w:r>
        <w:rPr>
          <w:rFonts w:hint="eastAsia" w:asciiTheme="minorEastAsia" w:hAnsiTheme="minorEastAsia" w:eastAsiaTheme="minorEastAsia" w:cstheme="minorEastAsia"/>
          <w:spacing w:val="1"/>
          <w:sz w:val="24"/>
          <w:szCs w:val="24"/>
          <w:lang w:eastAsia="zh-CN"/>
        </w:rPr>
        <w:t>荤、一素、一主食、一汤）。以中心校为单位提前选定每周的食谱，生产及配送商根据</w:t>
      </w:r>
      <w:r>
        <w:rPr>
          <w:rFonts w:hint="eastAsia" w:asciiTheme="minorEastAsia" w:hAnsiTheme="minorEastAsia" w:eastAsiaTheme="minorEastAsia" w:cstheme="minorEastAsia"/>
          <w:spacing w:val="-3"/>
          <w:sz w:val="24"/>
          <w:szCs w:val="24"/>
          <w:lang w:eastAsia="zh-CN"/>
        </w:rPr>
        <w:t>学校选定的食谱对所需的各类食材进行采购，并进行定时、定量精准配送至各学校。米、面、油、</w:t>
      </w:r>
      <w:r>
        <w:rPr>
          <w:rFonts w:hint="eastAsia" w:asciiTheme="minorEastAsia" w:hAnsiTheme="minorEastAsia" w:eastAsiaTheme="minorEastAsia" w:cstheme="minorEastAsia"/>
          <w:spacing w:val="-2"/>
          <w:sz w:val="24"/>
          <w:szCs w:val="24"/>
          <w:lang w:eastAsia="zh-CN"/>
        </w:rPr>
        <w:t>干调类根据学校用量实行周配送，生鲜类每天配送。</w:t>
      </w:r>
    </w:p>
    <w:p w14:paraId="67BF6842">
      <w:pPr>
        <w:pStyle w:val="6"/>
        <w:wordWrap w:val="0"/>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2.乙方配送的生鲜类（蔬菜、肉、鸡蛋、水果等）原料，必须从源头种养殖一采购一</w:t>
      </w:r>
      <w:r>
        <w:rPr>
          <w:rFonts w:hint="eastAsia" w:asciiTheme="minorEastAsia" w:hAnsiTheme="minorEastAsia" w:eastAsiaTheme="minorEastAsia" w:cstheme="minorEastAsia"/>
          <w:spacing w:val="-1"/>
          <w:sz w:val="24"/>
          <w:szCs w:val="24"/>
          <w:lang w:eastAsia="zh-CN"/>
        </w:rPr>
        <w:t>运输</w:t>
      </w:r>
      <w:r>
        <w:rPr>
          <w:rFonts w:hint="eastAsia" w:asciiTheme="minorEastAsia" w:hAnsiTheme="minorEastAsia" w:eastAsiaTheme="minorEastAsia" w:cstheme="minorEastAsia"/>
          <w:spacing w:val="-2"/>
          <w:sz w:val="24"/>
          <w:szCs w:val="24"/>
          <w:lang w:eastAsia="zh-CN"/>
        </w:rPr>
        <w:t>一</w:t>
      </w:r>
      <w:r>
        <w:rPr>
          <w:rFonts w:hint="eastAsia" w:asciiTheme="minorEastAsia" w:hAnsiTheme="minorEastAsia" w:eastAsiaTheme="minorEastAsia" w:cstheme="minorEastAsia"/>
          <w:spacing w:val="-1"/>
          <w:sz w:val="24"/>
          <w:szCs w:val="24"/>
          <w:lang w:eastAsia="zh-CN"/>
        </w:rPr>
        <w:t>储存</w:t>
      </w:r>
      <w:r>
        <w:rPr>
          <w:rFonts w:hint="eastAsia" w:asciiTheme="minorEastAsia" w:hAnsiTheme="minorEastAsia" w:eastAsiaTheme="minorEastAsia" w:cstheme="minorEastAsia"/>
          <w:spacing w:val="-2"/>
          <w:sz w:val="24"/>
          <w:szCs w:val="24"/>
          <w:lang w:eastAsia="zh-CN"/>
        </w:rPr>
        <w:t>一</w:t>
      </w:r>
      <w:r>
        <w:rPr>
          <w:rFonts w:hint="eastAsia" w:asciiTheme="minorEastAsia" w:hAnsiTheme="minorEastAsia" w:eastAsiaTheme="minorEastAsia" w:cstheme="minorEastAsia"/>
          <w:spacing w:val="-1"/>
          <w:sz w:val="24"/>
          <w:szCs w:val="24"/>
          <w:lang w:eastAsia="zh-CN"/>
        </w:rPr>
        <w:t>粗加工</w:t>
      </w:r>
      <w:r>
        <w:rPr>
          <w:rFonts w:hint="eastAsia" w:asciiTheme="minorEastAsia" w:hAnsiTheme="minorEastAsia" w:eastAsiaTheme="minorEastAsia" w:cstheme="minorEastAsia"/>
          <w:spacing w:val="-2"/>
          <w:sz w:val="24"/>
          <w:szCs w:val="24"/>
          <w:lang w:eastAsia="zh-CN"/>
        </w:rPr>
        <w:t>一</w:t>
      </w:r>
      <w:r>
        <w:rPr>
          <w:rFonts w:hint="eastAsia" w:asciiTheme="minorEastAsia" w:hAnsiTheme="minorEastAsia" w:eastAsiaTheme="minorEastAsia" w:cstheme="minorEastAsia"/>
          <w:spacing w:val="-1"/>
          <w:sz w:val="24"/>
          <w:szCs w:val="24"/>
          <w:lang w:eastAsia="zh-CN"/>
        </w:rPr>
        <w:t>细加工都有安全控制措施，送到学校的肉、蔬菜等生鲜类</w:t>
      </w:r>
      <w:r>
        <w:rPr>
          <w:rFonts w:hint="eastAsia" w:asciiTheme="minorEastAsia" w:hAnsiTheme="minorEastAsia" w:eastAsiaTheme="minorEastAsia" w:cstheme="minorEastAsia"/>
          <w:spacing w:val="-2"/>
          <w:sz w:val="24"/>
          <w:szCs w:val="24"/>
          <w:lang w:eastAsia="zh-CN"/>
        </w:rPr>
        <w:t>为干净、</w:t>
      </w:r>
      <w:r>
        <w:rPr>
          <w:rFonts w:hint="eastAsia" w:asciiTheme="minorEastAsia" w:hAnsiTheme="minorEastAsia" w:eastAsiaTheme="minorEastAsia" w:cstheme="minorEastAsia"/>
          <w:spacing w:val="-3"/>
          <w:sz w:val="24"/>
          <w:szCs w:val="24"/>
          <w:lang w:eastAsia="zh-CN"/>
        </w:rPr>
        <w:t>安全卫生的半成品，学校在接收后可直接烹饪加工。所配送的食品原材料必须经过包装，</w:t>
      </w:r>
      <w:r>
        <w:rPr>
          <w:rFonts w:hint="eastAsia" w:asciiTheme="minorEastAsia" w:hAnsiTheme="minorEastAsia" w:eastAsiaTheme="minorEastAsia" w:cstheme="minorEastAsia"/>
          <w:spacing w:val="1"/>
          <w:sz w:val="24"/>
          <w:szCs w:val="24"/>
          <w:lang w:eastAsia="zh-CN"/>
        </w:rPr>
        <w:t>食品包装必须具有保鲜防菌功能，达到食品安全存放相关要求，确保食品原材料质量安</w:t>
      </w:r>
      <w:r>
        <w:rPr>
          <w:rFonts w:hint="eastAsia" w:asciiTheme="minorEastAsia" w:hAnsiTheme="minorEastAsia" w:eastAsiaTheme="minorEastAsia" w:cstheme="minorEastAsia"/>
          <w:spacing w:val="-1"/>
          <w:sz w:val="24"/>
          <w:szCs w:val="24"/>
          <w:lang w:eastAsia="zh-CN"/>
        </w:rPr>
        <w:t>全无害，符合《食品安全法》等相关法律、法规的规定，达</w:t>
      </w:r>
      <w:r>
        <w:rPr>
          <w:rFonts w:hint="eastAsia" w:asciiTheme="minorEastAsia" w:hAnsiTheme="minorEastAsia" w:eastAsiaTheme="minorEastAsia" w:cstheme="minorEastAsia"/>
          <w:spacing w:val="-2"/>
          <w:sz w:val="24"/>
          <w:szCs w:val="24"/>
          <w:lang w:eastAsia="zh-CN"/>
        </w:rPr>
        <w:t>到国家相关要求。</w:t>
      </w:r>
    </w:p>
    <w:p w14:paraId="6A4B1458">
      <w:pPr>
        <w:pStyle w:val="6"/>
        <w:wordWrap w:val="0"/>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3.生产及配送商必须具有食品安全检测检验能力，有自己的监测化验室及专业检测人员，所供食品必须留样且提供每批次的安全检测报告。</w:t>
      </w:r>
    </w:p>
    <w:p w14:paraId="32D654AD">
      <w:pPr>
        <w:pStyle w:val="6"/>
        <w:wordWrap w:val="0"/>
        <w:spacing w:line="360" w:lineRule="auto"/>
        <w:ind w:firstLine="466" w:firstLineChars="200"/>
        <w:rPr>
          <w:rFonts w:asciiTheme="minorEastAsia" w:hAnsiTheme="minorEastAsia" w:eastAsiaTheme="minorEastAsia" w:cstheme="minorEastAsia"/>
          <w:sz w:val="24"/>
          <w:szCs w:val="24"/>
          <w:lang w:eastAsia="zh-CN"/>
        </w:rPr>
      </w:pPr>
      <w:bookmarkStart w:id="396" w:name="_Toc24255"/>
      <w:r>
        <w:rPr>
          <w:rFonts w:hint="eastAsia" w:asciiTheme="minorEastAsia" w:hAnsiTheme="minorEastAsia" w:eastAsiaTheme="minorEastAsia" w:cstheme="minorEastAsia"/>
          <w:b/>
          <w:bCs/>
          <w:spacing w:val="-4"/>
          <w:sz w:val="24"/>
          <w:szCs w:val="24"/>
          <w:lang w:eastAsia="zh-CN"/>
        </w:rPr>
        <w:t>三、服务周期：</w:t>
      </w:r>
      <w:bookmarkEnd w:id="396"/>
    </w:p>
    <w:p w14:paraId="56E3EB41">
      <w:pPr>
        <w:pStyle w:val="6"/>
        <w:wordWrap w:val="0"/>
        <w:spacing w:line="360" w:lineRule="auto"/>
        <w:ind w:firstLine="46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1.乙方自</w:t>
      </w:r>
      <w:r>
        <w:rPr>
          <w:rFonts w:hint="eastAsia" w:asciiTheme="minorEastAsia" w:hAnsiTheme="minorEastAsia" w:eastAsiaTheme="minorEastAsia" w:cstheme="minorEastAsia"/>
          <w:spacing w:val="-117"/>
          <w:sz w:val="24"/>
          <w:szCs w:val="24"/>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09"/>
          <w:sz w:val="24"/>
          <w:szCs w:val="24"/>
          <w:lang w:eastAsia="zh-CN"/>
        </w:rPr>
        <w:t xml:space="preserve"> </w:t>
      </w:r>
      <w:r>
        <w:rPr>
          <w:rFonts w:hint="eastAsia" w:asciiTheme="minorEastAsia" w:hAnsiTheme="minorEastAsia" w:eastAsiaTheme="minorEastAsia" w:cstheme="minorEastAsia"/>
          <w:spacing w:val="-5"/>
          <w:sz w:val="24"/>
          <w:szCs w:val="24"/>
          <w:lang w:eastAsia="zh-CN"/>
        </w:rPr>
        <w:t>年</w:t>
      </w:r>
      <w:r>
        <w:rPr>
          <w:rFonts w:hint="eastAsia" w:asciiTheme="minorEastAsia" w:hAnsiTheme="minorEastAsia" w:eastAsiaTheme="minorEastAsia" w:cstheme="minorEastAsia"/>
          <w:spacing w:val="-117"/>
          <w:sz w:val="24"/>
          <w:szCs w:val="24"/>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02"/>
          <w:sz w:val="24"/>
          <w:szCs w:val="24"/>
          <w:lang w:eastAsia="zh-CN"/>
        </w:rPr>
        <w:t xml:space="preserve"> </w:t>
      </w:r>
      <w:r>
        <w:rPr>
          <w:rFonts w:hint="eastAsia" w:asciiTheme="minorEastAsia" w:hAnsiTheme="minorEastAsia" w:eastAsiaTheme="minorEastAsia" w:cstheme="minorEastAsia"/>
          <w:spacing w:val="-5"/>
          <w:sz w:val="24"/>
          <w:szCs w:val="24"/>
          <w:lang w:eastAsia="zh-CN"/>
        </w:rPr>
        <w:t>月</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5"/>
          <w:sz w:val="24"/>
          <w:szCs w:val="24"/>
          <w:lang w:eastAsia="zh-CN"/>
        </w:rPr>
        <w:t>日开始供货，</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lang w:eastAsia="zh-CN"/>
        </w:rPr>
        <w:t>年</w:t>
      </w:r>
      <w:r>
        <w:rPr>
          <w:rFonts w:hint="eastAsia" w:asciiTheme="minorEastAsia" w:hAnsiTheme="minorEastAsia" w:eastAsiaTheme="minorEastAsia" w:cstheme="minorEastAsia"/>
          <w:spacing w:val="-118"/>
          <w:sz w:val="24"/>
          <w:szCs w:val="24"/>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02"/>
          <w:sz w:val="24"/>
          <w:szCs w:val="24"/>
          <w:lang w:eastAsia="zh-CN"/>
        </w:rPr>
        <w:t xml:space="preserve"> </w:t>
      </w:r>
      <w:r>
        <w:rPr>
          <w:rFonts w:hint="eastAsia" w:asciiTheme="minorEastAsia" w:hAnsiTheme="minorEastAsia" w:eastAsiaTheme="minorEastAsia" w:cstheme="minorEastAsia"/>
          <w:spacing w:val="-5"/>
          <w:sz w:val="24"/>
          <w:szCs w:val="24"/>
          <w:lang w:eastAsia="zh-CN"/>
        </w:rPr>
        <w:t>月</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5"/>
          <w:sz w:val="24"/>
          <w:szCs w:val="24"/>
          <w:lang w:eastAsia="zh-CN"/>
        </w:rPr>
        <w:t>日截止；配送</w:t>
      </w:r>
      <w:r>
        <w:rPr>
          <w:rFonts w:hint="eastAsia" w:asciiTheme="minorEastAsia" w:hAnsiTheme="minorEastAsia" w:eastAsiaTheme="minorEastAsia" w:cstheme="minorEastAsia"/>
          <w:spacing w:val="-4"/>
          <w:sz w:val="24"/>
          <w:szCs w:val="24"/>
          <w:lang w:eastAsia="zh-CN"/>
        </w:rPr>
        <w:t>服务周期为：</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95"/>
          <w:sz w:val="24"/>
          <w:szCs w:val="24"/>
          <w:lang w:eastAsia="zh-CN"/>
        </w:rPr>
        <w:t xml:space="preserve"> </w:t>
      </w:r>
      <w:r>
        <w:rPr>
          <w:rFonts w:hint="eastAsia" w:asciiTheme="minorEastAsia" w:hAnsiTheme="minorEastAsia" w:eastAsiaTheme="minorEastAsia" w:cstheme="minorEastAsia"/>
          <w:spacing w:val="-4"/>
          <w:sz w:val="24"/>
          <w:szCs w:val="24"/>
          <w:lang w:eastAsia="zh-CN"/>
        </w:rPr>
        <w:t>学年；</w:t>
      </w:r>
    </w:p>
    <w:p w14:paraId="389BFAD3">
      <w:pPr>
        <w:pStyle w:val="6"/>
        <w:wordWrap w:val="0"/>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日常考核：在服务过程中出现质量问题被甲方一年下达三次书面整改通知书且未整</w:t>
      </w:r>
      <w:r>
        <w:rPr>
          <w:rFonts w:hint="eastAsia" w:asciiTheme="minorEastAsia" w:hAnsiTheme="minorEastAsia" w:eastAsiaTheme="minorEastAsia" w:cstheme="minorEastAsia"/>
          <w:spacing w:val="1"/>
          <w:sz w:val="24"/>
          <w:szCs w:val="24"/>
          <w:lang w:eastAsia="zh-CN"/>
        </w:rPr>
        <w:t>改到位的，甲方有权终止合同。若出现食品安全事故的，乙方无条</w:t>
      </w:r>
      <w:r>
        <w:rPr>
          <w:rFonts w:hint="eastAsia" w:asciiTheme="minorEastAsia" w:hAnsiTheme="minorEastAsia" w:eastAsiaTheme="minorEastAsia" w:cstheme="minorEastAsia"/>
          <w:spacing w:val="-3"/>
          <w:sz w:val="24"/>
          <w:szCs w:val="24"/>
          <w:lang w:eastAsia="zh-CN"/>
        </w:rPr>
        <w:t>件退出，并承担相应的责任。</w:t>
      </w:r>
    </w:p>
    <w:p w14:paraId="606697AD">
      <w:pPr>
        <w:pStyle w:val="6"/>
        <w:keepNext w:val="0"/>
        <w:keepLines w:val="0"/>
        <w:pageBreakBefore w:val="0"/>
        <w:widowControl w:val="0"/>
        <w:kinsoku w:val="0"/>
        <w:wordWrap w:val="0"/>
        <w:overflowPunct/>
        <w:topLinePunct w:val="0"/>
        <w:autoSpaceDE w:val="0"/>
        <w:autoSpaceDN w:val="0"/>
        <w:bidi w:val="0"/>
        <w:adjustRightInd w:val="0"/>
        <w:snapToGrid w:val="0"/>
        <w:spacing w:line="360" w:lineRule="auto"/>
        <w:ind w:firstLine="472" w:firstLineChars="200"/>
        <w:textAlignment w:val="baseline"/>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月度考核：甲方每月将对乙方进行考评，月优秀率高于80%的，视为考核合格；月累计3次考核不合格，无条件终止合同。</w:t>
      </w:r>
    </w:p>
    <w:p w14:paraId="129F3C66">
      <w:pPr>
        <w:pStyle w:val="6"/>
        <w:keepNext w:val="0"/>
        <w:keepLines w:val="0"/>
        <w:pageBreakBefore w:val="0"/>
        <w:widowControl w:val="0"/>
        <w:kinsoku w:val="0"/>
        <w:wordWrap w:val="0"/>
        <w:overflowPunct/>
        <w:topLinePunct w:val="0"/>
        <w:autoSpaceDE w:val="0"/>
        <w:autoSpaceDN w:val="0"/>
        <w:bidi w:val="0"/>
        <w:adjustRightInd w:val="0"/>
        <w:snapToGrid w:val="0"/>
        <w:spacing w:line="360" w:lineRule="auto"/>
        <w:ind w:firstLine="472" w:firstLineChars="200"/>
        <w:textAlignment w:val="baseline"/>
        <w:rPr>
          <w:rFonts w:asciiTheme="minorEastAsia" w:hAnsiTheme="minorEastAsia" w:eastAsiaTheme="minorEastAsia" w:cstheme="minorEastAsia"/>
          <w:spacing w:val="-10"/>
          <w:sz w:val="24"/>
          <w:szCs w:val="24"/>
          <w:lang w:eastAsia="zh-CN"/>
        </w:rPr>
      </w:pPr>
      <w:r>
        <w:rPr>
          <w:rFonts w:hint="eastAsia" w:asciiTheme="minorEastAsia" w:hAnsiTheme="minorEastAsia" w:eastAsiaTheme="minorEastAsia" w:cstheme="minorEastAsia"/>
          <w:spacing w:val="-2"/>
          <w:sz w:val="24"/>
          <w:szCs w:val="24"/>
          <w:lang w:eastAsia="zh-CN"/>
        </w:rPr>
        <w:t>年度考核：甲方每年对乙方进行2次年度考核，考核不合格视为乙方违约，甲方有</w:t>
      </w:r>
      <w:r>
        <w:rPr>
          <w:rFonts w:hint="eastAsia" w:asciiTheme="minorEastAsia" w:hAnsiTheme="minorEastAsia" w:eastAsiaTheme="minorEastAsia" w:cstheme="minorEastAsia"/>
          <w:spacing w:val="-10"/>
          <w:sz w:val="24"/>
          <w:szCs w:val="24"/>
          <w:lang w:eastAsia="zh-CN"/>
        </w:rPr>
        <w:t>权终止合同；</w:t>
      </w:r>
    </w:p>
    <w:p w14:paraId="60288805">
      <w:pPr>
        <w:pStyle w:val="6"/>
        <w:keepNext w:val="0"/>
        <w:keepLines w:val="0"/>
        <w:pageBreakBefore w:val="0"/>
        <w:widowControl w:val="0"/>
        <w:kinsoku w:val="0"/>
        <w:wordWrap w:val="0"/>
        <w:overflowPunct/>
        <w:topLinePunct w:val="0"/>
        <w:autoSpaceDE w:val="0"/>
        <w:autoSpaceDN w:val="0"/>
        <w:bidi w:val="0"/>
        <w:adjustRightInd w:val="0"/>
        <w:snapToGrid w:val="0"/>
        <w:spacing w:line="360" w:lineRule="auto"/>
        <w:ind w:firstLine="472" w:firstLineChars="200"/>
        <w:textAlignment w:val="baseline"/>
        <w:rPr>
          <w:rFonts w:eastAsiaTheme="minorEastAsia"/>
          <w:lang w:eastAsia="zh-CN"/>
        </w:rPr>
      </w:pPr>
      <w:r>
        <w:rPr>
          <w:rFonts w:hint="eastAsia" w:asciiTheme="minorEastAsia" w:hAnsiTheme="minorEastAsia" w:eastAsiaTheme="minorEastAsia" w:cstheme="minorEastAsia"/>
          <w:spacing w:val="-2"/>
          <w:sz w:val="24"/>
          <w:szCs w:val="24"/>
          <w:lang w:eastAsia="zh-CN"/>
        </w:rPr>
        <w:t>因违约、考核不合格及其他违反合同事项被清退，或因其自身原因无法继续履行合同的生产及配送商，其负责配送的区域，由甲方选择本项目其他标段的中标人继续履行合同，不再重新招标。</w:t>
      </w:r>
    </w:p>
    <w:p w14:paraId="4E2BA738">
      <w:pPr>
        <w:pStyle w:val="6"/>
        <w:wordWrap w:val="0"/>
        <w:spacing w:line="360" w:lineRule="auto"/>
        <w:ind w:firstLine="462" w:firstLineChars="200"/>
        <w:rPr>
          <w:rFonts w:asciiTheme="minorEastAsia" w:hAnsiTheme="minorEastAsia" w:eastAsiaTheme="minorEastAsia" w:cstheme="minorEastAsia"/>
          <w:sz w:val="24"/>
          <w:szCs w:val="24"/>
          <w:lang w:eastAsia="zh-CN"/>
        </w:rPr>
      </w:pPr>
      <w:bookmarkStart w:id="397" w:name="_Toc6028"/>
      <w:r>
        <w:rPr>
          <w:rFonts w:hint="eastAsia" w:asciiTheme="minorEastAsia" w:hAnsiTheme="minorEastAsia" w:eastAsiaTheme="minorEastAsia" w:cstheme="minorEastAsia"/>
          <w:b/>
          <w:bCs/>
          <w:spacing w:val="-5"/>
          <w:sz w:val="24"/>
          <w:szCs w:val="24"/>
          <w:lang w:eastAsia="zh-CN"/>
        </w:rPr>
        <w:t>四、技术规格及食品规格</w:t>
      </w:r>
      <w:bookmarkEnd w:id="397"/>
    </w:p>
    <w:p w14:paraId="7B4D7897">
      <w:pPr>
        <w:wordWrap w:val="0"/>
        <w:spacing w:line="360" w:lineRule="auto"/>
        <w:ind w:firstLine="45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所有配送食材品牌规格均由乙方提供，由甲方选定，乙方应保证食材的新鲜度，采</w:t>
      </w:r>
      <w:r>
        <w:rPr>
          <w:rFonts w:hint="eastAsia" w:asciiTheme="minorEastAsia" w:hAnsiTheme="minorEastAsia" w:eastAsiaTheme="minorEastAsia" w:cstheme="minorEastAsia"/>
          <w:spacing w:val="-5"/>
          <w:sz w:val="24"/>
          <w:szCs w:val="24"/>
          <w:lang w:eastAsia="zh-CN"/>
        </w:rPr>
        <w:t>购的食品原（辅）材料，鼓励在鲁山县境内优先采购，本地确实无法采购</w:t>
      </w:r>
      <w:r>
        <w:rPr>
          <w:rFonts w:hint="eastAsia" w:asciiTheme="minorEastAsia" w:hAnsiTheme="minorEastAsia" w:eastAsiaTheme="minorEastAsia" w:cstheme="minorEastAsia"/>
          <w:spacing w:val="-6"/>
          <w:sz w:val="24"/>
          <w:szCs w:val="24"/>
          <w:lang w:eastAsia="zh-CN"/>
        </w:rPr>
        <w:t>的品类，征得</w:t>
      </w:r>
      <w:r>
        <w:rPr>
          <w:rFonts w:hint="eastAsia" w:asciiTheme="minorEastAsia" w:hAnsiTheme="minorEastAsia" w:eastAsiaTheme="minorEastAsia" w:cstheme="minorEastAsia"/>
          <w:spacing w:val="-4"/>
          <w:sz w:val="24"/>
          <w:szCs w:val="24"/>
          <w:lang w:eastAsia="zh-CN"/>
        </w:rPr>
        <w:t>甲方同意后可以自行采购。</w:t>
      </w:r>
    </w:p>
    <w:p w14:paraId="0B9B4FC4">
      <w:pPr>
        <w:wordWrap w:val="0"/>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1.小麦粉为专用馒头粉、特等一级粉，符合国家GB/T 1355-2021标准要求。</w:t>
      </w:r>
    </w:p>
    <w:p w14:paraId="56A68B48">
      <w:pPr>
        <w:wordWrap w:val="0"/>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2.大米符合GB/T 1354-2018标准要求标准，优质一级大米，合格证，并有质量检验报告。</w:t>
      </w:r>
    </w:p>
    <w:p w14:paraId="410EC863">
      <w:pPr>
        <w:wordWrap w:val="0"/>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3.食用油为非转基因一级大豆油（符合GB/T 1535-2017标准）、花生油（符合GB/T 1534-2017标准）、菜籽油（符合GB/T 1536-2021标准）、芝麻油（符合GB/T 8233-2018标准）。</w:t>
      </w:r>
    </w:p>
    <w:p w14:paraId="359F4084">
      <w:pPr>
        <w:wordWrap w:val="0"/>
        <w:spacing w:line="360" w:lineRule="auto"/>
        <w:ind w:firstLine="44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4.鲜肉类必须来自定点屠宰企业并提供两章两证，即：有动物检疫验讫印章和动物</w:t>
      </w:r>
      <w:r>
        <w:rPr>
          <w:rFonts w:hint="eastAsia" w:asciiTheme="minorEastAsia" w:hAnsiTheme="minorEastAsia" w:eastAsiaTheme="minorEastAsia" w:cstheme="minorEastAsia"/>
          <w:sz w:val="24"/>
          <w:szCs w:val="24"/>
          <w:lang w:eastAsia="zh-CN"/>
        </w:rPr>
        <w:t xml:space="preserve"> 检验验讫印章、有动物检验检疫合格证明和品</w:t>
      </w:r>
      <w:r>
        <w:rPr>
          <w:rFonts w:hint="eastAsia" w:asciiTheme="minorEastAsia" w:hAnsiTheme="minorEastAsia" w:eastAsiaTheme="minorEastAsia" w:cstheme="minorEastAsia"/>
          <w:spacing w:val="-1"/>
          <w:sz w:val="24"/>
          <w:szCs w:val="24"/>
          <w:lang w:eastAsia="zh-CN"/>
        </w:rPr>
        <w:t>质检验合格证明；禽蛋必须保证新鲜、无</w:t>
      </w:r>
      <w:r>
        <w:rPr>
          <w:rFonts w:hint="eastAsia" w:asciiTheme="minorEastAsia" w:hAnsiTheme="minorEastAsia" w:eastAsiaTheme="minorEastAsia" w:cstheme="minorEastAsia"/>
          <w:spacing w:val="-10"/>
          <w:sz w:val="24"/>
          <w:szCs w:val="24"/>
          <w:lang w:eastAsia="zh-CN"/>
        </w:rPr>
        <w:t>公害。</w:t>
      </w:r>
    </w:p>
    <w:p w14:paraId="1B810285">
      <w:pPr>
        <w:wordWrap w:val="0"/>
        <w:spacing w:line="360" w:lineRule="auto"/>
        <w:ind w:firstLine="51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5.干调类必须具有“</w:t>
      </w:r>
      <w:r>
        <w:rPr>
          <w:rFonts w:hint="eastAsia" w:asciiTheme="minorEastAsia" w:hAnsiTheme="minorEastAsia" w:eastAsiaTheme="minorEastAsia" w:cstheme="minorEastAsia"/>
          <w:sz w:val="24"/>
          <w:szCs w:val="24"/>
          <w:lang w:eastAsia="zh-CN"/>
        </w:rPr>
        <w:t>QS</w:t>
      </w:r>
      <w:r>
        <w:rPr>
          <w:rFonts w:hint="eastAsia" w:asciiTheme="minorEastAsia" w:hAnsiTheme="minorEastAsia" w:eastAsiaTheme="minorEastAsia" w:cstheme="minorEastAsia"/>
          <w:spacing w:val="8"/>
          <w:sz w:val="24"/>
          <w:szCs w:val="24"/>
          <w:lang w:eastAsia="zh-CN"/>
        </w:rPr>
        <w:t>”或“</w:t>
      </w:r>
      <w:r>
        <w:rPr>
          <w:rFonts w:hint="eastAsia" w:asciiTheme="minorEastAsia" w:hAnsiTheme="minorEastAsia" w:eastAsiaTheme="minorEastAsia" w:cstheme="minorEastAsia"/>
          <w:sz w:val="24"/>
          <w:szCs w:val="24"/>
          <w:lang w:eastAsia="zh-CN"/>
        </w:rPr>
        <w:t>SC</w:t>
      </w:r>
      <w:r>
        <w:rPr>
          <w:rFonts w:hint="eastAsia" w:asciiTheme="minorEastAsia" w:hAnsiTheme="minorEastAsia" w:eastAsiaTheme="minorEastAsia" w:cstheme="minorEastAsia"/>
          <w:spacing w:val="8"/>
          <w:sz w:val="24"/>
          <w:szCs w:val="24"/>
          <w:lang w:eastAsia="zh-CN"/>
        </w:rPr>
        <w:t>”食品质量认证标志，配料必须符合国家食品安全</w:t>
      </w:r>
      <w:r>
        <w:rPr>
          <w:rFonts w:hint="eastAsia" w:asciiTheme="minorEastAsia" w:hAnsiTheme="minorEastAsia" w:eastAsiaTheme="minorEastAsia" w:cstheme="minorEastAsia"/>
          <w:spacing w:val="-4"/>
          <w:sz w:val="24"/>
          <w:szCs w:val="24"/>
          <w:lang w:eastAsia="zh-CN"/>
        </w:rPr>
        <w:t>相关要求的名优商品。</w:t>
      </w:r>
    </w:p>
    <w:p w14:paraId="1D5C7795">
      <w:pPr>
        <w:wordWrap w:val="0"/>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6.蔬菜类必须保证新鲜，无农药残留、无重金属超标等，符合国家食品安全标准。</w:t>
      </w:r>
    </w:p>
    <w:p w14:paraId="029A2049">
      <w:pPr>
        <w:pStyle w:val="6"/>
        <w:wordWrap w:val="0"/>
        <w:spacing w:line="360" w:lineRule="auto"/>
        <w:ind w:firstLine="462" w:firstLineChars="200"/>
        <w:rPr>
          <w:rFonts w:asciiTheme="minorEastAsia" w:hAnsiTheme="minorEastAsia" w:eastAsiaTheme="minorEastAsia" w:cstheme="minorEastAsia"/>
          <w:sz w:val="24"/>
          <w:szCs w:val="24"/>
          <w:lang w:eastAsia="zh-CN"/>
        </w:rPr>
      </w:pPr>
      <w:bookmarkStart w:id="398" w:name="_Toc23865"/>
      <w:r>
        <w:rPr>
          <w:rFonts w:hint="eastAsia" w:asciiTheme="minorEastAsia" w:hAnsiTheme="minorEastAsia" w:eastAsiaTheme="minorEastAsia" w:cstheme="minorEastAsia"/>
          <w:b/>
          <w:bCs/>
          <w:spacing w:val="-5"/>
          <w:sz w:val="24"/>
          <w:szCs w:val="24"/>
          <w:lang w:eastAsia="zh-CN"/>
        </w:rPr>
        <w:t>五、配送</w:t>
      </w:r>
      <w:bookmarkEnd w:id="398"/>
    </w:p>
    <w:p w14:paraId="7D4AEB9B">
      <w:pPr>
        <w:wordWrap w:val="0"/>
        <w:spacing w:line="360" w:lineRule="auto"/>
        <w:ind w:firstLine="45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1.乙方</w:t>
      </w:r>
      <w:r>
        <w:rPr>
          <w:rFonts w:hint="eastAsia" w:asciiTheme="minorEastAsia" w:hAnsiTheme="minorEastAsia" w:eastAsiaTheme="minorEastAsia" w:cstheme="minorEastAsia"/>
          <w:spacing w:val="-1"/>
          <w:sz w:val="24"/>
          <w:szCs w:val="24"/>
          <w:lang w:eastAsia="zh-CN"/>
        </w:rPr>
        <w:t>配送中心需含有停车场、办公区、加工</w:t>
      </w:r>
      <w:r>
        <w:rPr>
          <w:rFonts w:hint="eastAsia" w:asciiTheme="minorEastAsia" w:hAnsiTheme="minorEastAsia" w:eastAsiaTheme="minorEastAsia" w:cstheme="minorEastAsia"/>
          <w:sz w:val="24"/>
          <w:szCs w:val="24"/>
          <w:lang w:eastAsia="zh-CN"/>
        </w:rPr>
        <w:t>区、仓储区、冷藏库等场所和能满足配送标准要</w:t>
      </w:r>
      <w:r>
        <w:rPr>
          <w:rFonts w:hint="eastAsia" w:asciiTheme="minorEastAsia" w:hAnsiTheme="minorEastAsia" w:eastAsiaTheme="minorEastAsia" w:cstheme="minorEastAsia"/>
          <w:spacing w:val="-1"/>
          <w:sz w:val="24"/>
          <w:szCs w:val="24"/>
          <w:lang w:eastAsia="zh-CN"/>
        </w:rPr>
        <w:t>求和配送需求量的运输车辆，并对运输</w:t>
      </w:r>
      <w:r>
        <w:rPr>
          <w:rFonts w:hint="eastAsia" w:asciiTheme="minorEastAsia" w:hAnsiTheme="minorEastAsia" w:eastAsiaTheme="minorEastAsia" w:cstheme="minorEastAsia"/>
          <w:spacing w:val="1"/>
          <w:sz w:val="24"/>
          <w:szCs w:val="24"/>
          <w:lang w:eastAsia="zh-CN"/>
        </w:rPr>
        <w:t>车辆进行全程监控及对运输车辆安全责任事故负责。仓库必须达到食品安全存放要求，厂房的进出口区域、食品加工区域、食品储存区域等功能区必须安装监控设备，冷藏运</w:t>
      </w:r>
      <w:r>
        <w:rPr>
          <w:rFonts w:hint="eastAsia" w:asciiTheme="minorEastAsia" w:hAnsiTheme="minorEastAsia" w:eastAsiaTheme="minorEastAsia" w:cstheme="minorEastAsia"/>
          <w:spacing w:val="-3"/>
          <w:sz w:val="24"/>
          <w:szCs w:val="24"/>
          <w:lang w:eastAsia="zh-CN"/>
        </w:rPr>
        <w:t>输车及专用食品材料配送车辆必须保证需求。</w:t>
      </w:r>
    </w:p>
    <w:p w14:paraId="26949E4E">
      <w:pPr>
        <w:wordWrap w:val="0"/>
        <w:spacing w:line="360" w:lineRule="auto"/>
        <w:ind w:firstLine="444" w:firstLineChars="200"/>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9"/>
          <w:sz w:val="24"/>
          <w:szCs w:val="24"/>
          <w:lang w:eastAsia="zh-CN"/>
        </w:rPr>
        <w:t>2.为确保食品安全，不允许乙方对合同内容进行分包或转包，所有食材必须从乙方</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2"/>
          <w:sz w:val="24"/>
          <w:szCs w:val="24"/>
          <w:lang w:eastAsia="zh-CN"/>
        </w:rPr>
        <w:t>配送中心统一分装配送，若出现分包或转包，甲方有权终止合同。</w:t>
      </w:r>
    </w:p>
    <w:p w14:paraId="109DF0FF">
      <w:pPr>
        <w:wordWrap w:val="0"/>
        <w:spacing w:line="360" w:lineRule="auto"/>
        <w:ind w:firstLine="472" w:firstLineChars="200"/>
        <w:rPr>
          <w:rFonts w:hint="default"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乙方应充分考虑实际配送地点，并建立相近的配送中心，除按要求在每天最后配送时间结束前，完成当天所有配送工作外，还应建立应急配送机制，如出现意外情况导致当天配送无法按时送达时，应立即调配其他配送车辆及食材，保证两小时内应急配送到位。</w:t>
      </w:r>
    </w:p>
    <w:p w14:paraId="0D83F35E">
      <w:pPr>
        <w:pStyle w:val="6"/>
        <w:wordWrap w:val="0"/>
        <w:spacing w:line="360" w:lineRule="auto"/>
        <w:ind w:firstLine="462" w:firstLineChars="200"/>
        <w:rPr>
          <w:rFonts w:asciiTheme="minorEastAsia" w:hAnsiTheme="minorEastAsia" w:eastAsiaTheme="minorEastAsia" w:cstheme="minorEastAsia"/>
          <w:b/>
          <w:bCs/>
          <w:spacing w:val="-5"/>
          <w:sz w:val="24"/>
          <w:szCs w:val="24"/>
          <w:lang w:eastAsia="zh-CN"/>
        </w:rPr>
      </w:pPr>
      <w:r>
        <w:rPr>
          <w:rFonts w:hint="eastAsia" w:asciiTheme="minorEastAsia" w:hAnsiTheme="minorEastAsia" w:eastAsiaTheme="minorEastAsia" w:cstheme="minorEastAsia"/>
          <w:b/>
          <w:bCs/>
          <w:spacing w:val="-5"/>
          <w:sz w:val="24"/>
          <w:szCs w:val="24"/>
          <w:lang w:eastAsia="zh-CN"/>
        </w:rPr>
        <w:t>六、食材采购管理系统</w:t>
      </w:r>
    </w:p>
    <w:p w14:paraId="6946DBAA">
      <w:pPr>
        <w:keepNext w:val="0"/>
        <w:keepLines w:val="0"/>
        <w:pageBreakBefore w:val="0"/>
        <w:widowControl w:val="0"/>
        <w:kinsoku w:val="0"/>
        <w:wordWrap w:val="0"/>
        <w:overflowPunct/>
        <w:topLinePunct w:val="0"/>
        <w:autoSpaceDE w:val="0"/>
        <w:autoSpaceDN w:val="0"/>
        <w:bidi w:val="0"/>
        <w:adjustRightInd w:val="0"/>
        <w:snapToGrid w:val="0"/>
        <w:spacing w:line="360" w:lineRule="auto"/>
        <w:ind w:firstLine="472" w:firstLineChars="200"/>
        <w:textAlignment w:val="baseline"/>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中标人应承诺签订合同30日历天内为本项目提供食材采购管理系统，系统的主要功能包括采购管理、食材追溯、库存管理、数据分析等。通过食材采购管理系统，采购人能够及时了解到供应商的价格、库存、交货期等信息，从而进行合理的采购计划。</w:t>
      </w:r>
    </w:p>
    <w:p w14:paraId="4C2E8A04">
      <w:pPr>
        <w:keepNext w:val="0"/>
        <w:keepLines w:val="0"/>
        <w:pageBreakBefore w:val="0"/>
        <w:widowControl w:val="0"/>
        <w:kinsoku w:val="0"/>
        <w:wordWrap w:val="0"/>
        <w:overflowPunct/>
        <w:topLinePunct w:val="0"/>
        <w:autoSpaceDE w:val="0"/>
        <w:autoSpaceDN w:val="0"/>
        <w:bidi w:val="0"/>
        <w:adjustRightInd w:val="0"/>
        <w:snapToGrid w:val="0"/>
        <w:spacing w:line="360" w:lineRule="auto"/>
        <w:ind w:firstLine="472" w:firstLineChars="200"/>
        <w:textAlignment w:val="baseline"/>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1.采购管理：为采购人和中心校设置监管及管理账号，可实现采购计划的制定、审批、执行和监控，确保采购过程的透明度和规范性。</w:t>
      </w:r>
    </w:p>
    <w:p w14:paraId="03F6CC30">
      <w:pPr>
        <w:wordWrap w:val="0"/>
        <w:spacing w:line="360" w:lineRule="auto"/>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2.食材追溯：可对食材来源、运输、存储等环节进行全程追溯，确保食材来源可靠、质量可控。此外，通过数据分析，可对食材消耗进行预测，合理安排采购计划，避免浪费。</w:t>
      </w:r>
    </w:p>
    <w:p w14:paraId="05C8477F">
      <w:pPr>
        <w:wordWrap w:val="0"/>
        <w:spacing w:line="360" w:lineRule="auto"/>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 库存管理：可实现食材库存的实时监控和预警，确保食材新鲜度，减少库存积压。同时，通过对库存数据的分析，为食堂管理者及采购人提供决策支持，优化库存结构。</w:t>
      </w:r>
    </w:p>
    <w:p w14:paraId="459A5097">
      <w:pPr>
        <w:wordWrap w:val="0"/>
        <w:spacing w:line="360" w:lineRule="auto"/>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4.数据分析：可对采购、库存、销售等数据进行统计分析，采购人可实时查看全部供货订单及供货金额且可从系统导出数据等功能。</w:t>
      </w:r>
    </w:p>
    <w:p w14:paraId="36506959">
      <w:pPr>
        <w:pStyle w:val="6"/>
        <w:wordWrap w:val="0"/>
        <w:spacing w:line="360" w:lineRule="auto"/>
        <w:ind w:firstLine="470" w:firstLineChars="200"/>
        <w:rPr>
          <w:rFonts w:asciiTheme="minorEastAsia" w:hAnsiTheme="minorEastAsia" w:eastAsiaTheme="minorEastAsia" w:cstheme="minorEastAsia"/>
          <w:sz w:val="24"/>
          <w:szCs w:val="24"/>
          <w:lang w:eastAsia="zh-CN"/>
        </w:rPr>
      </w:pPr>
      <w:bookmarkStart w:id="399" w:name="_Toc13801"/>
      <w:r>
        <w:rPr>
          <w:rFonts w:hint="eastAsia" w:asciiTheme="minorEastAsia" w:hAnsiTheme="minorEastAsia" w:eastAsiaTheme="minorEastAsia" w:cstheme="minorEastAsia"/>
          <w:b/>
          <w:bCs/>
          <w:spacing w:val="-3"/>
          <w:sz w:val="24"/>
          <w:szCs w:val="24"/>
          <w:lang w:eastAsia="zh-CN"/>
        </w:rPr>
        <w:t>七、双方的责任和义务</w:t>
      </w:r>
      <w:bookmarkEnd w:id="399"/>
    </w:p>
    <w:p w14:paraId="5C4E6EB8">
      <w:pPr>
        <w:pStyle w:val="6"/>
        <w:wordWrap w:val="0"/>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1.乙方所供米面油须取得有关生产许可证、营业执照、商标注册证等</w:t>
      </w:r>
      <w:r>
        <w:rPr>
          <w:rFonts w:hint="eastAsia" w:asciiTheme="minorEastAsia" w:hAnsiTheme="minorEastAsia" w:eastAsiaTheme="minorEastAsia" w:cstheme="minorEastAsia"/>
          <w:spacing w:val="-1"/>
          <w:sz w:val="24"/>
          <w:szCs w:val="24"/>
          <w:lang w:eastAsia="zh-CN"/>
        </w:rPr>
        <w:t>各类证件，同时要提供该批米面油的检验报告单，并</w:t>
      </w:r>
      <w:r>
        <w:rPr>
          <w:rFonts w:hint="eastAsia" w:asciiTheme="minorEastAsia" w:hAnsiTheme="minorEastAsia" w:eastAsiaTheme="minorEastAsia" w:cstheme="minorEastAsia"/>
          <w:spacing w:val="-2"/>
          <w:sz w:val="24"/>
          <w:szCs w:val="24"/>
          <w:lang w:eastAsia="zh-CN"/>
        </w:rPr>
        <w:t>承诺向甲方供应的米面油不过期、</w:t>
      </w:r>
      <w:r>
        <w:rPr>
          <w:rFonts w:hint="eastAsia" w:asciiTheme="minorEastAsia" w:hAnsiTheme="minorEastAsia" w:eastAsiaTheme="minorEastAsia" w:cstheme="minorEastAsia"/>
          <w:spacing w:val="1"/>
          <w:sz w:val="24"/>
          <w:szCs w:val="24"/>
          <w:lang w:eastAsia="zh-CN"/>
        </w:rPr>
        <w:t>不变质、不变味、无杂质、无毒无害，符合国家食品卫生有关规定。送达各项目学校储</w:t>
      </w:r>
      <w:r>
        <w:rPr>
          <w:rFonts w:hint="eastAsia" w:asciiTheme="minorEastAsia" w:hAnsiTheme="minorEastAsia" w:eastAsiaTheme="minorEastAsia" w:cstheme="minorEastAsia"/>
          <w:spacing w:val="-1"/>
          <w:sz w:val="24"/>
          <w:szCs w:val="24"/>
          <w:lang w:eastAsia="zh-CN"/>
        </w:rPr>
        <w:t>藏室的冷鲜肉每批次必须有动物检疫合格证和肉品质量合格证，蔬菜水</w:t>
      </w:r>
      <w:r>
        <w:rPr>
          <w:rFonts w:hint="eastAsia" w:asciiTheme="minorEastAsia" w:hAnsiTheme="minorEastAsia" w:eastAsiaTheme="minorEastAsia" w:cstheme="minorEastAsia"/>
          <w:spacing w:val="-2"/>
          <w:sz w:val="24"/>
          <w:szCs w:val="24"/>
          <w:lang w:eastAsia="zh-CN"/>
        </w:rPr>
        <w:t>果等必须通过自</w:t>
      </w:r>
      <w:r>
        <w:rPr>
          <w:rFonts w:hint="eastAsia" w:asciiTheme="minorEastAsia" w:hAnsiTheme="minorEastAsia" w:eastAsiaTheme="minorEastAsia" w:cstheme="minorEastAsia"/>
          <w:spacing w:val="-6"/>
          <w:sz w:val="24"/>
          <w:szCs w:val="24"/>
          <w:lang w:eastAsia="zh-CN"/>
        </w:rPr>
        <w:t>检设备检测农药残留情况，符合食用要求，否则，由此产生的经济损失由乙方负责承担，</w:t>
      </w:r>
      <w:r>
        <w:rPr>
          <w:rFonts w:hint="eastAsia" w:asciiTheme="minorEastAsia" w:hAnsiTheme="minorEastAsia" w:eastAsiaTheme="minorEastAsia" w:cstheme="minorEastAsia"/>
          <w:spacing w:val="-5"/>
          <w:sz w:val="24"/>
          <w:szCs w:val="24"/>
          <w:lang w:eastAsia="zh-CN"/>
        </w:rPr>
        <w:t>并负相应的法律责任。</w:t>
      </w:r>
    </w:p>
    <w:p w14:paraId="2F16B4FC">
      <w:pPr>
        <w:wordWrap w:val="0"/>
        <w:spacing w:line="360" w:lineRule="auto"/>
        <w:ind w:firstLine="45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2.乙方配送的货物必须是定量包装，要求称量必须与包装袋上</w:t>
      </w:r>
      <w:r>
        <w:rPr>
          <w:rFonts w:hint="eastAsia" w:asciiTheme="minorEastAsia" w:hAnsiTheme="minorEastAsia" w:eastAsiaTheme="minorEastAsia" w:cstheme="minorEastAsia"/>
          <w:spacing w:val="-7"/>
          <w:sz w:val="24"/>
          <w:szCs w:val="24"/>
          <w:lang w:eastAsia="zh-CN"/>
        </w:rPr>
        <w:t>标明的重量一致，甲</w:t>
      </w:r>
      <w:r>
        <w:rPr>
          <w:rFonts w:hint="eastAsia" w:asciiTheme="minorEastAsia" w:hAnsiTheme="minorEastAsia" w:eastAsiaTheme="minorEastAsia" w:cstheme="minorEastAsia"/>
          <w:spacing w:val="-3"/>
          <w:sz w:val="24"/>
          <w:szCs w:val="24"/>
          <w:lang w:eastAsia="zh-CN"/>
        </w:rPr>
        <w:t>方验收时抽样不低于5％过秤，如发现有不足秤的（偏差不高于</w:t>
      </w:r>
      <w:r>
        <w:rPr>
          <w:rFonts w:hint="eastAsia" w:asciiTheme="minorEastAsia" w:hAnsiTheme="minorEastAsia" w:eastAsiaTheme="minorEastAsia" w:cstheme="minorEastAsia"/>
          <w:spacing w:val="-4"/>
          <w:sz w:val="24"/>
          <w:szCs w:val="24"/>
          <w:lang w:eastAsia="zh-CN"/>
        </w:rPr>
        <w:t>3</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4"/>
          <w:sz w:val="24"/>
          <w:szCs w:val="24"/>
          <w:lang w:eastAsia="zh-CN"/>
        </w:rPr>
        <w:t>视为正常误差</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4"/>
          <w:sz w:val="24"/>
          <w:szCs w:val="24"/>
          <w:lang w:eastAsia="zh-CN"/>
        </w:rPr>
        <w:t>则当批货物按抽</w:t>
      </w:r>
      <w:r>
        <w:rPr>
          <w:rFonts w:hint="eastAsia" w:asciiTheme="minorEastAsia" w:hAnsiTheme="minorEastAsia" w:eastAsiaTheme="minorEastAsia" w:cstheme="minorEastAsia"/>
          <w:spacing w:val="-2"/>
          <w:sz w:val="24"/>
          <w:szCs w:val="24"/>
          <w:lang w:eastAsia="zh-CN"/>
        </w:rPr>
        <w:t>样平均重量计算，如累计出现三次不足秤的，按该批货的2倍扣除。</w:t>
      </w:r>
    </w:p>
    <w:p w14:paraId="11890286">
      <w:pPr>
        <w:wordWrap w:val="0"/>
        <w:spacing w:line="360" w:lineRule="auto"/>
        <w:ind w:firstLine="44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3.甲方未能及时验货或储存期间造成食品质量发生问题时，由甲方原因造成的，责</w:t>
      </w:r>
      <w:r>
        <w:rPr>
          <w:rFonts w:hint="eastAsia" w:asciiTheme="minorEastAsia" w:hAnsiTheme="minorEastAsia" w:eastAsiaTheme="minorEastAsia" w:cstheme="minorEastAsia"/>
          <w:spacing w:val="17"/>
          <w:w w:val="101"/>
          <w:sz w:val="24"/>
          <w:szCs w:val="24"/>
          <w:lang w:eastAsia="zh-CN"/>
        </w:rPr>
        <w:t xml:space="preserve"> </w:t>
      </w:r>
      <w:r>
        <w:rPr>
          <w:rFonts w:hint="eastAsia" w:asciiTheme="minorEastAsia" w:hAnsiTheme="minorEastAsia" w:eastAsiaTheme="minorEastAsia" w:cstheme="minorEastAsia"/>
          <w:spacing w:val="-6"/>
          <w:sz w:val="24"/>
          <w:szCs w:val="24"/>
          <w:lang w:eastAsia="zh-CN"/>
        </w:rPr>
        <w:t>任由甲方承担。</w:t>
      </w:r>
    </w:p>
    <w:p w14:paraId="618F5EF7">
      <w:pPr>
        <w:wordWrap w:val="0"/>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4.乙方供货期间所供的营养午餐食品不满足投标文件要求或私自更换投标产品的，</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
          <w:sz w:val="24"/>
          <w:szCs w:val="24"/>
          <w:lang w:eastAsia="zh-CN"/>
        </w:rPr>
        <w:t>甲方有权拒绝接收，由此延误学生食用的，甲方有权终止合同且一切责任由乙方承担，</w:t>
      </w:r>
      <w:r>
        <w:rPr>
          <w:rFonts w:hint="eastAsia" w:asciiTheme="minorEastAsia" w:hAnsiTheme="minorEastAsia" w:eastAsiaTheme="minorEastAsia" w:cstheme="minorEastAsia"/>
          <w:spacing w:val="-2"/>
          <w:sz w:val="24"/>
          <w:szCs w:val="24"/>
          <w:lang w:eastAsia="zh-CN"/>
        </w:rPr>
        <w:t>另行安排新的生产及配送商供货，并不退还已发生的费用且保留追责权利。</w:t>
      </w:r>
    </w:p>
    <w:p w14:paraId="3210E4BD">
      <w:pPr>
        <w:pStyle w:val="6"/>
        <w:keepNext w:val="0"/>
        <w:keepLines w:val="0"/>
        <w:pageBreakBefore w:val="0"/>
        <w:widowControl w:val="0"/>
        <w:kinsoku w:val="0"/>
        <w:wordWrap w:val="0"/>
        <w:overflowPunct/>
        <w:topLinePunct w:val="0"/>
        <w:autoSpaceDE w:val="0"/>
        <w:autoSpaceDN w:val="0"/>
        <w:bidi w:val="0"/>
        <w:adjustRightInd w:val="0"/>
        <w:snapToGrid w:val="0"/>
        <w:spacing w:line="360" w:lineRule="auto"/>
        <w:ind w:firstLine="448" w:firstLineChars="200"/>
        <w:textAlignment w:val="baseline"/>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5.乙方需保证其供货产品合格率达到100%，配送过程中若出现包装破损或者感官鉴</w:t>
      </w:r>
      <w:r>
        <w:rPr>
          <w:rFonts w:hint="eastAsia" w:asciiTheme="minorEastAsia" w:hAnsiTheme="minorEastAsia" w:eastAsiaTheme="minorEastAsia" w:cstheme="minorEastAsia"/>
          <w:spacing w:val="1"/>
          <w:sz w:val="24"/>
          <w:szCs w:val="24"/>
          <w:lang w:eastAsia="zh-CN"/>
        </w:rPr>
        <w:t>别不符合安全标准的，甲方拒绝接收。若发现出现质量问题如霉变、生虫、变味、重量</w:t>
      </w:r>
      <w:r>
        <w:rPr>
          <w:rFonts w:hint="eastAsia" w:asciiTheme="minorEastAsia" w:hAnsiTheme="minorEastAsia" w:eastAsiaTheme="minorEastAsia" w:cstheme="minorEastAsia"/>
          <w:spacing w:val="-1"/>
          <w:sz w:val="24"/>
          <w:szCs w:val="24"/>
          <w:lang w:eastAsia="zh-CN"/>
        </w:rPr>
        <w:t>不足等情况的，视情节不同，根据国家相关规定，进行处罚。罚金从合同款项中进</w:t>
      </w:r>
      <w:r>
        <w:rPr>
          <w:rFonts w:hint="eastAsia" w:asciiTheme="minorEastAsia" w:hAnsiTheme="minorEastAsia" w:eastAsiaTheme="minorEastAsia" w:cstheme="minorEastAsia"/>
          <w:spacing w:val="-2"/>
          <w:sz w:val="24"/>
          <w:szCs w:val="24"/>
          <w:lang w:eastAsia="zh-CN"/>
        </w:rPr>
        <w:t>行扣除，两次以上的乙方</w:t>
      </w:r>
      <w:r>
        <w:rPr>
          <w:rFonts w:hint="eastAsia" w:asciiTheme="minorEastAsia" w:hAnsiTheme="minorEastAsia" w:eastAsiaTheme="minorEastAsia" w:cstheme="minorEastAsia"/>
          <w:spacing w:val="-1"/>
          <w:sz w:val="24"/>
          <w:szCs w:val="24"/>
          <w:lang w:eastAsia="zh-CN"/>
        </w:rPr>
        <w:t>无条件退出供应，甲方有权终止乙方合同，不支付该批</w:t>
      </w:r>
      <w:r>
        <w:rPr>
          <w:rFonts w:hint="eastAsia" w:asciiTheme="minorEastAsia" w:hAnsiTheme="minorEastAsia" w:eastAsiaTheme="minorEastAsia" w:cstheme="minorEastAsia"/>
          <w:spacing w:val="-2"/>
          <w:sz w:val="24"/>
          <w:szCs w:val="24"/>
          <w:lang w:eastAsia="zh-CN"/>
        </w:rPr>
        <w:t>次的货款，给甲方造成损失的，</w:t>
      </w:r>
      <w:r>
        <w:rPr>
          <w:rFonts w:hint="eastAsia" w:asciiTheme="minorEastAsia" w:hAnsiTheme="minorEastAsia" w:eastAsiaTheme="minorEastAsia" w:cstheme="minorEastAsia"/>
          <w:spacing w:val="-5"/>
          <w:sz w:val="24"/>
          <w:szCs w:val="24"/>
          <w:lang w:eastAsia="zh-CN"/>
        </w:rPr>
        <w:t>还应赔偿甲方的损失。</w:t>
      </w:r>
    </w:p>
    <w:p w14:paraId="6EE127E4">
      <w:pPr>
        <w:keepNext w:val="0"/>
        <w:keepLines w:val="0"/>
        <w:pageBreakBefore w:val="0"/>
        <w:widowControl w:val="0"/>
        <w:kinsoku w:val="0"/>
        <w:wordWrap w:val="0"/>
        <w:overflowPunct/>
        <w:topLinePunct w:val="0"/>
        <w:autoSpaceDE w:val="0"/>
        <w:autoSpaceDN w:val="0"/>
        <w:bidi w:val="0"/>
        <w:adjustRightInd w:val="0"/>
        <w:snapToGrid w:val="0"/>
        <w:spacing w:line="360" w:lineRule="auto"/>
        <w:ind w:firstLine="432" w:firstLineChars="200"/>
        <w:textAlignment w:val="baseline"/>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6.在学生食用过程中，若发生一般性事故，乙方应及时到场，并及时处理，</w:t>
      </w:r>
      <w:r>
        <w:rPr>
          <w:rFonts w:hint="eastAsia" w:asciiTheme="minorEastAsia" w:hAnsiTheme="minorEastAsia" w:eastAsiaTheme="minorEastAsia" w:cstheme="minorEastAsia"/>
          <w:spacing w:val="-13"/>
          <w:sz w:val="24"/>
          <w:szCs w:val="24"/>
          <w:lang w:eastAsia="zh-CN"/>
        </w:rPr>
        <w:t>若不及</w:t>
      </w:r>
      <w:r>
        <w:rPr>
          <w:rFonts w:hint="eastAsia" w:asciiTheme="minorEastAsia" w:hAnsiTheme="minorEastAsia" w:eastAsiaTheme="minorEastAsia" w:cstheme="minorEastAsia"/>
          <w:spacing w:val="-7"/>
          <w:sz w:val="24"/>
          <w:szCs w:val="24"/>
          <w:lang w:eastAsia="zh-CN"/>
        </w:rPr>
        <w:t>时处理，一切后果均由乙方全部承担；若发</w:t>
      </w:r>
      <w:r>
        <w:rPr>
          <w:rFonts w:hint="eastAsia" w:asciiTheme="minorEastAsia" w:hAnsiTheme="minorEastAsia" w:eastAsiaTheme="minorEastAsia" w:cstheme="minorEastAsia"/>
          <w:spacing w:val="-8"/>
          <w:sz w:val="24"/>
          <w:szCs w:val="24"/>
          <w:lang w:eastAsia="zh-CN"/>
        </w:rPr>
        <w:t>生质量事故，且由于质量问题引起学生腹泻、</w:t>
      </w:r>
      <w:r>
        <w:rPr>
          <w:rFonts w:hint="eastAsia" w:asciiTheme="minorEastAsia" w:hAnsiTheme="minorEastAsia" w:eastAsiaTheme="minorEastAsia" w:cstheme="minorEastAsia"/>
          <w:spacing w:val="1"/>
          <w:sz w:val="24"/>
          <w:szCs w:val="24"/>
          <w:lang w:eastAsia="zh-CN"/>
        </w:rPr>
        <w:t>呕吐，甚至中毒的，所有费用全部由乙方承担，甲方有权终止乙方合同，且不支付</w:t>
      </w:r>
      <w:r>
        <w:rPr>
          <w:rFonts w:hint="eastAsia" w:asciiTheme="minorEastAsia" w:hAnsiTheme="minorEastAsia" w:eastAsiaTheme="minorEastAsia" w:cstheme="minorEastAsia"/>
          <w:sz w:val="24"/>
          <w:szCs w:val="24"/>
          <w:lang w:eastAsia="zh-CN"/>
        </w:rPr>
        <w:t>该批</w:t>
      </w:r>
      <w:r>
        <w:rPr>
          <w:rFonts w:hint="eastAsia" w:asciiTheme="minorEastAsia" w:hAnsiTheme="minorEastAsia" w:eastAsiaTheme="minorEastAsia" w:cstheme="minorEastAsia"/>
          <w:spacing w:val="1"/>
          <w:sz w:val="24"/>
          <w:szCs w:val="24"/>
          <w:lang w:eastAsia="zh-CN"/>
        </w:rPr>
        <w:t>次货款，给甲方造成损失的，还应赔偿甲方的损失。并列入营养改善计划供应黑名单，</w:t>
      </w:r>
      <w:r>
        <w:rPr>
          <w:rFonts w:hint="eastAsia" w:asciiTheme="minorEastAsia" w:hAnsiTheme="minorEastAsia" w:eastAsiaTheme="minorEastAsia" w:cstheme="minorEastAsia"/>
          <w:spacing w:val="-3"/>
          <w:sz w:val="24"/>
          <w:szCs w:val="24"/>
          <w:lang w:eastAsia="zh-CN"/>
        </w:rPr>
        <w:t>情节严重的移交司法部门处理。</w:t>
      </w:r>
    </w:p>
    <w:p w14:paraId="5CDADAEF">
      <w:pPr>
        <w:pStyle w:val="6"/>
        <w:wordWrap w:val="0"/>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7.乙方应遵守甲方的各项管理规定，定期参加例会和培训等，乙方不得无故缺席，否则将进</w:t>
      </w:r>
      <w:r>
        <w:rPr>
          <w:rFonts w:hint="eastAsia" w:asciiTheme="minorEastAsia" w:hAnsiTheme="minorEastAsia" w:eastAsiaTheme="minorEastAsia" w:cstheme="minorEastAsia"/>
          <w:spacing w:val="-3"/>
          <w:sz w:val="24"/>
          <w:szCs w:val="24"/>
          <w:lang w:eastAsia="zh-CN"/>
        </w:rPr>
        <w:t>行处罚。</w:t>
      </w:r>
    </w:p>
    <w:p w14:paraId="690815AA">
      <w:pPr>
        <w:pStyle w:val="6"/>
        <w:wordWrap w:val="0"/>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8.供货期间，乙方不得私自将项目转包或分包给第三方，否则甲方有权终止合同，</w:t>
      </w:r>
      <w:r>
        <w:rPr>
          <w:rFonts w:hint="eastAsia" w:asciiTheme="minorEastAsia" w:hAnsiTheme="minorEastAsia" w:eastAsiaTheme="minorEastAsia" w:cstheme="minorEastAsia"/>
          <w:spacing w:val="-3"/>
          <w:sz w:val="24"/>
          <w:szCs w:val="24"/>
          <w:lang w:eastAsia="zh-CN"/>
        </w:rPr>
        <w:t>并保留追责的权利。</w:t>
      </w:r>
    </w:p>
    <w:p w14:paraId="017D9ED6">
      <w:pPr>
        <w:pStyle w:val="6"/>
        <w:wordWrap w:val="0"/>
        <w:spacing w:line="360" w:lineRule="auto"/>
        <w:ind w:firstLine="46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9.供货期间乙方应提供操作可行的应急预案并备案，乙方保证出现意外情况时</w:t>
      </w:r>
      <w:r>
        <w:rPr>
          <w:rFonts w:hint="eastAsia" w:asciiTheme="minorEastAsia" w:hAnsiTheme="minorEastAsia" w:eastAsiaTheme="minorEastAsia" w:cstheme="minorEastAsia"/>
          <w:spacing w:val="-6"/>
          <w:sz w:val="24"/>
          <w:szCs w:val="24"/>
          <w:lang w:eastAsia="zh-CN"/>
        </w:rPr>
        <w:t>派人及时处</w:t>
      </w:r>
      <w:r>
        <w:rPr>
          <w:rFonts w:hint="eastAsia" w:asciiTheme="minorEastAsia" w:hAnsiTheme="minorEastAsia" w:eastAsiaTheme="minorEastAsia" w:cstheme="minorEastAsia"/>
          <w:spacing w:val="-2"/>
          <w:sz w:val="24"/>
          <w:szCs w:val="24"/>
          <w:lang w:eastAsia="zh-CN"/>
        </w:rPr>
        <w:t>理。如果出现食品安全事件，乙方应积极支付相关费用；若乙方未能及时支付，甲方有权从乙方应得合同款项中进行扣除，并予以支付。</w:t>
      </w:r>
    </w:p>
    <w:p w14:paraId="061B42CA">
      <w:pPr>
        <w:pStyle w:val="6"/>
        <w:wordWrap w:val="0"/>
        <w:spacing w:line="360" w:lineRule="auto"/>
        <w:ind w:firstLine="48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10.供货期间在营养改善计划成员单位检查中发现两次以上存在质量问题影响学生</w:t>
      </w:r>
      <w:r>
        <w:rPr>
          <w:rFonts w:hint="eastAsia" w:asciiTheme="minorEastAsia" w:hAnsiTheme="minorEastAsia" w:eastAsiaTheme="minorEastAsia" w:cstheme="minorEastAsia"/>
          <w:spacing w:val="-3"/>
          <w:sz w:val="24"/>
          <w:szCs w:val="24"/>
          <w:lang w:eastAsia="zh-CN"/>
        </w:rPr>
        <w:t>就餐或不接受县营养改善计划办公室监督管理的，甲方有权终止合同并向乙方追偿损失。</w:t>
      </w:r>
    </w:p>
    <w:p w14:paraId="75E1ED8C">
      <w:pPr>
        <w:pStyle w:val="6"/>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11.任何一方由于不可抗力原因无法履行合同时，应在不可抗力事件结束后立即</w:t>
      </w:r>
      <w:r>
        <w:rPr>
          <w:rFonts w:hint="eastAsia" w:asciiTheme="minorEastAsia" w:hAnsiTheme="minorEastAsia" w:eastAsiaTheme="minorEastAsia" w:cstheme="minorEastAsia"/>
          <w:spacing w:val="1"/>
          <w:sz w:val="24"/>
          <w:szCs w:val="24"/>
          <w:lang w:eastAsia="zh-CN"/>
        </w:rPr>
        <w:t>向对方通报，以减轻可能给对方造成的损失；在取得有关机构的不可抗力证明或者双方</w:t>
      </w:r>
      <w:r>
        <w:rPr>
          <w:rFonts w:hint="eastAsia" w:asciiTheme="minorEastAsia" w:hAnsiTheme="minorEastAsia" w:eastAsiaTheme="minorEastAsia" w:cstheme="minorEastAsia"/>
          <w:spacing w:val="-1"/>
          <w:sz w:val="24"/>
          <w:szCs w:val="24"/>
          <w:lang w:eastAsia="zh-CN"/>
        </w:rPr>
        <w:t>谅解确认后，允许延期履行或修订合同，并视情况免于承担部分或全</w:t>
      </w:r>
      <w:r>
        <w:rPr>
          <w:rFonts w:hint="eastAsia" w:asciiTheme="minorEastAsia" w:hAnsiTheme="minorEastAsia" w:eastAsiaTheme="minorEastAsia" w:cstheme="minorEastAsia"/>
          <w:spacing w:val="-2"/>
          <w:sz w:val="24"/>
          <w:szCs w:val="24"/>
          <w:lang w:eastAsia="zh-CN"/>
        </w:rPr>
        <w:t>部的违约责任。</w:t>
      </w:r>
    </w:p>
    <w:p w14:paraId="12E4CA39">
      <w:pPr>
        <w:pStyle w:val="6"/>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其他：</w:t>
      </w:r>
      <w:r>
        <w:rPr>
          <w:rFonts w:hint="eastAsia" w:asciiTheme="minorEastAsia" w:hAnsiTheme="minorEastAsia" w:eastAsiaTheme="minorEastAsia" w:cstheme="minorEastAsia"/>
          <w:spacing w:val="-2"/>
          <w:sz w:val="24"/>
          <w:szCs w:val="24"/>
          <w:u w:val="single"/>
          <w:lang w:eastAsia="zh-CN"/>
        </w:rPr>
        <w:t xml:space="preserve">                                                              </w:t>
      </w:r>
    </w:p>
    <w:p w14:paraId="58D067DD">
      <w:pPr>
        <w:pStyle w:val="6"/>
        <w:spacing w:line="360" w:lineRule="auto"/>
        <w:ind w:firstLine="470" w:firstLineChars="200"/>
        <w:rPr>
          <w:rFonts w:asciiTheme="minorEastAsia" w:hAnsiTheme="minorEastAsia" w:eastAsiaTheme="minorEastAsia" w:cstheme="minorEastAsia"/>
          <w:sz w:val="24"/>
          <w:szCs w:val="24"/>
          <w:lang w:eastAsia="zh-CN"/>
        </w:rPr>
      </w:pPr>
      <w:bookmarkStart w:id="400" w:name="_Toc32363"/>
      <w:r>
        <w:rPr>
          <w:rFonts w:hint="eastAsia" w:asciiTheme="minorEastAsia" w:hAnsiTheme="minorEastAsia" w:eastAsiaTheme="minorEastAsia" w:cstheme="minorEastAsia"/>
          <w:b/>
          <w:bCs/>
          <w:spacing w:val="-3"/>
          <w:sz w:val="24"/>
          <w:szCs w:val="24"/>
          <w:lang w:eastAsia="zh-CN"/>
        </w:rPr>
        <w:t>八、履约保证金</w:t>
      </w:r>
      <w:bookmarkEnd w:id="400"/>
      <w:r>
        <w:rPr>
          <w:rFonts w:hint="eastAsia" w:asciiTheme="minorEastAsia" w:hAnsiTheme="minorEastAsia" w:eastAsiaTheme="minorEastAsia" w:cstheme="minorEastAsia"/>
          <w:b/>
          <w:bCs/>
          <w:spacing w:val="-3"/>
          <w:sz w:val="24"/>
          <w:szCs w:val="24"/>
          <w:lang w:eastAsia="zh-CN"/>
        </w:rPr>
        <w:t>：无</w:t>
      </w:r>
    </w:p>
    <w:p w14:paraId="400C92C1">
      <w:pPr>
        <w:pStyle w:val="6"/>
        <w:spacing w:line="360" w:lineRule="auto"/>
        <w:ind w:firstLine="472" w:firstLineChars="200"/>
        <w:rPr>
          <w:rFonts w:asciiTheme="minorEastAsia" w:hAnsiTheme="minorEastAsia" w:eastAsiaTheme="minorEastAsia" w:cstheme="minorEastAsia"/>
          <w:sz w:val="24"/>
          <w:szCs w:val="24"/>
          <w:lang w:eastAsia="zh-CN"/>
        </w:rPr>
      </w:pPr>
      <w:bookmarkStart w:id="401" w:name="_Toc12915"/>
      <w:r>
        <w:rPr>
          <w:rFonts w:hint="eastAsia" w:asciiTheme="minorEastAsia" w:hAnsiTheme="minorEastAsia" w:eastAsiaTheme="minorEastAsia" w:cstheme="minorEastAsia"/>
          <w:spacing w:val="-2"/>
          <w:sz w:val="24"/>
          <w:szCs w:val="24"/>
          <w:lang w:eastAsia="zh-CN"/>
        </w:rPr>
        <w:t>九、乙方应主动接受相关部门的监督检验，费用由乙方支付。</w:t>
      </w:r>
      <w:bookmarkEnd w:id="401"/>
    </w:p>
    <w:p w14:paraId="407510EF">
      <w:pPr>
        <w:pStyle w:val="6"/>
        <w:spacing w:line="360" w:lineRule="auto"/>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十、若因国家政策性原因需要调整的，甲方有权依据规定进行调整，由于调整乙方造成的损失，甲方不承担责任。</w:t>
      </w:r>
    </w:p>
    <w:p w14:paraId="676B8B7B">
      <w:pPr>
        <w:pStyle w:val="6"/>
        <w:spacing w:line="360" w:lineRule="auto"/>
        <w:ind w:firstLine="444" w:firstLineChars="200"/>
        <w:rPr>
          <w:rFonts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十一、本合同如发生异议，甲乙双方协商解决，协商不成时，可走法律程序解决。本合同自甲乙双方法定代表人或授权代表签字加盖公章之日起生效，甲乙双方均不得随意变更或解除合同。</w:t>
      </w:r>
    </w:p>
    <w:p w14:paraId="6268E68E">
      <w:pPr>
        <w:pStyle w:val="6"/>
        <w:spacing w:line="360" w:lineRule="auto"/>
        <w:ind w:firstLine="444" w:firstLineChars="200"/>
        <w:rPr>
          <w:rFonts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十二、合同如有未尽事宜，须经甲乙双方共同协商，作出补充约定，补充约定与本合同具有同等法律效力。</w:t>
      </w:r>
    </w:p>
    <w:p w14:paraId="5C6F3BD3">
      <w:pPr>
        <w:pStyle w:val="6"/>
        <w:spacing w:line="360" w:lineRule="auto"/>
        <w:ind w:firstLine="444" w:firstLineChars="200"/>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十三、本合同正本两份，甲乙双方各执一份，每份正本具有同等法律效力。副本两份，分别报相关部门备案。</w:t>
      </w:r>
    </w:p>
    <w:p w14:paraId="46F0B36F">
      <w:pPr>
        <w:rPr>
          <w:rFonts w:hint="eastAsia" w:asciiTheme="minorEastAsia" w:hAnsiTheme="minorEastAsia" w:eastAsiaTheme="minorEastAsia" w:cstheme="minorEastAsia"/>
          <w:spacing w:val="-9"/>
          <w:sz w:val="24"/>
          <w:szCs w:val="24"/>
          <w:lang w:eastAsia="zh-CN"/>
        </w:rPr>
      </w:pPr>
    </w:p>
    <w:p w14:paraId="58893F1B">
      <w:pPr>
        <w:rPr>
          <w:rFonts w:hint="eastAsia" w:asciiTheme="minorEastAsia" w:hAnsiTheme="minorEastAsia" w:eastAsiaTheme="minorEastAsia" w:cstheme="minorEastAsia"/>
          <w:spacing w:val="-9"/>
          <w:sz w:val="24"/>
          <w:szCs w:val="24"/>
          <w:lang w:eastAsia="zh-CN"/>
        </w:rPr>
      </w:pPr>
    </w:p>
    <w:p w14:paraId="29218CC7">
      <w:pPr>
        <w:rPr>
          <w:rFonts w:hint="eastAsia" w:asciiTheme="minorEastAsia" w:hAnsiTheme="minorEastAsia" w:eastAsiaTheme="minorEastAsia" w:cstheme="minorEastAsia"/>
          <w:spacing w:val="-9"/>
          <w:sz w:val="24"/>
          <w:szCs w:val="24"/>
          <w:lang w:eastAsia="zh-CN"/>
        </w:rPr>
      </w:pPr>
    </w:p>
    <w:p w14:paraId="5C58A6A1">
      <w:pPr>
        <w:pStyle w:val="6"/>
        <w:spacing w:line="360" w:lineRule="auto"/>
        <w:ind w:firstLine="44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甲方：                                          乙方：</w:t>
      </w:r>
    </w:p>
    <w:p w14:paraId="09C5AC34">
      <w:pPr>
        <w:pStyle w:val="6"/>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单位名称（公章）             </w:t>
      </w:r>
      <w:r>
        <w:rPr>
          <w:rFonts w:hint="eastAsia" w:asciiTheme="minorEastAsia" w:hAnsiTheme="minorEastAsia" w:eastAsiaTheme="minorEastAsia" w:cstheme="minorEastAsia"/>
          <w:spacing w:val="-1"/>
          <w:sz w:val="24"/>
          <w:szCs w:val="24"/>
          <w:lang w:eastAsia="zh-CN"/>
        </w:rPr>
        <w:t xml:space="preserve">               单位名称（公章）</w:t>
      </w:r>
    </w:p>
    <w:p w14:paraId="133291A4">
      <w:pPr>
        <w:pStyle w:val="6"/>
        <w:spacing w:line="360" w:lineRule="auto"/>
        <w:ind w:firstLine="456"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法定代表人：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法定代表人：</w:t>
      </w:r>
    </w:p>
    <w:p w14:paraId="47D6CBBF">
      <w:pPr>
        <w:pStyle w:val="6"/>
        <w:spacing w:line="360" w:lineRule="auto"/>
        <w:ind w:firstLine="45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授权代表：</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6"/>
          <w:sz w:val="24"/>
          <w:szCs w:val="24"/>
          <w:lang w:eastAsia="zh-CN"/>
        </w:rPr>
        <w:t>授权代表：</w:t>
      </w:r>
    </w:p>
    <w:p w14:paraId="789D9E22">
      <w:pPr>
        <w:pStyle w:val="6"/>
        <w:spacing w:line="360" w:lineRule="auto"/>
        <w:ind w:firstLine="44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地址：</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9"/>
          <w:sz w:val="24"/>
          <w:szCs w:val="24"/>
          <w:lang w:eastAsia="zh-CN"/>
        </w:rPr>
        <w:t>地址：</w:t>
      </w:r>
    </w:p>
    <w:p w14:paraId="4D51DF1F">
      <w:pPr>
        <w:pStyle w:val="6"/>
        <w:spacing w:line="360" w:lineRule="auto"/>
        <w:ind w:firstLine="44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 xml:space="preserve">电话：                                          </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lang w:eastAsia="zh-CN"/>
        </w:rPr>
        <w:t>电话：</w:t>
      </w:r>
    </w:p>
    <w:p w14:paraId="3432B750">
      <w:pPr>
        <w:pStyle w:val="6"/>
        <w:spacing w:line="360" w:lineRule="auto"/>
        <w:ind w:firstLine="45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签约日期：    年</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6"/>
          <w:sz w:val="24"/>
          <w:szCs w:val="24"/>
          <w:lang w:eastAsia="zh-CN"/>
        </w:rPr>
        <w:t>月</w:t>
      </w:r>
      <w:r>
        <w:rPr>
          <w:rFonts w:hint="eastAsia" w:asciiTheme="minorEastAsia" w:hAnsiTheme="minorEastAsia" w:eastAsiaTheme="minorEastAsia" w:cstheme="minorEastAsia"/>
          <w:spacing w:val="25"/>
          <w:sz w:val="24"/>
          <w:szCs w:val="24"/>
          <w:lang w:eastAsia="zh-CN"/>
        </w:rPr>
        <w:t xml:space="preserve">  </w:t>
      </w:r>
      <w:r>
        <w:rPr>
          <w:rFonts w:hint="eastAsia" w:asciiTheme="minorEastAsia" w:hAnsiTheme="minorEastAsia" w:eastAsiaTheme="minorEastAsia" w:cstheme="minorEastAsia"/>
          <w:spacing w:val="-6"/>
          <w:sz w:val="24"/>
          <w:szCs w:val="24"/>
          <w:lang w:eastAsia="zh-CN"/>
        </w:rPr>
        <w:t>日</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6"/>
          <w:sz w:val="24"/>
          <w:szCs w:val="24"/>
          <w:lang w:eastAsia="zh-CN"/>
        </w:rPr>
        <w:t>签约日期：</w:t>
      </w: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spacing w:val="-6"/>
          <w:sz w:val="24"/>
          <w:szCs w:val="24"/>
          <w:lang w:eastAsia="zh-CN"/>
        </w:rPr>
        <w:t>年</w:t>
      </w:r>
      <w:r>
        <w:rPr>
          <w:rFonts w:hint="eastAsia" w:asciiTheme="minorEastAsia" w:hAnsiTheme="minorEastAsia" w:eastAsiaTheme="minorEastAsia" w:cstheme="minorEastAsia"/>
          <w:spacing w:val="5"/>
          <w:sz w:val="24"/>
          <w:szCs w:val="24"/>
          <w:lang w:eastAsia="zh-CN"/>
        </w:rPr>
        <w:t xml:space="preserve">   </w:t>
      </w:r>
      <w:r>
        <w:rPr>
          <w:rFonts w:hint="eastAsia" w:asciiTheme="minorEastAsia" w:hAnsiTheme="minorEastAsia" w:eastAsiaTheme="minorEastAsia" w:cstheme="minorEastAsia"/>
          <w:spacing w:val="-6"/>
          <w:sz w:val="24"/>
          <w:szCs w:val="24"/>
          <w:lang w:eastAsia="zh-CN"/>
        </w:rPr>
        <w:t>月</w:t>
      </w:r>
      <w:r>
        <w:rPr>
          <w:rFonts w:hint="eastAsia" w:asciiTheme="minorEastAsia" w:hAnsiTheme="minorEastAsia" w:eastAsiaTheme="minorEastAsia" w:cstheme="minorEastAsia"/>
          <w:spacing w:val="25"/>
          <w:sz w:val="24"/>
          <w:szCs w:val="24"/>
          <w:lang w:eastAsia="zh-CN"/>
        </w:rPr>
        <w:t xml:space="preserve">  </w:t>
      </w:r>
      <w:r>
        <w:rPr>
          <w:rFonts w:hint="eastAsia" w:asciiTheme="minorEastAsia" w:hAnsiTheme="minorEastAsia" w:eastAsiaTheme="minorEastAsia" w:cstheme="minorEastAsia"/>
          <w:spacing w:val="-6"/>
          <w:sz w:val="24"/>
          <w:szCs w:val="24"/>
          <w:lang w:eastAsia="zh-CN"/>
        </w:rPr>
        <w:t>日</w:t>
      </w:r>
    </w:p>
    <w:p w14:paraId="2723FEB6">
      <w:pPr>
        <w:rPr>
          <w:rFonts w:asciiTheme="minorEastAsia" w:hAnsiTheme="minorEastAsia" w:eastAsiaTheme="minorEastAsia" w:cstheme="minorEastAsia"/>
          <w:b/>
          <w:bCs/>
          <w:spacing w:val="-4"/>
          <w:sz w:val="36"/>
          <w:szCs w:val="36"/>
          <w:lang w:eastAsia="zh-CN"/>
        </w:rPr>
      </w:pPr>
      <w:bookmarkStart w:id="402" w:name="bookmark23"/>
      <w:bookmarkEnd w:id="402"/>
      <w:bookmarkStart w:id="403" w:name="bookmark24"/>
      <w:bookmarkEnd w:id="403"/>
      <w:r>
        <w:rPr>
          <w:rFonts w:hint="eastAsia" w:asciiTheme="minorEastAsia" w:hAnsiTheme="minorEastAsia" w:eastAsiaTheme="minorEastAsia" w:cstheme="minorEastAsia"/>
          <w:b/>
          <w:bCs/>
          <w:spacing w:val="-4"/>
          <w:sz w:val="36"/>
          <w:szCs w:val="36"/>
          <w:lang w:eastAsia="zh-CN"/>
        </w:rPr>
        <w:br w:type="page"/>
      </w:r>
    </w:p>
    <w:p w14:paraId="2C6E09AC">
      <w:pPr>
        <w:pStyle w:val="6"/>
        <w:spacing w:before="117" w:line="360" w:lineRule="auto"/>
        <w:ind w:left="3235"/>
        <w:outlineLvl w:val="0"/>
        <w:rPr>
          <w:rFonts w:hint="eastAsia" w:asciiTheme="minorEastAsia" w:hAnsiTheme="minorEastAsia" w:eastAsiaTheme="minorEastAsia" w:cstheme="minorEastAsia"/>
          <w:b/>
          <w:bCs/>
          <w:spacing w:val="-5"/>
          <w:sz w:val="36"/>
          <w:szCs w:val="36"/>
          <w:lang w:eastAsia="zh-CN"/>
        </w:rPr>
      </w:pPr>
      <w:bookmarkStart w:id="404" w:name="_Toc5888"/>
      <w:r>
        <w:rPr>
          <w:rFonts w:hint="eastAsia" w:asciiTheme="minorEastAsia" w:hAnsiTheme="minorEastAsia" w:eastAsiaTheme="minorEastAsia" w:cstheme="minorEastAsia"/>
          <w:b/>
          <w:bCs/>
          <w:spacing w:val="-5"/>
          <w:sz w:val="36"/>
          <w:szCs w:val="36"/>
          <w:lang w:eastAsia="zh-CN"/>
        </w:rPr>
        <w:t>第四部分 技术标准</w:t>
      </w:r>
      <w:bookmarkEnd w:id="404"/>
    </w:p>
    <w:p w14:paraId="0DCB8C03">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firstLine="468" w:firstLineChars="200"/>
        <w:textAlignment w:val="baseline"/>
        <w:rPr>
          <w:rFonts w:asciiTheme="minorEastAsia" w:hAnsiTheme="minorEastAsia" w:eastAsiaTheme="minorEastAsia" w:cstheme="minorEastAsia"/>
          <w:spacing w:val="-3"/>
          <w:sz w:val="24"/>
          <w:szCs w:val="24"/>
          <w:lang w:eastAsia="zh-CN"/>
        </w:rPr>
      </w:pPr>
      <w:bookmarkStart w:id="405" w:name="_Toc6371"/>
      <w:r>
        <w:rPr>
          <w:rFonts w:hint="eastAsia" w:asciiTheme="minorEastAsia" w:hAnsiTheme="minorEastAsia" w:eastAsiaTheme="minorEastAsia" w:cstheme="minorEastAsia"/>
          <w:spacing w:val="-3"/>
          <w:sz w:val="24"/>
          <w:szCs w:val="24"/>
          <w:lang w:eastAsia="zh-CN"/>
        </w:rPr>
        <w:t>1.小麦粉为专用馒头粉、特等一级粉，符合国家GB/T 1355-2021标准要求。</w:t>
      </w:r>
    </w:p>
    <w:p w14:paraId="543CC357">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firstLine="468" w:firstLineChars="200"/>
        <w:textAlignment w:val="baseline"/>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2.大米符合GB/T 1354-2018标准要求标准，优质一级大米，合格证，并有质量检验报告。</w:t>
      </w:r>
    </w:p>
    <w:p w14:paraId="51C8D0DC">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firstLine="468" w:firstLineChars="200"/>
        <w:textAlignment w:val="baseline"/>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3.食用油为非转基因一级大豆油（符合GB/T 1535-2017标准）、花生油（符合GB/T 1534-2017标准）、菜籽油（符合GB/T 1536-2021标准）、芝麻油（符合GB/T 8233-2018标准）。</w:t>
      </w:r>
      <w:bookmarkEnd w:id="405"/>
    </w:p>
    <w:p w14:paraId="10466BDF">
      <w:pPr>
        <w:pStyle w:val="6"/>
        <w:spacing w:line="360" w:lineRule="auto"/>
        <w:ind w:firstLine="468"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4.鲜肉类必须来自定点屠宰企业并提供两章两证，即：有动物检疫验讫印章和动物检验验讫印章、有动物检验检疫合格证明和品质检验合格证明；禽蛋必须保证新鲜、无公害。</w:t>
      </w:r>
    </w:p>
    <w:p w14:paraId="3E077E3B">
      <w:pPr>
        <w:pStyle w:val="6"/>
        <w:spacing w:line="360" w:lineRule="auto"/>
        <w:ind w:firstLine="468"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5.干调类必须具有“QS”或“SC”食品质量认证标志，配料必须符合国家食品安全相关要求的名优商品。</w:t>
      </w:r>
    </w:p>
    <w:p w14:paraId="3751EA7D">
      <w:pPr>
        <w:pStyle w:val="6"/>
        <w:spacing w:line="360" w:lineRule="auto"/>
        <w:ind w:firstLine="468"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6.蔬菜类必须保证新鲜，无农药残留、无重金属超标等，符合国家食品安全标准。</w:t>
      </w:r>
    </w:p>
    <w:p w14:paraId="6703A716">
      <w:pPr>
        <w:pStyle w:val="6"/>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说明</w:t>
      </w:r>
    </w:p>
    <w:p w14:paraId="1E131DC1">
      <w:pPr>
        <w:pStyle w:val="6"/>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1.本节所述技术规格及要求是采购人提供的最低限度的技术要</w:t>
      </w:r>
      <w:r>
        <w:rPr>
          <w:rFonts w:hint="eastAsia" w:asciiTheme="minorEastAsia" w:hAnsiTheme="minorEastAsia" w:eastAsiaTheme="minorEastAsia" w:cstheme="minorEastAsia"/>
          <w:spacing w:val="-1"/>
          <w:sz w:val="24"/>
          <w:szCs w:val="24"/>
          <w:lang w:eastAsia="zh-CN"/>
        </w:rPr>
        <w:t>求，并未对一切技术细节做出规定，也未充分引述有关标准和规范的条文，投标人应保证提供不低于本技术规格及要</w:t>
      </w:r>
      <w:r>
        <w:rPr>
          <w:rFonts w:hint="eastAsia" w:asciiTheme="minorEastAsia" w:hAnsiTheme="minorEastAsia" w:eastAsiaTheme="minorEastAsia" w:cstheme="minorEastAsia"/>
          <w:spacing w:val="-5"/>
          <w:sz w:val="24"/>
          <w:szCs w:val="24"/>
          <w:lang w:eastAsia="zh-CN"/>
        </w:rPr>
        <w:t>求的优质产品。</w:t>
      </w:r>
    </w:p>
    <w:p w14:paraId="0A951047">
      <w:pPr>
        <w:pStyle w:val="6"/>
        <w:spacing w:line="360" w:lineRule="auto"/>
        <w:ind w:firstLine="50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2.招标文件中为简述货物品质、基本性能而标示的品牌</w:t>
      </w:r>
      <w:r>
        <w:rPr>
          <w:rFonts w:hint="eastAsia" w:asciiTheme="minorEastAsia" w:hAnsiTheme="minorEastAsia" w:eastAsiaTheme="minorEastAsia" w:cstheme="minorEastAsia"/>
          <w:spacing w:val="5"/>
          <w:sz w:val="24"/>
          <w:szCs w:val="24"/>
          <w:lang w:eastAsia="zh-CN"/>
        </w:rPr>
        <w:t>或型号仅供投标人选择货物在质</w:t>
      </w:r>
      <w:r>
        <w:rPr>
          <w:rFonts w:hint="eastAsia" w:asciiTheme="minorEastAsia" w:hAnsiTheme="minorEastAsia" w:eastAsiaTheme="minorEastAsia" w:cstheme="minorEastAsia"/>
          <w:spacing w:val="-4"/>
          <w:sz w:val="24"/>
          <w:szCs w:val="24"/>
          <w:lang w:eastAsia="zh-CN"/>
        </w:rPr>
        <w:t>量、水平上的比照参考，不具有限制性。投标人可提供品质相同或优于</w:t>
      </w:r>
      <w:r>
        <w:rPr>
          <w:rFonts w:hint="eastAsia" w:asciiTheme="minorEastAsia" w:hAnsiTheme="minorEastAsia" w:eastAsiaTheme="minorEastAsia" w:cstheme="minorEastAsia"/>
          <w:spacing w:val="-5"/>
          <w:sz w:val="24"/>
          <w:szCs w:val="24"/>
          <w:lang w:eastAsia="zh-CN"/>
        </w:rPr>
        <w:t>同类产品的货物。</w:t>
      </w:r>
    </w:p>
    <w:p w14:paraId="18F462CD">
      <w:pPr>
        <w:pStyle w:val="6"/>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3.本技术规格及要求所使用的标准和规范如与投标人所执行的标准发生矛盾时，按较高标</w:t>
      </w:r>
      <w:r>
        <w:rPr>
          <w:rFonts w:hint="eastAsia" w:asciiTheme="minorEastAsia" w:hAnsiTheme="minorEastAsia" w:eastAsiaTheme="minorEastAsia" w:cstheme="minorEastAsia"/>
          <w:spacing w:val="-8"/>
          <w:sz w:val="24"/>
          <w:szCs w:val="24"/>
          <w:lang w:eastAsia="zh-CN"/>
        </w:rPr>
        <w:t>准执行。</w:t>
      </w:r>
    </w:p>
    <w:p w14:paraId="146A3298">
      <w:pPr>
        <w:pStyle w:val="6"/>
        <w:spacing w:line="360" w:lineRule="auto"/>
        <w:ind w:firstLine="46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4.采购人保留对技术规格及要求补充和修改的权利，投标人应承诺予以配合，如提出修改，</w:t>
      </w:r>
      <w:r>
        <w:rPr>
          <w:rFonts w:hint="eastAsia" w:asciiTheme="minorEastAsia" w:hAnsiTheme="minorEastAsia" w:eastAsiaTheme="minorEastAsia" w:cstheme="minorEastAsia"/>
          <w:spacing w:val="-2"/>
          <w:sz w:val="24"/>
          <w:szCs w:val="24"/>
          <w:lang w:eastAsia="zh-CN"/>
        </w:rPr>
        <w:t>具体事项由中标人与采购人另行商定。</w:t>
      </w:r>
    </w:p>
    <w:p w14:paraId="419228E4">
      <w:pPr>
        <w:pStyle w:val="6"/>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5.投标人所提供的货物，如若发生侵犯知识产权的行为时，其侵权责任与采购人无关，应</w:t>
      </w:r>
      <w:r>
        <w:rPr>
          <w:rFonts w:hint="eastAsia" w:asciiTheme="minorEastAsia" w:hAnsiTheme="minorEastAsia" w:eastAsiaTheme="minorEastAsia" w:cstheme="minorEastAsia"/>
          <w:spacing w:val="-2"/>
          <w:sz w:val="24"/>
          <w:szCs w:val="24"/>
          <w:lang w:eastAsia="zh-CN"/>
        </w:rPr>
        <w:t>由投标人承担相应的责任，但不得损害采购人</w:t>
      </w:r>
      <w:r>
        <w:rPr>
          <w:rFonts w:hint="eastAsia" w:asciiTheme="minorEastAsia" w:hAnsiTheme="minorEastAsia" w:eastAsiaTheme="minorEastAsia" w:cstheme="minorEastAsia"/>
          <w:spacing w:val="-3"/>
          <w:sz w:val="24"/>
          <w:szCs w:val="24"/>
          <w:lang w:eastAsia="zh-CN"/>
        </w:rPr>
        <w:t>的利益。</w:t>
      </w:r>
    </w:p>
    <w:p w14:paraId="2934AD49">
      <w:pPr>
        <w:pStyle w:val="6"/>
        <w:spacing w:line="360" w:lineRule="auto"/>
        <w:ind w:firstLine="472" w:firstLineChars="200"/>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2"/>
          <w:sz w:val="24"/>
          <w:szCs w:val="24"/>
          <w:lang w:eastAsia="zh-CN"/>
        </w:rPr>
        <w:t>6.投标人应逐条郑重承诺上述</w:t>
      </w:r>
      <w:r>
        <w:rPr>
          <w:rFonts w:hint="eastAsia" w:asciiTheme="minorEastAsia" w:hAnsiTheme="minorEastAsia" w:eastAsiaTheme="minorEastAsia" w:cstheme="minorEastAsia"/>
          <w:spacing w:val="-23"/>
          <w:sz w:val="24"/>
          <w:szCs w:val="24"/>
          <w:lang w:eastAsia="zh-CN"/>
        </w:rPr>
        <w:t xml:space="preserve"> </w:t>
      </w:r>
      <w:r>
        <w:rPr>
          <w:rFonts w:hint="eastAsia" w:asciiTheme="minorEastAsia" w:hAnsiTheme="minorEastAsia" w:eastAsiaTheme="minorEastAsia" w:cstheme="minorEastAsia"/>
          <w:spacing w:val="-2"/>
          <w:sz w:val="24"/>
          <w:szCs w:val="24"/>
          <w:lang w:eastAsia="zh-CN"/>
        </w:rPr>
        <w:t>1-6</w:t>
      </w:r>
      <w:r>
        <w:rPr>
          <w:rFonts w:hint="eastAsia" w:asciiTheme="minorEastAsia" w:hAnsiTheme="minorEastAsia" w:eastAsiaTheme="minorEastAsia" w:cstheme="minorEastAsia"/>
          <w:spacing w:val="-47"/>
          <w:sz w:val="24"/>
          <w:szCs w:val="24"/>
          <w:lang w:eastAsia="zh-CN"/>
        </w:rPr>
        <w:t xml:space="preserve"> </w:t>
      </w:r>
      <w:r>
        <w:rPr>
          <w:rFonts w:hint="eastAsia" w:asciiTheme="minorEastAsia" w:hAnsiTheme="minorEastAsia" w:eastAsiaTheme="minorEastAsia" w:cstheme="minorEastAsia"/>
          <w:spacing w:val="-2"/>
          <w:sz w:val="24"/>
          <w:szCs w:val="24"/>
          <w:lang w:eastAsia="zh-CN"/>
        </w:rPr>
        <w:t>项，保证提供不低于本技术规格及要求的优质产品。</w:t>
      </w:r>
    </w:p>
    <w:p w14:paraId="0FA5809F">
      <w:pPr>
        <w:rPr>
          <w:rFonts w:asciiTheme="minorEastAsia" w:hAnsiTheme="minorEastAsia" w:eastAsiaTheme="minorEastAsia" w:cstheme="minorEastAsia"/>
          <w:b/>
          <w:bCs/>
          <w:spacing w:val="-4"/>
          <w:sz w:val="36"/>
          <w:szCs w:val="36"/>
          <w:lang w:eastAsia="zh-CN"/>
        </w:rPr>
      </w:pPr>
      <w:bookmarkStart w:id="406" w:name="bookmark25"/>
      <w:bookmarkEnd w:id="406"/>
      <w:bookmarkStart w:id="407" w:name="bookmark26"/>
      <w:bookmarkEnd w:id="407"/>
    </w:p>
    <w:p w14:paraId="6B35F4F6">
      <w:pPr>
        <w:pStyle w:val="6"/>
        <w:spacing w:before="117" w:line="220" w:lineRule="auto"/>
        <w:ind w:left="3235"/>
        <w:outlineLvl w:val="0"/>
        <w:rPr>
          <w:rFonts w:hint="eastAsia" w:asciiTheme="minorEastAsia" w:hAnsiTheme="minorEastAsia" w:eastAsiaTheme="minorEastAsia" w:cstheme="minorEastAsia"/>
          <w:b/>
          <w:bCs/>
          <w:spacing w:val="-5"/>
          <w:sz w:val="36"/>
          <w:szCs w:val="36"/>
          <w:lang w:eastAsia="zh-CN"/>
        </w:rPr>
      </w:pPr>
      <w:bookmarkStart w:id="408" w:name="_Toc20195"/>
      <w:r>
        <w:rPr>
          <w:rFonts w:hint="eastAsia" w:asciiTheme="minorEastAsia" w:hAnsiTheme="minorEastAsia" w:eastAsiaTheme="minorEastAsia" w:cstheme="minorEastAsia"/>
          <w:b/>
          <w:bCs/>
          <w:spacing w:val="-5"/>
          <w:sz w:val="36"/>
          <w:szCs w:val="36"/>
          <w:lang w:eastAsia="zh-CN"/>
        </w:rPr>
        <w:t>第五部分 投标文件格式</w:t>
      </w:r>
      <w:bookmarkEnd w:id="408"/>
    </w:p>
    <w:p w14:paraId="213F9998">
      <w:pPr>
        <w:spacing w:line="260" w:lineRule="auto"/>
        <w:rPr>
          <w:rFonts w:asciiTheme="minorEastAsia" w:hAnsiTheme="minorEastAsia" w:eastAsiaTheme="minorEastAsia" w:cstheme="minorEastAsia"/>
          <w:lang w:eastAsia="zh-CN"/>
        </w:rPr>
      </w:pPr>
    </w:p>
    <w:p w14:paraId="20ACCCAA">
      <w:pPr>
        <w:spacing w:line="260" w:lineRule="auto"/>
        <w:rPr>
          <w:rFonts w:asciiTheme="minorEastAsia" w:hAnsiTheme="minorEastAsia" w:eastAsiaTheme="minorEastAsia" w:cstheme="minorEastAsia"/>
          <w:lang w:eastAsia="zh-CN"/>
        </w:rPr>
      </w:pPr>
    </w:p>
    <w:p w14:paraId="4EBE2477">
      <w:pPr>
        <w:spacing w:line="260" w:lineRule="auto"/>
        <w:rPr>
          <w:rFonts w:asciiTheme="minorEastAsia" w:hAnsiTheme="minorEastAsia" w:eastAsiaTheme="minorEastAsia" w:cstheme="minorEastAsia"/>
          <w:lang w:eastAsia="zh-CN"/>
        </w:rPr>
      </w:pPr>
    </w:p>
    <w:p w14:paraId="221ADCEB">
      <w:pPr>
        <w:spacing w:line="260" w:lineRule="auto"/>
        <w:rPr>
          <w:rFonts w:asciiTheme="minorEastAsia" w:hAnsiTheme="minorEastAsia" w:eastAsiaTheme="minorEastAsia" w:cstheme="minorEastAsia"/>
          <w:lang w:eastAsia="zh-CN"/>
        </w:rPr>
      </w:pPr>
    </w:p>
    <w:p w14:paraId="787618F9">
      <w:pPr>
        <w:spacing w:line="260" w:lineRule="auto"/>
        <w:rPr>
          <w:rFonts w:asciiTheme="minorEastAsia" w:hAnsiTheme="minorEastAsia" w:eastAsiaTheme="minorEastAsia" w:cstheme="minorEastAsia"/>
          <w:lang w:eastAsia="zh-CN"/>
        </w:rPr>
      </w:pPr>
    </w:p>
    <w:p w14:paraId="50BDEE6E">
      <w:pPr>
        <w:spacing w:line="261" w:lineRule="auto"/>
        <w:rPr>
          <w:rFonts w:asciiTheme="minorEastAsia" w:hAnsiTheme="minorEastAsia" w:eastAsiaTheme="minorEastAsia" w:cstheme="minorEastAsia"/>
          <w:lang w:eastAsia="zh-CN"/>
        </w:rPr>
      </w:pPr>
    </w:p>
    <w:p w14:paraId="4CD43142">
      <w:pPr>
        <w:spacing w:line="261" w:lineRule="auto"/>
        <w:rPr>
          <w:rFonts w:asciiTheme="minorEastAsia" w:hAnsiTheme="minorEastAsia" w:eastAsiaTheme="minorEastAsia" w:cstheme="minorEastAsia"/>
          <w:lang w:eastAsia="zh-CN"/>
        </w:rPr>
      </w:pPr>
    </w:p>
    <w:p w14:paraId="09DCD17C">
      <w:pPr>
        <w:pStyle w:val="6"/>
        <w:tabs>
          <w:tab w:val="left" w:pos="5904"/>
        </w:tabs>
        <w:spacing w:before="101" w:line="226" w:lineRule="auto"/>
        <w:ind w:left="1420"/>
        <w:rPr>
          <w:rFonts w:asciiTheme="minorEastAsia" w:hAnsiTheme="minorEastAsia" w:eastAsiaTheme="minorEastAsia" w:cstheme="minorEastAsia"/>
          <w:sz w:val="31"/>
          <w:szCs w:val="31"/>
          <w:lang w:eastAsia="zh-CN"/>
        </w:rPr>
      </w:pPr>
      <w:r>
        <w:rPr>
          <w:rFonts w:hint="eastAsia" w:asciiTheme="minorEastAsia" w:hAnsiTheme="minorEastAsia" w:eastAsiaTheme="minorEastAsia" w:cstheme="minorEastAsia"/>
          <w:sz w:val="31"/>
          <w:szCs w:val="31"/>
          <w:u w:val="single"/>
          <w:lang w:eastAsia="zh-CN"/>
        </w:rPr>
        <w:tab/>
      </w:r>
      <w:r>
        <w:rPr>
          <w:rFonts w:hint="eastAsia" w:asciiTheme="minorEastAsia" w:hAnsiTheme="minorEastAsia" w:eastAsiaTheme="minorEastAsia" w:cstheme="minorEastAsia"/>
          <w:spacing w:val="7"/>
          <w:sz w:val="31"/>
          <w:szCs w:val="31"/>
          <w:lang w:eastAsia="zh-CN"/>
        </w:rPr>
        <w:t>（项目名称）</w:t>
      </w:r>
    </w:p>
    <w:p w14:paraId="5F65AD9A">
      <w:pPr>
        <w:spacing w:line="269" w:lineRule="auto"/>
        <w:rPr>
          <w:rFonts w:asciiTheme="minorEastAsia" w:hAnsiTheme="minorEastAsia" w:eastAsiaTheme="minorEastAsia" w:cstheme="minorEastAsia"/>
          <w:lang w:eastAsia="zh-CN"/>
        </w:rPr>
      </w:pPr>
    </w:p>
    <w:p w14:paraId="0E728062">
      <w:pPr>
        <w:spacing w:line="269" w:lineRule="auto"/>
        <w:rPr>
          <w:rFonts w:asciiTheme="minorEastAsia" w:hAnsiTheme="minorEastAsia" w:eastAsiaTheme="minorEastAsia" w:cstheme="minorEastAsia"/>
          <w:lang w:eastAsia="zh-CN"/>
        </w:rPr>
      </w:pPr>
    </w:p>
    <w:p w14:paraId="45E9CFA1">
      <w:pPr>
        <w:spacing w:line="269" w:lineRule="auto"/>
        <w:rPr>
          <w:rFonts w:asciiTheme="minorEastAsia" w:hAnsiTheme="minorEastAsia" w:eastAsiaTheme="minorEastAsia" w:cstheme="minorEastAsia"/>
          <w:lang w:eastAsia="zh-CN"/>
        </w:rPr>
      </w:pPr>
    </w:p>
    <w:p w14:paraId="6DFEBBE4">
      <w:pPr>
        <w:spacing w:line="269" w:lineRule="auto"/>
        <w:rPr>
          <w:rFonts w:asciiTheme="minorEastAsia" w:hAnsiTheme="minorEastAsia" w:eastAsiaTheme="minorEastAsia" w:cstheme="minorEastAsia"/>
          <w:lang w:eastAsia="zh-CN"/>
        </w:rPr>
      </w:pPr>
    </w:p>
    <w:p w14:paraId="07987C5A">
      <w:pPr>
        <w:spacing w:line="269" w:lineRule="auto"/>
        <w:rPr>
          <w:rFonts w:asciiTheme="minorEastAsia" w:hAnsiTheme="minorEastAsia" w:eastAsiaTheme="minorEastAsia" w:cstheme="minorEastAsia"/>
          <w:lang w:eastAsia="zh-CN"/>
        </w:rPr>
      </w:pPr>
    </w:p>
    <w:p w14:paraId="168C976B">
      <w:pPr>
        <w:spacing w:line="270" w:lineRule="auto"/>
        <w:rPr>
          <w:rFonts w:asciiTheme="minorEastAsia" w:hAnsiTheme="minorEastAsia" w:eastAsiaTheme="minorEastAsia" w:cstheme="minorEastAsia"/>
          <w:lang w:eastAsia="zh-CN"/>
        </w:rPr>
      </w:pPr>
    </w:p>
    <w:p w14:paraId="1F897E66">
      <w:pPr>
        <w:spacing w:line="270" w:lineRule="auto"/>
        <w:rPr>
          <w:rFonts w:asciiTheme="minorEastAsia" w:hAnsiTheme="minorEastAsia" w:eastAsiaTheme="minorEastAsia" w:cstheme="minorEastAsia"/>
          <w:lang w:eastAsia="zh-CN"/>
        </w:rPr>
      </w:pPr>
    </w:p>
    <w:p w14:paraId="4414E25D">
      <w:pPr>
        <w:spacing w:before="280" w:line="199" w:lineRule="auto"/>
        <w:ind w:left="3121"/>
        <w:rPr>
          <w:rFonts w:asciiTheme="minorEastAsia" w:hAnsiTheme="minorEastAsia" w:eastAsiaTheme="minorEastAsia" w:cstheme="minorEastAsia"/>
          <w:sz w:val="76"/>
          <w:szCs w:val="76"/>
          <w:lang w:eastAsia="zh-CN"/>
        </w:rPr>
      </w:pPr>
      <w:bookmarkStart w:id="409" w:name="_Toc2194"/>
      <w:r>
        <w:rPr>
          <w:rFonts w:hint="eastAsia" w:asciiTheme="minorEastAsia" w:hAnsiTheme="minorEastAsia" w:eastAsiaTheme="minorEastAsia" w:cstheme="minorEastAsia"/>
          <w:b/>
          <w:bCs/>
          <w:spacing w:val="-12"/>
          <w:sz w:val="76"/>
          <w:szCs w:val="76"/>
          <w:lang w:eastAsia="zh-CN"/>
        </w:rPr>
        <w:t>投标文件</w:t>
      </w:r>
      <w:bookmarkEnd w:id="409"/>
    </w:p>
    <w:p w14:paraId="75CC82C3">
      <w:pPr>
        <w:spacing w:line="334" w:lineRule="auto"/>
        <w:rPr>
          <w:rFonts w:asciiTheme="minorEastAsia" w:hAnsiTheme="minorEastAsia" w:eastAsiaTheme="minorEastAsia" w:cstheme="minorEastAsia"/>
          <w:lang w:eastAsia="zh-CN"/>
        </w:rPr>
      </w:pPr>
    </w:p>
    <w:p w14:paraId="21B62FBE">
      <w:pPr>
        <w:pStyle w:val="6"/>
        <w:spacing w:before="117" w:line="219" w:lineRule="auto"/>
        <w:ind w:left="2114"/>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b/>
          <w:bCs/>
          <w:spacing w:val="-8"/>
          <w:sz w:val="36"/>
          <w:szCs w:val="36"/>
          <w:lang w:eastAsia="zh-CN"/>
        </w:rPr>
        <w:t>（项目编号</w:t>
      </w:r>
      <w:r>
        <w:rPr>
          <w:rFonts w:hint="eastAsia" w:asciiTheme="minorEastAsia" w:hAnsiTheme="minorEastAsia" w:eastAsiaTheme="minorEastAsia" w:cstheme="minorEastAsia"/>
          <w:b/>
          <w:bCs/>
          <w:spacing w:val="-1"/>
          <w:sz w:val="36"/>
          <w:szCs w:val="36"/>
          <w:lang w:eastAsia="zh-CN"/>
        </w:rPr>
        <w:t>：</w:t>
      </w:r>
      <w:r>
        <w:rPr>
          <w:rFonts w:hint="eastAsia" w:asciiTheme="minorEastAsia" w:hAnsiTheme="minorEastAsia" w:eastAsiaTheme="minorEastAsia" w:cstheme="minorEastAsia"/>
          <w:sz w:val="36"/>
          <w:szCs w:val="36"/>
          <w:u w:val="single"/>
          <w:lang w:eastAsia="zh-CN"/>
        </w:rPr>
        <w:t xml:space="preserve">              </w:t>
      </w:r>
      <w:r>
        <w:rPr>
          <w:rFonts w:hint="eastAsia" w:asciiTheme="minorEastAsia" w:hAnsiTheme="minorEastAsia" w:eastAsiaTheme="minorEastAsia" w:cstheme="minorEastAsia"/>
          <w:b/>
          <w:bCs/>
          <w:spacing w:val="-1"/>
          <w:sz w:val="36"/>
          <w:szCs w:val="36"/>
          <w:lang w:eastAsia="zh-CN"/>
        </w:rPr>
        <w:t>）</w:t>
      </w:r>
    </w:p>
    <w:p w14:paraId="60619C07">
      <w:pPr>
        <w:spacing w:line="357" w:lineRule="auto"/>
        <w:rPr>
          <w:rFonts w:asciiTheme="minorEastAsia" w:hAnsiTheme="minorEastAsia" w:eastAsiaTheme="minorEastAsia" w:cstheme="minorEastAsia"/>
          <w:lang w:eastAsia="zh-CN"/>
        </w:rPr>
      </w:pPr>
    </w:p>
    <w:p w14:paraId="51B023F7">
      <w:pPr>
        <w:pStyle w:val="6"/>
        <w:spacing w:before="117" w:line="220" w:lineRule="auto"/>
        <w:ind w:left="3735"/>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b/>
          <w:bCs/>
          <w:spacing w:val="-8"/>
          <w:sz w:val="36"/>
          <w:szCs w:val="36"/>
          <w:lang w:eastAsia="zh-CN"/>
        </w:rPr>
        <w:t>标段：</w:t>
      </w:r>
      <w:r>
        <w:rPr>
          <w:rFonts w:hint="eastAsia" w:asciiTheme="minorEastAsia" w:hAnsiTheme="minorEastAsia" w:eastAsiaTheme="minorEastAsia" w:cstheme="minorEastAsia"/>
          <w:sz w:val="36"/>
          <w:szCs w:val="36"/>
          <w:u w:val="single"/>
          <w:lang w:eastAsia="zh-CN"/>
        </w:rPr>
        <w:t xml:space="preserve">  </w:t>
      </w:r>
      <w:r>
        <w:rPr>
          <w:rFonts w:hint="eastAsia" w:asciiTheme="minorEastAsia" w:hAnsiTheme="minorEastAsia" w:eastAsiaTheme="minorEastAsia" w:cstheme="minorEastAsia"/>
          <w:sz w:val="36"/>
          <w:szCs w:val="36"/>
          <w:u w:val="single"/>
          <w:lang w:val="en-US" w:eastAsia="zh-CN"/>
        </w:rPr>
        <w:t xml:space="preserve">     </w:t>
      </w:r>
      <w:r>
        <w:rPr>
          <w:rFonts w:hint="eastAsia" w:asciiTheme="minorEastAsia" w:hAnsiTheme="minorEastAsia" w:eastAsiaTheme="minorEastAsia" w:cstheme="minorEastAsia"/>
          <w:sz w:val="36"/>
          <w:szCs w:val="36"/>
          <w:u w:val="single"/>
          <w:lang w:eastAsia="zh-CN"/>
        </w:rPr>
        <w:t xml:space="preserve">  </w:t>
      </w:r>
    </w:p>
    <w:p w14:paraId="32BEB92B">
      <w:pPr>
        <w:spacing w:line="243" w:lineRule="auto"/>
        <w:rPr>
          <w:rFonts w:asciiTheme="minorEastAsia" w:hAnsiTheme="minorEastAsia" w:eastAsiaTheme="minorEastAsia" w:cstheme="minorEastAsia"/>
          <w:lang w:eastAsia="zh-CN"/>
        </w:rPr>
      </w:pPr>
    </w:p>
    <w:p w14:paraId="3D941AA9">
      <w:pPr>
        <w:spacing w:line="243" w:lineRule="auto"/>
        <w:rPr>
          <w:rFonts w:asciiTheme="minorEastAsia" w:hAnsiTheme="minorEastAsia" w:eastAsiaTheme="minorEastAsia" w:cstheme="minorEastAsia"/>
          <w:lang w:eastAsia="zh-CN"/>
        </w:rPr>
      </w:pPr>
    </w:p>
    <w:p w14:paraId="7A08C572">
      <w:pPr>
        <w:spacing w:line="243" w:lineRule="auto"/>
        <w:rPr>
          <w:rFonts w:asciiTheme="minorEastAsia" w:hAnsiTheme="minorEastAsia" w:eastAsiaTheme="minorEastAsia" w:cstheme="minorEastAsia"/>
          <w:lang w:eastAsia="zh-CN"/>
        </w:rPr>
      </w:pPr>
    </w:p>
    <w:p w14:paraId="0F675955">
      <w:pPr>
        <w:spacing w:line="243" w:lineRule="auto"/>
        <w:rPr>
          <w:rFonts w:asciiTheme="minorEastAsia" w:hAnsiTheme="minorEastAsia" w:eastAsiaTheme="minorEastAsia" w:cstheme="minorEastAsia"/>
          <w:lang w:eastAsia="zh-CN"/>
        </w:rPr>
      </w:pPr>
    </w:p>
    <w:p w14:paraId="2931E60E">
      <w:pPr>
        <w:spacing w:line="243" w:lineRule="auto"/>
        <w:rPr>
          <w:rFonts w:asciiTheme="minorEastAsia" w:hAnsiTheme="minorEastAsia" w:eastAsiaTheme="minorEastAsia" w:cstheme="minorEastAsia"/>
          <w:lang w:eastAsia="zh-CN"/>
        </w:rPr>
      </w:pPr>
    </w:p>
    <w:p w14:paraId="5F67819A">
      <w:pPr>
        <w:spacing w:line="244" w:lineRule="auto"/>
        <w:rPr>
          <w:rFonts w:asciiTheme="minorEastAsia" w:hAnsiTheme="minorEastAsia" w:eastAsiaTheme="minorEastAsia" w:cstheme="minorEastAsia"/>
          <w:lang w:eastAsia="zh-CN"/>
        </w:rPr>
      </w:pPr>
    </w:p>
    <w:p w14:paraId="633F1405">
      <w:pPr>
        <w:spacing w:line="244" w:lineRule="auto"/>
        <w:rPr>
          <w:rFonts w:asciiTheme="minorEastAsia" w:hAnsiTheme="minorEastAsia" w:eastAsiaTheme="minorEastAsia" w:cstheme="minorEastAsia"/>
          <w:lang w:eastAsia="zh-CN"/>
        </w:rPr>
      </w:pPr>
    </w:p>
    <w:p w14:paraId="3F77A866">
      <w:pPr>
        <w:pStyle w:val="6"/>
        <w:spacing w:before="91" w:line="403" w:lineRule="auto"/>
        <w:ind w:right="28"/>
        <w:rPr>
          <w:rFonts w:asciiTheme="minorEastAsia" w:hAnsiTheme="minorEastAsia" w:eastAsiaTheme="minorEastAsia" w:cstheme="minorEastAsia"/>
          <w:spacing w:val="-2"/>
          <w:sz w:val="28"/>
          <w:szCs w:val="28"/>
          <w:lang w:eastAsia="zh-CN"/>
        </w:rPr>
      </w:pPr>
    </w:p>
    <w:p w14:paraId="33A4EFA9">
      <w:pPr>
        <w:pStyle w:val="6"/>
        <w:spacing w:before="91" w:line="403" w:lineRule="auto"/>
        <w:ind w:right="28" w:firstLine="552"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2"/>
          <w:sz w:val="28"/>
          <w:szCs w:val="28"/>
          <w:lang w:eastAsia="zh-CN"/>
        </w:rPr>
        <w:t>投标单位（企业电子签章</w:t>
      </w:r>
      <w:r>
        <w:rPr>
          <w:rFonts w:hint="eastAsia" w:asciiTheme="minorEastAsia" w:hAnsiTheme="minorEastAsia" w:eastAsiaTheme="minorEastAsia" w:cstheme="minorEastAsia"/>
          <w:spacing w:val="-15"/>
          <w:sz w:val="28"/>
          <w:szCs w:val="28"/>
          <w:lang w:eastAsia="zh-CN"/>
        </w:rPr>
        <w:t>）</w:t>
      </w:r>
      <w:r>
        <w:rPr>
          <w:rFonts w:hint="eastAsia" w:asciiTheme="minorEastAsia" w:hAnsiTheme="minorEastAsia" w:eastAsiaTheme="minorEastAsia" w:cstheme="minorEastAsia"/>
          <w:spacing w:val="37"/>
          <w:sz w:val="28"/>
          <w:szCs w:val="28"/>
          <w:lang w:eastAsia="zh-CN"/>
        </w:rPr>
        <w:t xml:space="preserve"> </w:t>
      </w:r>
      <w:r>
        <w:rPr>
          <w:rFonts w:hint="eastAsia" w:asciiTheme="minorEastAsia" w:hAnsiTheme="minorEastAsia" w:eastAsiaTheme="minorEastAsia" w:cstheme="minorEastAsia"/>
          <w:spacing w:val="-15"/>
          <w:sz w:val="28"/>
          <w:szCs w:val="28"/>
          <w:lang w:eastAsia="zh-CN"/>
        </w:rPr>
        <w:t>：</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 xml:space="preserve">  </w:t>
      </w:r>
    </w:p>
    <w:p w14:paraId="16BADC8A">
      <w:pPr>
        <w:pStyle w:val="6"/>
        <w:spacing w:before="91" w:line="403" w:lineRule="auto"/>
        <w:ind w:right="28" w:firstLine="556" w:firstLineChars="200"/>
        <w:rPr>
          <w:rFonts w:asciiTheme="minorEastAsia" w:hAnsiTheme="minorEastAsia" w:eastAsiaTheme="minorEastAsia" w:cstheme="minorEastAsia"/>
          <w:spacing w:val="2"/>
          <w:sz w:val="28"/>
          <w:szCs w:val="28"/>
          <w:lang w:eastAsia="zh-CN"/>
        </w:rPr>
      </w:pPr>
      <w:r>
        <w:rPr>
          <w:rFonts w:hint="eastAsia" w:asciiTheme="minorEastAsia" w:hAnsiTheme="minorEastAsia" w:eastAsiaTheme="minorEastAsia" w:cstheme="minorEastAsia"/>
          <w:spacing w:val="-1"/>
          <w:sz w:val="28"/>
          <w:szCs w:val="28"/>
          <w:lang w:eastAsia="zh-CN"/>
        </w:rPr>
        <w:t>法定代表人（或委托代理人</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lang w:eastAsia="zh-CN"/>
        </w:rPr>
        <w:t>签字或盖章</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6"/>
          <w:sz w:val="28"/>
          <w:szCs w:val="28"/>
          <w:u w:val="single"/>
          <w:lang w:eastAsia="zh-CN"/>
        </w:rPr>
        <w:t xml:space="preserve">          </w:t>
      </w:r>
      <w:r>
        <w:rPr>
          <w:rFonts w:hint="eastAsia" w:asciiTheme="minorEastAsia" w:hAnsiTheme="minorEastAsia" w:eastAsiaTheme="minorEastAsia" w:cstheme="minorEastAsia"/>
          <w:spacing w:val="2"/>
          <w:sz w:val="28"/>
          <w:szCs w:val="28"/>
          <w:lang w:eastAsia="zh-CN"/>
        </w:rPr>
        <w:t xml:space="preserve"> </w:t>
      </w:r>
    </w:p>
    <w:p w14:paraId="61349E59">
      <w:pPr>
        <w:pStyle w:val="6"/>
        <w:spacing w:before="91" w:line="403" w:lineRule="auto"/>
        <w:ind w:right="28" w:firstLine="524"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日</w:t>
      </w: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spacing w:val="-9"/>
          <w:sz w:val="28"/>
          <w:szCs w:val="28"/>
        </w:rPr>
        <w:t>期：</w:t>
      </w:r>
      <w:r>
        <w:rPr>
          <w:rFonts w:hint="eastAsia" w:asciiTheme="minorEastAsia" w:hAnsiTheme="minorEastAsia" w:eastAsiaTheme="minorEastAsia" w:cstheme="minorEastAsia"/>
          <w:sz w:val="28"/>
          <w:szCs w:val="28"/>
          <w:u w:val="single"/>
        </w:rPr>
        <w:t xml:space="preserve">                                            </w:t>
      </w:r>
    </w:p>
    <w:p w14:paraId="30D1A14B">
      <w:pPr>
        <w:spacing w:line="272" w:lineRule="auto"/>
        <w:rPr>
          <w:rFonts w:asciiTheme="minorEastAsia" w:hAnsiTheme="minorEastAsia" w:eastAsiaTheme="minorEastAsia" w:cstheme="minorEastAsia"/>
          <w:lang w:eastAsia="zh-CN"/>
        </w:rPr>
      </w:pPr>
    </w:p>
    <w:p w14:paraId="44524470">
      <w:pPr>
        <w:spacing w:line="272" w:lineRule="auto"/>
        <w:rPr>
          <w:rFonts w:asciiTheme="minorEastAsia" w:hAnsiTheme="minorEastAsia" w:eastAsiaTheme="minorEastAsia" w:cstheme="minorEastAsia"/>
          <w:lang w:eastAsia="zh-CN"/>
        </w:rPr>
      </w:pPr>
    </w:p>
    <w:p w14:paraId="645ABAE1">
      <w:pPr>
        <w:spacing w:line="272" w:lineRule="auto"/>
        <w:rPr>
          <w:rFonts w:asciiTheme="minorEastAsia" w:hAnsiTheme="minorEastAsia" w:eastAsiaTheme="minorEastAsia" w:cstheme="minorEastAsia"/>
          <w:lang w:eastAsia="zh-CN"/>
        </w:rPr>
      </w:pPr>
    </w:p>
    <w:p w14:paraId="7A4FD0D8">
      <w:pPr>
        <w:spacing w:before="101" w:line="227" w:lineRule="auto"/>
        <w:ind w:left="4055"/>
        <w:rPr>
          <w:rFonts w:asciiTheme="minorEastAsia" w:hAnsiTheme="minorEastAsia" w:eastAsiaTheme="minorEastAsia" w:cstheme="minorEastAsia"/>
          <w:sz w:val="31"/>
          <w:szCs w:val="31"/>
        </w:rPr>
      </w:pPr>
      <w:r>
        <w:rPr>
          <w:rFonts w:hint="eastAsia" w:asciiTheme="minorEastAsia" w:hAnsiTheme="minorEastAsia" w:eastAsiaTheme="minorEastAsia" w:cstheme="minorEastAsia"/>
          <w:spacing w:val="-33"/>
          <w:sz w:val="31"/>
          <w:szCs w:val="31"/>
        </w:rPr>
        <w:t>目</w:t>
      </w:r>
      <w:r>
        <w:rPr>
          <w:rFonts w:hint="eastAsia" w:asciiTheme="minorEastAsia" w:hAnsiTheme="minorEastAsia" w:eastAsiaTheme="minorEastAsia" w:cstheme="minorEastAsia"/>
          <w:spacing w:val="8"/>
          <w:sz w:val="31"/>
          <w:szCs w:val="31"/>
        </w:rPr>
        <w:t xml:space="preserve">    </w:t>
      </w:r>
      <w:r>
        <w:rPr>
          <w:rFonts w:hint="eastAsia" w:asciiTheme="minorEastAsia" w:hAnsiTheme="minorEastAsia" w:eastAsiaTheme="minorEastAsia" w:cstheme="minorEastAsia"/>
          <w:spacing w:val="-33"/>
          <w:sz w:val="31"/>
          <w:szCs w:val="31"/>
        </w:rPr>
        <w:t>录</w:t>
      </w:r>
    </w:p>
    <w:p w14:paraId="491E523D">
      <w:pPr>
        <w:spacing w:line="260" w:lineRule="auto"/>
        <w:rPr>
          <w:rFonts w:asciiTheme="minorEastAsia" w:hAnsiTheme="minorEastAsia" w:eastAsiaTheme="minorEastAsia" w:cstheme="minorEastAsia"/>
          <w:lang w:eastAsia="zh-CN"/>
        </w:rPr>
      </w:pPr>
    </w:p>
    <w:p w14:paraId="2EF33C92">
      <w:pPr>
        <w:spacing w:line="260" w:lineRule="auto"/>
        <w:rPr>
          <w:rFonts w:asciiTheme="minorEastAsia" w:hAnsiTheme="minorEastAsia" w:eastAsiaTheme="minorEastAsia" w:cstheme="minorEastAsia"/>
        </w:rPr>
      </w:pPr>
    </w:p>
    <w:p w14:paraId="4AAB9ED8">
      <w:pPr>
        <w:spacing w:line="261" w:lineRule="auto"/>
        <w:rPr>
          <w:rFonts w:asciiTheme="minorEastAsia" w:hAnsiTheme="minorEastAsia" w:eastAsiaTheme="minorEastAsia" w:cstheme="minorEastAsia"/>
        </w:rPr>
      </w:pPr>
    </w:p>
    <w:p w14:paraId="60A4EA49">
      <w:pPr>
        <w:rPr>
          <w:rFonts w:asciiTheme="minorEastAsia" w:hAnsiTheme="minorEastAsia" w:eastAsiaTheme="minorEastAsia" w:cstheme="minorEastAsia"/>
          <w:b/>
          <w:bCs/>
          <w:spacing w:val="-8"/>
        </w:rPr>
      </w:pPr>
      <w:bookmarkStart w:id="410" w:name="bookmark27"/>
      <w:bookmarkEnd w:id="410"/>
      <w:bookmarkStart w:id="411" w:name="bookmark28"/>
      <w:bookmarkEnd w:id="411"/>
      <w:r>
        <w:rPr>
          <w:rFonts w:hint="eastAsia" w:asciiTheme="minorEastAsia" w:hAnsiTheme="minorEastAsia" w:eastAsiaTheme="minorEastAsia" w:cstheme="minorEastAsia"/>
          <w:b/>
          <w:bCs/>
          <w:spacing w:val="-8"/>
        </w:rPr>
        <w:br w:type="page"/>
      </w:r>
    </w:p>
    <w:p w14:paraId="0B558882">
      <w:pPr>
        <w:pStyle w:val="6"/>
        <w:spacing w:before="97" w:line="220" w:lineRule="auto"/>
        <w:ind w:left="146"/>
        <w:jc w:val="center"/>
        <w:outlineLvl w:val="1"/>
        <w:rPr>
          <w:rFonts w:asciiTheme="minorEastAsia" w:hAnsiTheme="minorEastAsia" w:eastAsiaTheme="minorEastAsia" w:cstheme="minorEastAsia"/>
        </w:rPr>
      </w:pPr>
      <w:bookmarkStart w:id="412" w:name="_Toc7608"/>
      <w:r>
        <w:rPr>
          <w:rFonts w:hint="eastAsia" w:asciiTheme="minorEastAsia" w:hAnsiTheme="minorEastAsia" w:eastAsiaTheme="minorEastAsia" w:cstheme="minorEastAsia"/>
          <w:b/>
          <w:bCs/>
          <w:spacing w:val="-8"/>
        </w:rPr>
        <w:t>1.开标一览表</w:t>
      </w:r>
      <w:bookmarkEnd w:id="412"/>
    </w:p>
    <w:p w14:paraId="252F822A">
      <w:pPr>
        <w:spacing w:line="106" w:lineRule="exact"/>
        <w:rPr>
          <w:rFonts w:asciiTheme="minorEastAsia" w:hAnsiTheme="minorEastAsia" w:eastAsiaTheme="minorEastAsia" w:cstheme="minorEastAsia"/>
        </w:rPr>
      </w:pPr>
    </w:p>
    <w:tbl>
      <w:tblPr>
        <w:tblStyle w:val="26"/>
        <w:tblW w:w="93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5"/>
        <w:gridCol w:w="7289"/>
      </w:tblGrid>
      <w:tr w14:paraId="6E495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1A820A06">
            <w:pPr>
              <w:pStyle w:val="27"/>
              <w:spacing w:before="68" w:line="221"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pacing w:val="-2"/>
              </w:rPr>
              <w:t>投标人名称</w:t>
            </w:r>
          </w:p>
        </w:tc>
        <w:tc>
          <w:tcPr>
            <w:tcW w:w="7289" w:type="dxa"/>
            <w:vAlign w:val="center"/>
          </w:tcPr>
          <w:p w14:paraId="7558413E">
            <w:pPr>
              <w:jc w:val="center"/>
              <w:rPr>
                <w:rFonts w:asciiTheme="minorEastAsia" w:hAnsiTheme="minorEastAsia" w:eastAsiaTheme="minorEastAsia" w:cstheme="minorEastAsia"/>
              </w:rPr>
            </w:pPr>
          </w:p>
        </w:tc>
      </w:tr>
      <w:tr w14:paraId="43E5B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504A4C56">
            <w:pPr>
              <w:pStyle w:val="27"/>
              <w:spacing w:before="68" w:line="221"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pacing w:val="-3"/>
              </w:rPr>
              <w:t>项目名称</w:t>
            </w:r>
          </w:p>
        </w:tc>
        <w:tc>
          <w:tcPr>
            <w:tcW w:w="7289" w:type="dxa"/>
            <w:vAlign w:val="center"/>
          </w:tcPr>
          <w:p w14:paraId="3166CE17">
            <w:pPr>
              <w:jc w:val="center"/>
              <w:rPr>
                <w:rFonts w:asciiTheme="minorEastAsia" w:hAnsiTheme="minorEastAsia" w:eastAsiaTheme="minorEastAsia" w:cstheme="minorEastAsia"/>
              </w:rPr>
            </w:pPr>
          </w:p>
        </w:tc>
      </w:tr>
      <w:tr w14:paraId="45EC7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6757C22F">
            <w:pPr>
              <w:pStyle w:val="27"/>
              <w:spacing w:before="68" w:line="221"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pacing w:val="-2"/>
              </w:rPr>
              <w:t>投报标段</w:t>
            </w:r>
          </w:p>
        </w:tc>
        <w:tc>
          <w:tcPr>
            <w:tcW w:w="7289" w:type="dxa"/>
            <w:vAlign w:val="center"/>
          </w:tcPr>
          <w:p w14:paraId="27EADB27">
            <w:pPr>
              <w:jc w:val="center"/>
              <w:rPr>
                <w:rFonts w:asciiTheme="minorEastAsia" w:hAnsiTheme="minorEastAsia" w:eastAsiaTheme="minorEastAsia" w:cstheme="minorEastAsia"/>
              </w:rPr>
            </w:pPr>
          </w:p>
        </w:tc>
      </w:tr>
      <w:tr w14:paraId="77899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10D15156">
            <w:pPr>
              <w:pStyle w:val="27"/>
              <w:spacing w:before="68" w:line="221" w:lineRule="auto"/>
              <w:jc w:val="center"/>
              <w:rPr>
                <w:rFonts w:asciiTheme="minorEastAsia" w:hAnsiTheme="minorEastAsia" w:eastAsiaTheme="minorEastAsia" w:cstheme="minorEastAsia"/>
                <w:spacing w:val="-2"/>
                <w:lang w:eastAsia="zh-CN"/>
              </w:rPr>
            </w:pPr>
            <w:r>
              <w:rPr>
                <w:rFonts w:hint="eastAsia" w:asciiTheme="minorEastAsia" w:hAnsiTheme="minorEastAsia" w:eastAsiaTheme="minorEastAsia" w:cstheme="minorEastAsia"/>
                <w:spacing w:val="-2"/>
                <w:lang w:eastAsia="zh-CN"/>
              </w:rPr>
              <w:t>投标报价</w:t>
            </w:r>
          </w:p>
        </w:tc>
        <w:tc>
          <w:tcPr>
            <w:tcW w:w="7289" w:type="dxa"/>
            <w:vAlign w:val="center"/>
          </w:tcPr>
          <w:p w14:paraId="3CFAA17E">
            <w:pPr>
              <w:spacing w:line="360" w:lineRule="auto"/>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5元/每位学生/每天</w:t>
            </w:r>
          </w:p>
        </w:tc>
      </w:tr>
      <w:tr w14:paraId="6FBCC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1BBD4D2D">
            <w:pPr>
              <w:pStyle w:val="27"/>
              <w:spacing w:before="69" w:line="261" w:lineRule="auto"/>
              <w:ind w:left="471" w:right="125" w:hanging="334"/>
              <w:jc w:val="center"/>
              <w:rPr>
                <w:rFonts w:asciiTheme="minorEastAsia" w:hAnsiTheme="minorEastAsia" w:eastAsiaTheme="minorEastAsia" w:cstheme="minorEastAsia"/>
              </w:rPr>
            </w:pPr>
            <w:r>
              <w:rPr>
                <w:rFonts w:hint="eastAsia" w:asciiTheme="minorEastAsia" w:hAnsiTheme="minorEastAsia" w:eastAsiaTheme="minorEastAsia" w:cstheme="minorEastAsia"/>
              </w:rPr>
              <w:t>配送地点</w:t>
            </w:r>
          </w:p>
        </w:tc>
        <w:tc>
          <w:tcPr>
            <w:tcW w:w="7289" w:type="dxa"/>
            <w:vAlign w:val="center"/>
          </w:tcPr>
          <w:p w14:paraId="0E86C458">
            <w:pPr>
              <w:jc w:val="center"/>
              <w:rPr>
                <w:rFonts w:asciiTheme="minorEastAsia" w:hAnsiTheme="minorEastAsia" w:eastAsiaTheme="minorEastAsia" w:cstheme="minorEastAsia"/>
              </w:rPr>
            </w:pPr>
          </w:p>
        </w:tc>
      </w:tr>
      <w:tr w14:paraId="576D5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2C60E160">
            <w:pPr>
              <w:pStyle w:val="27"/>
              <w:spacing w:before="68" w:line="221"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服务要求</w:t>
            </w:r>
          </w:p>
        </w:tc>
        <w:tc>
          <w:tcPr>
            <w:tcW w:w="7289" w:type="dxa"/>
            <w:vAlign w:val="center"/>
          </w:tcPr>
          <w:p w14:paraId="3E021426">
            <w:pPr>
              <w:jc w:val="center"/>
              <w:rPr>
                <w:rFonts w:asciiTheme="minorEastAsia" w:hAnsiTheme="minorEastAsia" w:eastAsiaTheme="minorEastAsia" w:cstheme="minorEastAsia"/>
              </w:rPr>
            </w:pPr>
          </w:p>
        </w:tc>
      </w:tr>
      <w:tr w14:paraId="7C9A1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6174D18A">
            <w:pPr>
              <w:pStyle w:val="27"/>
              <w:spacing w:before="68" w:line="221"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食材质量要求</w:t>
            </w:r>
          </w:p>
        </w:tc>
        <w:tc>
          <w:tcPr>
            <w:tcW w:w="7289" w:type="dxa"/>
            <w:vAlign w:val="center"/>
          </w:tcPr>
          <w:p w14:paraId="48CB5055">
            <w:pPr>
              <w:jc w:val="center"/>
              <w:rPr>
                <w:rFonts w:asciiTheme="minorEastAsia" w:hAnsiTheme="minorEastAsia" w:eastAsiaTheme="minorEastAsia" w:cstheme="minorEastAsia"/>
              </w:rPr>
            </w:pPr>
          </w:p>
        </w:tc>
      </w:tr>
      <w:tr w14:paraId="5DC75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49ED2642">
            <w:pPr>
              <w:pStyle w:val="27"/>
              <w:spacing w:before="68" w:line="221"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合同履行期限</w:t>
            </w:r>
          </w:p>
        </w:tc>
        <w:tc>
          <w:tcPr>
            <w:tcW w:w="7289" w:type="dxa"/>
            <w:vAlign w:val="center"/>
          </w:tcPr>
          <w:p w14:paraId="5210B388">
            <w:pPr>
              <w:jc w:val="center"/>
              <w:rPr>
                <w:rFonts w:asciiTheme="minorEastAsia" w:hAnsiTheme="minorEastAsia" w:eastAsiaTheme="minorEastAsia" w:cstheme="minorEastAsia"/>
              </w:rPr>
            </w:pPr>
          </w:p>
        </w:tc>
      </w:tr>
      <w:tr w14:paraId="458CE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exact"/>
          <w:jc w:val="center"/>
        </w:trPr>
        <w:tc>
          <w:tcPr>
            <w:tcW w:w="2065" w:type="dxa"/>
            <w:vAlign w:val="center"/>
          </w:tcPr>
          <w:p w14:paraId="1896954F">
            <w:pPr>
              <w:pStyle w:val="27"/>
              <w:spacing w:line="360" w:lineRule="auto"/>
              <w:ind w:left="839" w:hanging="839"/>
              <w:jc w:val="center"/>
              <w:rPr>
                <w:rFonts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项目负责人</w:t>
            </w:r>
          </w:p>
          <w:p w14:paraId="60723C4A">
            <w:pPr>
              <w:pStyle w:val="27"/>
              <w:spacing w:line="360" w:lineRule="auto"/>
              <w:ind w:left="839" w:hanging="839"/>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及联系方</w:t>
            </w:r>
            <w:r>
              <w:rPr>
                <w:rFonts w:hint="eastAsia" w:asciiTheme="minorEastAsia" w:hAnsiTheme="minorEastAsia" w:eastAsiaTheme="minorEastAsia" w:cstheme="minorEastAsia"/>
                <w:lang w:eastAsia="zh-CN"/>
              </w:rPr>
              <w:t>式</w:t>
            </w:r>
          </w:p>
        </w:tc>
        <w:tc>
          <w:tcPr>
            <w:tcW w:w="7289" w:type="dxa"/>
            <w:vAlign w:val="center"/>
          </w:tcPr>
          <w:p w14:paraId="64E8778E">
            <w:pPr>
              <w:jc w:val="center"/>
              <w:rPr>
                <w:rFonts w:asciiTheme="minorEastAsia" w:hAnsiTheme="minorEastAsia" w:eastAsiaTheme="minorEastAsia" w:cstheme="minorEastAsia"/>
                <w:lang w:eastAsia="zh-CN"/>
              </w:rPr>
            </w:pPr>
          </w:p>
        </w:tc>
      </w:tr>
      <w:tr w14:paraId="3D865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454918E1">
            <w:pPr>
              <w:spacing w:line="283" w:lineRule="auto"/>
              <w:jc w:val="center"/>
              <w:rPr>
                <w:rFonts w:asciiTheme="minorEastAsia" w:hAnsiTheme="minorEastAsia" w:eastAsiaTheme="minorEastAsia" w:cstheme="minorEastAsia"/>
                <w:lang w:eastAsia="zh-CN"/>
              </w:rPr>
            </w:pPr>
          </w:p>
          <w:p w14:paraId="5646752B">
            <w:pPr>
              <w:spacing w:line="283" w:lineRule="auto"/>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备注</w:t>
            </w:r>
          </w:p>
          <w:p w14:paraId="351E228A">
            <w:pPr>
              <w:pStyle w:val="27"/>
              <w:spacing w:before="68" w:line="222" w:lineRule="auto"/>
              <w:ind w:left="874"/>
              <w:jc w:val="center"/>
              <w:rPr>
                <w:rFonts w:asciiTheme="minorEastAsia" w:hAnsiTheme="minorEastAsia" w:eastAsiaTheme="minorEastAsia" w:cstheme="minorEastAsia"/>
              </w:rPr>
            </w:pPr>
          </w:p>
        </w:tc>
        <w:tc>
          <w:tcPr>
            <w:tcW w:w="7289" w:type="dxa"/>
            <w:vAlign w:val="center"/>
          </w:tcPr>
          <w:p w14:paraId="02B467B2">
            <w:pPr>
              <w:jc w:val="center"/>
              <w:rPr>
                <w:rFonts w:asciiTheme="minorEastAsia" w:hAnsiTheme="minorEastAsia" w:eastAsiaTheme="minorEastAsia" w:cstheme="minorEastAsia"/>
              </w:rPr>
            </w:pPr>
          </w:p>
        </w:tc>
      </w:tr>
    </w:tbl>
    <w:p w14:paraId="7F19676E">
      <w:pPr>
        <w:pStyle w:val="6"/>
        <w:spacing w:before="127" w:line="221" w:lineRule="auto"/>
        <w:ind w:left="332"/>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注：投标人必须按规定格式填写。</w:t>
      </w:r>
    </w:p>
    <w:p w14:paraId="4185559D">
      <w:pPr>
        <w:pStyle w:val="6"/>
        <w:spacing w:before="280" w:line="219" w:lineRule="auto"/>
        <w:ind w:firstLine="3068" w:firstLineChars="13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投  标</w:t>
      </w:r>
      <w:r>
        <w:rPr>
          <w:rFonts w:hint="eastAsia"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pacing w:val="-2"/>
          <w:sz w:val="24"/>
          <w:szCs w:val="24"/>
          <w:lang w:eastAsia="zh-CN"/>
        </w:rPr>
        <w:t>人</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w:t>
      </w:r>
      <w:r>
        <w:rPr>
          <w:rFonts w:hint="eastAsia" w:asciiTheme="minorEastAsia" w:hAnsiTheme="minorEastAsia" w:eastAsiaTheme="minorEastAsia" w:cstheme="minorEastAsia"/>
          <w:spacing w:val="-2"/>
          <w:sz w:val="24"/>
          <w:szCs w:val="24"/>
          <w:u w:val="single"/>
          <w:lang w:eastAsia="zh-CN"/>
        </w:rPr>
        <w:t>企业电子签章）</w:t>
      </w:r>
      <w:r>
        <w:rPr>
          <w:rFonts w:hint="eastAsia" w:asciiTheme="minorEastAsia" w:hAnsiTheme="minorEastAsia" w:eastAsiaTheme="minorEastAsia" w:cstheme="minorEastAsia"/>
          <w:sz w:val="24"/>
          <w:szCs w:val="24"/>
          <w:u w:val="single"/>
          <w:lang w:eastAsia="zh-CN"/>
        </w:rPr>
        <w:t xml:space="preserve">  </w:t>
      </w:r>
    </w:p>
    <w:p w14:paraId="59532AA3">
      <w:pPr>
        <w:spacing w:line="259" w:lineRule="auto"/>
        <w:rPr>
          <w:rFonts w:asciiTheme="minorEastAsia" w:hAnsiTheme="minorEastAsia" w:eastAsiaTheme="minorEastAsia" w:cstheme="minorEastAsia"/>
          <w:lang w:eastAsia="zh-CN"/>
        </w:rPr>
      </w:pPr>
    </w:p>
    <w:p w14:paraId="3CED89FC">
      <w:pPr>
        <w:pStyle w:val="6"/>
        <w:tabs>
          <w:tab w:val="left" w:pos="4192"/>
        </w:tabs>
        <w:spacing w:before="79" w:line="406" w:lineRule="auto"/>
        <w:ind w:left="3004" w:leftChars="1375" w:right="460" w:hanging="116" w:hangingChars="49"/>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
          <w:sz w:val="24"/>
          <w:szCs w:val="24"/>
          <w:lang w:eastAsia="zh-CN"/>
        </w:rPr>
        <w:t>法定代表人（或委托代理人</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2"/>
          <w:sz w:val="24"/>
          <w:szCs w:val="24"/>
          <w:u w:val="single"/>
          <w:lang w:eastAsia="zh-CN"/>
        </w:rPr>
        <w:t>（</w:t>
      </w:r>
      <w:r>
        <w:rPr>
          <w:rFonts w:hint="eastAsia" w:asciiTheme="minorEastAsia" w:hAnsiTheme="minorEastAsia" w:eastAsiaTheme="minorEastAsia" w:cstheme="minorEastAsia"/>
          <w:spacing w:val="-1"/>
          <w:sz w:val="24"/>
          <w:szCs w:val="24"/>
          <w:u w:val="single"/>
          <w:lang w:eastAsia="zh-CN"/>
        </w:rPr>
        <w:t>签字或盖章）</w:t>
      </w:r>
    </w:p>
    <w:p w14:paraId="36B0C04C">
      <w:pPr>
        <w:pStyle w:val="6"/>
        <w:tabs>
          <w:tab w:val="left" w:pos="4192"/>
        </w:tabs>
        <w:spacing w:before="79" w:line="406" w:lineRule="auto"/>
        <w:ind w:left="3127" w:leftChars="1489" w:right="460" w:firstLine="600" w:firstLineChars="25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pacing w:val="-26"/>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pacing w:val="-26"/>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26"/>
          <w:sz w:val="24"/>
          <w:szCs w:val="24"/>
          <w:lang w:eastAsia="zh-CN"/>
        </w:rPr>
        <w:t>日</w:t>
      </w:r>
    </w:p>
    <w:p w14:paraId="3A976302">
      <w:pPr>
        <w:spacing w:line="250" w:lineRule="auto"/>
        <w:rPr>
          <w:rFonts w:asciiTheme="minorEastAsia" w:hAnsiTheme="minorEastAsia" w:eastAsiaTheme="minorEastAsia" w:cstheme="minorEastAsia"/>
          <w:lang w:eastAsia="zh-CN"/>
        </w:rPr>
      </w:pPr>
    </w:p>
    <w:p w14:paraId="07A02538">
      <w:pPr>
        <w:spacing w:line="250" w:lineRule="auto"/>
        <w:rPr>
          <w:rFonts w:asciiTheme="minorEastAsia" w:hAnsiTheme="minorEastAsia" w:eastAsiaTheme="minorEastAsia" w:cstheme="minorEastAsia"/>
          <w:lang w:eastAsia="zh-CN"/>
        </w:rPr>
      </w:pPr>
    </w:p>
    <w:p w14:paraId="5064E7E2">
      <w:pPr>
        <w:spacing w:line="250" w:lineRule="auto"/>
        <w:rPr>
          <w:rFonts w:asciiTheme="minorEastAsia" w:hAnsiTheme="minorEastAsia" w:eastAsiaTheme="minorEastAsia" w:cstheme="minorEastAsia"/>
          <w:lang w:eastAsia="zh-CN"/>
        </w:rPr>
      </w:pPr>
    </w:p>
    <w:p w14:paraId="5D822646">
      <w:pPr>
        <w:rPr>
          <w:rFonts w:asciiTheme="minorEastAsia" w:hAnsiTheme="minorEastAsia" w:eastAsiaTheme="minorEastAsia" w:cstheme="minorEastAsia"/>
          <w:b/>
          <w:bCs/>
          <w:spacing w:val="-6"/>
          <w:lang w:eastAsia="zh-CN"/>
        </w:rPr>
      </w:pPr>
      <w:bookmarkStart w:id="413" w:name="bookmark29"/>
      <w:bookmarkEnd w:id="413"/>
      <w:bookmarkStart w:id="414" w:name="bookmark30"/>
      <w:bookmarkEnd w:id="414"/>
      <w:r>
        <w:rPr>
          <w:rFonts w:hint="eastAsia" w:asciiTheme="minorEastAsia" w:hAnsiTheme="minorEastAsia" w:eastAsiaTheme="minorEastAsia" w:cstheme="minorEastAsia"/>
          <w:b/>
          <w:bCs/>
          <w:spacing w:val="-6"/>
          <w:lang w:eastAsia="zh-CN"/>
        </w:rPr>
        <w:br w:type="page"/>
      </w:r>
    </w:p>
    <w:p w14:paraId="05C58BBF">
      <w:pPr>
        <w:pStyle w:val="6"/>
        <w:spacing w:before="97" w:line="220" w:lineRule="auto"/>
        <w:ind w:left="44"/>
        <w:jc w:val="center"/>
        <w:outlineLvl w:val="1"/>
        <w:rPr>
          <w:rFonts w:asciiTheme="minorEastAsia" w:hAnsiTheme="minorEastAsia" w:eastAsiaTheme="minorEastAsia" w:cstheme="minorEastAsia"/>
          <w:lang w:eastAsia="zh-CN"/>
        </w:rPr>
      </w:pPr>
      <w:bookmarkStart w:id="415" w:name="_Toc7152"/>
      <w:r>
        <w:rPr>
          <w:rFonts w:hint="eastAsia" w:asciiTheme="minorEastAsia" w:hAnsiTheme="minorEastAsia" w:eastAsiaTheme="minorEastAsia" w:cstheme="minorEastAsia"/>
          <w:b/>
          <w:bCs/>
          <w:spacing w:val="-6"/>
          <w:lang w:eastAsia="zh-CN"/>
        </w:rPr>
        <w:t>2.投标函</w:t>
      </w:r>
      <w:bookmarkEnd w:id="415"/>
    </w:p>
    <w:p w14:paraId="28119223">
      <w:pPr>
        <w:pStyle w:val="6"/>
        <w:spacing w:before="234" w:line="220" w:lineRule="auto"/>
        <w:ind w:left="36"/>
        <w:rPr>
          <w:rFonts w:asciiTheme="minorEastAsia" w:hAnsiTheme="minorEastAsia" w:eastAsiaTheme="minorEastAsia" w:cstheme="minorEastAsia"/>
          <w:spacing w:val="-2"/>
          <w:sz w:val="21"/>
          <w:szCs w:val="21"/>
          <w:lang w:eastAsia="zh-CN"/>
        </w:rPr>
      </w:pPr>
    </w:p>
    <w:p w14:paraId="10E21F64">
      <w:pPr>
        <w:pStyle w:val="6"/>
        <w:spacing w:before="234" w:line="220" w:lineRule="auto"/>
        <w:ind w:left="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采购人：</w:t>
      </w:r>
      <w:r>
        <w:rPr>
          <w:rFonts w:hint="eastAsia" w:asciiTheme="minorEastAsia" w:hAnsiTheme="minorEastAsia" w:eastAsiaTheme="minorEastAsia" w:cstheme="minorEastAsia"/>
          <w:sz w:val="24"/>
          <w:szCs w:val="24"/>
          <w:u w:val="single"/>
          <w:lang w:eastAsia="zh-CN"/>
        </w:rPr>
        <w:t xml:space="preserve">             </w:t>
      </w:r>
    </w:p>
    <w:p w14:paraId="76E96FA4">
      <w:pPr>
        <w:pStyle w:val="6"/>
        <w:spacing w:line="360" w:lineRule="auto"/>
        <w:ind w:firstLine="472" w:firstLineChars="200"/>
        <w:rPr>
          <w:rFonts w:asciiTheme="minorEastAsia" w:hAnsiTheme="minorEastAsia" w:eastAsiaTheme="minorEastAsia" w:cstheme="minorEastAsia"/>
          <w:spacing w:val="-2"/>
          <w:sz w:val="24"/>
          <w:szCs w:val="24"/>
          <w:lang w:eastAsia="zh-CN"/>
        </w:rPr>
      </w:pPr>
    </w:p>
    <w:p w14:paraId="053DFDF3">
      <w:pPr>
        <w:pStyle w:val="6"/>
        <w:spacing w:line="360" w:lineRule="auto"/>
        <w:ind w:firstLine="472" w:firstLineChars="200"/>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2"/>
          <w:sz w:val="24"/>
          <w:szCs w:val="24"/>
          <w:lang w:eastAsia="zh-CN"/>
        </w:rPr>
        <w:t>1.我方仔细研究了</w:t>
      </w:r>
      <w:r>
        <w:rPr>
          <w:rFonts w:hint="eastAsia" w:asciiTheme="minorEastAsia" w:hAnsiTheme="minorEastAsia" w:eastAsiaTheme="minorEastAsia" w:cstheme="minorEastAsia"/>
          <w:spacing w:val="-2"/>
          <w:sz w:val="24"/>
          <w:szCs w:val="24"/>
          <w:u w:val="single"/>
          <w:lang w:eastAsia="zh-CN"/>
        </w:rPr>
        <w:t xml:space="preserve">       （项目名称</w:t>
      </w:r>
      <w:r>
        <w:rPr>
          <w:rFonts w:hint="eastAsia" w:asciiTheme="minorEastAsia" w:hAnsiTheme="minorEastAsia" w:eastAsiaTheme="minorEastAsia" w:cstheme="minorEastAsia"/>
          <w:spacing w:val="-7"/>
          <w:sz w:val="24"/>
          <w:szCs w:val="24"/>
          <w:u w:val="single"/>
          <w:lang w:eastAsia="zh-CN"/>
        </w:rPr>
        <w:t>）（</w:t>
      </w:r>
      <w:r>
        <w:rPr>
          <w:rFonts w:hint="eastAsia" w:asciiTheme="minorEastAsia" w:hAnsiTheme="minorEastAsia" w:eastAsiaTheme="minorEastAsia" w:cstheme="minorEastAsia"/>
          <w:spacing w:val="-2"/>
          <w:sz w:val="24"/>
          <w:szCs w:val="24"/>
          <w:u w:val="single"/>
          <w:lang w:eastAsia="zh-CN"/>
        </w:rPr>
        <w:t>标段</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95"/>
          <w:sz w:val="24"/>
          <w:szCs w:val="24"/>
          <w:lang w:eastAsia="zh-CN"/>
        </w:rPr>
        <w:t xml:space="preserve"> </w:t>
      </w:r>
      <w:r>
        <w:rPr>
          <w:rFonts w:hint="eastAsia" w:asciiTheme="minorEastAsia" w:hAnsiTheme="minorEastAsia" w:eastAsiaTheme="minorEastAsia" w:cstheme="minorEastAsia"/>
          <w:spacing w:val="-3"/>
          <w:sz w:val="24"/>
          <w:szCs w:val="24"/>
          <w:lang w:eastAsia="zh-CN"/>
        </w:rPr>
        <w:t>招标文件（包括补充通知）的全部内容，</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
          <w:sz w:val="24"/>
          <w:szCs w:val="24"/>
          <w:lang w:eastAsia="zh-CN"/>
        </w:rPr>
        <w:t>愿按招标文件规定的条件和要求承包合同规定的全部工作，并承担相关的责任。</w:t>
      </w:r>
    </w:p>
    <w:p w14:paraId="7E72F8B8">
      <w:pPr>
        <w:pStyle w:val="6"/>
        <w:spacing w:line="360" w:lineRule="auto"/>
        <w:ind w:firstLine="476" w:firstLineChars="200"/>
        <w:rPr>
          <w:rFonts w:eastAsiaTheme="minorEastAsia"/>
          <w:sz w:val="24"/>
          <w:szCs w:val="24"/>
          <w:lang w:eastAsia="zh-CN"/>
        </w:rPr>
      </w:pPr>
      <w:r>
        <w:rPr>
          <w:rFonts w:hint="eastAsia" w:asciiTheme="minorEastAsia" w:hAnsiTheme="minorEastAsia" w:eastAsiaTheme="minorEastAsia" w:cstheme="minorEastAsia"/>
          <w:spacing w:val="-1"/>
          <w:sz w:val="24"/>
          <w:szCs w:val="24"/>
          <w:lang w:eastAsia="zh-CN"/>
        </w:rPr>
        <w:t>2．投标报价：</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元</w:t>
      </w:r>
      <w:r>
        <w:rPr>
          <w:rFonts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eastAsia="zh-CN"/>
        </w:rPr>
        <w:t>每位学生</w:t>
      </w:r>
      <w:r>
        <w:rPr>
          <w:rFonts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eastAsia="zh-CN"/>
        </w:rPr>
        <w:t>每天。</w:t>
      </w:r>
    </w:p>
    <w:p w14:paraId="6578A504">
      <w:pPr>
        <w:pStyle w:val="6"/>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3.我方提交的投标文件在投标截止时间后的</w:t>
      </w:r>
      <w:r>
        <w:rPr>
          <w:rFonts w:hint="eastAsia" w:asciiTheme="minorEastAsia" w:hAnsiTheme="minorEastAsia" w:eastAsiaTheme="minorEastAsia" w:cstheme="minorEastAsia"/>
          <w:spacing w:val="-84"/>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5"/>
          <w:sz w:val="24"/>
          <w:szCs w:val="24"/>
          <w:lang w:eastAsia="zh-CN"/>
        </w:rPr>
        <w:t xml:space="preserve"> </w:t>
      </w:r>
      <w:r>
        <w:rPr>
          <w:rFonts w:hint="eastAsia" w:asciiTheme="minorEastAsia" w:hAnsiTheme="minorEastAsia" w:eastAsiaTheme="minorEastAsia" w:cstheme="minorEastAsia"/>
          <w:sz w:val="24"/>
          <w:szCs w:val="24"/>
          <w:lang w:eastAsia="zh-CN"/>
        </w:rPr>
        <w:t xml:space="preserve">天内有效，在此期间被你方接受的上述文 </w:t>
      </w:r>
      <w:r>
        <w:rPr>
          <w:rFonts w:hint="eastAsia" w:asciiTheme="minorEastAsia" w:hAnsiTheme="minorEastAsia" w:eastAsiaTheme="minorEastAsia" w:cstheme="minorEastAsia"/>
          <w:spacing w:val="-1"/>
          <w:sz w:val="24"/>
          <w:szCs w:val="24"/>
          <w:lang w:eastAsia="zh-CN"/>
        </w:rPr>
        <w:t>件对我方一直具有约束力。我方保证在投标文件有效期内不撤回投标文件，除招标文件另</w:t>
      </w:r>
      <w:r>
        <w:rPr>
          <w:rFonts w:hint="eastAsia" w:asciiTheme="minorEastAsia" w:hAnsiTheme="minorEastAsia" w:eastAsiaTheme="minorEastAsia" w:cstheme="minorEastAsia"/>
          <w:spacing w:val="-2"/>
          <w:sz w:val="24"/>
          <w:szCs w:val="24"/>
          <w:lang w:eastAsia="zh-CN"/>
        </w:rPr>
        <w:t>有规定外，</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
          <w:sz w:val="24"/>
          <w:szCs w:val="24"/>
          <w:lang w:eastAsia="zh-CN"/>
        </w:rPr>
        <w:t>不修改投标文件。</w:t>
      </w:r>
    </w:p>
    <w:p w14:paraId="7F1E33F3">
      <w:pPr>
        <w:pStyle w:val="6"/>
        <w:spacing w:line="360" w:lineRule="auto"/>
        <w:ind w:firstLine="47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4.若我方中标：</w:t>
      </w:r>
    </w:p>
    <w:p w14:paraId="0811CC46">
      <w:pPr>
        <w:pStyle w:val="6"/>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（1）我方保证在收到你方的中标通知书后，按招标文件规定的期限，及时</w:t>
      </w:r>
      <w:r>
        <w:rPr>
          <w:rFonts w:hint="eastAsia" w:asciiTheme="minorEastAsia" w:hAnsiTheme="minorEastAsia" w:eastAsiaTheme="minorEastAsia" w:cstheme="minorEastAsia"/>
          <w:spacing w:val="-1"/>
          <w:sz w:val="24"/>
          <w:szCs w:val="24"/>
          <w:lang w:eastAsia="zh-CN"/>
        </w:rPr>
        <w:t>派代表前去签订合同。</w:t>
      </w:r>
    </w:p>
    <w:p w14:paraId="3F2CBEC9">
      <w:pPr>
        <w:pStyle w:val="6"/>
        <w:spacing w:line="360" w:lineRule="auto"/>
        <w:ind w:firstLine="46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（2）随同本投标文件提交的投标辅助资料</w:t>
      </w:r>
      <w:r>
        <w:rPr>
          <w:rFonts w:hint="eastAsia" w:asciiTheme="minorEastAsia" w:hAnsiTheme="minorEastAsia" w:eastAsiaTheme="minorEastAsia" w:cstheme="minorEastAsia"/>
          <w:spacing w:val="-5"/>
          <w:sz w:val="24"/>
          <w:szCs w:val="24"/>
          <w:lang w:eastAsia="zh-CN"/>
        </w:rPr>
        <w:t>中的任何部分，经你方确认后作为合同文件的组成部分。</w:t>
      </w:r>
    </w:p>
    <w:p w14:paraId="5466AB42">
      <w:pPr>
        <w:pStyle w:val="6"/>
        <w:spacing w:line="360" w:lineRule="auto"/>
        <w:ind w:firstLine="47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（3）我方保证按招标文件规定全额向采购代理机构支付招标代理服务费。</w:t>
      </w:r>
    </w:p>
    <w:p w14:paraId="299155AD">
      <w:pPr>
        <w:spacing w:line="257" w:lineRule="auto"/>
        <w:rPr>
          <w:rFonts w:asciiTheme="minorEastAsia" w:hAnsiTheme="minorEastAsia" w:eastAsiaTheme="minorEastAsia" w:cstheme="minorEastAsia"/>
          <w:lang w:eastAsia="zh-CN"/>
        </w:rPr>
      </w:pPr>
    </w:p>
    <w:p w14:paraId="63CDCE2D">
      <w:pPr>
        <w:spacing w:line="257" w:lineRule="auto"/>
        <w:rPr>
          <w:rFonts w:asciiTheme="minorEastAsia" w:hAnsiTheme="minorEastAsia" w:eastAsiaTheme="minorEastAsia" w:cstheme="minorEastAsia"/>
          <w:lang w:eastAsia="zh-CN"/>
        </w:rPr>
      </w:pPr>
    </w:p>
    <w:p w14:paraId="2181FE8E">
      <w:pPr>
        <w:spacing w:line="258" w:lineRule="auto"/>
        <w:rPr>
          <w:rFonts w:asciiTheme="minorEastAsia" w:hAnsiTheme="minorEastAsia" w:eastAsiaTheme="minorEastAsia" w:cstheme="minorEastAsia"/>
          <w:lang w:eastAsia="zh-CN"/>
        </w:rPr>
      </w:pPr>
    </w:p>
    <w:p w14:paraId="29A475E1">
      <w:pPr>
        <w:spacing w:line="258" w:lineRule="auto"/>
        <w:rPr>
          <w:rFonts w:asciiTheme="minorEastAsia" w:hAnsiTheme="minorEastAsia" w:eastAsiaTheme="minorEastAsia" w:cstheme="minorEastAsia"/>
          <w:lang w:eastAsia="zh-CN"/>
        </w:rPr>
      </w:pPr>
    </w:p>
    <w:p w14:paraId="20CAA753">
      <w:pPr>
        <w:spacing w:line="258" w:lineRule="auto"/>
        <w:rPr>
          <w:rFonts w:asciiTheme="minorEastAsia" w:hAnsiTheme="minorEastAsia" w:eastAsiaTheme="minorEastAsia" w:cstheme="minorEastAsia"/>
          <w:lang w:eastAsia="zh-CN"/>
        </w:rPr>
      </w:pPr>
    </w:p>
    <w:p w14:paraId="2D616999">
      <w:pPr>
        <w:spacing w:line="258" w:lineRule="auto"/>
        <w:rPr>
          <w:rFonts w:asciiTheme="minorEastAsia" w:hAnsiTheme="minorEastAsia" w:eastAsiaTheme="minorEastAsia" w:cstheme="minorEastAsia"/>
          <w:lang w:eastAsia="zh-CN"/>
        </w:rPr>
      </w:pPr>
    </w:p>
    <w:p w14:paraId="1F6009D9">
      <w:pPr>
        <w:spacing w:line="258" w:lineRule="auto"/>
        <w:rPr>
          <w:rFonts w:asciiTheme="minorEastAsia" w:hAnsiTheme="minorEastAsia" w:eastAsiaTheme="minorEastAsia" w:cstheme="minorEastAsia"/>
          <w:lang w:eastAsia="zh-CN"/>
        </w:rPr>
      </w:pPr>
    </w:p>
    <w:p w14:paraId="1C225B95">
      <w:pPr>
        <w:spacing w:line="258" w:lineRule="auto"/>
        <w:rPr>
          <w:rFonts w:asciiTheme="minorEastAsia" w:hAnsiTheme="minorEastAsia" w:eastAsiaTheme="minorEastAsia" w:cstheme="minorEastAsia"/>
          <w:lang w:eastAsia="zh-CN"/>
        </w:rPr>
      </w:pPr>
    </w:p>
    <w:p w14:paraId="6367110D">
      <w:pPr>
        <w:pStyle w:val="6"/>
        <w:spacing w:before="79" w:line="219" w:lineRule="auto"/>
        <w:ind w:left="271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投  标</w:t>
      </w:r>
      <w:r>
        <w:rPr>
          <w:rFonts w:hint="eastAsia"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pacing w:val="-2"/>
          <w:sz w:val="24"/>
          <w:szCs w:val="24"/>
          <w:lang w:eastAsia="zh-CN"/>
        </w:rPr>
        <w:t>人</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7"/>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w:t>
      </w:r>
      <w:r>
        <w:rPr>
          <w:rFonts w:hint="eastAsia" w:asciiTheme="minorEastAsia" w:hAnsiTheme="minorEastAsia" w:eastAsiaTheme="minorEastAsia" w:cstheme="minorEastAsia"/>
          <w:spacing w:val="-2"/>
          <w:sz w:val="24"/>
          <w:szCs w:val="24"/>
          <w:u w:val="single"/>
          <w:lang w:eastAsia="zh-CN"/>
        </w:rPr>
        <w:t>企业电子签章）</w:t>
      </w:r>
      <w:r>
        <w:rPr>
          <w:rFonts w:hint="eastAsia" w:asciiTheme="minorEastAsia" w:hAnsiTheme="minorEastAsia" w:eastAsiaTheme="minorEastAsia" w:cstheme="minorEastAsia"/>
          <w:sz w:val="24"/>
          <w:szCs w:val="24"/>
          <w:u w:val="single"/>
          <w:lang w:eastAsia="zh-CN"/>
        </w:rPr>
        <w:t xml:space="preserve">  </w:t>
      </w:r>
    </w:p>
    <w:p w14:paraId="14254AB6">
      <w:pPr>
        <w:spacing w:line="259" w:lineRule="auto"/>
        <w:rPr>
          <w:rFonts w:asciiTheme="minorEastAsia" w:hAnsiTheme="minorEastAsia" w:eastAsiaTheme="minorEastAsia" w:cstheme="minorEastAsia"/>
          <w:lang w:eastAsia="zh-CN"/>
        </w:rPr>
      </w:pPr>
    </w:p>
    <w:p w14:paraId="6AB8B5F9">
      <w:pPr>
        <w:pStyle w:val="6"/>
        <w:tabs>
          <w:tab w:val="left" w:pos="4192"/>
        </w:tabs>
        <w:spacing w:before="79" w:line="406" w:lineRule="auto"/>
        <w:ind w:right="460" w:firstLine="2618" w:firstLineChars="1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1"/>
          <w:sz w:val="24"/>
          <w:szCs w:val="24"/>
          <w:lang w:eastAsia="zh-CN"/>
        </w:rPr>
        <w:t>法定代表人（或委托代理人</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2"/>
          <w:sz w:val="24"/>
          <w:szCs w:val="24"/>
          <w:u w:val="single"/>
          <w:lang w:eastAsia="zh-CN"/>
        </w:rPr>
        <w:t>（</w:t>
      </w:r>
      <w:r>
        <w:rPr>
          <w:rFonts w:hint="eastAsia" w:asciiTheme="minorEastAsia" w:hAnsiTheme="minorEastAsia" w:eastAsiaTheme="minorEastAsia" w:cstheme="minorEastAsia"/>
          <w:spacing w:val="-1"/>
          <w:sz w:val="24"/>
          <w:szCs w:val="24"/>
          <w:u w:val="single"/>
          <w:lang w:eastAsia="zh-CN"/>
        </w:rPr>
        <w:t>签字或盖章）</w:t>
      </w:r>
      <w:r>
        <w:rPr>
          <w:rFonts w:hint="eastAsia" w:asciiTheme="minorEastAsia" w:hAnsiTheme="minorEastAsia" w:eastAsiaTheme="minorEastAsia" w:cstheme="minorEastAsia"/>
          <w:spacing w:val="5"/>
          <w:sz w:val="24"/>
          <w:szCs w:val="24"/>
          <w:lang w:eastAsia="zh-CN"/>
        </w:rPr>
        <w:t xml:space="preserve"> </w:t>
      </w:r>
    </w:p>
    <w:p w14:paraId="3C43C7D3">
      <w:pPr>
        <w:pStyle w:val="6"/>
        <w:tabs>
          <w:tab w:val="left" w:pos="4192"/>
        </w:tabs>
        <w:spacing w:before="79" w:line="406" w:lineRule="auto"/>
        <w:ind w:left="3127" w:leftChars="1489" w:right="460" w:firstLine="55" w:firstLineChars="25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9"/>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pacing w:val="-26"/>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pacing w:val="-26"/>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26"/>
          <w:sz w:val="24"/>
          <w:szCs w:val="24"/>
          <w:lang w:eastAsia="zh-CN"/>
        </w:rPr>
        <w:t>日</w:t>
      </w:r>
    </w:p>
    <w:p w14:paraId="08BB93F9">
      <w:pPr>
        <w:pStyle w:val="6"/>
        <w:tabs>
          <w:tab w:val="left" w:pos="3508"/>
        </w:tabs>
        <w:spacing w:before="78" w:line="467" w:lineRule="auto"/>
        <w:ind w:left="2669" w:right="77" w:firstLine="75"/>
        <w:rPr>
          <w:rFonts w:asciiTheme="minorEastAsia" w:hAnsiTheme="minorEastAsia" w:eastAsiaTheme="minorEastAsia" w:cstheme="minorEastAsia"/>
          <w:sz w:val="24"/>
          <w:szCs w:val="24"/>
          <w:lang w:eastAsia="zh-CN"/>
        </w:rPr>
      </w:pPr>
    </w:p>
    <w:p w14:paraId="23E0B897">
      <w:pPr>
        <w:spacing w:line="249" w:lineRule="auto"/>
        <w:rPr>
          <w:rFonts w:asciiTheme="minorEastAsia" w:hAnsiTheme="minorEastAsia" w:eastAsiaTheme="minorEastAsia" w:cstheme="minorEastAsia"/>
          <w:lang w:eastAsia="zh-CN"/>
        </w:rPr>
      </w:pPr>
    </w:p>
    <w:p w14:paraId="6DCE2B49">
      <w:pPr>
        <w:spacing w:line="250" w:lineRule="auto"/>
        <w:rPr>
          <w:rFonts w:asciiTheme="minorEastAsia" w:hAnsiTheme="minorEastAsia" w:eastAsiaTheme="minorEastAsia" w:cstheme="minorEastAsia"/>
          <w:lang w:eastAsia="zh-CN"/>
        </w:rPr>
      </w:pPr>
    </w:p>
    <w:p w14:paraId="558540B6">
      <w:pPr>
        <w:spacing w:line="250" w:lineRule="auto"/>
        <w:rPr>
          <w:rFonts w:asciiTheme="minorEastAsia" w:hAnsiTheme="minorEastAsia" w:eastAsiaTheme="minorEastAsia" w:cstheme="minorEastAsia"/>
          <w:lang w:eastAsia="zh-CN"/>
        </w:rPr>
      </w:pPr>
    </w:p>
    <w:p w14:paraId="58D1A544">
      <w:pPr>
        <w:rPr>
          <w:rFonts w:asciiTheme="minorEastAsia" w:hAnsiTheme="minorEastAsia" w:eastAsiaTheme="minorEastAsia" w:cstheme="minorEastAsia"/>
          <w:b/>
          <w:bCs/>
          <w:spacing w:val="-4"/>
          <w:lang w:eastAsia="zh-CN"/>
        </w:rPr>
      </w:pPr>
      <w:bookmarkStart w:id="416" w:name="bookmark31"/>
      <w:bookmarkEnd w:id="416"/>
      <w:bookmarkStart w:id="417" w:name="bookmark33"/>
      <w:bookmarkEnd w:id="417"/>
      <w:bookmarkStart w:id="418" w:name="bookmark32"/>
      <w:bookmarkEnd w:id="418"/>
      <w:bookmarkStart w:id="419" w:name="bookmark34"/>
      <w:bookmarkEnd w:id="419"/>
    </w:p>
    <w:p w14:paraId="548B53E3">
      <w:pPr>
        <w:pStyle w:val="6"/>
        <w:spacing w:before="98" w:line="219" w:lineRule="auto"/>
        <w:ind w:left="39"/>
        <w:jc w:val="center"/>
        <w:outlineLvl w:val="1"/>
        <w:rPr>
          <w:rFonts w:asciiTheme="minorEastAsia" w:hAnsiTheme="minorEastAsia" w:eastAsiaTheme="minorEastAsia" w:cstheme="minorEastAsia"/>
          <w:lang w:eastAsia="zh-CN"/>
        </w:rPr>
      </w:pPr>
      <w:bookmarkStart w:id="420" w:name="_Toc13970"/>
      <w:r>
        <w:rPr>
          <w:rFonts w:hint="eastAsia" w:asciiTheme="minorEastAsia" w:hAnsiTheme="minorEastAsia" w:eastAsiaTheme="minorEastAsia" w:cstheme="minorEastAsia"/>
          <w:b/>
          <w:bCs/>
          <w:spacing w:val="-4"/>
          <w:lang w:eastAsia="zh-CN"/>
        </w:rPr>
        <w:t>3.授权委托书</w:t>
      </w:r>
      <w:bookmarkEnd w:id="420"/>
    </w:p>
    <w:p w14:paraId="6B442AF7">
      <w:pPr>
        <w:pStyle w:val="6"/>
        <w:spacing w:line="480" w:lineRule="auto"/>
        <w:ind w:firstLine="420"/>
        <w:rPr>
          <w:rFonts w:asciiTheme="minorEastAsia" w:hAnsiTheme="minorEastAsia" w:eastAsiaTheme="minorEastAsia" w:cstheme="minorEastAsia"/>
          <w:sz w:val="21"/>
          <w:szCs w:val="21"/>
          <w:lang w:eastAsia="zh-CN"/>
        </w:rPr>
      </w:pPr>
    </w:p>
    <w:p w14:paraId="34B9E83F">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（姓名）系</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（投标人名称）的法定代表人，现委托</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 xml:space="preserve">（姓名）为我 </w:t>
      </w:r>
      <w:r>
        <w:rPr>
          <w:rFonts w:hint="eastAsia" w:asciiTheme="minorEastAsia" w:hAnsiTheme="minorEastAsia" w:eastAsiaTheme="minorEastAsia" w:cstheme="minorEastAsia"/>
          <w:spacing w:val="-15"/>
          <w:sz w:val="24"/>
          <w:szCs w:val="24"/>
          <w:lang w:eastAsia="zh-CN"/>
        </w:rPr>
        <w:t>方代理人。代理人根据授权，以我方名义签署、澄清、说明、补正、递交、撤回、修改</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15"/>
          <w:sz w:val="24"/>
          <w:szCs w:val="24"/>
          <w:lang w:eastAsia="zh-CN"/>
        </w:rPr>
        <w:t>（项</w:t>
      </w:r>
      <w:r>
        <w:rPr>
          <w:rFonts w:hint="eastAsia" w:asciiTheme="minorEastAsia" w:hAnsiTheme="minorEastAsia" w:eastAsiaTheme="minorEastAsia" w:cstheme="minorEastAsia"/>
          <w:spacing w:val="-1"/>
          <w:sz w:val="24"/>
          <w:szCs w:val="24"/>
          <w:lang w:eastAsia="zh-CN"/>
        </w:rPr>
        <w:t>目名称、标段名称）的投标文件、签订合同和处理有关事宜，其法律后果由我方承担。</w:t>
      </w:r>
    </w:p>
    <w:p w14:paraId="0C065708">
      <w:pPr>
        <w:pStyle w:val="6"/>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委托期限：</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w:t>
      </w:r>
    </w:p>
    <w:p w14:paraId="631CF64B">
      <w:pPr>
        <w:pStyle w:val="6"/>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代理人无转委托权。</w:t>
      </w:r>
    </w:p>
    <w:p w14:paraId="58F06F62">
      <w:pPr>
        <w:pStyle w:val="6"/>
        <w:spacing w:line="360" w:lineRule="auto"/>
        <w:rPr>
          <w:rFonts w:asciiTheme="minorEastAsia" w:hAnsiTheme="minorEastAsia" w:eastAsiaTheme="minorEastAsia" w:cstheme="minorEastAsia"/>
          <w:spacing w:val="-18"/>
          <w:sz w:val="24"/>
          <w:szCs w:val="24"/>
          <w:lang w:eastAsia="zh-CN"/>
        </w:rPr>
      </w:pPr>
    </w:p>
    <w:p w14:paraId="5366BDCE">
      <w:pPr>
        <w:pStyle w:val="6"/>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8"/>
          <w:sz w:val="24"/>
          <w:szCs w:val="24"/>
          <w:lang w:eastAsia="zh-CN"/>
        </w:rPr>
        <w:t>附：</w:t>
      </w:r>
      <w:r>
        <w:rPr>
          <w:rFonts w:hint="eastAsia" w:asciiTheme="minorEastAsia" w:hAnsiTheme="minorEastAsia" w:eastAsiaTheme="minorEastAsia" w:cstheme="minorEastAsia"/>
          <w:sz w:val="24"/>
          <w:szCs w:val="24"/>
          <w:lang w:eastAsia="zh-CN"/>
        </w:rPr>
        <w:t>法定代表人身份证、委托代理人的身</w:t>
      </w:r>
      <w:r>
        <w:rPr>
          <w:rFonts w:hint="eastAsia" w:asciiTheme="minorEastAsia" w:hAnsiTheme="minorEastAsia" w:eastAsiaTheme="minorEastAsia" w:cstheme="minorEastAsia"/>
          <w:spacing w:val="-1"/>
          <w:sz w:val="24"/>
          <w:szCs w:val="24"/>
          <w:lang w:eastAsia="zh-CN"/>
        </w:rPr>
        <w:t>份证</w:t>
      </w:r>
    </w:p>
    <w:p w14:paraId="21A5D4DE">
      <w:pPr>
        <w:spacing w:line="244" w:lineRule="auto"/>
        <w:rPr>
          <w:rFonts w:asciiTheme="minorEastAsia" w:hAnsiTheme="minorEastAsia" w:eastAsiaTheme="minorEastAsia" w:cstheme="minorEastAsia"/>
          <w:lang w:eastAsia="zh-CN"/>
        </w:rPr>
      </w:pPr>
    </w:p>
    <w:p w14:paraId="49F30D5F">
      <w:pPr>
        <w:spacing w:line="244" w:lineRule="auto"/>
        <w:rPr>
          <w:rFonts w:asciiTheme="minorEastAsia" w:hAnsiTheme="minorEastAsia" w:eastAsiaTheme="minorEastAsia" w:cstheme="minorEastAsia"/>
          <w:lang w:eastAsia="zh-CN"/>
        </w:rPr>
      </w:pPr>
    </w:p>
    <w:p w14:paraId="1A77BBFB">
      <w:pPr>
        <w:spacing w:line="244" w:lineRule="auto"/>
        <w:rPr>
          <w:rFonts w:asciiTheme="minorEastAsia" w:hAnsiTheme="minorEastAsia" w:eastAsiaTheme="minorEastAsia" w:cstheme="minorEastAsia"/>
          <w:lang w:eastAsia="zh-CN"/>
        </w:rPr>
      </w:pPr>
    </w:p>
    <w:p w14:paraId="12B937EB">
      <w:pPr>
        <w:spacing w:line="245" w:lineRule="auto"/>
        <w:rPr>
          <w:rFonts w:asciiTheme="minorEastAsia" w:hAnsiTheme="minorEastAsia" w:eastAsiaTheme="minorEastAsia" w:cstheme="minorEastAsia"/>
          <w:lang w:eastAsia="zh-CN"/>
        </w:rPr>
      </w:pPr>
    </w:p>
    <w:p w14:paraId="0EC3194B">
      <w:pPr>
        <w:spacing w:line="245" w:lineRule="auto"/>
        <w:rPr>
          <w:rFonts w:asciiTheme="minorEastAsia" w:hAnsiTheme="minorEastAsia" w:eastAsiaTheme="minorEastAsia" w:cstheme="minorEastAsia"/>
          <w:lang w:eastAsia="zh-CN"/>
        </w:rPr>
      </w:pPr>
    </w:p>
    <w:p w14:paraId="61A67EB9">
      <w:pPr>
        <w:spacing w:line="245" w:lineRule="auto"/>
        <w:rPr>
          <w:rFonts w:asciiTheme="minorEastAsia" w:hAnsiTheme="minorEastAsia" w:eastAsiaTheme="minorEastAsia" w:cstheme="minorEastAsia"/>
          <w:lang w:eastAsia="zh-CN"/>
        </w:rPr>
      </w:pPr>
    </w:p>
    <w:p w14:paraId="3B4409ED">
      <w:pPr>
        <w:pStyle w:val="6"/>
        <w:spacing w:line="480" w:lineRule="auto"/>
        <w:ind w:right="33"/>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
          <w:sz w:val="24"/>
          <w:szCs w:val="24"/>
          <w:lang w:eastAsia="zh-CN"/>
        </w:rPr>
        <w:t>企业电子签章）</w:t>
      </w:r>
    </w:p>
    <w:p w14:paraId="786E4155">
      <w:pPr>
        <w:pStyle w:val="6"/>
        <w:spacing w:line="480" w:lineRule="auto"/>
        <w:ind w:right="33"/>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lang w:eastAsia="zh-CN"/>
        </w:rPr>
        <w:t xml:space="preserve"> 法定代表人：</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u w:val="single"/>
          <w:lang w:val="en-US" w:eastAsia="zh-CN"/>
        </w:rPr>
        <w:t xml:space="preserve">   </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（签字或盖章）</w:t>
      </w:r>
    </w:p>
    <w:p w14:paraId="29F520E3">
      <w:pPr>
        <w:pStyle w:val="6"/>
        <w:tabs>
          <w:tab w:val="left" w:pos="4192"/>
        </w:tabs>
        <w:spacing w:line="480" w:lineRule="auto"/>
        <w:ind w:left="3547" w:leftChars="1689" w:right="460" w:firstLine="1287" w:firstLineChars="585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9"/>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pacing w:val="-26"/>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pacing w:val="-26"/>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26"/>
          <w:sz w:val="24"/>
          <w:szCs w:val="24"/>
          <w:lang w:eastAsia="zh-CN"/>
        </w:rPr>
        <w:t>日</w:t>
      </w:r>
    </w:p>
    <w:p w14:paraId="1B18C4D4">
      <w:pPr>
        <w:spacing w:line="284" w:lineRule="auto"/>
        <w:rPr>
          <w:rFonts w:asciiTheme="minorEastAsia" w:hAnsiTheme="minorEastAsia" w:eastAsiaTheme="minorEastAsia" w:cstheme="minorEastAsia"/>
          <w:lang w:eastAsia="zh-CN"/>
        </w:rPr>
      </w:pPr>
    </w:p>
    <w:p w14:paraId="1BA9D96F">
      <w:pPr>
        <w:rPr>
          <w:rFonts w:asciiTheme="minorEastAsia" w:hAnsiTheme="minorEastAsia" w:eastAsiaTheme="minorEastAsia" w:cstheme="minorEastAsia"/>
          <w:b/>
          <w:bCs/>
          <w:spacing w:val="-6"/>
          <w:lang w:eastAsia="zh-CN"/>
        </w:rPr>
      </w:pPr>
      <w:bookmarkStart w:id="421" w:name="bookmark36"/>
      <w:bookmarkEnd w:id="421"/>
      <w:bookmarkStart w:id="422" w:name="bookmark35"/>
      <w:bookmarkEnd w:id="422"/>
      <w:r>
        <w:rPr>
          <w:rFonts w:hint="eastAsia" w:asciiTheme="minorEastAsia" w:hAnsiTheme="minorEastAsia" w:eastAsiaTheme="minorEastAsia" w:cstheme="minorEastAsia"/>
          <w:b/>
          <w:bCs/>
          <w:spacing w:val="-6"/>
          <w:lang w:eastAsia="zh-CN"/>
        </w:rPr>
        <w:br w:type="page"/>
      </w:r>
    </w:p>
    <w:p w14:paraId="502DC3E7">
      <w:pPr>
        <w:pStyle w:val="6"/>
        <w:spacing w:before="98" w:line="219" w:lineRule="auto"/>
        <w:ind w:left="46"/>
        <w:jc w:val="center"/>
        <w:outlineLvl w:val="1"/>
        <w:rPr>
          <w:rFonts w:asciiTheme="minorEastAsia" w:hAnsiTheme="minorEastAsia" w:eastAsiaTheme="minorEastAsia" w:cstheme="minorEastAsia"/>
          <w:lang w:eastAsia="zh-CN"/>
        </w:rPr>
      </w:pPr>
      <w:bookmarkStart w:id="423" w:name="_Toc26231"/>
      <w:r>
        <w:rPr>
          <w:rFonts w:hint="eastAsia" w:asciiTheme="minorEastAsia" w:hAnsiTheme="minorEastAsia" w:eastAsiaTheme="minorEastAsia" w:cstheme="minorEastAsia"/>
          <w:b/>
          <w:bCs/>
          <w:spacing w:val="-6"/>
          <w:lang w:eastAsia="zh-CN"/>
        </w:rPr>
        <w:t>4.招标实质性要求和条件承诺书</w:t>
      </w:r>
      <w:bookmarkEnd w:id="423"/>
    </w:p>
    <w:p w14:paraId="7A5A1D88">
      <w:pPr>
        <w:spacing w:line="343" w:lineRule="auto"/>
        <w:rPr>
          <w:rFonts w:asciiTheme="minorEastAsia" w:hAnsiTheme="minorEastAsia" w:eastAsiaTheme="minorEastAsia" w:cstheme="minorEastAsia"/>
          <w:lang w:eastAsia="zh-CN"/>
        </w:rPr>
      </w:pPr>
    </w:p>
    <w:p w14:paraId="3948286C">
      <w:pPr>
        <w:spacing w:line="343" w:lineRule="auto"/>
        <w:rPr>
          <w:rFonts w:asciiTheme="minorEastAsia" w:hAnsiTheme="minorEastAsia" w:eastAsiaTheme="minorEastAsia" w:cstheme="minorEastAsia"/>
          <w:lang w:eastAsia="zh-CN"/>
        </w:rPr>
      </w:pPr>
    </w:p>
    <w:p w14:paraId="5C2896CE">
      <w:pPr>
        <w:pStyle w:val="6"/>
        <w:spacing w:before="78" w:line="219" w:lineRule="auto"/>
        <w:ind w:left="3641"/>
        <w:rPr>
          <w:rFonts w:asciiTheme="minorEastAsia" w:hAnsiTheme="minorEastAsia" w:eastAsiaTheme="minorEastAsia" w:cstheme="minorEastAsia"/>
          <w:spacing w:val="-2"/>
          <w:sz w:val="24"/>
          <w:szCs w:val="24"/>
          <w:lang w:eastAsia="zh-CN"/>
        </w:rPr>
      </w:pPr>
    </w:p>
    <w:p w14:paraId="57C0DA22">
      <w:pPr>
        <w:pStyle w:val="6"/>
        <w:spacing w:before="78" w:line="219" w:lineRule="auto"/>
        <w:ind w:left="3641"/>
        <w:rPr>
          <w:rFonts w:asciiTheme="minorEastAsia" w:hAnsiTheme="minorEastAsia" w:eastAsiaTheme="minorEastAsia" w:cstheme="minorEastAsia"/>
          <w:spacing w:val="-2"/>
          <w:sz w:val="24"/>
          <w:szCs w:val="24"/>
          <w:lang w:eastAsia="zh-CN"/>
        </w:rPr>
      </w:pPr>
    </w:p>
    <w:p w14:paraId="33D136AA">
      <w:pPr>
        <w:pStyle w:val="6"/>
        <w:spacing w:before="78" w:line="219" w:lineRule="auto"/>
        <w:ind w:left="3641"/>
        <w:rPr>
          <w:rFonts w:asciiTheme="minorEastAsia" w:hAnsiTheme="minorEastAsia" w:eastAsiaTheme="minorEastAsia" w:cstheme="minorEastAsia"/>
          <w:spacing w:val="-2"/>
          <w:sz w:val="24"/>
          <w:szCs w:val="24"/>
          <w:lang w:eastAsia="zh-CN"/>
        </w:rPr>
      </w:pPr>
    </w:p>
    <w:p w14:paraId="72B31B50">
      <w:pPr>
        <w:pStyle w:val="6"/>
        <w:spacing w:before="78" w:line="219" w:lineRule="auto"/>
        <w:ind w:left="3641"/>
        <w:rPr>
          <w:rFonts w:asciiTheme="minorEastAsia" w:hAnsiTheme="minorEastAsia" w:eastAsiaTheme="minorEastAsia" w:cstheme="minorEastAsia"/>
          <w:spacing w:val="-2"/>
          <w:sz w:val="24"/>
          <w:szCs w:val="24"/>
          <w:lang w:eastAsia="zh-CN"/>
        </w:rPr>
      </w:pPr>
    </w:p>
    <w:p w14:paraId="02629774">
      <w:pPr>
        <w:pStyle w:val="6"/>
        <w:spacing w:before="78" w:line="219" w:lineRule="auto"/>
        <w:ind w:left="3641"/>
        <w:rPr>
          <w:rFonts w:asciiTheme="minorEastAsia" w:hAnsiTheme="minorEastAsia" w:eastAsiaTheme="minorEastAsia" w:cstheme="minorEastAsia"/>
          <w:spacing w:val="-2"/>
          <w:sz w:val="24"/>
          <w:szCs w:val="24"/>
          <w:lang w:eastAsia="zh-CN"/>
        </w:rPr>
      </w:pPr>
    </w:p>
    <w:p w14:paraId="33B0ABA7">
      <w:pPr>
        <w:pStyle w:val="6"/>
        <w:spacing w:before="78" w:line="219" w:lineRule="auto"/>
        <w:ind w:left="3641"/>
        <w:rPr>
          <w:rFonts w:asciiTheme="minorEastAsia" w:hAnsiTheme="minorEastAsia" w:eastAsiaTheme="minorEastAsia" w:cstheme="minorEastAsia"/>
          <w:spacing w:val="-2"/>
          <w:sz w:val="24"/>
          <w:szCs w:val="24"/>
          <w:lang w:eastAsia="zh-CN"/>
        </w:rPr>
      </w:pPr>
    </w:p>
    <w:p w14:paraId="0FAF7903">
      <w:pPr>
        <w:pStyle w:val="6"/>
        <w:spacing w:before="78" w:line="219" w:lineRule="auto"/>
        <w:ind w:left="3641"/>
        <w:rPr>
          <w:rFonts w:asciiTheme="minorEastAsia" w:hAnsiTheme="minorEastAsia" w:eastAsiaTheme="minorEastAsia" w:cstheme="minorEastAsia"/>
          <w:spacing w:val="-2"/>
          <w:sz w:val="24"/>
          <w:szCs w:val="24"/>
          <w:lang w:eastAsia="zh-CN"/>
        </w:rPr>
      </w:pPr>
    </w:p>
    <w:p w14:paraId="5A589CB3">
      <w:pPr>
        <w:pStyle w:val="6"/>
        <w:spacing w:before="78" w:line="219" w:lineRule="auto"/>
        <w:ind w:left="3641"/>
        <w:rPr>
          <w:rFonts w:asciiTheme="minorEastAsia" w:hAnsiTheme="minorEastAsia" w:eastAsiaTheme="minorEastAsia" w:cstheme="minorEastAsia"/>
          <w:spacing w:val="-2"/>
          <w:sz w:val="24"/>
          <w:szCs w:val="24"/>
          <w:lang w:eastAsia="zh-CN"/>
        </w:rPr>
      </w:pPr>
    </w:p>
    <w:p w14:paraId="5580C793">
      <w:pPr>
        <w:pStyle w:val="6"/>
        <w:spacing w:before="78" w:line="219" w:lineRule="auto"/>
        <w:ind w:left="3641"/>
        <w:rPr>
          <w:rFonts w:asciiTheme="minorEastAsia" w:hAnsiTheme="minorEastAsia" w:eastAsiaTheme="minorEastAsia" w:cstheme="minorEastAsia"/>
          <w:spacing w:val="-2"/>
          <w:sz w:val="24"/>
          <w:szCs w:val="24"/>
          <w:lang w:eastAsia="zh-CN"/>
        </w:rPr>
      </w:pPr>
    </w:p>
    <w:p w14:paraId="7BE1AB62">
      <w:pPr>
        <w:pStyle w:val="6"/>
        <w:spacing w:before="78" w:line="219" w:lineRule="auto"/>
        <w:ind w:left="3641"/>
        <w:rPr>
          <w:rFonts w:asciiTheme="minorEastAsia" w:hAnsiTheme="minorEastAsia" w:eastAsiaTheme="minorEastAsia" w:cstheme="minorEastAsia"/>
          <w:spacing w:val="-2"/>
          <w:sz w:val="24"/>
          <w:szCs w:val="24"/>
          <w:lang w:eastAsia="zh-CN"/>
        </w:rPr>
      </w:pPr>
    </w:p>
    <w:p w14:paraId="1ABAFBF4">
      <w:pPr>
        <w:pStyle w:val="6"/>
        <w:spacing w:before="78" w:line="219" w:lineRule="auto"/>
        <w:ind w:left="3641"/>
        <w:rPr>
          <w:rFonts w:asciiTheme="minorEastAsia" w:hAnsiTheme="minorEastAsia" w:eastAsiaTheme="minorEastAsia" w:cstheme="minorEastAsia"/>
          <w:spacing w:val="-2"/>
          <w:sz w:val="24"/>
          <w:szCs w:val="24"/>
          <w:lang w:eastAsia="zh-CN"/>
        </w:rPr>
      </w:pPr>
    </w:p>
    <w:p w14:paraId="433A30D0">
      <w:pPr>
        <w:pStyle w:val="6"/>
        <w:spacing w:before="78" w:line="219" w:lineRule="auto"/>
        <w:ind w:left="3641"/>
        <w:rPr>
          <w:rFonts w:asciiTheme="minorEastAsia" w:hAnsiTheme="minorEastAsia" w:eastAsiaTheme="minorEastAsia" w:cstheme="minorEastAsia"/>
          <w:spacing w:val="-2"/>
          <w:sz w:val="24"/>
          <w:szCs w:val="24"/>
          <w:lang w:eastAsia="zh-CN"/>
        </w:rPr>
      </w:pPr>
    </w:p>
    <w:p w14:paraId="07A1FB99">
      <w:pPr>
        <w:pStyle w:val="6"/>
        <w:spacing w:before="78" w:line="219" w:lineRule="auto"/>
        <w:ind w:left="3641"/>
        <w:rPr>
          <w:rFonts w:asciiTheme="minorEastAsia" w:hAnsiTheme="minorEastAsia" w:eastAsiaTheme="minorEastAsia" w:cstheme="minorEastAsia"/>
          <w:spacing w:val="-2"/>
          <w:sz w:val="24"/>
          <w:szCs w:val="24"/>
          <w:lang w:eastAsia="zh-CN"/>
        </w:rPr>
      </w:pPr>
    </w:p>
    <w:p w14:paraId="79947880">
      <w:pPr>
        <w:pStyle w:val="6"/>
        <w:spacing w:before="78" w:line="219" w:lineRule="auto"/>
        <w:ind w:left="3641"/>
        <w:rPr>
          <w:rFonts w:asciiTheme="minorEastAsia" w:hAnsiTheme="minorEastAsia" w:eastAsiaTheme="minorEastAsia" w:cstheme="minorEastAsia"/>
          <w:spacing w:val="-2"/>
          <w:sz w:val="24"/>
          <w:szCs w:val="24"/>
          <w:lang w:eastAsia="zh-CN"/>
        </w:rPr>
      </w:pPr>
    </w:p>
    <w:p w14:paraId="4BBD8FE8">
      <w:pPr>
        <w:pStyle w:val="6"/>
        <w:spacing w:before="78" w:line="219" w:lineRule="auto"/>
        <w:ind w:left="3641"/>
        <w:rPr>
          <w:rFonts w:asciiTheme="minorEastAsia" w:hAnsiTheme="minorEastAsia" w:eastAsiaTheme="minorEastAsia" w:cstheme="minorEastAsia"/>
          <w:spacing w:val="-2"/>
          <w:sz w:val="24"/>
          <w:szCs w:val="24"/>
          <w:lang w:eastAsia="zh-CN"/>
        </w:rPr>
      </w:pPr>
    </w:p>
    <w:p w14:paraId="27BA28CC">
      <w:pPr>
        <w:pStyle w:val="6"/>
        <w:spacing w:before="78" w:line="219" w:lineRule="auto"/>
        <w:ind w:left="3641"/>
        <w:rPr>
          <w:rFonts w:asciiTheme="minorEastAsia" w:hAnsiTheme="minorEastAsia" w:eastAsiaTheme="minorEastAsia" w:cstheme="minorEastAsia"/>
          <w:spacing w:val="-2"/>
          <w:sz w:val="24"/>
          <w:szCs w:val="24"/>
          <w:lang w:eastAsia="zh-CN"/>
        </w:rPr>
      </w:pPr>
    </w:p>
    <w:p w14:paraId="024FA6F4">
      <w:pPr>
        <w:pStyle w:val="6"/>
        <w:spacing w:before="78" w:line="219" w:lineRule="auto"/>
        <w:ind w:left="36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投标人</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eastAsia="zh-CN"/>
        </w:rPr>
        <w:t>盖章）</w:t>
      </w:r>
      <w:r>
        <w:rPr>
          <w:rFonts w:hint="eastAsia" w:asciiTheme="minorEastAsia" w:hAnsiTheme="minorEastAsia" w:eastAsiaTheme="minorEastAsia" w:cstheme="minorEastAsia"/>
          <w:sz w:val="24"/>
          <w:szCs w:val="24"/>
          <w:u w:val="single"/>
          <w:lang w:eastAsia="zh-CN"/>
        </w:rPr>
        <w:t xml:space="preserve">                       </w:t>
      </w:r>
    </w:p>
    <w:p w14:paraId="2AB9CAF6">
      <w:pPr>
        <w:spacing w:line="259" w:lineRule="auto"/>
        <w:rPr>
          <w:rFonts w:asciiTheme="minorEastAsia" w:hAnsiTheme="minorEastAsia" w:eastAsiaTheme="minorEastAsia" w:cstheme="minorEastAsia"/>
          <w:lang w:eastAsia="zh-CN"/>
        </w:rPr>
      </w:pPr>
    </w:p>
    <w:p w14:paraId="1EEFAE1D">
      <w:pPr>
        <w:pStyle w:val="6"/>
        <w:spacing w:before="78" w:line="220" w:lineRule="auto"/>
        <w:ind w:left="36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投标人法定代表人或授权代表</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
          <w:sz w:val="24"/>
          <w:szCs w:val="24"/>
          <w:lang w:eastAsia="zh-CN"/>
        </w:rPr>
        <w:t>签字）</w:t>
      </w:r>
      <w:r>
        <w:rPr>
          <w:rFonts w:hint="eastAsia" w:asciiTheme="minorEastAsia" w:hAnsiTheme="minorEastAsia" w:eastAsiaTheme="minorEastAsia" w:cstheme="minorEastAsia"/>
          <w:sz w:val="24"/>
          <w:szCs w:val="24"/>
          <w:u w:val="single"/>
          <w:lang w:eastAsia="zh-CN"/>
        </w:rPr>
        <w:t xml:space="preserve">          </w:t>
      </w:r>
    </w:p>
    <w:p w14:paraId="3FDCE079">
      <w:pPr>
        <w:spacing w:line="258" w:lineRule="auto"/>
        <w:rPr>
          <w:rFonts w:asciiTheme="minorEastAsia" w:hAnsiTheme="minorEastAsia" w:eastAsiaTheme="minorEastAsia" w:cstheme="minorEastAsia"/>
          <w:lang w:eastAsia="zh-CN"/>
        </w:rPr>
      </w:pPr>
    </w:p>
    <w:p w14:paraId="7CF47D81">
      <w:pPr>
        <w:pStyle w:val="6"/>
        <w:tabs>
          <w:tab w:val="left" w:pos="4192"/>
        </w:tabs>
        <w:spacing w:line="480" w:lineRule="auto"/>
        <w:ind w:left="3337" w:leftChars="1589" w:right="460" w:firstLine="220" w:firstLineChars="10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9"/>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pacing w:val="-26"/>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pacing w:val="-26"/>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26"/>
          <w:sz w:val="24"/>
          <w:szCs w:val="24"/>
          <w:lang w:eastAsia="zh-CN"/>
        </w:rPr>
        <w:t>日</w:t>
      </w:r>
    </w:p>
    <w:p w14:paraId="7A3E9A0F">
      <w:pPr>
        <w:pStyle w:val="6"/>
        <w:spacing w:before="258" w:line="347" w:lineRule="auto"/>
        <w:ind w:left="43" w:right="59" w:hanging="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2"/>
          <w:sz w:val="24"/>
          <w:szCs w:val="24"/>
          <w:lang w:eastAsia="zh-CN"/>
        </w:rPr>
        <w:t>注：承诺书需打印纸质版，加盖公章及法定代表人或授权代表签字，并扫描上传，以图</w:t>
      </w:r>
      <w:r>
        <w:rPr>
          <w:rFonts w:hint="eastAsia" w:asciiTheme="minorEastAsia" w:hAnsiTheme="minorEastAsia" w:eastAsiaTheme="minorEastAsia" w:cstheme="minorEastAsia"/>
          <w:b/>
          <w:bCs/>
          <w:spacing w:val="-5"/>
          <w:sz w:val="24"/>
          <w:szCs w:val="24"/>
          <w:lang w:eastAsia="zh-CN"/>
        </w:rPr>
        <w:t>片形式插入投标文件。</w:t>
      </w:r>
    </w:p>
    <w:p w14:paraId="7DA20168">
      <w:pPr>
        <w:spacing w:line="284" w:lineRule="auto"/>
        <w:rPr>
          <w:rFonts w:asciiTheme="minorEastAsia" w:hAnsiTheme="minorEastAsia" w:eastAsiaTheme="minorEastAsia" w:cstheme="minorEastAsia"/>
          <w:lang w:eastAsia="zh-CN"/>
        </w:rPr>
      </w:pPr>
    </w:p>
    <w:p w14:paraId="4A13C477">
      <w:pPr>
        <w:rPr>
          <w:rFonts w:asciiTheme="minorEastAsia" w:hAnsiTheme="minorEastAsia" w:eastAsiaTheme="minorEastAsia" w:cstheme="minorEastAsia"/>
          <w:b/>
          <w:bCs/>
          <w:spacing w:val="-4"/>
          <w:lang w:eastAsia="zh-CN"/>
        </w:rPr>
      </w:pPr>
      <w:bookmarkStart w:id="424" w:name="bookmark37"/>
      <w:bookmarkEnd w:id="424"/>
      <w:bookmarkStart w:id="425" w:name="bookmark38"/>
      <w:bookmarkEnd w:id="425"/>
      <w:r>
        <w:rPr>
          <w:rFonts w:hint="eastAsia" w:asciiTheme="minorEastAsia" w:hAnsiTheme="minorEastAsia" w:eastAsiaTheme="minorEastAsia" w:cstheme="minorEastAsia"/>
          <w:b/>
          <w:bCs/>
          <w:spacing w:val="-4"/>
          <w:lang w:eastAsia="zh-CN"/>
        </w:rPr>
        <w:br w:type="page"/>
      </w:r>
    </w:p>
    <w:p w14:paraId="5C0B69E8">
      <w:pPr>
        <w:pStyle w:val="6"/>
        <w:spacing w:before="97" w:line="220" w:lineRule="auto"/>
        <w:ind w:left="126"/>
        <w:jc w:val="center"/>
        <w:outlineLvl w:val="1"/>
        <w:rPr>
          <w:rFonts w:asciiTheme="minorEastAsia" w:hAnsiTheme="minorEastAsia" w:eastAsiaTheme="minorEastAsia" w:cstheme="minorEastAsia"/>
          <w:lang w:eastAsia="zh-CN"/>
        </w:rPr>
      </w:pPr>
      <w:bookmarkStart w:id="426" w:name="_Toc22614"/>
      <w:r>
        <w:rPr>
          <w:rFonts w:hint="eastAsia" w:asciiTheme="minorEastAsia" w:hAnsiTheme="minorEastAsia" w:eastAsiaTheme="minorEastAsia" w:cstheme="minorEastAsia"/>
          <w:b/>
          <w:bCs/>
          <w:spacing w:val="-4"/>
          <w:lang w:eastAsia="zh-CN"/>
        </w:rPr>
        <w:t>5.近三年来完成的类似项目情况表</w:t>
      </w:r>
      <w:bookmarkEnd w:id="426"/>
    </w:p>
    <w:p w14:paraId="55113F3A">
      <w:pPr>
        <w:spacing w:before="46"/>
        <w:rPr>
          <w:rFonts w:asciiTheme="minorEastAsia" w:hAnsiTheme="minorEastAsia" w:eastAsiaTheme="minorEastAsia" w:cstheme="minorEastAsia"/>
          <w:lang w:eastAsia="zh-CN"/>
        </w:rPr>
      </w:pPr>
    </w:p>
    <w:p w14:paraId="4057CF56">
      <w:pPr>
        <w:spacing w:before="46"/>
        <w:rPr>
          <w:rFonts w:asciiTheme="minorEastAsia" w:hAnsiTheme="minorEastAsia" w:eastAsiaTheme="minorEastAsia" w:cstheme="minorEastAsia"/>
          <w:lang w:eastAsia="zh-CN"/>
        </w:rPr>
      </w:pPr>
    </w:p>
    <w:tbl>
      <w:tblPr>
        <w:tblStyle w:val="26"/>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0"/>
        <w:gridCol w:w="6972"/>
      </w:tblGrid>
      <w:tr w14:paraId="7EBC0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2530" w:type="dxa"/>
          </w:tcPr>
          <w:p w14:paraId="6DC87EF6">
            <w:pPr>
              <w:spacing w:line="365" w:lineRule="auto"/>
              <w:rPr>
                <w:rFonts w:asciiTheme="minorEastAsia" w:hAnsiTheme="minorEastAsia" w:eastAsiaTheme="minorEastAsia" w:cstheme="minorEastAsia"/>
                <w:lang w:eastAsia="zh-CN"/>
              </w:rPr>
            </w:pPr>
          </w:p>
          <w:p w14:paraId="2C16E4F8">
            <w:pPr>
              <w:pStyle w:val="27"/>
              <w:spacing w:before="68" w:line="221" w:lineRule="auto"/>
              <w:ind w:left="853"/>
              <w:rPr>
                <w:rFonts w:asciiTheme="minorEastAsia" w:hAnsiTheme="minorEastAsia" w:eastAsiaTheme="minorEastAsia" w:cstheme="minorEastAsia"/>
              </w:rPr>
            </w:pPr>
            <w:r>
              <w:rPr>
                <w:rFonts w:hint="eastAsia" w:asciiTheme="minorEastAsia" w:hAnsiTheme="minorEastAsia" w:eastAsiaTheme="minorEastAsia" w:cstheme="minorEastAsia"/>
                <w:spacing w:val="-3"/>
              </w:rPr>
              <w:t>项目名称</w:t>
            </w:r>
          </w:p>
        </w:tc>
        <w:tc>
          <w:tcPr>
            <w:tcW w:w="6972" w:type="dxa"/>
          </w:tcPr>
          <w:p w14:paraId="6FB1A50B">
            <w:pPr>
              <w:rPr>
                <w:rFonts w:asciiTheme="minorEastAsia" w:hAnsiTheme="minorEastAsia" w:eastAsiaTheme="minorEastAsia" w:cstheme="minorEastAsia"/>
              </w:rPr>
            </w:pPr>
          </w:p>
        </w:tc>
      </w:tr>
      <w:tr w14:paraId="757F9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530" w:type="dxa"/>
          </w:tcPr>
          <w:p w14:paraId="04E14AFA">
            <w:pPr>
              <w:spacing w:line="310" w:lineRule="auto"/>
              <w:rPr>
                <w:rFonts w:asciiTheme="minorEastAsia" w:hAnsiTheme="minorEastAsia" w:eastAsiaTheme="minorEastAsia" w:cstheme="minorEastAsia"/>
              </w:rPr>
            </w:pPr>
          </w:p>
          <w:p w14:paraId="60F6BB33">
            <w:pPr>
              <w:pStyle w:val="27"/>
              <w:spacing w:before="69" w:line="221" w:lineRule="auto"/>
              <w:ind w:left="748"/>
              <w:rPr>
                <w:rFonts w:asciiTheme="minorEastAsia" w:hAnsiTheme="minorEastAsia" w:eastAsiaTheme="minorEastAsia" w:cstheme="minorEastAsia"/>
              </w:rPr>
            </w:pPr>
            <w:r>
              <w:rPr>
                <w:rFonts w:hint="eastAsia" w:asciiTheme="minorEastAsia" w:hAnsiTheme="minorEastAsia" w:eastAsiaTheme="minorEastAsia" w:cstheme="minorEastAsia"/>
                <w:spacing w:val="-2"/>
              </w:rPr>
              <w:t>项目所在地</w:t>
            </w:r>
          </w:p>
        </w:tc>
        <w:tc>
          <w:tcPr>
            <w:tcW w:w="6972" w:type="dxa"/>
          </w:tcPr>
          <w:p w14:paraId="6326F46D">
            <w:pPr>
              <w:rPr>
                <w:rFonts w:asciiTheme="minorEastAsia" w:hAnsiTheme="minorEastAsia" w:eastAsiaTheme="minorEastAsia" w:cstheme="minorEastAsia"/>
              </w:rPr>
            </w:pPr>
          </w:p>
        </w:tc>
      </w:tr>
      <w:tr w14:paraId="64AE7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2530" w:type="dxa"/>
          </w:tcPr>
          <w:p w14:paraId="6CFA39D2">
            <w:pPr>
              <w:spacing w:line="310" w:lineRule="auto"/>
              <w:rPr>
                <w:rFonts w:asciiTheme="minorEastAsia" w:hAnsiTheme="minorEastAsia" w:eastAsiaTheme="minorEastAsia" w:cstheme="minorEastAsia"/>
              </w:rPr>
            </w:pPr>
          </w:p>
          <w:p w14:paraId="0AD9CBD5">
            <w:pPr>
              <w:pStyle w:val="27"/>
              <w:spacing w:before="68" w:line="221" w:lineRule="auto"/>
              <w:ind w:left="851"/>
              <w:rPr>
                <w:rFonts w:asciiTheme="minorEastAsia" w:hAnsiTheme="minorEastAsia" w:eastAsiaTheme="minorEastAsia" w:cstheme="minorEastAsia"/>
              </w:rPr>
            </w:pPr>
            <w:r>
              <w:rPr>
                <w:rFonts w:hint="eastAsia" w:asciiTheme="minorEastAsia" w:hAnsiTheme="minorEastAsia" w:eastAsiaTheme="minorEastAsia" w:cstheme="minorEastAsia"/>
                <w:spacing w:val="-2"/>
              </w:rPr>
              <w:t>合同金额</w:t>
            </w:r>
          </w:p>
        </w:tc>
        <w:tc>
          <w:tcPr>
            <w:tcW w:w="6972" w:type="dxa"/>
          </w:tcPr>
          <w:p w14:paraId="584C9D63">
            <w:pPr>
              <w:rPr>
                <w:rFonts w:asciiTheme="minorEastAsia" w:hAnsiTheme="minorEastAsia" w:eastAsiaTheme="minorEastAsia" w:cstheme="minorEastAsia"/>
              </w:rPr>
            </w:pPr>
          </w:p>
        </w:tc>
      </w:tr>
      <w:tr w14:paraId="36BBF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2530" w:type="dxa"/>
          </w:tcPr>
          <w:p w14:paraId="21290932">
            <w:pPr>
              <w:spacing w:line="318" w:lineRule="auto"/>
              <w:rPr>
                <w:rFonts w:asciiTheme="minorEastAsia" w:hAnsiTheme="minorEastAsia" w:eastAsiaTheme="minorEastAsia" w:cstheme="minorEastAsia"/>
              </w:rPr>
            </w:pPr>
          </w:p>
          <w:p w14:paraId="2337F802">
            <w:pPr>
              <w:pStyle w:val="27"/>
              <w:spacing w:before="68" w:line="221" w:lineRule="auto"/>
              <w:ind w:left="748"/>
              <w:rPr>
                <w:rFonts w:asciiTheme="minorEastAsia" w:hAnsiTheme="minorEastAsia" w:eastAsiaTheme="minorEastAsia" w:cstheme="minorEastAsia"/>
              </w:rPr>
            </w:pPr>
            <w:r>
              <w:rPr>
                <w:rFonts w:hint="eastAsia" w:asciiTheme="minorEastAsia" w:hAnsiTheme="minorEastAsia" w:eastAsiaTheme="minorEastAsia" w:cstheme="minorEastAsia"/>
                <w:spacing w:val="-2"/>
              </w:rPr>
              <w:t>发包人名称</w:t>
            </w:r>
          </w:p>
        </w:tc>
        <w:tc>
          <w:tcPr>
            <w:tcW w:w="6972" w:type="dxa"/>
          </w:tcPr>
          <w:p w14:paraId="44DC9146">
            <w:pPr>
              <w:rPr>
                <w:rFonts w:asciiTheme="minorEastAsia" w:hAnsiTheme="minorEastAsia" w:eastAsiaTheme="minorEastAsia" w:cstheme="minorEastAsia"/>
              </w:rPr>
            </w:pPr>
          </w:p>
        </w:tc>
      </w:tr>
      <w:tr w14:paraId="1E9D3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530" w:type="dxa"/>
          </w:tcPr>
          <w:p w14:paraId="46EA28DE">
            <w:pPr>
              <w:spacing w:line="293" w:lineRule="auto"/>
              <w:rPr>
                <w:rFonts w:asciiTheme="minorEastAsia" w:hAnsiTheme="minorEastAsia" w:eastAsiaTheme="minorEastAsia" w:cstheme="minorEastAsia"/>
              </w:rPr>
            </w:pPr>
          </w:p>
          <w:p w14:paraId="592BB3E3">
            <w:pPr>
              <w:pStyle w:val="27"/>
              <w:spacing w:before="68" w:line="221" w:lineRule="auto"/>
              <w:ind w:left="748"/>
              <w:rPr>
                <w:rFonts w:asciiTheme="minorEastAsia" w:hAnsiTheme="minorEastAsia" w:eastAsiaTheme="minorEastAsia" w:cstheme="minorEastAsia"/>
              </w:rPr>
            </w:pPr>
            <w:r>
              <w:rPr>
                <w:rFonts w:hint="eastAsia" w:asciiTheme="minorEastAsia" w:hAnsiTheme="minorEastAsia" w:eastAsiaTheme="minorEastAsia" w:cstheme="minorEastAsia"/>
                <w:spacing w:val="-2"/>
              </w:rPr>
              <w:t>发包人地址</w:t>
            </w:r>
          </w:p>
        </w:tc>
        <w:tc>
          <w:tcPr>
            <w:tcW w:w="6972" w:type="dxa"/>
          </w:tcPr>
          <w:p w14:paraId="145308FD">
            <w:pPr>
              <w:rPr>
                <w:rFonts w:asciiTheme="minorEastAsia" w:hAnsiTheme="minorEastAsia" w:eastAsiaTheme="minorEastAsia" w:cstheme="minorEastAsia"/>
              </w:rPr>
            </w:pPr>
          </w:p>
        </w:tc>
      </w:tr>
      <w:tr w14:paraId="68908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2530" w:type="dxa"/>
          </w:tcPr>
          <w:p w14:paraId="2FB25CE1">
            <w:pPr>
              <w:spacing w:line="320" w:lineRule="auto"/>
              <w:rPr>
                <w:rFonts w:asciiTheme="minorEastAsia" w:hAnsiTheme="minorEastAsia" w:eastAsiaTheme="minorEastAsia" w:cstheme="minorEastAsia"/>
              </w:rPr>
            </w:pPr>
          </w:p>
          <w:p w14:paraId="4F537EEF">
            <w:pPr>
              <w:pStyle w:val="27"/>
              <w:spacing w:before="68" w:line="221" w:lineRule="auto"/>
              <w:ind w:left="748"/>
              <w:rPr>
                <w:rFonts w:asciiTheme="minorEastAsia" w:hAnsiTheme="minorEastAsia" w:eastAsiaTheme="minorEastAsia" w:cstheme="minorEastAsia"/>
              </w:rPr>
            </w:pPr>
            <w:r>
              <w:rPr>
                <w:rFonts w:hint="eastAsia" w:asciiTheme="minorEastAsia" w:hAnsiTheme="minorEastAsia" w:eastAsiaTheme="minorEastAsia" w:cstheme="minorEastAsia"/>
                <w:spacing w:val="-2"/>
              </w:rPr>
              <w:t>发包人电话</w:t>
            </w:r>
          </w:p>
        </w:tc>
        <w:tc>
          <w:tcPr>
            <w:tcW w:w="6972" w:type="dxa"/>
          </w:tcPr>
          <w:p w14:paraId="4C43A9D9">
            <w:pPr>
              <w:rPr>
                <w:rFonts w:asciiTheme="minorEastAsia" w:hAnsiTheme="minorEastAsia" w:eastAsiaTheme="minorEastAsia" w:cstheme="minorEastAsia"/>
              </w:rPr>
            </w:pPr>
          </w:p>
        </w:tc>
      </w:tr>
      <w:tr w14:paraId="62938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2530" w:type="dxa"/>
          </w:tcPr>
          <w:p w14:paraId="17B6B248">
            <w:pPr>
              <w:spacing w:line="319" w:lineRule="auto"/>
              <w:rPr>
                <w:rFonts w:asciiTheme="minorEastAsia" w:hAnsiTheme="minorEastAsia" w:eastAsiaTheme="minorEastAsia" w:cstheme="minorEastAsia"/>
              </w:rPr>
            </w:pPr>
          </w:p>
          <w:p w14:paraId="15251F97">
            <w:pPr>
              <w:pStyle w:val="27"/>
              <w:spacing w:before="68" w:line="219" w:lineRule="auto"/>
              <w:ind w:left="851"/>
              <w:rPr>
                <w:rFonts w:asciiTheme="minorEastAsia" w:hAnsiTheme="minorEastAsia" w:eastAsiaTheme="minorEastAsia" w:cstheme="minorEastAsia"/>
              </w:rPr>
            </w:pPr>
            <w:r>
              <w:rPr>
                <w:rFonts w:hint="eastAsia" w:asciiTheme="minorEastAsia" w:hAnsiTheme="minorEastAsia" w:eastAsiaTheme="minorEastAsia" w:cstheme="minorEastAsia"/>
                <w:spacing w:val="-2"/>
              </w:rPr>
              <w:t>合同价格</w:t>
            </w:r>
          </w:p>
        </w:tc>
        <w:tc>
          <w:tcPr>
            <w:tcW w:w="6972" w:type="dxa"/>
          </w:tcPr>
          <w:p w14:paraId="5D127853">
            <w:pPr>
              <w:rPr>
                <w:rFonts w:asciiTheme="minorEastAsia" w:hAnsiTheme="minorEastAsia" w:eastAsiaTheme="minorEastAsia" w:cstheme="minorEastAsia"/>
              </w:rPr>
            </w:pPr>
          </w:p>
        </w:tc>
      </w:tr>
      <w:tr w14:paraId="2C06A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2530" w:type="dxa"/>
          </w:tcPr>
          <w:p w14:paraId="726550E8">
            <w:pPr>
              <w:spacing w:line="314" w:lineRule="auto"/>
              <w:rPr>
                <w:rFonts w:asciiTheme="minorEastAsia" w:hAnsiTheme="minorEastAsia" w:eastAsiaTheme="minorEastAsia" w:cstheme="minorEastAsia"/>
              </w:rPr>
            </w:pPr>
          </w:p>
          <w:p w14:paraId="4E6211CC">
            <w:pPr>
              <w:pStyle w:val="27"/>
              <w:spacing w:before="68" w:line="221" w:lineRule="auto"/>
              <w:ind w:left="642"/>
              <w:rPr>
                <w:rFonts w:asciiTheme="minorEastAsia" w:hAnsiTheme="minorEastAsia" w:eastAsiaTheme="minorEastAsia" w:cstheme="minorEastAsia"/>
              </w:rPr>
            </w:pPr>
            <w:r>
              <w:rPr>
                <w:rFonts w:hint="eastAsia" w:asciiTheme="minorEastAsia" w:hAnsiTheme="minorEastAsia" w:eastAsiaTheme="minorEastAsia" w:cstheme="minorEastAsia"/>
                <w:spacing w:val="-2"/>
              </w:rPr>
              <w:t>合同签订日期</w:t>
            </w:r>
          </w:p>
        </w:tc>
        <w:tc>
          <w:tcPr>
            <w:tcW w:w="6972" w:type="dxa"/>
          </w:tcPr>
          <w:p w14:paraId="2BD73623">
            <w:pPr>
              <w:rPr>
                <w:rFonts w:asciiTheme="minorEastAsia" w:hAnsiTheme="minorEastAsia" w:eastAsiaTheme="minorEastAsia" w:cstheme="minorEastAsia"/>
              </w:rPr>
            </w:pPr>
          </w:p>
        </w:tc>
      </w:tr>
      <w:tr w14:paraId="1DCFD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2530" w:type="dxa"/>
          </w:tcPr>
          <w:p w14:paraId="55F5C94C">
            <w:pPr>
              <w:spacing w:line="333" w:lineRule="auto"/>
              <w:rPr>
                <w:rFonts w:asciiTheme="minorEastAsia" w:hAnsiTheme="minorEastAsia" w:eastAsiaTheme="minorEastAsia" w:cstheme="minorEastAsia"/>
              </w:rPr>
            </w:pPr>
          </w:p>
          <w:p w14:paraId="1BE2443F">
            <w:pPr>
              <w:pStyle w:val="27"/>
              <w:spacing w:before="68" w:line="220" w:lineRule="auto"/>
              <w:ind w:left="643"/>
              <w:rPr>
                <w:rFonts w:asciiTheme="minorEastAsia" w:hAnsiTheme="minorEastAsia" w:eastAsiaTheme="minorEastAsia" w:cstheme="minorEastAsia"/>
              </w:rPr>
            </w:pPr>
            <w:r>
              <w:rPr>
                <w:rFonts w:hint="eastAsia" w:asciiTheme="minorEastAsia" w:hAnsiTheme="minorEastAsia" w:eastAsiaTheme="minorEastAsia" w:cstheme="minorEastAsia"/>
                <w:spacing w:val="-2"/>
              </w:rPr>
              <w:t>完成供货日期</w:t>
            </w:r>
          </w:p>
        </w:tc>
        <w:tc>
          <w:tcPr>
            <w:tcW w:w="6972" w:type="dxa"/>
          </w:tcPr>
          <w:p w14:paraId="771AF096">
            <w:pPr>
              <w:rPr>
                <w:rFonts w:asciiTheme="minorEastAsia" w:hAnsiTheme="minorEastAsia" w:eastAsiaTheme="minorEastAsia" w:cstheme="minorEastAsia"/>
              </w:rPr>
            </w:pPr>
          </w:p>
        </w:tc>
      </w:tr>
      <w:tr w14:paraId="03925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2530" w:type="dxa"/>
          </w:tcPr>
          <w:p w14:paraId="69A50C7E">
            <w:pPr>
              <w:spacing w:line="312" w:lineRule="auto"/>
              <w:rPr>
                <w:rFonts w:asciiTheme="minorEastAsia" w:hAnsiTheme="minorEastAsia" w:eastAsiaTheme="minorEastAsia" w:cstheme="minorEastAsia"/>
              </w:rPr>
            </w:pPr>
          </w:p>
          <w:p w14:paraId="5567B15C">
            <w:pPr>
              <w:pStyle w:val="27"/>
              <w:spacing w:before="68" w:line="221" w:lineRule="auto"/>
              <w:ind w:left="853"/>
              <w:rPr>
                <w:rFonts w:asciiTheme="minorEastAsia" w:hAnsiTheme="minorEastAsia" w:eastAsiaTheme="minorEastAsia" w:cstheme="minorEastAsia"/>
              </w:rPr>
            </w:pPr>
            <w:r>
              <w:rPr>
                <w:rFonts w:hint="eastAsia" w:asciiTheme="minorEastAsia" w:hAnsiTheme="minorEastAsia" w:eastAsiaTheme="minorEastAsia" w:cstheme="minorEastAsia"/>
                <w:spacing w:val="-3"/>
              </w:rPr>
              <w:t>项目描述</w:t>
            </w:r>
          </w:p>
        </w:tc>
        <w:tc>
          <w:tcPr>
            <w:tcW w:w="6972" w:type="dxa"/>
          </w:tcPr>
          <w:p w14:paraId="08593571">
            <w:pPr>
              <w:rPr>
                <w:rFonts w:asciiTheme="minorEastAsia" w:hAnsiTheme="minorEastAsia" w:eastAsiaTheme="minorEastAsia" w:cstheme="minorEastAsia"/>
              </w:rPr>
            </w:pPr>
          </w:p>
        </w:tc>
      </w:tr>
      <w:tr w14:paraId="56348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530" w:type="dxa"/>
          </w:tcPr>
          <w:p w14:paraId="15EBCB0A">
            <w:pPr>
              <w:spacing w:line="313" w:lineRule="auto"/>
              <w:rPr>
                <w:rFonts w:asciiTheme="minorEastAsia" w:hAnsiTheme="minorEastAsia" w:eastAsiaTheme="minorEastAsia" w:cstheme="minorEastAsia"/>
              </w:rPr>
            </w:pPr>
          </w:p>
          <w:p w14:paraId="52D5CC01">
            <w:pPr>
              <w:pStyle w:val="27"/>
              <w:spacing w:before="68" w:line="222" w:lineRule="auto"/>
              <w:ind w:left="1064"/>
              <w:rPr>
                <w:rFonts w:asciiTheme="minorEastAsia" w:hAnsiTheme="minorEastAsia" w:eastAsiaTheme="minorEastAsia" w:cstheme="minorEastAsia"/>
              </w:rPr>
            </w:pPr>
            <w:r>
              <w:rPr>
                <w:rFonts w:hint="eastAsia" w:asciiTheme="minorEastAsia" w:hAnsiTheme="minorEastAsia" w:eastAsiaTheme="minorEastAsia" w:cstheme="minorEastAsia"/>
                <w:spacing w:val="-3"/>
              </w:rPr>
              <w:t>备注</w:t>
            </w:r>
          </w:p>
        </w:tc>
        <w:tc>
          <w:tcPr>
            <w:tcW w:w="6972" w:type="dxa"/>
          </w:tcPr>
          <w:p w14:paraId="4FB4AF67">
            <w:pPr>
              <w:rPr>
                <w:rFonts w:asciiTheme="minorEastAsia" w:hAnsiTheme="minorEastAsia" w:eastAsiaTheme="minorEastAsia" w:cstheme="minorEastAsia"/>
              </w:rPr>
            </w:pPr>
          </w:p>
        </w:tc>
      </w:tr>
    </w:tbl>
    <w:p w14:paraId="244D7600">
      <w:pPr>
        <w:rPr>
          <w:rFonts w:asciiTheme="minorEastAsia" w:hAnsiTheme="minorEastAsia" w:eastAsiaTheme="minorEastAsia" w:cstheme="minorEastAsia"/>
        </w:rPr>
      </w:pPr>
    </w:p>
    <w:p w14:paraId="5C86C592">
      <w:pPr>
        <w:spacing w:line="284" w:lineRule="auto"/>
        <w:rPr>
          <w:rFonts w:asciiTheme="minorEastAsia" w:hAnsiTheme="minorEastAsia" w:eastAsiaTheme="minorEastAsia" w:cstheme="minorEastAsia"/>
          <w:lang w:eastAsia="zh-CN"/>
        </w:rPr>
      </w:pPr>
    </w:p>
    <w:p w14:paraId="6A55576D">
      <w:pPr>
        <w:rPr>
          <w:rFonts w:asciiTheme="minorEastAsia" w:hAnsiTheme="minorEastAsia" w:eastAsiaTheme="minorEastAsia" w:cstheme="minorEastAsia"/>
          <w:b/>
          <w:bCs/>
          <w:spacing w:val="-4"/>
          <w:lang w:eastAsia="zh-CN"/>
        </w:rPr>
      </w:pPr>
      <w:bookmarkStart w:id="427" w:name="bookmark39"/>
      <w:bookmarkEnd w:id="427"/>
      <w:bookmarkStart w:id="428" w:name="bookmark40"/>
      <w:bookmarkEnd w:id="428"/>
      <w:r>
        <w:rPr>
          <w:rFonts w:hint="eastAsia" w:asciiTheme="minorEastAsia" w:hAnsiTheme="minorEastAsia" w:eastAsiaTheme="minorEastAsia" w:cstheme="minorEastAsia"/>
          <w:b/>
          <w:bCs/>
          <w:spacing w:val="-4"/>
          <w:lang w:eastAsia="zh-CN"/>
        </w:rPr>
        <w:br w:type="page"/>
      </w:r>
    </w:p>
    <w:p w14:paraId="74B64A57">
      <w:pPr>
        <w:pStyle w:val="6"/>
        <w:spacing w:before="97" w:line="220" w:lineRule="auto"/>
        <w:ind w:left="47"/>
        <w:jc w:val="center"/>
        <w:outlineLvl w:val="1"/>
        <w:rPr>
          <w:rFonts w:asciiTheme="minorEastAsia" w:hAnsiTheme="minorEastAsia" w:eastAsiaTheme="minorEastAsia" w:cstheme="minorEastAsia"/>
        </w:rPr>
      </w:pPr>
      <w:bookmarkStart w:id="429" w:name="_Toc15170"/>
      <w:r>
        <w:rPr>
          <w:rFonts w:hint="eastAsia" w:asciiTheme="minorEastAsia" w:hAnsiTheme="minorEastAsia" w:eastAsiaTheme="minorEastAsia" w:cstheme="minorEastAsia"/>
          <w:b/>
          <w:bCs/>
          <w:spacing w:val="-4"/>
          <w:lang w:eastAsia="zh-CN"/>
        </w:rPr>
        <w:t>6</w:t>
      </w:r>
      <w:r>
        <w:rPr>
          <w:rFonts w:hint="eastAsia" w:asciiTheme="minorEastAsia" w:hAnsiTheme="minorEastAsia" w:eastAsiaTheme="minorEastAsia" w:cstheme="minorEastAsia"/>
          <w:b/>
          <w:bCs/>
          <w:spacing w:val="-4"/>
        </w:rPr>
        <w:t>.投标人资格证明文件</w:t>
      </w:r>
      <w:bookmarkEnd w:id="429"/>
    </w:p>
    <w:p w14:paraId="777923FC">
      <w:pPr>
        <w:spacing w:line="272" w:lineRule="auto"/>
        <w:rPr>
          <w:rFonts w:asciiTheme="minorEastAsia" w:hAnsiTheme="minorEastAsia" w:eastAsiaTheme="minorEastAsia" w:cstheme="minorEastAsia"/>
          <w:lang w:eastAsia="zh-CN"/>
        </w:rPr>
      </w:pPr>
    </w:p>
    <w:p w14:paraId="0929EEEB">
      <w:pPr>
        <w:rPr>
          <w:rFonts w:asciiTheme="minorEastAsia" w:hAnsiTheme="minorEastAsia" w:eastAsiaTheme="minorEastAsia" w:cstheme="minorEastAsia"/>
          <w:b/>
          <w:bCs/>
          <w:spacing w:val="3"/>
          <w:sz w:val="31"/>
          <w:szCs w:val="31"/>
          <w:lang w:eastAsia="zh-CN"/>
        </w:rPr>
      </w:pPr>
      <w:bookmarkStart w:id="430" w:name="bookmark42"/>
      <w:bookmarkEnd w:id="430"/>
      <w:bookmarkStart w:id="431" w:name="bookmark41"/>
      <w:bookmarkEnd w:id="431"/>
      <w:r>
        <w:rPr>
          <w:rFonts w:hint="eastAsia" w:asciiTheme="minorEastAsia" w:hAnsiTheme="minorEastAsia" w:eastAsiaTheme="minorEastAsia" w:cstheme="minorEastAsia"/>
          <w:b/>
          <w:bCs/>
          <w:spacing w:val="3"/>
          <w:sz w:val="31"/>
          <w:szCs w:val="31"/>
          <w:lang w:eastAsia="zh-CN"/>
        </w:rPr>
        <w:br w:type="page"/>
      </w:r>
    </w:p>
    <w:p w14:paraId="5399CEE2">
      <w:pPr>
        <w:pStyle w:val="6"/>
        <w:spacing w:before="101" w:line="225" w:lineRule="auto"/>
        <w:ind w:left="42"/>
        <w:jc w:val="center"/>
        <w:outlineLvl w:val="1"/>
        <w:rPr>
          <w:rFonts w:asciiTheme="minorEastAsia" w:hAnsiTheme="minorEastAsia" w:eastAsiaTheme="minorEastAsia" w:cstheme="minorEastAsia"/>
          <w:sz w:val="31"/>
          <w:szCs w:val="31"/>
        </w:rPr>
      </w:pPr>
      <w:bookmarkStart w:id="432" w:name="_Toc29015"/>
      <w:r>
        <w:rPr>
          <w:rFonts w:hint="eastAsia" w:asciiTheme="minorEastAsia" w:hAnsiTheme="minorEastAsia" w:eastAsiaTheme="minorEastAsia" w:cstheme="minorEastAsia"/>
          <w:b/>
          <w:bCs/>
          <w:spacing w:val="3"/>
          <w:sz w:val="31"/>
          <w:szCs w:val="31"/>
          <w:lang w:eastAsia="zh-CN"/>
        </w:rPr>
        <w:t>7</w:t>
      </w:r>
      <w:r>
        <w:rPr>
          <w:rFonts w:hint="eastAsia" w:asciiTheme="minorEastAsia" w:hAnsiTheme="minorEastAsia" w:eastAsiaTheme="minorEastAsia" w:cstheme="minorEastAsia"/>
          <w:b/>
          <w:bCs/>
          <w:spacing w:val="3"/>
          <w:sz w:val="31"/>
          <w:szCs w:val="31"/>
        </w:rPr>
        <w:t>.技术标</w:t>
      </w:r>
      <w:bookmarkEnd w:id="432"/>
    </w:p>
    <w:p w14:paraId="5F589C9A">
      <w:pPr>
        <w:spacing w:line="271" w:lineRule="auto"/>
        <w:rPr>
          <w:rFonts w:asciiTheme="minorEastAsia" w:hAnsiTheme="minorEastAsia" w:eastAsiaTheme="minorEastAsia" w:cstheme="minorEastAsia"/>
          <w:lang w:eastAsia="zh-CN"/>
        </w:rPr>
      </w:pPr>
    </w:p>
    <w:p w14:paraId="68E3B549">
      <w:pPr>
        <w:rPr>
          <w:rFonts w:asciiTheme="minorEastAsia" w:hAnsiTheme="minorEastAsia" w:eastAsiaTheme="minorEastAsia" w:cstheme="minorEastAsia"/>
          <w:b/>
          <w:bCs/>
          <w:spacing w:val="2"/>
          <w:sz w:val="31"/>
          <w:szCs w:val="31"/>
          <w:lang w:eastAsia="zh-CN"/>
        </w:rPr>
      </w:pPr>
      <w:bookmarkStart w:id="433" w:name="bookmark44"/>
      <w:bookmarkEnd w:id="433"/>
      <w:bookmarkStart w:id="434" w:name="bookmark43"/>
      <w:bookmarkEnd w:id="434"/>
      <w:r>
        <w:rPr>
          <w:rFonts w:hint="eastAsia" w:asciiTheme="minorEastAsia" w:hAnsiTheme="minorEastAsia" w:eastAsiaTheme="minorEastAsia" w:cstheme="minorEastAsia"/>
          <w:b/>
          <w:bCs/>
          <w:spacing w:val="2"/>
          <w:sz w:val="31"/>
          <w:szCs w:val="31"/>
          <w:lang w:eastAsia="zh-CN"/>
        </w:rPr>
        <w:br w:type="page"/>
      </w:r>
    </w:p>
    <w:p w14:paraId="42D34503">
      <w:pPr>
        <w:pStyle w:val="6"/>
        <w:spacing w:before="101" w:line="226" w:lineRule="auto"/>
        <w:ind w:left="42"/>
        <w:jc w:val="center"/>
        <w:outlineLvl w:val="1"/>
        <w:rPr>
          <w:rFonts w:asciiTheme="minorEastAsia" w:hAnsiTheme="minorEastAsia" w:eastAsiaTheme="minorEastAsia" w:cstheme="minorEastAsia"/>
          <w:sz w:val="31"/>
          <w:szCs w:val="31"/>
        </w:rPr>
      </w:pPr>
      <w:bookmarkStart w:id="435" w:name="_Toc22842"/>
      <w:r>
        <w:rPr>
          <w:rFonts w:hint="eastAsia" w:asciiTheme="minorEastAsia" w:hAnsiTheme="minorEastAsia" w:eastAsiaTheme="minorEastAsia" w:cstheme="minorEastAsia"/>
          <w:b/>
          <w:bCs/>
          <w:spacing w:val="2"/>
          <w:sz w:val="31"/>
          <w:szCs w:val="31"/>
          <w:lang w:eastAsia="zh-CN"/>
        </w:rPr>
        <w:t>8</w:t>
      </w:r>
      <w:r>
        <w:rPr>
          <w:rFonts w:hint="eastAsia" w:asciiTheme="minorEastAsia" w:hAnsiTheme="minorEastAsia" w:eastAsiaTheme="minorEastAsia" w:cstheme="minorEastAsia"/>
          <w:spacing w:val="2"/>
          <w:sz w:val="31"/>
          <w:szCs w:val="31"/>
        </w:rPr>
        <w:t>.</w:t>
      </w:r>
      <w:r>
        <w:rPr>
          <w:rFonts w:hint="eastAsia" w:asciiTheme="minorEastAsia" w:hAnsiTheme="minorEastAsia" w:eastAsiaTheme="minorEastAsia" w:cstheme="minorEastAsia"/>
          <w:b/>
          <w:bCs/>
          <w:spacing w:val="2"/>
          <w:sz w:val="31"/>
          <w:szCs w:val="31"/>
        </w:rPr>
        <w:t>其他</w:t>
      </w:r>
      <w:bookmarkEnd w:id="435"/>
    </w:p>
    <w:p w14:paraId="5F818771">
      <w:pPr>
        <w:spacing w:before="101" w:line="360" w:lineRule="auto"/>
        <w:jc w:val="center"/>
        <w:outlineLvl w:val="1"/>
        <w:rPr>
          <w:rFonts w:hint="eastAsia" w:ascii="宋体" w:hAnsi="宋体" w:eastAsia="宋体" w:cs="宋体"/>
          <w:b/>
          <w:bCs/>
          <w:color w:val="auto"/>
          <w:spacing w:val="-3"/>
          <w:sz w:val="26"/>
          <w:szCs w:val="26"/>
        </w:rPr>
      </w:pPr>
      <w:bookmarkStart w:id="436" w:name="bookmark46"/>
      <w:bookmarkEnd w:id="436"/>
      <w:bookmarkStart w:id="437" w:name="bookmark45"/>
      <w:bookmarkEnd w:id="437"/>
      <w:r>
        <w:rPr>
          <w:rFonts w:hint="eastAsia" w:asciiTheme="minorEastAsia" w:hAnsiTheme="minorEastAsia" w:eastAsiaTheme="minorEastAsia" w:cstheme="minorEastAsia"/>
          <w:b/>
          <w:bCs/>
          <w:spacing w:val="-4"/>
          <w:sz w:val="36"/>
          <w:szCs w:val="36"/>
        </w:rPr>
        <w:br w:type="page"/>
      </w:r>
      <w:bookmarkStart w:id="438" w:name="_Toc14892"/>
      <w:bookmarkStart w:id="439" w:name="_Toc20252"/>
      <w:r>
        <w:rPr>
          <w:rFonts w:hint="eastAsia" w:ascii="宋体" w:hAnsi="宋体" w:eastAsia="宋体" w:cs="宋体"/>
          <w:b/>
          <w:bCs/>
          <w:color w:val="auto"/>
          <w:spacing w:val="-3"/>
          <w:sz w:val="26"/>
          <w:szCs w:val="26"/>
        </w:rPr>
        <w:t>中小企业声明函</w:t>
      </w:r>
      <w:bookmarkEnd w:id="438"/>
      <w:bookmarkEnd w:id="439"/>
    </w:p>
    <w:p w14:paraId="75BA0C8A">
      <w:pPr>
        <w:keepNext w:val="0"/>
        <w:keepLines w:val="0"/>
        <w:pageBreakBefore w:val="0"/>
        <w:widowControl/>
        <w:kinsoku w:val="0"/>
        <w:wordWrap/>
        <w:overflowPunct/>
        <w:topLinePunct w:val="0"/>
        <w:autoSpaceDE w:val="0"/>
        <w:autoSpaceDN w:val="0"/>
        <w:bidi w:val="0"/>
        <w:adjustRightInd w:val="0"/>
        <w:snapToGrid w:val="0"/>
        <w:spacing w:before="101" w:line="360" w:lineRule="auto"/>
        <w:jc w:val="center"/>
        <w:textAlignment w:val="baseline"/>
        <w:outlineLvl w:val="9"/>
        <w:rPr>
          <w:rFonts w:hint="eastAsia" w:ascii="宋体" w:hAnsi="宋体" w:eastAsia="宋体" w:cs="宋体"/>
          <w:b/>
          <w:bCs/>
          <w:color w:val="auto"/>
          <w:spacing w:val="-3"/>
          <w:sz w:val="26"/>
          <w:szCs w:val="26"/>
        </w:rPr>
      </w:pPr>
    </w:p>
    <w:p w14:paraId="09BECD50">
      <w:pPr>
        <w:spacing w:before="68" w:line="360" w:lineRule="auto"/>
        <w:ind w:firstLine="526"/>
        <w:rPr>
          <w:rFonts w:ascii="宋体" w:hAnsi="宋体" w:eastAsia="宋体" w:cs="宋体"/>
          <w:color w:val="auto"/>
          <w:sz w:val="24"/>
          <w:szCs w:val="24"/>
        </w:rPr>
      </w:pPr>
      <w:r>
        <w:rPr>
          <w:rFonts w:hint="eastAsia" w:ascii="宋体" w:hAnsi="宋体" w:eastAsia="宋体" w:cs="宋体"/>
          <w:color w:val="auto"/>
          <w:spacing w:val="-1"/>
          <w:sz w:val="24"/>
          <w:szCs w:val="24"/>
        </w:rPr>
        <w:t>本公司（联合体）郑重声明，根据《政府采购促进中小企业发展</w:t>
      </w:r>
      <w:r>
        <w:rPr>
          <w:rFonts w:hint="eastAsia" w:ascii="宋体" w:hAnsi="宋体" w:eastAsia="宋体" w:cs="宋体"/>
          <w:color w:val="auto"/>
          <w:spacing w:val="-2"/>
          <w:sz w:val="24"/>
          <w:szCs w:val="24"/>
        </w:rPr>
        <w:t>管理办法》（财库 ﹝2020﹞46</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号）的规定，本公司（联合体）参加</w:t>
      </w:r>
      <w:r>
        <w:rPr>
          <w:rFonts w:hint="eastAsia" w:ascii="宋体" w:hAnsi="宋体" w:eastAsia="宋体" w:cs="宋体"/>
          <w:color w:val="auto"/>
          <w:spacing w:val="25"/>
          <w:sz w:val="24"/>
          <w:szCs w:val="24"/>
          <w:u w:val="single"/>
        </w:rPr>
        <w:t xml:space="preserve">    </w:t>
      </w:r>
      <w:r>
        <w:rPr>
          <w:rFonts w:hint="eastAsia" w:ascii="宋体" w:hAnsi="宋体" w:eastAsia="宋体" w:cs="宋体"/>
          <w:color w:val="auto"/>
          <w:spacing w:val="-2"/>
          <w:sz w:val="24"/>
          <w:szCs w:val="24"/>
          <w:u w:val="single"/>
        </w:rPr>
        <w:t xml:space="preserve">（单位名称） </w:t>
      </w:r>
      <w:r>
        <w:rPr>
          <w:rFonts w:hint="eastAsia" w:ascii="宋体" w:hAnsi="宋体" w:eastAsia="宋体" w:cs="宋体"/>
          <w:color w:val="auto"/>
          <w:spacing w:val="-80"/>
          <w:sz w:val="24"/>
          <w:szCs w:val="24"/>
        </w:rPr>
        <w:t xml:space="preserve"> </w:t>
      </w:r>
      <w:r>
        <w:rPr>
          <w:rFonts w:hint="eastAsia" w:ascii="宋体" w:hAnsi="宋体" w:eastAsia="宋体" w:cs="宋体"/>
          <w:color w:val="auto"/>
          <w:spacing w:val="-2"/>
          <w:sz w:val="24"/>
          <w:szCs w:val="24"/>
        </w:rPr>
        <w:t xml:space="preserve">的 </w:t>
      </w:r>
      <w:r>
        <w:rPr>
          <w:rFonts w:hint="eastAsia" w:ascii="宋体" w:hAnsi="宋体" w:eastAsia="宋体" w:cs="宋体"/>
          <w:color w:val="auto"/>
          <w:spacing w:val="33"/>
          <w:sz w:val="24"/>
          <w:szCs w:val="24"/>
          <w:u w:val="single"/>
        </w:rPr>
        <w:t xml:space="preserve">   </w:t>
      </w:r>
      <w:r>
        <w:rPr>
          <w:rFonts w:hint="eastAsia" w:ascii="宋体" w:hAnsi="宋体" w:eastAsia="宋体" w:cs="宋体"/>
          <w:color w:val="auto"/>
          <w:spacing w:val="-2"/>
          <w:sz w:val="24"/>
          <w:szCs w:val="24"/>
          <w:u w:val="single"/>
        </w:rPr>
        <w:t xml:space="preserve">（项目名称） </w:t>
      </w:r>
      <w:r>
        <w:rPr>
          <w:rFonts w:hint="eastAsia" w:ascii="宋体" w:hAnsi="宋体" w:eastAsia="宋体" w:cs="宋体"/>
          <w:color w:val="auto"/>
          <w:spacing w:val="-98"/>
          <w:sz w:val="24"/>
          <w:szCs w:val="24"/>
        </w:rPr>
        <w:t xml:space="preserve"> </w:t>
      </w:r>
      <w:r>
        <w:rPr>
          <w:rFonts w:hint="eastAsia" w:ascii="宋体" w:hAnsi="宋体" w:eastAsia="宋体" w:cs="宋体"/>
          <w:color w:val="auto"/>
          <w:spacing w:val="-2"/>
          <w:sz w:val="24"/>
          <w:szCs w:val="24"/>
        </w:rPr>
        <w:t>采购活动，提供的货</w:t>
      </w:r>
      <w:r>
        <w:rPr>
          <w:rFonts w:hint="eastAsia" w:ascii="宋体" w:hAnsi="宋体" w:eastAsia="宋体" w:cs="宋体"/>
          <w:color w:val="auto"/>
          <w:spacing w:val="-1"/>
          <w:sz w:val="24"/>
          <w:szCs w:val="24"/>
        </w:rPr>
        <w:t>物或服务全部由符合政策要求的中小企业承接。相关企业（含联合</w:t>
      </w:r>
      <w:r>
        <w:rPr>
          <w:rFonts w:hint="eastAsia" w:ascii="宋体" w:hAnsi="宋体" w:eastAsia="宋体" w:cs="宋体"/>
          <w:color w:val="auto"/>
          <w:spacing w:val="-2"/>
          <w:sz w:val="24"/>
          <w:szCs w:val="24"/>
        </w:rPr>
        <w:t>体中的中小企业、签订分包意向协</w:t>
      </w:r>
      <w:r>
        <w:rPr>
          <w:rFonts w:hint="eastAsia" w:ascii="宋体" w:hAnsi="宋体" w:eastAsia="宋体" w:cs="宋体"/>
          <w:color w:val="auto"/>
          <w:spacing w:val="-1"/>
          <w:sz w:val="24"/>
          <w:szCs w:val="24"/>
        </w:rPr>
        <w:t>议的中小企业）的具体情况如下：</w:t>
      </w:r>
    </w:p>
    <w:p w14:paraId="48A0DDD7">
      <w:pPr>
        <w:spacing w:before="29" w:line="360" w:lineRule="auto"/>
        <w:ind w:right="2" w:firstLine="436"/>
        <w:rPr>
          <w:rFonts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2"/>
          <w:sz w:val="24"/>
          <w:szCs w:val="24"/>
          <w:u w:val="single"/>
        </w:rPr>
        <w:t xml:space="preserve"> （标的名称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属于</w:t>
      </w:r>
      <w:r>
        <w:rPr>
          <w:rFonts w:hint="eastAsia" w:ascii="宋体" w:hAnsi="宋体" w:eastAsia="宋体" w:cs="宋体"/>
          <w:color w:val="auto"/>
          <w:spacing w:val="-92"/>
          <w:sz w:val="24"/>
          <w:szCs w:val="24"/>
        </w:rPr>
        <w:t xml:space="preserve"> </w:t>
      </w:r>
      <w:r>
        <w:rPr>
          <w:rFonts w:hint="eastAsia" w:ascii="宋体" w:hAnsi="宋体" w:eastAsia="宋体" w:cs="宋体"/>
          <w:color w:val="auto"/>
          <w:spacing w:val="8"/>
          <w:sz w:val="24"/>
          <w:szCs w:val="24"/>
          <w:u w:val="single"/>
        </w:rPr>
        <w:t xml:space="preserve">            </w:t>
      </w:r>
      <w:r>
        <w:rPr>
          <w:rFonts w:hint="eastAsia" w:ascii="宋体" w:hAnsi="宋体" w:eastAsia="宋体" w:cs="宋体"/>
          <w:color w:val="auto"/>
          <w:spacing w:val="-86"/>
          <w:sz w:val="24"/>
          <w:szCs w:val="24"/>
        </w:rPr>
        <w:t xml:space="preserve"> </w:t>
      </w:r>
      <w:r>
        <w:rPr>
          <w:rFonts w:hint="eastAsia" w:ascii="宋体" w:hAnsi="宋体" w:eastAsia="宋体" w:cs="宋体"/>
          <w:color w:val="auto"/>
          <w:spacing w:val="-2"/>
          <w:sz w:val="24"/>
          <w:szCs w:val="24"/>
        </w:rPr>
        <w:t>行业；承接企业为</w:t>
      </w:r>
      <w:r>
        <w:rPr>
          <w:rFonts w:hint="eastAsia" w:ascii="宋体" w:hAnsi="宋体" w:eastAsia="宋体" w:cs="宋体"/>
          <w:color w:val="auto"/>
          <w:spacing w:val="-2"/>
          <w:sz w:val="24"/>
          <w:szCs w:val="24"/>
          <w:u w:val="single"/>
        </w:rPr>
        <w:t xml:space="preserve"> （企业名称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从业人员</w:t>
      </w:r>
      <w:r>
        <w:rPr>
          <w:rFonts w:hint="eastAsia" w:ascii="宋体" w:hAnsi="宋体" w:eastAsia="宋体" w:cs="宋体"/>
          <w:color w:val="auto"/>
          <w:spacing w:val="-105"/>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95"/>
          <w:sz w:val="24"/>
          <w:szCs w:val="24"/>
        </w:rPr>
        <w:t xml:space="preserve"> </w:t>
      </w:r>
      <w:r>
        <w:rPr>
          <w:rFonts w:hint="eastAsia" w:ascii="宋体" w:hAnsi="宋体" w:eastAsia="宋体" w:cs="宋体"/>
          <w:color w:val="auto"/>
          <w:spacing w:val="-2"/>
          <w:sz w:val="24"/>
          <w:szCs w:val="24"/>
        </w:rPr>
        <w:t>人</w:t>
      </w:r>
      <w:r>
        <w:rPr>
          <w:rFonts w:hint="eastAsia" w:ascii="宋体" w:hAnsi="宋体" w:eastAsia="宋体" w:cs="宋体"/>
          <w:color w:val="auto"/>
          <w:spacing w:val="-3"/>
          <w:sz w:val="24"/>
          <w:szCs w:val="24"/>
        </w:rPr>
        <w:t>，营</w:t>
      </w:r>
      <w:r>
        <w:rPr>
          <w:rFonts w:hint="eastAsia" w:ascii="宋体" w:hAnsi="宋体" w:eastAsia="宋体" w:cs="宋体"/>
          <w:color w:val="auto"/>
          <w:spacing w:val="-1"/>
          <w:sz w:val="24"/>
          <w:szCs w:val="24"/>
        </w:rPr>
        <w:t>业收入为</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92"/>
          <w:sz w:val="24"/>
          <w:szCs w:val="24"/>
        </w:rPr>
        <w:t xml:space="preserve"> </w:t>
      </w:r>
      <w:r>
        <w:rPr>
          <w:rFonts w:hint="eastAsia" w:ascii="宋体" w:hAnsi="宋体" w:eastAsia="宋体" w:cs="宋体"/>
          <w:color w:val="auto"/>
          <w:spacing w:val="-1"/>
          <w:sz w:val="24"/>
          <w:szCs w:val="24"/>
        </w:rPr>
        <w:t>万元，资产总额为</w:t>
      </w:r>
      <w:r>
        <w:rPr>
          <w:rFonts w:hint="eastAsia" w:ascii="宋体" w:hAnsi="宋体" w:eastAsia="宋体" w:cs="宋体"/>
          <w:color w:val="auto"/>
          <w:spacing w:val="-104"/>
          <w:sz w:val="24"/>
          <w:szCs w:val="24"/>
        </w:rPr>
        <w:t xml:space="preserve"> </w:t>
      </w:r>
      <w:r>
        <w:rPr>
          <w:rFonts w:hint="eastAsia" w:ascii="宋体" w:hAnsi="宋体" w:eastAsia="宋体" w:cs="宋体"/>
          <w:color w:val="auto"/>
          <w:spacing w:val="52"/>
          <w:sz w:val="24"/>
          <w:szCs w:val="24"/>
          <w:u w:val="single"/>
        </w:rPr>
        <w:t xml:space="preserve">  </w:t>
      </w:r>
      <w:r>
        <w:rPr>
          <w:rFonts w:hint="eastAsia" w:ascii="宋体" w:hAnsi="宋体" w:eastAsia="宋体" w:cs="宋体"/>
          <w:color w:val="auto"/>
          <w:spacing w:val="-92"/>
          <w:sz w:val="24"/>
          <w:szCs w:val="24"/>
        </w:rPr>
        <w:t xml:space="preserve"> </w:t>
      </w:r>
      <w:r>
        <w:rPr>
          <w:rFonts w:hint="eastAsia" w:ascii="宋体" w:hAnsi="宋体" w:eastAsia="宋体" w:cs="宋体"/>
          <w:color w:val="auto"/>
          <w:spacing w:val="-1"/>
          <w:sz w:val="24"/>
          <w:szCs w:val="24"/>
        </w:rPr>
        <w:t>万元，属于</w:t>
      </w:r>
      <w:r>
        <w:rPr>
          <w:rFonts w:hint="eastAsia" w:ascii="宋体" w:hAnsi="宋体" w:eastAsia="宋体" w:cs="宋体"/>
          <w:color w:val="auto"/>
          <w:spacing w:val="-1"/>
          <w:sz w:val="24"/>
          <w:szCs w:val="24"/>
          <w:u w:val="single"/>
        </w:rPr>
        <w:t xml:space="preserve"> （中型企业、小型企业、微型企业</w:t>
      </w:r>
      <w:r>
        <w:rPr>
          <w:rFonts w:hint="eastAsia" w:ascii="宋体" w:hAnsi="宋体" w:eastAsia="宋体" w:cs="宋体"/>
          <w:color w:val="auto"/>
          <w:spacing w:val="3"/>
          <w:sz w:val="24"/>
          <w:szCs w:val="24"/>
          <w:u w:val="single"/>
        </w:rPr>
        <w:t>）</w:t>
      </w:r>
      <w:r>
        <w:rPr>
          <w:rFonts w:hint="eastAsia" w:ascii="宋体" w:hAnsi="宋体" w:eastAsia="宋体" w:cs="宋体"/>
          <w:color w:val="auto"/>
          <w:spacing w:val="3"/>
          <w:sz w:val="24"/>
          <w:szCs w:val="24"/>
        </w:rPr>
        <w:t>；</w:t>
      </w:r>
    </w:p>
    <w:p w14:paraId="7C213001">
      <w:pPr>
        <w:keepNext w:val="0"/>
        <w:keepLines w:val="0"/>
        <w:pageBreakBefore w:val="0"/>
        <w:widowControl/>
        <w:kinsoku/>
        <w:wordWrap/>
        <w:overflowPunct w:val="0"/>
        <w:topLinePunct w:val="0"/>
        <w:autoSpaceDE w:val="0"/>
        <w:autoSpaceDN w:val="0"/>
        <w:bidi w:val="0"/>
        <w:adjustRightInd w:val="0"/>
        <w:snapToGrid w:val="0"/>
        <w:spacing w:before="217" w:line="360" w:lineRule="auto"/>
        <w:ind w:right="2" w:firstLine="423"/>
        <w:textAlignment w:val="baseline"/>
        <w:rPr>
          <w:rFonts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2"/>
          <w:sz w:val="24"/>
          <w:szCs w:val="24"/>
          <w:u w:val="single"/>
        </w:rPr>
        <w:t xml:space="preserve"> （标的名称</w:t>
      </w:r>
      <w:r>
        <w:rPr>
          <w:rFonts w:hint="eastAsia" w:ascii="宋体" w:hAnsi="宋体" w:eastAsia="宋体" w:cs="宋体"/>
          <w:color w:val="auto"/>
          <w:spacing w:val="3"/>
          <w:sz w:val="24"/>
          <w:szCs w:val="24"/>
          <w:u w:val="single"/>
        </w:rPr>
        <w:t>）</w:t>
      </w:r>
      <w:r>
        <w:rPr>
          <w:rFonts w:hint="eastAsia" w:ascii="宋体" w:hAnsi="宋体" w:eastAsia="宋体" w:cs="宋体"/>
          <w:color w:val="auto"/>
          <w:spacing w:val="3"/>
          <w:sz w:val="24"/>
          <w:szCs w:val="24"/>
        </w:rPr>
        <w:t>，</w:t>
      </w:r>
      <w:r>
        <w:rPr>
          <w:rFonts w:hint="eastAsia" w:ascii="宋体" w:hAnsi="宋体" w:eastAsia="宋体" w:cs="宋体"/>
          <w:color w:val="auto"/>
          <w:spacing w:val="-2"/>
          <w:sz w:val="24"/>
          <w:szCs w:val="24"/>
        </w:rPr>
        <w:t>属于</w:t>
      </w:r>
      <w:r>
        <w:rPr>
          <w:rFonts w:hint="eastAsia" w:ascii="宋体" w:hAnsi="宋体" w:eastAsia="宋体" w:cs="宋体"/>
          <w:color w:val="auto"/>
          <w:spacing w:val="-92"/>
          <w:sz w:val="24"/>
          <w:szCs w:val="24"/>
        </w:rPr>
        <w:t xml:space="preserve"> </w:t>
      </w:r>
      <w:r>
        <w:rPr>
          <w:rFonts w:hint="eastAsia" w:ascii="宋体" w:hAnsi="宋体" w:eastAsia="宋体" w:cs="宋体"/>
          <w:color w:val="auto"/>
          <w:spacing w:val="8"/>
          <w:sz w:val="24"/>
          <w:szCs w:val="24"/>
          <w:u w:val="single"/>
        </w:rPr>
        <w:t xml:space="preserve">             </w:t>
      </w:r>
      <w:r>
        <w:rPr>
          <w:rFonts w:hint="eastAsia" w:ascii="宋体" w:hAnsi="宋体" w:eastAsia="宋体" w:cs="宋体"/>
          <w:color w:val="auto"/>
          <w:spacing w:val="-94"/>
          <w:sz w:val="24"/>
          <w:szCs w:val="24"/>
        </w:rPr>
        <w:t xml:space="preserve"> </w:t>
      </w:r>
      <w:r>
        <w:rPr>
          <w:rFonts w:hint="eastAsia" w:ascii="宋体" w:hAnsi="宋体" w:eastAsia="宋体" w:cs="宋体"/>
          <w:color w:val="auto"/>
          <w:spacing w:val="-2"/>
          <w:sz w:val="24"/>
          <w:szCs w:val="24"/>
        </w:rPr>
        <w:t>行业；承接企业为</w:t>
      </w:r>
      <w:r>
        <w:rPr>
          <w:rFonts w:hint="eastAsia" w:ascii="宋体" w:hAnsi="宋体" w:eastAsia="宋体" w:cs="宋体"/>
          <w:color w:val="auto"/>
          <w:spacing w:val="-2"/>
          <w:sz w:val="24"/>
          <w:szCs w:val="24"/>
          <w:u w:val="single"/>
        </w:rPr>
        <w:t xml:space="preserve"> （企业名称</w:t>
      </w:r>
      <w:r>
        <w:rPr>
          <w:rFonts w:hint="eastAsia" w:ascii="宋体" w:hAnsi="宋体" w:eastAsia="宋体" w:cs="宋体"/>
          <w:color w:val="auto"/>
          <w:spacing w:val="3"/>
          <w:sz w:val="24"/>
          <w:szCs w:val="24"/>
          <w:u w:val="single"/>
        </w:rPr>
        <w:t>）</w:t>
      </w:r>
      <w:r>
        <w:rPr>
          <w:rFonts w:hint="eastAsia" w:ascii="宋体" w:hAnsi="宋体" w:eastAsia="宋体" w:cs="宋体"/>
          <w:color w:val="auto"/>
          <w:spacing w:val="3"/>
          <w:sz w:val="24"/>
          <w:szCs w:val="24"/>
        </w:rPr>
        <w:t>，</w:t>
      </w:r>
      <w:r>
        <w:rPr>
          <w:rFonts w:hint="eastAsia" w:ascii="宋体" w:hAnsi="宋体" w:eastAsia="宋体" w:cs="宋体"/>
          <w:color w:val="auto"/>
          <w:spacing w:val="-2"/>
          <w:sz w:val="24"/>
          <w:szCs w:val="24"/>
        </w:rPr>
        <w:t>从业人员</w:t>
      </w:r>
      <w:r>
        <w:rPr>
          <w:rFonts w:hint="eastAsia" w:ascii="宋体" w:hAnsi="宋体" w:eastAsia="宋体" w:cs="宋体"/>
          <w:color w:val="auto"/>
          <w:spacing w:val="-104"/>
          <w:sz w:val="24"/>
          <w:szCs w:val="24"/>
        </w:rPr>
        <w:t xml:space="preserve"> </w:t>
      </w:r>
      <w:r>
        <w:rPr>
          <w:rFonts w:hint="eastAsia" w:ascii="宋体" w:hAnsi="宋体" w:eastAsia="宋体" w:cs="宋体"/>
          <w:color w:val="auto"/>
          <w:spacing w:val="52"/>
          <w:sz w:val="24"/>
          <w:szCs w:val="24"/>
          <w:u w:val="single"/>
        </w:rPr>
        <w:t xml:space="preserve">  </w:t>
      </w:r>
      <w:r>
        <w:rPr>
          <w:rFonts w:hint="eastAsia" w:ascii="宋体" w:hAnsi="宋体" w:eastAsia="宋体" w:cs="宋体"/>
          <w:color w:val="auto"/>
          <w:spacing w:val="-95"/>
          <w:sz w:val="24"/>
          <w:szCs w:val="24"/>
        </w:rPr>
        <w:t xml:space="preserve"> </w:t>
      </w:r>
      <w:r>
        <w:rPr>
          <w:rFonts w:hint="eastAsia" w:ascii="宋体" w:hAnsi="宋体" w:eastAsia="宋体" w:cs="宋体"/>
          <w:color w:val="auto"/>
          <w:spacing w:val="-2"/>
          <w:sz w:val="24"/>
          <w:szCs w:val="24"/>
        </w:rPr>
        <w:t>人，营</w:t>
      </w:r>
      <w:r>
        <w:rPr>
          <w:rFonts w:hint="eastAsia" w:ascii="宋体" w:hAnsi="宋体" w:eastAsia="宋体" w:cs="宋体"/>
          <w:color w:val="auto"/>
          <w:spacing w:val="-1"/>
          <w:sz w:val="24"/>
          <w:szCs w:val="24"/>
        </w:rPr>
        <w:t>业收入为</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84"/>
          <w:sz w:val="24"/>
          <w:szCs w:val="24"/>
        </w:rPr>
        <w:t xml:space="preserve"> </w:t>
      </w:r>
      <w:r>
        <w:rPr>
          <w:rFonts w:hint="eastAsia" w:ascii="宋体" w:hAnsi="宋体" w:eastAsia="宋体" w:cs="宋体"/>
          <w:color w:val="auto"/>
          <w:spacing w:val="-1"/>
          <w:sz w:val="24"/>
          <w:szCs w:val="24"/>
        </w:rPr>
        <w:t>万元，资产总额为</w:t>
      </w:r>
      <w:r>
        <w:rPr>
          <w:rFonts w:hint="eastAsia" w:ascii="宋体" w:hAnsi="宋体" w:eastAsia="宋体" w:cs="宋体"/>
          <w:color w:val="auto"/>
          <w:spacing w:val="-104"/>
          <w:sz w:val="24"/>
          <w:szCs w:val="24"/>
        </w:rPr>
        <w:t xml:space="preserve"> </w:t>
      </w:r>
      <w:r>
        <w:rPr>
          <w:rFonts w:hint="eastAsia" w:ascii="宋体" w:hAnsi="宋体" w:eastAsia="宋体" w:cs="宋体"/>
          <w:color w:val="auto"/>
          <w:spacing w:val="52"/>
          <w:sz w:val="24"/>
          <w:szCs w:val="24"/>
          <w:u w:val="single"/>
        </w:rPr>
        <w:t xml:space="preserve">  </w:t>
      </w:r>
      <w:r>
        <w:rPr>
          <w:rFonts w:hint="eastAsia" w:ascii="宋体" w:hAnsi="宋体" w:eastAsia="宋体" w:cs="宋体"/>
          <w:color w:val="auto"/>
          <w:spacing w:val="-92"/>
          <w:sz w:val="24"/>
          <w:szCs w:val="24"/>
        </w:rPr>
        <w:t xml:space="preserve"> </w:t>
      </w:r>
      <w:r>
        <w:rPr>
          <w:rFonts w:hint="eastAsia" w:ascii="宋体" w:hAnsi="宋体" w:eastAsia="宋体" w:cs="宋体"/>
          <w:color w:val="auto"/>
          <w:spacing w:val="-1"/>
          <w:sz w:val="24"/>
          <w:szCs w:val="24"/>
        </w:rPr>
        <w:t>万元，属于</w:t>
      </w:r>
      <w:r>
        <w:rPr>
          <w:rFonts w:hint="eastAsia" w:ascii="宋体" w:hAnsi="宋体" w:eastAsia="宋体" w:cs="宋体"/>
          <w:color w:val="auto"/>
          <w:spacing w:val="-1"/>
          <w:sz w:val="24"/>
          <w:szCs w:val="24"/>
          <w:u w:val="single"/>
        </w:rPr>
        <w:t xml:space="preserve"> （中型企业、小型企业、微型企业）</w:t>
      </w:r>
      <w:r>
        <w:rPr>
          <w:rFonts w:hint="eastAsia" w:ascii="宋体" w:hAnsi="宋体" w:eastAsia="宋体" w:cs="宋体"/>
          <w:color w:val="auto"/>
          <w:spacing w:val="-1"/>
          <w:sz w:val="24"/>
          <w:szCs w:val="24"/>
        </w:rPr>
        <w:t>。</w:t>
      </w:r>
    </w:p>
    <w:p w14:paraId="723D6F85">
      <w:pPr>
        <w:pStyle w:val="6"/>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color w:val="auto"/>
          <w:sz w:val="24"/>
          <w:szCs w:val="24"/>
        </w:rPr>
      </w:pPr>
    </w:p>
    <w:p w14:paraId="5EE432FA">
      <w:pPr>
        <w:pStyle w:val="6"/>
        <w:spacing w:line="360" w:lineRule="auto"/>
        <w:rPr>
          <w:color w:val="auto"/>
          <w:sz w:val="24"/>
          <w:szCs w:val="24"/>
        </w:rPr>
      </w:pPr>
    </w:p>
    <w:p w14:paraId="0AC5A07D">
      <w:pPr>
        <w:spacing w:before="69" w:line="360" w:lineRule="auto"/>
        <w:ind w:left="8" w:firstLine="436"/>
        <w:rPr>
          <w:rFonts w:ascii="宋体" w:hAnsi="宋体" w:eastAsia="宋体" w:cs="宋体"/>
          <w:color w:val="auto"/>
          <w:sz w:val="24"/>
          <w:szCs w:val="24"/>
        </w:rPr>
      </w:pPr>
      <w:r>
        <w:rPr>
          <w:rFonts w:hint="eastAsia" w:ascii="宋体" w:hAnsi="宋体" w:eastAsia="宋体" w:cs="宋体"/>
          <w:color w:val="auto"/>
          <w:spacing w:val="-2"/>
          <w:sz w:val="24"/>
          <w:szCs w:val="24"/>
        </w:rPr>
        <w:t>以上企业，不属于大企业的分支机构，不存在控股股东为大企业的情形，也不存在与大企业的负</w:t>
      </w:r>
      <w:r>
        <w:rPr>
          <w:rFonts w:hint="eastAsia" w:ascii="宋体" w:hAnsi="宋体" w:eastAsia="宋体" w:cs="宋体"/>
          <w:color w:val="auto"/>
          <w:spacing w:val="-3"/>
          <w:sz w:val="24"/>
          <w:szCs w:val="24"/>
        </w:rPr>
        <w:t>责人为同一人的情形。</w:t>
      </w:r>
    </w:p>
    <w:p w14:paraId="4D81A53D">
      <w:pPr>
        <w:spacing w:before="30" w:line="360" w:lineRule="auto"/>
        <w:ind w:left="421"/>
        <w:rPr>
          <w:rFonts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w:t>
      </w:r>
      <w:r>
        <w:rPr>
          <w:rFonts w:hint="eastAsia" w:ascii="宋体" w:hAnsi="宋体" w:eastAsia="宋体" w:cs="宋体"/>
          <w:color w:val="auto"/>
          <w:spacing w:val="-1"/>
          <w:sz w:val="24"/>
          <w:szCs w:val="24"/>
        </w:rPr>
        <w:t>应责任。</w:t>
      </w:r>
    </w:p>
    <w:p w14:paraId="47D6DDDD">
      <w:pPr>
        <w:pStyle w:val="6"/>
        <w:spacing w:line="360" w:lineRule="auto"/>
        <w:rPr>
          <w:color w:val="auto"/>
          <w:sz w:val="24"/>
          <w:szCs w:val="24"/>
        </w:rPr>
      </w:pPr>
    </w:p>
    <w:p w14:paraId="053A41CF">
      <w:pPr>
        <w:pStyle w:val="6"/>
        <w:spacing w:line="360" w:lineRule="auto"/>
        <w:rPr>
          <w:color w:val="auto"/>
          <w:sz w:val="24"/>
          <w:szCs w:val="24"/>
        </w:rPr>
      </w:pPr>
    </w:p>
    <w:p w14:paraId="37ECE28E">
      <w:pPr>
        <w:spacing w:before="69" w:line="360" w:lineRule="auto"/>
        <w:ind w:left="3861"/>
        <w:rPr>
          <w:color w:val="auto"/>
          <w:sz w:val="24"/>
          <w:szCs w:val="24"/>
        </w:rPr>
      </w:pPr>
      <w:r>
        <w:rPr>
          <w:rFonts w:hint="eastAsia" w:ascii="宋体" w:hAnsi="宋体" w:eastAsia="宋体" w:cs="宋体"/>
          <w:color w:val="auto"/>
          <w:spacing w:val="-2"/>
          <w:sz w:val="24"/>
          <w:szCs w:val="24"/>
        </w:rPr>
        <w:t>企业名称（盖章</w:t>
      </w:r>
      <w:r>
        <w:rPr>
          <w:rFonts w:hint="eastAsia" w:ascii="宋体" w:hAnsi="宋体" w:eastAsia="宋体" w:cs="宋体"/>
          <w:color w:val="auto"/>
          <w:spacing w:val="1"/>
          <w:sz w:val="24"/>
          <w:szCs w:val="24"/>
        </w:rPr>
        <w:t>）：</w:t>
      </w:r>
    </w:p>
    <w:p w14:paraId="7AA2F3F5">
      <w:pPr>
        <w:spacing w:before="68" w:line="360" w:lineRule="auto"/>
        <w:ind w:left="4000"/>
        <w:rPr>
          <w:rFonts w:ascii="宋体" w:hAnsi="宋体" w:eastAsia="宋体" w:cs="宋体"/>
          <w:color w:val="auto"/>
          <w:sz w:val="24"/>
          <w:szCs w:val="24"/>
        </w:rPr>
      </w:pPr>
      <w:r>
        <w:rPr>
          <w:rFonts w:hint="eastAsia" w:ascii="宋体" w:hAnsi="宋体" w:eastAsia="宋体" w:cs="宋体"/>
          <w:color w:val="auto"/>
          <w:spacing w:val="-13"/>
          <w:sz w:val="24"/>
          <w:szCs w:val="24"/>
        </w:rPr>
        <w:t>日</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13"/>
          <w:sz w:val="24"/>
          <w:szCs w:val="24"/>
        </w:rPr>
        <w:t>期：</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13"/>
          <w:sz w:val="24"/>
          <w:szCs w:val="24"/>
        </w:rPr>
        <w:t>日</w:t>
      </w:r>
    </w:p>
    <w:p w14:paraId="3DC1F8B4">
      <w:pPr>
        <w:pStyle w:val="6"/>
        <w:spacing w:line="264" w:lineRule="auto"/>
        <w:rPr>
          <w:color w:val="auto"/>
          <w:sz w:val="26"/>
          <w:szCs w:val="26"/>
        </w:rPr>
      </w:pPr>
    </w:p>
    <w:p w14:paraId="40AEC68E">
      <w:pPr>
        <w:pStyle w:val="6"/>
        <w:spacing w:line="265" w:lineRule="auto"/>
        <w:rPr>
          <w:color w:val="auto"/>
          <w:sz w:val="26"/>
          <w:szCs w:val="26"/>
        </w:rPr>
      </w:pPr>
    </w:p>
    <w:p w14:paraId="3D195A9E">
      <w:pPr>
        <w:spacing w:before="70" w:line="221" w:lineRule="auto"/>
        <w:ind w:left="3"/>
        <w:rPr>
          <w:rFonts w:ascii="宋体" w:hAnsi="宋体" w:eastAsia="宋体" w:cs="宋体"/>
          <w:color w:val="auto"/>
          <w:sz w:val="24"/>
          <w:szCs w:val="24"/>
        </w:rPr>
      </w:pPr>
      <w:r>
        <w:rPr>
          <w:rFonts w:hint="eastAsia" w:ascii="宋体" w:hAnsi="宋体" w:eastAsia="宋体" w:cs="宋体"/>
          <w:color w:val="auto"/>
          <w:sz w:val="24"/>
          <w:szCs w:val="24"/>
        </w:rPr>
        <w:t>从业人员、营业收入、资产总额填报上一年度数据，无上一年度数据的新成立企业可</w:t>
      </w:r>
      <w:r>
        <w:rPr>
          <w:rFonts w:hint="eastAsia" w:ascii="宋体" w:hAnsi="宋体" w:eastAsia="宋体" w:cs="宋体"/>
          <w:color w:val="auto"/>
          <w:spacing w:val="-1"/>
          <w:sz w:val="24"/>
          <w:szCs w:val="24"/>
        </w:rPr>
        <w:t>不填报。</w:t>
      </w:r>
    </w:p>
    <w:p w14:paraId="0F058F96">
      <w:pPr>
        <w:spacing w:before="101" w:line="221" w:lineRule="auto"/>
        <w:jc w:val="center"/>
        <w:outlineLvl w:val="1"/>
        <w:rPr>
          <w:rFonts w:ascii="宋体" w:hAnsi="宋体" w:eastAsia="宋体" w:cs="宋体"/>
          <w:color w:val="auto"/>
          <w:sz w:val="26"/>
          <w:szCs w:val="26"/>
        </w:rPr>
      </w:pPr>
      <w:r>
        <w:rPr>
          <w:rFonts w:hint="eastAsia" w:ascii="宋体" w:hAnsi="宋体" w:eastAsia="宋体" w:cs="宋体"/>
          <w:b/>
          <w:bCs/>
          <w:color w:val="auto"/>
          <w:spacing w:val="-3"/>
          <w:sz w:val="26"/>
          <w:szCs w:val="26"/>
        </w:rPr>
        <w:br w:type="page"/>
      </w:r>
      <w:bookmarkStart w:id="440" w:name="_Toc16649"/>
      <w:bookmarkStart w:id="441" w:name="_Toc2603"/>
      <w:r>
        <w:rPr>
          <w:rFonts w:hint="eastAsia" w:ascii="宋体" w:hAnsi="宋体" w:eastAsia="宋体" w:cs="宋体"/>
          <w:b/>
          <w:bCs/>
          <w:color w:val="auto"/>
          <w:spacing w:val="-3"/>
          <w:sz w:val="26"/>
          <w:szCs w:val="26"/>
        </w:rPr>
        <w:t>残疾人福利性单位声明函</w:t>
      </w:r>
      <w:bookmarkEnd w:id="440"/>
      <w:bookmarkEnd w:id="441"/>
    </w:p>
    <w:p w14:paraId="4C2E6D0C">
      <w:pPr>
        <w:spacing w:before="68" w:line="405" w:lineRule="auto"/>
        <w:ind w:firstLine="420"/>
        <w:rPr>
          <w:rFonts w:ascii="宋体" w:hAnsi="宋体" w:eastAsia="宋体" w:cs="宋体"/>
          <w:color w:val="auto"/>
          <w:spacing w:val="-3"/>
          <w:sz w:val="26"/>
          <w:szCs w:val="26"/>
        </w:rPr>
      </w:pPr>
    </w:p>
    <w:p w14:paraId="149261B4">
      <w:pPr>
        <w:keepNext w:val="0"/>
        <w:keepLines w:val="0"/>
        <w:pageBreakBefore w:val="0"/>
        <w:widowControl/>
        <w:kinsoku/>
        <w:wordWrap/>
        <w:overflowPunct w:val="0"/>
        <w:topLinePunct w:val="0"/>
        <w:autoSpaceDE w:val="0"/>
        <w:autoSpaceDN w:val="0"/>
        <w:bidi w:val="0"/>
        <w:adjustRightInd w:val="0"/>
        <w:snapToGrid w:val="0"/>
        <w:spacing w:before="68" w:line="360" w:lineRule="auto"/>
        <w:ind w:firstLine="420"/>
        <w:textAlignment w:val="baseline"/>
        <w:rPr>
          <w:rFonts w:ascii="宋体" w:hAnsi="宋体" w:eastAsia="宋体" w:cs="宋体"/>
          <w:color w:val="auto"/>
          <w:sz w:val="24"/>
          <w:szCs w:val="24"/>
        </w:rPr>
      </w:pPr>
      <w:r>
        <w:rPr>
          <w:rFonts w:hint="eastAsia" w:ascii="宋体" w:hAnsi="宋体" w:eastAsia="宋体" w:cs="宋体"/>
          <w:color w:val="auto"/>
          <w:spacing w:val="-3"/>
          <w:sz w:val="24"/>
          <w:szCs w:val="24"/>
        </w:rPr>
        <w:t>本单位郑重声明，根据《财政部</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3"/>
          <w:sz w:val="24"/>
          <w:szCs w:val="24"/>
        </w:rPr>
        <w:t>民政部</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3"/>
          <w:sz w:val="24"/>
          <w:szCs w:val="24"/>
        </w:rPr>
        <w:t>中国残疾人联合会关于促进残疾人就业政府采购政策的</w:t>
      </w:r>
      <w:r>
        <w:rPr>
          <w:rFonts w:hint="eastAsia" w:ascii="宋体" w:hAnsi="宋体" w:eastAsia="宋体" w:cs="宋体"/>
          <w:color w:val="auto"/>
          <w:spacing w:val="-11"/>
          <w:sz w:val="24"/>
          <w:szCs w:val="24"/>
        </w:rPr>
        <w:t>通知》（财库〔2017〕</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1"/>
          <w:sz w:val="24"/>
          <w:szCs w:val="24"/>
        </w:rPr>
        <w:t>141</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11"/>
          <w:sz w:val="24"/>
          <w:szCs w:val="24"/>
        </w:rPr>
        <w:t>号）的规定，本单位为符合条件的残疾人福利性单位，且本单位参加</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0"/>
          <w:sz w:val="24"/>
          <w:szCs w:val="24"/>
          <w:u w:val="single"/>
        </w:rPr>
        <w:t xml:space="preserve">     </w:t>
      </w:r>
      <w:r>
        <w:rPr>
          <w:rFonts w:hint="eastAsia" w:ascii="宋体" w:hAnsi="宋体" w:eastAsia="宋体" w:cs="宋体"/>
          <w:color w:val="auto"/>
          <w:spacing w:val="-91"/>
          <w:sz w:val="24"/>
          <w:szCs w:val="24"/>
        </w:rPr>
        <w:t xml:space="preserve"> </w:t>
      </w:r>
      <w:r>
        <w:rPr>
          <w:rFonts w:hint="eastAsia" w:ascii="宋体" w:hAnsi="宋体" w:eastAsia="宋体" w:cs="宋体"/>
          <w:color w:val="auto"/>
          <w:spacing w:val="-11"/>
          <w:sz w:val="24"/>
          <w:szCs w:val="24"/>
        </w:rPr>
        <w:t>单</w:t>
      </w:r>
      <w:r>
        <w:rPr>
          <w:rFonts w:hint="eastAsia" w:ascii="宋体" w:hAnsi="宋体" w:eastAsia="宋体" w:cs="宋体"/>
          <w:color w:val="auto"/>
          <w:spacing w:val="1"/>
          <w:sz w:val="24"/>
          <w:szCs w:val="24"/>
        </w:rPr>
        <w:t>位的</w:t>
      </w:r>
      <w:r>
        <w:rPr>
          <w:rFonts w:hint="eastAsia" w:ascii="宋体" w:hAnsi="宋体" w:eastAsia="宋体" w:cs="宋体"/>
          <w:color w:val="auto"/>
          <w:spacing w:val="-105"/>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83"/>
          <w:sz w:val="24"/>
          <w:szCs w:val="24"/>
        </w:rPr>
        <w:t xml:space="preserve"> </w:t>
      </w:r>
      <w:r>
        <w:rPr>
          <w:rFonts w:hint="eastAsia" w:ascii="宋体" w:hAnsi="宋体" w:eastAsia="宋体" w:cs="宋体"/>
          <w:color w:val="auto"/>
          <w:spacing w:val="1"/>
          <w:sz w:val="24"/>
          <w:szCs w:val="24"/>
        </w:rPr>
        <w:t>项目采购活动提供本单位制造的货物（</w:t>
      </w:r>
      <w:r>
        <w:rPr>
          <w:rFonts w:hint="eastAsia" w:ascii="宋体" w:hAnsi="宋体" w:eastAsia="宋体" w:cs="宋体"/>
          <w:color w:val="auto"/>
          <w:sz w:val="24"/>
          <w:szCs w:val="24"/>
        </w:rPr>
        <w:t>由本单位承担工程/提供服务</w:t>
      </w:r>
      <w:r>
        <w:rPr>
          <w:rFonts w:hint="eastAsia" w:ascii="宋体" w:hAnsi="宋体" w:eastAsia="宋体" w:cs="宋体"/>
          <w:color w:val="auto"/>
          <w:spacing w:val="1"/>
          <w:sz w:val="24"/>
          <w:szCs w:val="24"/>
        </w:rPr>
        <w:t>），</w:t>
      </w:r>
      <w:r>
        <w:rPr>
          <w:rFonts w:hint="eastAsia" w:ascii="宋体" w:hAnsi="宋体" w:eastAsia="宋体" w:cs="宋体"/>
          <w:color w:val="auto"/>
          <w:sz w:val="24"/>
          <w:szCs w:val="24"/>
        </w:rPr>
        <w:t>或者提供其他残疾人福利性单位制造的货物（不包括使用非</w:t>
      </w:r>
      <w:r>
        <w:rPr>
          <w:rFonts w:hint="eastAsia" w:ascii="宋体" w:hAnsi="宋体" w:eastAsia="宋体" w:cs="宋体"/>
          <w:color w:val="auto"/>
          <w:spacing w:val="-1"/>
          <w:sz w:val="24"/>
          <w:szCs w:val="24"/>
        </w:rPr>
        <w:t>残疾人福利性单位注册商标的货物）。</w:t>
      </w:r>
    </w:p>
    <w:p w14:paraId="4D20C7FB">
      <w:pPr>
        <w:keepNext w:val="0"/>
        <w:keepLines w:val="0"/>
        <w:pageBreakBefore w:val="0"/>
        <w:widowControl/>
        <w:kinsoku/>
        <w:wordWrap/>
        <w:overflowPunct w:val="0"/>
        <w:topLinePunct w:val="0"/>
        <w:autoSpaceDE w:val="0"/>
        <w:autoSpaceDN w:val="0"/>
        <w:bidi w:val="0"/>
        <w:adjustRightInd w:val="0"/>
        <w:snapToGrid w:val="0"/>
        <w:spacing w:before="31" w:line="360" w:lineRule="auto"/>
        <w:textAlignment w:val="baseline"/>
        <w:rPr>
          <w:rFonts w:ascii="宋体" w:hAnsi="宋体" w:eastAsia="宋体" w:cs="宋体"/>
          <w:color w:val="auto"/>
          <w:sz w:val="26"/>
          <w:szCs w:val="26"/>
        </w:rPr>
      </w:pPr>
      <w:r>
        <w:rPr>
          <w:rFonts w:hint="eastAsia" w:ascii="宋体" w:hAnsi="宋体" w:eastAsia="宋体" w:cs="宋体"/>
          <w:color w:val="auto"/>
          <w:sz w:val="24"/>
          <w:szCs w:val="24"/>
        </w:rPr>
        <w:t>本单位对上述声明的真实性负责。如有虚假，将依法承担相</w:t>
      </w:r>
      <w:r>
        <w:rPr>
          <w:rFonts w:hint="eastAsia" w:ascii="宋体" w:hAnsi="宋体" w:eastAsia="宋体" w:cs="宋体"/>
          <w:color w:val="auto"/>
          <w:spacing w:val="-1"/>
          <w:sz w:val="24"/>
          <w:szCs w:val="24"/>
        </w:rPr>
        <w:t>应责任</w:t>
      </w:r>
      <w:r>
        <w:rPr>
          <w:rFonts w:hint="eastAsia" w:ascii="宋体" w:hAnsi="宋体" w:eastAsia="宋体" w:cs="宋体"/>
          <w:color w:val="auto"/>
          <w:spacing w:val="-1"/>
          <w:sz w:val="26"/>
          <w:szCs w:val="26"/>
        </w:rPr>
        <w:t>。</w:t>
      </w:r>
    </w:p>
    <w:p w14:paraId="66D381A5">
      <w:pPr>
        <w:pStyle w:val="6"/>
        <w:spacing w:line="270" w:lineRule="auto"/>
        <w:rPr>
          <w:color w:val="auto"/>
          <w:sz w:val="26"/>
          <w:szCs w:val="26"/>
        </w:rPr>
      </w:pPr>
    </w:p>
    <w:p w14:paraId="5F80C9A3">
      <w:pPr>
        <w:pStyle w:val="6"/>
        <w:spacing w:line="270" w:lineRule="auto"/>
        <w:rPr>
          <w:color w:val="auto"/>
          <w:sz w:val="26"/>
          <w:szCs w:val="26"/>
        </w:rPr>
      </w:pPr>
    </w:p>
    <w:p w14:paraId="088681ED">
      <w:pPr>
        <w:pStyle w:val="6"/>
        <w:spacing w:line="270" w:lineRule="auto"/>
        <w:rPr>
          <w:color w:val="auto"/>
          <w:sz w:val="26"/>
          <w:szCs w:val="26"/>
        </w:rPr>
      </w:pPr>
    </w:p>
    <w:p w14:paraId="6E130368">
      <w:pPr>
        <w:pStyle w:val="6"/>
        <w:spacing w:line="270" w:lineRule="auto"/>
        <w:rPr>
          <w:color w:val="auto"/>
          <w:sz w:val="26"/>
          <w:szCs w:val="26"/>
        </w:rPr>
      </w:pPr>
    </w:p>
    <w:p w14:paraId="4147C977">
      <w:pPr>
        <w:spacing w:before="68" w:line="398" w:lineRule="auto"/>
        <w:ind w:right="1958"/>
        <w:jc w:val="right"/>
        <w:rPr>
          <w:rFonts w:ascii="宋体" w:hAnsi="宋体" w:eastAsia="宋体" w:cs="宋体"/>
          <w:color w:val="auto"/>
          <w:spacing w:val="1"/>
          <w:sz w:val="26"/>
          <w:szCs w:val="26"/>
        </w:rPr>
      </w:pPr>
      <w:r>
        <w:rPr>
          <w:rFonts w:hint="eastAsia" w:ascii="宋体" w:hAnsi="宋体" w:eastAsia="宋体" w:cs="宋体"/>
          <w:color w:val="auto"/>
          <w:spacing w:val="1"/>
          <w:sz w:val="26"/>
          <w:szCs w:val="26"/>
        </w:rPr>
        <w:t>单位名称</w:t>
      </w:r>
      <w:r>
        <w:rPr>
          <w:rFonts w:hint="eastAsia" w:ascii="宋体" w:hAnsi="宋体" w:eastAsia="宋体" w:cs="宋体"/>
          <w:color w:val="auto"/>
          <w:spacing w:val="-16"/>
          <w:sz w:val="26"/>
          <w:szCs w:val="26"/>
        </w:rPr>
        <w:t>：（</w:t>
      </w:r>
      <w:r>
        <w:rPr>
          <w:rFonts w:hint="eastAsia" w:ascii="宋体" w:hAnsi="宋体" w:eastAsia="宋体" w:cs="宋体"/>
          <w:color w:val="auto"/>
          <w:spacing w:val="1"/>
          <w:sz w:val="26"/>
          <w:szCs w:val="26"/>
        </w:rPr>
        <w:t xml:space="preserve">盖章） </w:t>
      </w:r>
    </w:p>
    <w:p w14:paraId="3BAAAEA8">
      <w:pPr>
        <w:spacing w:before="68" w:line="398" w:lineRule="auto"/>
        <w:ind w:right="1958"/>
        <w:jc w:val="center"/>
        <w:rPr>
          <w:rFonts w:ascii="宋体" w:hAnsi="宋体" w:eastAsia="宋体" w:cs="宋体"/>
          <w:color w:val="auto"/>
          <w:sz w:val="26"/>
          <w:szCs w:val="26"/>
        </w:rPr>
      </w:pPr>
      <w:r>
        <w:rPr>
          <w:rFonts w:hint="eastAsia" w:ascii="宋体" w:hAnsi="宋体" w:eastAsia="宋体" w:cs="宋体"/>
          <w:color w:val="auto"/>
          <w:spacing w:val="-18"/>
          <w:sz w:val="26"/>
          <w:szCs w:val="26"/>
          <w:lang w:val="en-US" w:eastAsia="zh-CN"/>
        </w:rPr>
        <w:t xml:space="preserve">                               </w:t>
      </w:r>
      <w:r>
        <w:rPr>
          <w:rFonts w:hint="eastAsia" w:ascii="宋体" w:hAnsi="宋体" w:eastAsia="宋体" w:cs="宋体"/>
          <w:color w:val="auto"/>
          <w:spacing w:val="-18"/>
          <w:sz w:val="26"/>
          <w:szCs w:val="26"/>
        </w:rPr>
        <w:t>日</w:t>
      </w:r>
      <w:r>
        <w:rPr>
          <w:rFonts w:hint="eastAsia" w:ascii="宋体" w:hAnsi="宋体" w:eastAsia="宋体" w:cs="宋体"/>
          <w:color w:val="auto"/>
          <w:spacing w:val="4"/>
          <w:sz w:val="26"/>
          <w:szCs w:val="26"/>
        </w:rPr>
        <w:t xml:space="preserve">  </w:t>
      </w:r>
      <w:r>
        <w:rPr>
          <w:rFonts w:hint="eastAsia" w:ascii="宋体" w:hAnsi="宋体" w:eastAsia="宋体" w:cs="宋体"/>
          <w:color w:val="auto"/>
          <w:spacing w:val="-18"/>
          <w:sz w:val="26"/>
          <w:szCs w:val="26"/>
        </w:rPr>
        <w:t>期：</w:t>
      </w:r>
    </w:p>
    <w:p w14:paraId="55FBAC09">
      <w:pPr>
        <w:pStyle w:val="6"/>
        <w:spacing w:line="426" w:lineRule="auto"/>
        <w:rPr>
          <w:color w:val="auto"/>
          <w:sz w:val="26"/>
          <w:szCs w:val="26"/>
        </w:rPr>
      </w:pPr>
    </w:p>
    <w:p w14:paraId="41EB3A0A">
      <w:pPr>
        <w:spacing w:before="69" w:line="220" w:lineRule="auto"/>
        <w:ind w:left="2"/>
        <w:rPr>
          <w:rFonts w:ascii="宋体" w:hAnsi="宋体" w:eastAsia="宋体" w:cs="宋体"/>
          <w:color w:val="auto"/>
          <w:sz w:val="26"/>
          <w:szCs w:val="26"/>
        </w:rPr>
      </w:pPr>
      <w:r>
        <w:rPr>
          <w:rFonts w:hint="eastAsia" w:ascii="宋体" w:hAnsi="宋体" w:eastAsia="宋体" w:cs="宋体"/>
          <w:color w:val="auto"/>
          <w:sz w:val="24"/>
          <w:szCs w:val="24"/>
        </w:rPr>
        <w:t>说明：该声明函是针对残疾人福利性单位的，非</w:t>
      </w:r>
      <w:r>
        <w:rPr>
          <w:rFonts w:hint="eastAsia" w:ascii="宋体" w:hAnsi="宋体" w:eastAsia="宋体" w:cs="宋体"/>
          <w:color w:val="auto"/>
          <w:spacing w:val="-1"/>
          <w:sz w:val="24"/>
          <w:szCs w:val="24"/>
        </w:rPr>
        <w:t>残疾人福利性单位投标时不用提供该声明。</w:t>
      </w:r>
    </w:p>
    <w:p w14:paraId="4AC5E67D">
      <w:pPr>
        <w:spacing w:before="101" w:line="221" w:lineRule="auto"/>
        <w:ind w:left="3748" w:firstLine="252"/>
        <w:outlineLvl w:val="1"/>
        <w:rPr>
          <w:rFonts w:ascii="宋体" w:hAnsi="宋体" w:eastAsia="宋体" w:cs="宋体"/>
          <w:color w:val="auto"/>
          <w:sz w:val="26"/>
          <w:szCs w:val="26"/>
        </w:rPr>
      </w:pPr>
      <w:r>
        <w:rPr>
          <w:rFonts w:hint="eastAsia" w:ascii="宋体" w:hAnsi="宋体" w:eastAsia="宋体" w:cs="宋体"/>
          <w:b/>
          <w:bCs/>
          <w:color w:val="auto"/>
          <w:spacing w:val="-4"/>
          <w:sz w:val="26"/>
          <w:szCs w:val="26"/>
        </w:rPr>
        <w:br w:type="page"/>
      </w:r>
      <w:bookmarkStart w:id="442" w:name="_Toc25020"/>
      <w:bookmarkStart w:id="443" w:name="_Toc7157"/>
      <w:r>
        <w:rPr>
          <w:rFonts w:hint="eastAsia" w:ascii="宋体" w:hAnsi="宋体" w:eastAsia="宋体" w:cs="宋体"/>
          <w:b/>
          <w:bCs/>
          <w:color w:val="auto"/>
          <w:spacing w:val="-4"/>
          <w:sz w:val="26"/>
          <w:szCs w:val="26"/>
        </w:rPr>
        <w:t>监狱企业证明函</w:t>
      </w:r>
      <w:bookmarkEnd w:id="442"/>
      <w:bookmarkEnd w:id="443"/>
    </w:p>
    <w:p w14:paraId="40DC021E">
      <w:pPr>
        <w:pStyle w:val="6"/>
        <w:spacing w:line="437" w:lineRule="auto"/>
        <w:rPr>
          <w:color w:val="auto"/>
          <w:sz w:val="26"/>
          <w:szCs w:val="26"/>
        </w:rPr>
      </w:pPr>
    </w:p>
    <w:p w14:paraId="2D03C405">
      <w:pPr>
        <w:spacing w:before="68" w:line="360" w:lineRule="auto"/>
        <w:ind w:left="14" w:firstLine="719"/>
        <w:rPr>
          <w:rFonts w:ascii="宋体" w:hAnsi="宋体" w:eastAsia="宋体" w:cs="宋体"/>
          <w:color w:val="auto"/>
          <w:sz w:val="24"/>
          <w:szCs w:val="24"/>
        </w:rPr>
      </w:pPr>
      <w:r>
        <w:rPr>
          <w:rFonts w:hint="eastAsia" w:ascii="宋体" w:hAnsi="宋体" w:eastAsia="宋体" w:cs="宋体"/>
          <w:color w:val="auto"/>
          <w:sz w:val="24"/>
          <w:szCs w:val="24"/>
        </w:rPr>
        <w:t>根据《财政部司法部关于政府采购支持监狱企业发展</w:t>
      </w:r>
      <w:r>
        <w:rPr>
          <w:rFonts w:hint="eastAsia" w:ascii="宋体" w:hAnsi="宋体" w:eastAsia="宋体" w:cs="宋体"/>
          <w:color w:val="auto"/>
          <w:spacing w:val="-1"/>
          <w:sz w:val="24"/>
          <w:szCs w:val="24"/>
        </w:rPr>
        <w:t>有关问题的通知》（财库[2014]68 号）</w:t>
      </w:r>
      <w:r>
        <w:rPr>
          <w:rFonts w:hint="eastAsia" w:ascii="宋体" w:hAnsi="宋体" w:eastAsia="宋体" w:cs="宋体"/>
          <w:color w:val="auto"/>
          <w:spacing w:val="-4"/>
          <w:sz w:val="24"/>
          <w:szCs w:val="24"/>
        </w:rPr>
        <w:t>的规定，(填写投标人法定全称）为监狱企业。</w:t>
      </w:r>
    </w:p>
    <w:p w14:paraId="652E128B">
      <w:pPr>
        <w:spacing w:before="29" w:line="360" w:lineRule="auto"/>
        <w:ind w:left="417"/>
        <w:rPr>
          <w:rFonts w:ascii="宋体" w:hAnsi="宋体" w:eastAsia="宋体" w:cs="宋体"/>
          <w:color w:val="auto"/>
          <w:sz w:val="24"/>
          <w:szCs w:val="24"/>
        </w:rPr>
      </w:pPr>
      <w:r>
        <w:rPr>
          <w:rFonts w:hint="eastAsia" w:ascii="宋体" w:hAnsi="宋体" w:eastAsia="宋体" w:cs="宋体"/>
          <w:color w:val="auto"/>
          <w:spacing w:val="-5"/>
          <w:sz w:val="24"/>
          <w:szCs w:val="24"/>
        </w:rPr>
        <w:t>特此证明。</w:t>
      </w:r>
    </w:p>
    <w:p w14:paraId="29C43677">
      <w:pPr>
        <w:pStyle w:val="6"/>
        <w:spacing w:line="360" w:lineRule="auto"/>
        <w:rPr>
          <w:color w:val="auto"/>
          <w:sz w:val="24"/>
          <w:szCs w:val="24"/>
        </w:rPr>
      </w:pPr>
    </w:p>
    <w:p w14:paraId="41E73460">
      <w:pPr>
        <w:pStyle w:val="6"/>
        <w:spacing w:line="360" w:lineRule="auto"/>
        <w:rPr>
          <w:color w:val="auto"/>
          <w:sz w:val="24"/>
          <w:szCs w:val="24"/>
        </w:rPr>
      </w:pPr>
    </w:p>
    <w:p w14:paraId="6FAD132C">
      <w:pPr>
        <w:spacing w:before="69" w:line="360" w:lineRule="auto"/>
        <w:ind w:left="420"/>
        <w:rPr>
          <w:rFonts w:ascii="宋体" w:hAnsi="宋体" w:eastAsia="宋体" w:cs="宋体"/>
          <w:color w:val="auto"/>
          <w:sz w:val="24"/>
          <w:szCs w:val="24"/>
        </w:rPr>
      </w:pPr>
      <w:r>
        <w:rPr>
          <w:rFonts w:hint="eastAsia" w:ascii="宋体" w:hAnsi="宋体" w:eastAsia="宋体" w:cs="宋体"/>
          <w:color w:val="auto"/>
          <w:spacing w:val="-1"/>
          <w:sz w:val="24"/>
          <w:szCs w:val="24"/>
        </w:rPr>
        <w:t>省级以上监狱管理局、戒毒管理局（含新疆生产建设兵团）(盖章）:</w:t>
      </w:r>
    </w:p>
    <w:p w14:paraId="091DAC44">
      <w:pPr>
        <w:pStyle w:val="6"/>
        <w:spacing w:line="360" w:lineRule="auto"/>
        <w:rPr>
          <w:color w:val="auto"/>
          <w:sz w:val="24"/>
          <w:szCs w:val="24"/>
        </w:rPr>
      </w:pPr>
    </w:p>
    <w:p w14:paraId="413FBB24">
      <w:pPr>
        <w:pStyle w:val="6"/>
        <w:spacing w:line="360" w:lineRule="auto"/>
        <w:rPr>
          <w:color w:val="auto"/>
          <w:sz w:val="24"/>
          <w:szCs w:val="24"/>
        </w:rPr>
      </w:pPr>
    </w:p>
    <w:p w14:paraId="32D03B98">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注：监狱企业参加政府采购活动时，应当提供由省级以上</w:t>
      </w:r>
      <w:r>
        <w:rPr>
          <w:rFonts w:hint="eastAsia" w:ascii="宋体" w:hAnsi="宋体" w:eastAsia="宋体" w:cs="宋体"/>
          <w:color w:val="auto"/>
          <w:spacing w:val="-2"/>
          <w:sz w:val="24"/>
          <w:szCs w:val="24"/>
        </w:rPr>
        <w:t>监狱管理局、戒毒管理局（含新疆生产</w:t>
      </w:r>
      <w:r>
        <w:rPr>
          <w:rFonts w:hint="eastAsia" w:ascii="宋体" w:hAnsi="宋体" w:eastAsia="宋体" w:cs="宋体"/>
          <w:color w:val="auto"/>
          <w:spacing w:val="-1"/>
          <w:sz w:val="24"/>
          <w:szCs w:val="24"/>
        </w:rPr>
        <w:t>建设兵团）出具的属于监狱企业的证明文件</w:t>
      </w:r>
      <w:r>
        <w:rPr>
          <w:rFonts w:hint="eastAsia" w:ascii="宋体" w:hAnsi="宋体" w:eastAsia="宋体" w:cs="宋体"/>
          <w:color w:val="auto"/>
          <w:spacing w:val="-1"/>
          <w:sz w:val="24"/>
          <w:szCs w:val="24"/>
          <w:lang w:eastAsia="zh-CN"/>
        </w:rPr>
        <w:t>。</w:t>
      </w:r>
    </w:p>
    <w:p w14:paraId="5C04C5C8">
      <w:pPr>
        <w:spacing w:before="69" w:line="360" w:lineRule="auto"/>
        <w:ind w:right="38" w:firstLine="417"/>
        <w:rPr>
          <w:rFonts w:hint="eastAsia" w:ascii="宋体" w:hAnsi="宋体" w:eastAsia="宋体" w:cs="宋体"/>
          <w:color w:val="auto"/>
          <w:spacing w:val="-1"/>
          <w:sz w:val="24"/>
          <w:szCs w:val="24"/>
          <w:lang w:eastAsia="zh-CN"/>
        </w:rPr>
      </w:pPr>
    </w:p>
    <w:p w14:paraId="5F1EDE5E">
      <w:pPr>
        <w:spacing w:before="69" w:line="398" w:lineRule="auto"/>
        <w:ind w:right="38" w:firstLine="417"/>
        <w:rPr>
          <w:rFonts w:hint="eastAsia" w:ascii="宋体" w:hAnsi="宋体" w:eastAsia="宋体" w:cs="宋体"/>
          <w:color w:val="auto"/>
          <w:spacing w:val="-1"/>
          <w:sz w:val="26"/>
          <w:szCs w:val="26"/>
          <w:lang w:eastAsia="zh-CN"/>
        </w:rPr>
      </w:pPr>
    </w:p>
    <w:p w14:paraId="08D680A0">
      <w:pPr>
        <w:spacing w:before="69" w:line="398" w:lineRule="auto"/>
        <w:ind w:right="38" w:firstLine="417"/>
        <w:rPr>
          <w:rFonts w:hint="eastAsia" w:ascii="宋体" w:hAnsi="宋体" w:eastAsia="宋体" w:cs="宋体"/>
          <w:color w:val="auto"/>
          <w:spacing w:val="-1"/>
          <w:sz w:val="26"/>
          <w:szCs w:val="26"/>
          <w:lang w:eastAsia="zh-CN"/>
        </w:rPr>
      </w:pPr>
    </w:p>
    <w:p w14:paraId="1638172D">
      <w:pPr>
        <w:spacing w:before="69" w:line="398" w:lineRule="auto"/>
        <w:ind w:right="38" w:firstLine="417"/>
        <w:rPr>
          <w:rFonts w:hint="eastAsia" w:ascii="宋体" w:hAnsi="宋体" w:eastAsia="宋体" w:cs="宋体"/>
          <w:color w:val="auto"/>
          <w:spacing w:val="-1"/>
          <w:sz w:val="26"/>
          <w:szCs w:val="26"/>
          <w:lang w:eastAsia="zh-CN"/>
        </w:rPr>
      </w:pPr>
    </w:p>
    <w:p w14:paraId="751E4240">
      <w:pPr>
        <w:spacing w:before="69" w:line="398" w:lineRule="auto"/>
        <w:ind w:right="38" w:firstLine="417"/>
        <w:rPr>
          <w:rFonts w:hint="eastAsia" w:ascii="宋体" w:hAnsi="宋体" w:eastAsia="宋体" w:cs="宋体"/>
          <w:color w:val="auto"/>
          <w:spacing w:val="-1"/>
          <w:sz w:val="26"/>
          <w:szCs w:val="26"/>
          <w:lang w:eastAsia="zh-CN"/>
        </w:rPr>
      </w:pPr>
    </w:p>
    <w:p w14:paraId="258D87AB">
      <w:pPr>
        <w:spacing w:before="69" w:line="398" w:lineRule="auto"/>
        <w:ind w:right="38" w:firstLine="417"/>
        <w:rPr>
          <w:rFonts w:hint="eastAsia" w:ascii="宋体" w:hAnsi="宋体" w:eastAsia="宋体" w:cs="宋体"/>
          <w:color w:val="auto"/>
          <w:spacing w:val="-1"/>
          <w:sz w:val="26"/>
          <w:szCs w:val="26"/>
          <w:lang w:eastAsia="zh-CN"/>
        </w:rPr>
      </w:pPr>
    </w:p>
    <w:p w14:paraId="36DC78D0">
      <w:pPr>
        <w:spacing w:before="69" w:line="398" w:lineRule="auto"/>
        <w:ind w:right="38" w:firstLine="417"/>
        <w:rPr>
          <w:rFonts w:hint="eastAsia" w:ascii="宋体" w:hAnsi="宋体" w:eastAsia="宋体" w:cs="宋体"/>
          <w:color w:val="auto"/>
          <w:spacing w:val="-1"/>
          <w:sz w:val="26"/>
          <w:szCs w:val="26"/>
          <w:lang w:eastAsia="zh-CN"/>
        </w:rPr>
      </w:pPr>
    </w:p>
    <w:p w14:paraId="758ED1A0">
      <w:pPr>
        <w:spacing w:before="69" w:line="398" w:lineRule="auto"/>
        <w:ind w:right="38" w:firstLine="417"/>
        <w:rPr>
          <w:rFonts w:hint="eastAsia" w:ascii="宋体" w:hAnsi="宋体" w:eastAsia="宋体" w:cs="宋体"/>
          <w:color w:val="auto"/>
          <w:spacing w:val="-1"/>
          <w:sz w:val="26"/>
          <w:szCs w:val="26"/>
          <w:lang w:eastAsia="zh-CN"/>
        </w:rPr>
      </w:pPr>
    </w:p>
    <w:p w14:paraId="701DE5FB">
      <w:pPr>
        <w:spacing w:before="69" w:line="398" w:lineRule="auto"/>
        <w:ind w:right="38" w:firstLine="417"/>
        <w:rPr>
          <w:rFonts w:hint="eastAsia" w:ascii="宋体" w:hAnsi="宋体" w:eastAsia="宋体" w:cs="宋体"/>
          <w:color w:val="auto"/>
          <w:spacing w:val="-1"/>
          <w:sz w:val="26"/>
          <w:szCs w:val="26"/>
          <w:lang w:eastAsia="zh-CN"/>
        </w:rPr>
      </w:pPr>
    </w:p>
    <w:p w14:paraId="65F330FF">
      <w:pPr>
        <w:spacing w:before="69" w:line="398" w:lineRule="auto"/>
        <w:ind w:right="38" w:firstLine="417"/>
        <w:rPr>
          <w:rFonts w:hint="eastAsia" w:ascii="宋体" w:hAnsi="宋体" w:eastAsia="宋体" w:cs="宋体"/>
          <w:color w:val="auto"/>
          <w:spacing w:val="-1"/>
          <w:sz w:val="26"/>
          <w:szCs w:val="26"/>
          <w:lang w:eastAsia="zh-CN"/>
        </w:rPr>
      </w:pPr>
    </w:p>
    <w:p w14:paraId="18FD32BA">
      <w:pPr>
        <w:spacing w:before="69" w:line="398" w:lineRule="auto"/>
        <w:ind w:right="38" w:firstLine="417"/>
        <w:rPr>
          <w:rFonts w:hint="eastAsia" w:ascii="宋体" w:hAnsi="宋体" w:eastAsia="宋体" w:cs="宋体"/>
          <w:color w:val="auto"/>
          <w:spacing w:val="-1"/>
          <w:sz w:val="26"/>
          <w:szCs w:val="26"/>
          <w:lang w:eastAsia="zh-CN"/>
        </w:rPr>
      </w:pPr>
    </w:p>
    <w:p w14:paraId="2613256F">
      <w:pPr>
        <w:spacing w:before="69" w:line="398" w:lineRule="auto"/>
        <w:ind w:right="38" w:firstLine="417"/>
        <w:rPr>
          <w:rFonts w:hint="eastAsia" w:ascii="宋体" w:hAnsi="宋体" w:eastAsia="宋体" w:cs="宋体"/>
          <w:color w:val="auto"/>
          <w:spacing w:val="-1"/>
          <w:sz w:val="26"/>
          <w:szCs w:val="26"/>
          <w:lang w:eastAsia="zh-CN"/>
        </w:rPr>
      </w:pPr>
    </w:p>
    <w:p w14:paraId="007356FD">
      <w:pPr>
        <w:spacing w:before="69" w:line="398" w:lineRule="auto"/>
        <w:ind w:right="38" w:firstLine="417"/>
        <w:rPr>
          <w:rFonts w:hint="eastAsia" w:ascii="宋体" w:hAnsi="宋体" w:eastAsia="宋体" w:cs="宋体"/>
          <w:color w:val="auto"/>
          <w:spacing w:val="-1"/>
          <w:sz w:val="26"/>
          <w:szCs w:val="26"/>
          <w:lang w:eastAsia="zh-CN"/>
        </w:rPr>
      </w:pPr>
    </w:p>
    <w:p w14:paraId="789751AA">
      <w:pPr>
        <w:spacing w:before="101" w:line="221" w:lineRule="auto"/>
        <w:jc w:val="center"/>
        <w:outlineLvl w:val="1"/>
        <w:rPr>
          <w:rFonts w:hint="eastAsia" w:ascii="宋体" w:hAnsi="宋体" w:eastAsia="宋体" w:cs="宋体"/>
          <w:b/>
          <w:bCs/>
          <w:color w:val="auto"/>
          <w:spacing w:val="-4"/>
          <w:sz w:val="26"/>
          <w:szCs w:val="26"/>
        </w:rPr>
      </w:pPr>
      <w:bookmarkStart w:id="444" w:name="_Toc14023"/>
      <w:r>
        <w:rPr>
          <w:rFonts w:hint="eastAsia" w:ascii="宋体" w:hAnsi="宋体" w:eastAsia="宋体" w:cs="宋体"/>
          <w:b/>
          <w:bCs/>
          <w:color w:val="auto"/>
          <w:spacing w:val="-4"/>
          <w:sz w:val="26"/>
          <w:szCs w:val="26"/>
        </w:rPr>
        <w:t>政</w:t>
      </w:r>
      <w:r>
        <w:rPr>
          <w:rFonts w:hint="eastAsia" w:ascii="宋体" w:hAnsi="宋体" w:eastAsia="宋体" w:cs="宋体"/>
          <w:b/>
          <w:bCs/>
          <w:color w:val="auto"/>
          <w:spacing w:val="-4"/>
          <w:sz w:val="26"/>
          <w:szCs w:val="26"/>
          <w:lang w:val="en-US" w:eastAsia="en-US"/>
        </w:rPr>
        <w:t>府采购投标人信用承诺函</w:t>
      </w:r>
      <w:bookmarkEnd w:id="444"/>
    </w:p>
    <w:p w14:paraId="34BAD72B">
      <w:pPr>
        <w:spacing w:before="69" w:line="398" w:lineRule="auto"/>
        <w:ind w:right="38" w:firstLine="417"/>
        <w:rPr>
          <w:rFonts w:hint="eastAsia" w:ascii="宋体" w:hAnsi="宋体" w:eastAsia="宋体" w:cs="宋体"/>
          <w:color w:val="auto"/>
          <w:spacing w:val="-1"/>
          <w:sz w:val="26"/>
          <w:szCs w:val="26"/>
          <w:lang w:eastAsia="zh-CN"/>
        </w:rPr>
      </w:pPr>
    </w:p>
    <w:p w14:paraId="57B362EA">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致</w:t>
      </w:r>
      <w:r>
        <w:rPr>
          <w:rFonts w:hint="eastAsia" w:ascii="宋体" w:hAnsi="宋体" w:eastAsia="宋体" w:cs="宋体"/>
          <w:color w:val="auto"/>
          <w:spacing w:val="-1"/>
          <w:sz w:val="24"/>
          <w:szCs w:val="24"/>
          <w:u w:val="single"/>
          <w:lang w:eastAsia="zh-CN"/>
        </w:rPr>
        <w:t xml:space="preserve">   （采购人或采购代理机构）</w:t>
      </w:r>
      <w:r>
        <w:rPr>
          <w:rFonts w:hint="eastAsia" w:ascii="宋体" w:hAnsi="宋体" w:eastAsia="宋体" w:cs="宋体"/>
          <w:color w:val="auto"/>
          <w:spacing w:val="-1"/>
          <w:sz w:val="24"/>
          <w:szCs w:val="24"/>
          <w:lang w:eastAsia="zh-CN"/>
        </w:rPr>
        <w:t xml:space="preserve"> ：</w:t>
      </w:r>
    </w:p>
    <w:p w14:paraId="52DFB1E6">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单位名称：</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lang w:eastAsia="zh-CN"/>
        </w:rPr>
        <w:t xml:space="preserve">                 </w:t>
      </w:r>
    </w:p>
    <w:p w14:paraId="00A396B8">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统一社会信用代码：</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lang w:eastAsia="zh-CN"/>
        </w:rPr>
        <w:t xml:space="preserve">                                </w:t>
      </w:r>
    </w:p>
    <w:p w14:paraId="66F196A2">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法定代表人：</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lang w:eastAsia="zh-CN"/>
        </w:rPr>
        <w:t xml:space="preserve">                                       </w:t>
      </w:r>
    </w:p>
    <w:p w14:paraId="0337E73A">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联系地址和电话：</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lang w:eastAsia="zh-CN"/>
        </w:rPr>
        <w:t xml:space="preserve">                                  </w:t>
      </w:r>
    </w:p>
    <w:p w14:paraId="795C97A7">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14:paraId="4FAB879F">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（1）具有良好的商业信誉的证明材料；</w:t>
      </w:r>
    </w:p>
    <w:p w14:paraId="724C8C3F">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（2）符合国家相关规定的财务状况报告；</w:t>
      </w:r>
    </w:p>
    <w:p w14:paraId="7B0688E8">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（3）具备履行政府采购合同所必需的设备和专业技术能力的证明材料；</w:t>
      </w:r>
    </w:p>
    <w:p w14:paraId="56FF70CC">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（4）依法缴纳税收和社会保障资金的证明材料；</w:t>
      </w:r>
    </w:p>
    <w:p w14:paraId="60979F39">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（5）参加政府采购活动前三年内在经营活动中没有重大违法记录的证明材料；</w:t>
      </w:r>
    </w:p>
    <w:p w14:paraId="727AAFCA">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（6）未被列入失信被执行人、重大税收违法失信主体、政府采购严重违法失信行为记录名单；</w:t>
      </w:r>
    </w:p>
    <w:p w14:paraId="6F2D41F3">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我单位保证上述承诺事项的真实性，如有弄虚作假或其他违法违规行为，愿意承担一切法律责任，并承担因此所造成的一切损失。</w:t>
      </w:r>
    </w:p>
    <w:p w14:paraId="32A1C4EA">
      <w:pPr>
        <w:spacing w:before="69" w:line="360" w:lineRule="auto"/>
        <w:ind w:right="38" w:firstLine="417"/>
        <w:rPr>
          <w:rFonts w:hint="eastAsia" w:ascii="宋体" w:hAnsi="宋体" w:eastAsia="宋体" w:cs="宋体"/>
          <w:color w:val="auto"/>
          <w:spacing w:val="-1"/>
          <w:sz w:val="24"/>
          <w:szCs w:val="24"/>
          <w:lang w:eastAsia="zh-CN"/>
        </w:rPr>
      </w:pPr>
    </w:p>
    <w:p w14:paraId="7857C994">
      <w:pPr>
        <w:spacing w:before="69" w:line="360" w:lineRule="auto"/>
        <w:ind w:right="38" w:firstLine="4510" w:firstLineChars="189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投标人（企业电子章）：</w:t>
      </w:r>
    </w:p>
    <w:p w14:paraId="70ADDD3F">
      <w:pPr>
        <w:spacing w:before="69" w:line="360" w:lineRule="auto"/>
        <w:ind w:right="38" w:firstLine="4510" w:firstLineChars="189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法定代表人或授权代表(签字或电子印章)：</w:t>
      </w:r>
    </w:p>
    <w:p w14:paraId="0D6A55FD">
      <w:pPr>
        <w:spacing w:before="69" w:line="360" w:lineRule="auto"/>
        <w:ind w:right="38" w:firstLine="4522" w:firstLineChars="19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日期：        年        月        日</w:t>
      </w:r>
    </w:p>
    <w:p w14:paraId="1413F3F1">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注： 1.供应商须在响应文件中按此模板提供承诺函，未提供视为未实质性响应招标文件要求，按无效投标处理。</w:t>
      </w:r>
    </w:p>
    <w:p w14:paraId="432BA317">
      <w:pPr>
        <w:spacing w:before="69" w:line="360" w:lineRule="auto"/>
        <w:ind w:right="38" w:firstLine="417"/>
        <w:rPr>
          <w:rFonts w:asciiTheme="minorEastAsia" w:hAnsiTheme="minorEastAsia" w:eastAsiaTheme="minorEastAsia" w:cstheme="minorEastAsia"/>
          <w:b/>
          <w:bCs/>
          <w:spacing w:val="-4"/>
          <w:sz w:val="36"/>
          <w:szCs w:val="36"/>
          <w:lang w:eastAsia="zh-CN"/>
        </w:rPr>
      </w:pPr>
      <w:r>
        <w:rPr>
          <w:rFonts w:hint="eastAsia" w:ascii="宋体" w:hAnsi="宋体" w:eastAsia="宋体" w:cs="宋体"/>
          <w:color w:val="auto"/>
          <w:spacing w:val="-1"/>
          <w:sz w:val="24"/>
          <w:szCs w:val="24"/>
          <w:lang w:eastAsia="zh-CN"/>
        </w:rPr>
        <w:t>2. 供应商的法定代表人或者授权代表的签字或盖章应真实、有效，如由授权代表签字或盖章的，应提供“法定代表人授权书 ”。</w:t>
      </w:r>
    </w:p>
    <w:p w14:paraId="38E698B7">
      <w:pPr>
        <w:pStyle w:val="6"/>
        <w:spacing w:before="117" w:line="220" w:lineRule="auto"/>
        <w:ind w:left="3235"/>
        <w:outlineLvl w:val="0"/>
        <w:rPr>
          <w:rFonts w:hint="eastAsia" w:asciiTheme="minorEastAsia" w:hAnsiTheme="minorEastAsia" w:eastAsiaTheme="minorEastAsia" w:cstheme="minorEastAsia"/>
          <w:b/>
          <w:bCs/>
          <w:spacing w:val="-5"/>
          <w:sz w:val="36"/>
          <w:szCs w:val="36"/>
          <w:lang w:eastAsia="zh-CN"/>
        </w:rPr>
      </w:pPr>
      <w:bookmarkStart w:id="445" w:name="_Toc27265"/>
      <w:r>
        <w:rPr>
          <w:rFonts w:hint="eastAsia" w:asciiTheme="minorEastAsia" w:hAnsiTheme="minorEastAsia" w:eastAsiaTheme="minorEastAsia" w:cstheme="minorEastAsia"/>
          <w:b/>
          <w:bCs/>
          <w:spacing w:val="-5"/>
          <w:sz w:val="36"/>
          <w:szCs w:val="36"/>
          <w:lang w:eastAsia="zh-CN"/>
        </w:rPr>
        <w:t>第六部分 评分标准和方法</w:t>
      </w:r>
      <w:bookmarkEnd w:id="445"/>
    </w:p>
    <w:p w14:paraId="5465E4C1">
      <w:pPr>
        <w:pStyle w:val="6"/>
        <w:spacing w:before="97" w:line="214" w:lineRule="auto"/>
        <w:ind w:left="4046"/>
        <w:outlineLvl w:val="1"/>
        <w:rPr>
          <w:rFonts w:asciiTheme="minorEastAsia" w:hAnsiTheme="minorEastAsia" w:eastAsiaTheme="minorEastAsia" w:cstheme="minorEastAsia"/>
          <w:sz w:val="24"/>
          <w:szCs w:val="24"/>
        </w:rPr>
      </w:pPr>
      <w:bookmarkStart w:id="446" w:name="_Toc28144"/>
      <w:r>
        <w:rPr>
          <w:rFonts w:hint="eastAsia" w:asciiTheme="minorEastAsia" w:hAnsiTheme="minorEastAsia" w:eastAsiaTheme="minorEastAsia" w:cstheme="minorEastAsia"/>
          <w:b/>
          <w:bCs/>
          <w:spacing w:val="-3"/>
          <w:sz w:val="24"/>
          <w:szCs w:val="24"/>
        </w:rPr>
        <w:t>评标办法前附表</w:t>
      </w:r>
      <w:bookmarkEnd w:id="446"/>
    </w:p>
    <w:tbl>
      <w:tblPr>
        <w:tblStyle w:val="26"/>
        <w:tblW w:w="90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955"/>
        <w:gridCol w:w="492"/>
        <w:gridCol w:w="810"/>
        <w:gridCol w:w="1249"/>
        <w:gridCol w:w="4802"/>
      </w:tblGrid>
      <w:tr w14:paraId="05F7C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2162" w:type="dxa"/>
            <w:gridSpan w:val="3"/>
            <w:vAlign w:val="center"/>
          </w:tcPr>
          <w:p w14:paraId="4AAE863B">
            <w:pPr>
              <w:pStyle w:val="27"/>
              <w:spacing w:before="78" w:line="220"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条款号</w:t>
            </w:r>
          </w:p>
        </w:tc>
        <w:tc>
          <w:tcPr>
            <w:tcW w:w="2059" w:type="dxa"/>
            <w:gridSpan w:val="2"/>
            <w:vAlign w:val="center"/>
          </w:tcPr>
          <w:p w14:paraId="5A8D7299">
            <w:pPr>
              <w:pStyle w:val="27"/>
              <w:spacing w:before="78" w:line="220"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评审因素</w:t>
            </w:r>
          </w:p>
        </w:tc>
        <w:tc>
          <w:tcPr>
            <w:tcW w:w="4802" w:type="dxa"/>
            <w:vAlign w:val="center"/>
          </w:tcPr>
          <w:p w14:paraId="69D7C1EA">
            <w:pPr>
              <w:pStyle w:val="27"/>
              <w:spacing w:before="78" w:line="220"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评审标准</w:t>
            </w:r>
          </w:p>
        </w:tc>
      </w:tr>
      <w:tr w14:paraId="5EC4B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715" w:type="dxa"/>
            <w:vMerge w:val="restart"/>
            <w:tcBorders>
              <w:bottom w:val="nil"/>
            </w:tcBorders>
          </w:tcPr>
          <w:p w14:paraId="2149C9AA">
            <w:pPr>
              <w:spacing w:line="245" w:lineRule="auto"/>
              <w:rPr>
                <w:rFonts w:asciiTheme="minorEastAsia" w:hAnsiTheme="minorEastAsia" w:eastAsiaTheme="minorEastAsia" w:cstheme="minorEastAsia"/>
                <w:sz w:val="20"/>
                <w:szCs w:val="20"/>
              </w:rPr>
            </w:pPr>
          </w:p>
          <w:p w14:paraId="670E49F6">
            <w:pPr>
              <w:spacing w:line="246" w:lineRule="auto"/>
              <w:rPr>
                <w:rFonts w:asciiTheme="minorEastAsia" w:hAnsiTheme="minorEastAsia" w:eastAsiaTheme="minorEastAsia" w:cstheme="minorEastAsia"/>
                <w:sz w:val="20"/>
                <w:szCs w:val="20"/>
              </w:rPr>
            </w:pPr>
          </w:p>
          <w:p w14:paraId="356FBDA8">
            <w:pPr>
              <w:spacing w:line="246" w:lineRule="auto"/>
              <w:rPr>
                <w:rFonts w:asciiTheme="minorEastAsia" w:hAnsiTheme="minorEastAsia" w:eastAsiaTheme="minorEastAsia" w:cstheme="minorEastAsia"/>
                <w:sz w:val="20"/>
                <w:szCs w:val="20"/>
              </w:rPr>
            </w:pPr>
          </w:p>
          <w:p w14:paraId="532125DF">
            <w:pPr>
              <w:pStyle w:val="27"/>
              <w:spacing w:before="71" w:line="182" w:lineRule="auto"/>
              <w:ind w:left="166"/>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1.1.1</w:t>
            </w:r>
          </w:p>
        </w:tc>
        <w:tc>
          <w:tcPr>
            <w:tcW w:w="1447" w:type="dxa"/>
            <w:gridSpan w:val="2"/>
            <w:vMerge w:val="restart"/>
            <w:tcBorders>
              <w:bottom w:val="nil"/>
            </w:tcBorders>
            <w:vAlign w:val="center"/>
          </w:tcPr>
          <w:p w14:paraId="27C630EB">
            <w:pPr>
              <w:pStyle w:val="27"/>
              <w:spacing w:before="71" w:line="380" w:lineRule="auto"/>
              <w:ind w:right="198"/>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形式评审标</w:t>
            </w:r>
            <w:r>
              <w:rPr>
                <w:rFonts w:hint="eastAsia" w:asciiTheme="minorEastAsia" w:hAnsiTheme="minorEastAsia" w:eastAsiaTheme="minorEastAsia" w:cstheme="minorEastAsia"/>
                <w:sz w:val="20"/>
                <w:szCs w:val="20"/>
              </w:rPr>
              <w:t>准</w:t>
            </w:r>
          </w:p>
        </w:tc>
        <w:tc>
          <w:tcPr>
            <w:tcW w:w="2059" w:type="dxa"/>
            <w:gridSpan w:val="2"/>
            <w:vAlign w:val="center"/>
          </w:tcPr>
          <w:p w14:paraId="28BD659F">
            <w:pPr>
              <w:pStyle w:val="27"/>
              <w:spacing w:before="72" w:line="221"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投标人名称</w:t>
            </w:r>
          </w:p>
        </w:tc>
        <w:tc>
          <w:tcPr>
            <w:tcW w:w="4802" w:type="dxa"/>
            <w:vAlign w:val="center"/>
          </w:tcPr>
          <w:p w14:paraId="2DEF587D">
            <w:pPr>
              <w:pStyle w:val="27"/>
              <w:spacing w:before="71" w:line="219" w:lineRule="auto"/>
              <w:jc w:val="center"/>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1"/>
                <w:sz w:val="20"/>
                <w:szCs w:val="20"/>
                <w:lang w:eastAsia="zh-CN"/>
              </w:rPr>
              <w:t>与营业执照、资格要求相关证书一致</w:t>
            </w:r>
          </w:p>
        </w:tc>
      </w:tr>
      <w:tr w14:paraId="2C518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715" w:type="dxa"/>
            <w:vMerge w:val="continue"/>
            <w:tcBorders>
              <w:top w:val="nil"/>
              <w:bottom w:val="nil"/>
            </w:tcBorders>
          </w:tcPr>
          <w:p w14:paraId="1AF8A7F9">
            <w:pPr>
              <w:rPr>
                <w:rFonts w:asciiTheme="minorEastAsia" w:hAnsiTheme="minorEastAsia" w:eastAsiaTheme="minorEastAsia" w:cstheme="minorEastAsia"/>
                <w:sz w:val="20"/>
                <w:szCs w:val="20"/>
                <w:lang w:eastAsia="zh-CN"/>
              </w:rPr>
            </w:pPr>
          </w:p>
        </w:tc>
        <w:tc>
          <w:tcPr>
            <w:tcW w:w="1447" w:type="dxa"/>
            <w:gridSpan w:val="2"/>
            <w:vMerge w:val="continue"/>
            <w:tcBorders>
              <w:top w:val="nil"/>
              <w:bottom w:val="nil"/>
            </w:tcBorders>
            <w:vAlign w:val="center"/>
          </w:tcPr>
          <w:p w14:paraId="591F01A6">
            <w:pPr>
              <w:jc w:val="center"/>
              <w:rPr>
                <w:rFonts w:asciiTheme="minorEastAsia" w:hAnsiTheme="minorEastAsia" w:eastAsiaTheme="minorEastAsia" w:cstheme="minorEastAsia"/>
                <w:sz w:val="20"/>
                <w:szCs w:val="20"/>
                <w:lang w:eastAsia="zh-CN"/>
              </w:rPr>
            </w:pPr>
          </w:p>
        </w:tc>
        <w:tc>
          <w:tcPr>
            <w:tcW w:w="2059" w:type="dxa"/>
            <w:gridSpan w:val="2"/>
            <w:vAlign w:val="center"/>
          </w:tcPr>
          <w:p w14:paraId="6EADF19D">
            <w:pPr>
              <w:pStyle w:val="27"/>
              <w:spacing w:before="71" w:line="219"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投标函签字盖章</w:t>
            </w:r>
          </w:p>
        </w:tc>
        <w:tc>
          <w:tcPr>
            <w:tcW w:w="4802" w:type="dxa"/>
            <w:vAlign w:val="center"/>
          </w:tcPr>
          <w:p w14:paraId="300D6C8D">
            <w:pPr>
              <w:pStyle w:val="27"/>
              <w:spacing w:before="72" w:line="220"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按招标文件格式要求</w:t>
            </w:r>
          </w:p>
        </w:tc>
      </w:tr>
      <w:tr w14:paraId="3A5CE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715" w:type="dxa"/>
            <w:vMerge w:val="continue"/>
            <w:tcBorders>
              <w:top w:val="nil"/>
            </w:tcBorders>
          </w:tcPr>
          <w:p w14:paraId="43879E73">
            <w:pPr>
              <w:rPr>
                <w:rFonts w:asciiTheme="minorEastAsia" w:hAnsiTheme="minorEastAsia" w:eastAsiaTheme="minorEastAsia" w:cstheme="minorEastAsia"/>
                <w:sz w:val="20"/>
                <w:szCs w:val="20"/>
              </w:rPr>
            </w:pPr>
          </w:p>
        </w:tc>
        <w:tc>
          <w:tcPr>
            <w:tcW w:w="1447" w:type="dxa"/>
            <w:gridSpan w:val="2"/>
            <w:vMerge w:val="continue"/>
            <w:tcBorders>
              <w:top w:val="nil"/>
            </w:tcBorders>
            <w:vAlign w:val="center"/>
          </w:tcPr>
          <w:p w14:paraId="29E06E6C">
            <w:pPr>
              <w:jc w:val="center"/>
              <w:rPr>
                <w:rFonts w:asciiTheme="minorEastAsia" w:hAnsiTheme="minorEastAsia" w:eastAsiaTheme="minorEastAsia" w:cstheme="minorEastAsia"/>
                <w:sz w:val="20"/>
                <w:szCs w:val="20"/>
              </w:rPr>
            </w:pPr>
          </w:p>
        </w:tc>
        <w:tc>
          <w:tcPr>
            <w:tcW w:w="2059" w:type="dxa"/>
            <w:gridSpan w:val="2"/>
            <w:vAlign w:val="center"/>
          </w:tcPr>
          <w:p w14:paraId="2A657ABF">
            <w:pPr>
              <w:pStyle w:val="27"/>
              <w:spacing w:before="72" w:line="220"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投标文件格式</w:t>
            </w:r>
          </w:p>
        </w:tc>
        <w:tc>
          <w:tcPr>
            <w:tcW w:w="4802" w:type="dxa"/>
            <w:vAlign w:val="center"/>
          </w:tcPr>
          <w:p w14:paraId="6BC5AD38">
            <w:pPr>
              <w:pStyle w:val="27"/>
              <w:spacing w:before="72" w:line="220" w:lineRule="auto"/>
              <w:jc w:val="center"/>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1"/>
                <w:sz w:val="20"/>
                <w:szCs w:val="20"/>
                <w:lang w:eastAsia="zh-CN"/>
              </w:rPr>
              <w:t>与第五部分“投标文件格式”一致</w:t>
            </w:r>
          </w:p>
        </w:tc>
      </w:tr>
      <w:tr w14:paraId="5BD28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15" w:type="dxa"/>
            <w:tcBorders>
              <w:bottom w:val="single" w:color="auto" w:sz="4" w:space="0"/>
            </w:tcBorders>
          </w:tcPr>
          <w:p w14:paraId="51BDAE2B">
            <w:pPr>
              <w:spacing w:line="262" w:lineRule="auto"/>
              <w:rPr>
                <w:rFonts w:asciiTheme="minorEastAsia" w:hAnsiTheme="minorEastAsia" w:eastAsiaTheme="minorEastAsia" w:cstheme="minorEastAsia"/>
                <w:sz w:val="20"/>
                <w:szCs w:val="20"/>
                <w:lang w:eastAsia="zh-CN"/>
              </w:rPr>
            </w:pPr>
          </w:p>
          <w:p w14:paraId="68EB0FD4">
            <w:pPr>
              <w:spacing w:line="262" w:lineRule="auto"/>
              <w:rPr>
                <w:rFonts w:asciiTheme="minorEastAsia" w:hAnsiTheme="minorEastAsia" w:eastAsiaTheme="minorEastAsia" w:cstheme="minorEastAsia"/>
                <w:sz w:val="20"/>
                <w:szCs w:val="20"/>
                <w:lang w:eastAsia="zh-CN"/>
              </w:rPr>
            </w:pPr>
          </w:p>
          <w:p w14:paraId="5432F8EE">
            <w:pPr>
              <w:pStyle w:val="27"/>
              <w:spacing w:before="72" w:line="182" w:lineRule="auto"/>
              <w:ind w:left="132"/>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1.1.2</w:t>
            </w:r>
          </w:p>
        </w:tc>
        <w:tc>
          <w:tcPr>
            <w:tcW w:w="1447" w:type="dxa"/>
            <w:gridSpan w:val="2"/>
            <w:tcBorders>
              <w:bottom w:val="single" w:color="auto" w:sz="4" w:space="0"/>
            </w:tcBorders>
          </w:tcPr>
          <w:p w14:paraId="29695984">
            <w:pPr>
              <w:spacing w:line="250" w:lineRule="auto"/>
              <w:rPr>
                <w:rFonts w:asciiTheme="minorEastAsia" w:hAnsiTheme="minorEastAsia" w:eastAsiaTheme="minorEastAsia" w:cstheme="minorEastAsia"/>
                <w:sz w:val="20"/>
                <w:szCs w:val="20"/>
              </w:rPr>
            </w:pPr>
          </w:p>
          <w:p w14:paraId="115AAB18">
            <w:pPr>
              <w:pStyle w:val="27"/>
              <w:spacing w:before="71" w:line="220" w:lineRule="auto"/>
              <w:jc w:val="both"/>
              <w:rPr>
                <w:rFonts w:asciiTheme="minorEastAsia" w:hAnsiTheme="minorEastAsia" w:eastAsiaTheme="minorEastAsia" w:cstheme="minorEastAsia"/>
                <w:spacing w:val="-3"/>
                <w:sz w:val="20"/>
                <w:szCs w:val="20"/>
              </w:rPr>
            </w:pPr>
          </w:p>
          <w:p w14:paraId="62EEEED4">
            <w:pPr>
              <w:pStyle w:val="27"/>
              <w:spacing w:before="71" w:line="220" w:lineRule="auto"/>
              <w:ind w:left="121"/>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资格评审</w:t>
            </w:r>
          </w:p>
        </w:tc>
        <w:tc>
          <w:tcPr>
            <w:tcW w:w="6861" w:type="dxa"/>
            <w:gridSpan w:val="3"/>
            <w:tcBorders>
              <w:bottom w:val="single" w:color="auto" w:sz="4" w:space="0"/>
            </w:tcBorders>
          </w:tcPr>
          <w:p w14:paraId="58FA43B1">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1</w:t>
            </w:r>
            <w:r>
              <w:rPr>
                <w:rFonts w:hint="eastAsia" w:asciiTheme="minorEastAsia" w:hAnsiTheme="minorEastAsia" w:eastAsiaTheme="minorEastAsia" w:cstheme="minorEastAsia"/>
                <w:spacing w:val="-2"/>
                <w:sz w:val="20"/>
                <w:szCs w:val="20"/>
                <w:lang w:val="en-US" w:eastAsia="zh-CN"/>
              </w:rPr>
              <w:t>、</w:t>
            </w:r>
            <w:r>
              <w:rPr>
                <w:rFonts w:hint="eastAsia" w:asciiTheme="minorEastAsia" w:hAnsiTheme="minorEastAsia" w:eastAsiaTheme="minorEastAsia" w:cstheme="minorEastAsia"/>
                <w:spacing w:val="-2"/>
                <w:sz w:val="20"/>
                <w:szCs w:val="20"/>
                <w:lang w:eastAsia="zh-CN"/>
              </w:rPr>
              <w:t>供应商具有独立承担民事责任的能力（须提供有效的营业执照）；</w:t>
            </w:r>
          </w:p>
          <w:p w14:paraId="6DAE24CD">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val="en-US" w:eastAsia="zh-CN"/>
              </w:rPr>
              <w:t>2、</w:t>
            </w:r>
            <w:r>
              <w:rPr>
                <w:rFonts w:hint="eastAsia" w:asciiTheme="minorEastAsia" w:hAnsiTheme="minorEastAsia" w:eastAsiaTheme="minorEastAsia" w:cstheme="minorEastAsia"/>
                <w:spacing w:val="-2"/>
                <w:sz w:val="20"/>
                <w:szCs w:val="20"/>
                <w:lang w:eastAsia="zh-CN"/>
              </w:rPr>
              <w:t>供应商具有有效的《食品经营许可证》；</w:t>
            </w:r>
          </w:p>
          <w:p w14:paraId="324468F3">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val="en-US" w:eastAsia="zh-CN"/>
              </w:rPr>
              <w:t>3、</w:t>
            </w:r>
            <w:r>
              <w:rPr>
                <w:rFonts w:hint="eastAsia" w:asciiTheme="minorEastAsia" w:hAnsiTheme="minorEastAsia" w:eastAsiaTheme="minorEastAsia" w:cstheme="minorEastAsia"/>
                <w:spacing w:val="-2"/>
                <w:sz w:val="20"/>
                <w:szCs w:val="20"/>
                <w:lang w:eastAsia="zh-CN"/>
              </w:rPr>
              <w:t>为贯彻落实《关于促进政府采购公平竞争优化营商环境的通知》（财库〔2019〕38号）和《关于全面推行证明事项和涉企经营许可事项告知承诺制的指导意见》（国办发【2020】42号），降低供应商参与政府采购活动的制度性交易成本，持续优化政府采购营商环境。在本次招标活动中，供应商只需在资格审查满足相应条件的书面承诺书（格式详见招标文件格式中、政府采购信用承诺书），不再需要提供以下证明材料：</w:t>
            </w:r>
          </w:p>
          <w:p w14:paraId="132AB62A">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（1）具有良好的商业信誉的证明材料；</w:t>
            </w:r>
          </w:p>
          <w:p w14:paraId="0D364376">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（2）符合国家相关规定的财务状况报告；</w:t>
            </w:r>
          </w:p>
          <w:p w14:paraId="333E9F2F">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（3）具备履行政府采购合同所必需的设备和专业技术能力的证明材料；</w:t>
            </w:r>
          </w:p>
          <w:p w14:paraId="5DE8D03D">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（4）依法缴纳税收和社会保障资金的证明材料；</w:t>
            </w:r>
          </w:p>
          <w:p w14:paraId="5A69E0A7">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（5）参加政府采购活动前三年内在经营活动中没有重大违法记录的证明材料；</w:t>
            </w:r>
          </w:p>
          <w:p w14:paraId="7B4277E3">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（6）未被列入失信被执行人、重大税收违法失信主体、政府采购严重违法失信行为记录名单；</w:t>
            </w:r>
          </w:p>
          <w:p w14:paraId="716374AA">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val="en-US" w:eastAsia="zh-CN"/>
              </w:rPr>
              <w:t>4、</w:t>
            </w:r>
            <w:r>
              <w:rPr>
                <w:rFonts w:hint="eastAsia" w:asciiTheme="minorEastAsia" w:hAnsiTheme="minorEastAsia" w:eastAsiaTheme="minorEastAsia" w:cstheme="minorEastAsia"/>
                <w:spacing w:val="-2"/>
                <w:sz w:val="20"/>
                <w:szCs w:val="20"/>
                <w:lang w:eastAsia="zh-CN"/>
              </w:rPr>
              <w:t>本项目不接受联合体投标。</w:t>
            </w:r>
          </w:p>
          <w:p w14:paraId="559FD930">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val="en-US" w:eastAsia="zh-CN"/>
              </w:rPr>
              <w:t>5、</w:t>
            </w:r>
            <w:r>
              <w:rPr>
                <w:rFonts w:hint="eastAsia" w:asciiTheme="minorEastAsia" w:hAnsiTheme="minorEastAsia" w:eastAsiaTheme="minorEastAsia" w:cstheme="minorEastAsia"/>
                <w:spacing w:val="-2"/>
                <w:sz w:val="20"/>
                <w:szCs w:val="20"/>
                <w:lang w:eastAsia="zh-CN"/>
              </w:rPr>
              <w:t>同一供应商只可投一个标段。</w:t>
            </w:r>
          </w:p>
          <w:p w14:paraId="3801F994">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lang w:eastAsia="zh-CN"/>
              </w:rPr>
              <w:t>资格评审标准：资格评审按《中华人民共和国财政部令第87号政府采购货物和服务招标投标管理办法》。“第四十四条”公开招标采购项目</w:t>
            </w:r>
            <w:r>
              <w:rPr>
                <w:rFonts w:hint="eastAsia" w:asciiTheme="minorEastAsia" w:hAnsiTheme="minorEastAsia" w:eastAsiaTheme="minorEastAsia" w:cstheme="minorEastAsia"/>
                <w:spacing w:val="-3"/>
                <w:sz w:val="20"/>
                <w:szCs w:val="20"/>
                <w:lang w:eastAsia="zh-CN"/>
              </w:rPr>
              <w:t>开标结</w:t>
            </w:r>
            <w:r>
              <w:rPr>
                <w:rFonts w:hint="eastAsia" w:asciiTheme="minorEastAsia" w:hAnsiTheme="minorEastAsia" w:eastAsiaTheme="minorEastAsia" w:cstheme="minorEastAsia"/>
                <w:spacing w:val="-2"/>
                <w:sz w:val="20"/>
                <w:szCs w:val="20"/>
                <w:lang w:eastAsia="zh-CN"/>
              </w:rPr>
              <w:t>束后，采购人或者采购代理机构应当依法对投标人的资格进行审查。</w:t>
            </w:r>
            <w:r>
              <w:rPr>
                <w:rFonts w:hint="eastAsia" w:asciiTheme="minorEastAsia" w:hAnsiTheme="minorEastAsia" w:eastAsiaTheme="minorEastAsia" w:cstheme="minorEastAsia"/>
                <w:spacing w:val="-3"/>
                <w:sz w:val="20"/>
                <w:szCs w:val="20"/>
              </w:rPr>
              <w:t>合格投</w:t>
            </w:r>
            <w:r>
              <w:rPr>
                <w:rFonts w:hint="eastAsia" w:asciiTheme="minorEastAsia" w:hAnsiTheme="minorEastAsia" w:eastAsiaTheme="minorEastAsia" w:cstheme="minorEastAsia"/>
                <w:spacing w:val="-4"/>
                <w:sz w:val="20"/>
                <w:szCs w:val="20"/>
              </w:rPr>
              <w:t>标人不足</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4"/>
                <w:sz w:val="20"/>
                <w:szCs w:val="20"/>
              </w:rPr>
              <w:t>3</w:t>
            </w:r>
            <w:r>
              <w:rPr>
                <w:rFonts w:hint="eastAsia" w:asciiTheme="minorEastAsia" w:hAnsiTheme="minorEastAsia" w:eastAsiaTheme="minorEastAsia" w:cstheme="minorEastAsia"/>
                <w:spacing w:val="-44"/>
                <w:sz w:val="20"/>
                <w:szCs w:val="20"/>
              </w:rPr>
              <w:t xml:space="preserve"> </w:t>
            </w:r>
            <w:r>
              <w:rPr>
                <w:rFonts w:hint="eastAsia" w:asciiTheme="minorEastAsia" w:hAnsiTheme="minorEastAsia" w:eastAsiaTheme="minorEastAsia" w:cstheme="minorEastAsia"/>
                <w:spacing w:val="-4"/>
                <w:sz w:val="20"/>
                <w:szCs w:val="20"/>
              </w:rPr>
              <w:t>家的，不得评标。</w:t>
            </w:r>
          </w:p>
        </w:tc>
      </w:tr>
      <w:tr w14:paraId="4CD4E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715" w:type="dxa"/>
            <w:vMerge w:val="restart"/>
            <w:tcBorders>
              <w:top w:val="single" w:color="auto" w:sz="4" w:space="0"/>
              <w:left w:val="single" w:color="auto" w:sz="4" w:space="0"/>
              <w:bottom w:val="single" w:color="auto" w:sz="4" w:space="0"/>
              <w:right w:val="single" w:color="auto" w:sz="4" w:space="0"/>
            </w:tcBorders>
            <w:vAlign w:val="center"/>
          </w:tcPr>
          <w:p w14:paraId="7EBF3051">
            <w:pPr>
              <w:pStyle w:val="27"/>
              <w:spacing w:before="71" w:line="182" w:lineRule="auto"/>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5"/>
                <w:sz w:val="20"/>
                <w:szCs w:val="20"/>
              </w:rPr>
              <w:t>1.1.</w:t>
            </w:r>
            <w:r>
              <w:rPr>
                <w:rFonts w:hint="eastAsia" w:asciiTheme="minorEastAsia" w:hAnsiTheme="minorEastAsia" w:eastAsiaTheme="minorEastAsia" w:cstheme="minorEastAsia"/>
                <w:spacing w:val="-5"/>
                <w:sz w:val="20"/>
                <w:szCs w:val="20"/>
                <w:lang w:val="en-US" w:eastAsia="zh-CN"/>
              </w:rPr>
              <w:t>3</w:t>
            </w:r>
          </w:p>
        </w:tc>
        <w:tc>
          <w:tcPr>
            <w:tcW w:w="1447" w:type="dxa"/>
            <w:gridSpan w:val="2"/>
            <w:vMerge w:val="restart"/>
            <w:tcBorders>
              <w:top w:val="single" w:color="auto" w:sz="4" w:space="0"/>
              <w:left w:val="single" w:color="auto" w:sz="4" w:space="0"/>
              <w:bottom w:val="single" w:color="auto" w:sz="4" w:space="0"/>
              <w:right w:val="single" w:color="auto" w:sz="4" w:space="0"/>
            </w:tcBorders>
            <w:vAlign w:val="center"/>
          </w:tcPr>
          <w:p w14:paraId="661CB07B">
            <w:pPr>
              <w:spacing w:line="249" w:lineRule="auto"/>
              <w:jc w:val="center"/>
              <w:rPr>
                <w:rFonts w:asciiTheme="minorEastAsia" w:hAnsiTheme="minorEastAsia" w:eastAsiaTheme="minorEastAsia" w:cstheme="minorEastAsia"/>
                <w:sz w:val="20"/>
                <w:szCs w:val="20"/>
              </w:rPr>
            </w:pPr>
          </w:p>
          <w:p w14:paraId="50BD2FDD">
            <w:pPr>
              <w:spacing w:line="249" w:lineRule="auto"/>
              <w:jc w:val="center"/>
              <w:rPr>
                <w:rFonts w:hint="eastAsia" w:asciiTheme="minorEastAsia" w:hAnsiTheme="minorEastAsia" w:eastAsiaTheme="minorEastAsia" w:cstheme="minorEastAsia"/>
                <w:spacing w:val="-2"/>
                <w:sz w:val="20"/>
                <w:szCs w:val="20"/>
                <w:lang w:val="en-US" w:eastAsia="zh-CN"/>
              </w:rPr>
            </w:pPr>
          </w:p>
          <w:p w14:paraId="7CBC2154">
            <w:pPr>
              <w:spacing w:line="249"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lang w:val="en-US" w:eastAsia="zh-CN"/>
              </w:rPr>
              <w:t>响应性评审</w:t>
            </w:r>
            <w:r>
              <w:rPr>
                <w:rFonts w:hint="eastAsia" w:asciiTheme="minorEastAsia" w:hAnsiTheme="minorEastAsia" w:eastAsiaTheme="minorEastAsia" w:cstheme="minorEastAsia"/>
                <w:spacing w:val="-2"/>
                <w:sz w:val="20"/>
                <w:szCs w:val="20"/>
              </w:rPr>
              <w:t>标</w:t>
            </w:r>
            <w:r>
              <w:rPr>
                <w:rFonts w:hint="eastAsia" w:asciiTheme="minorEastAsia" w:hAnsiTheme="minorEastAsia" w:eastAsiaTheme="minorEastAsia" w:cstheme="minorEastAsia"/>
                <w:sz w:val="20"/>
                <w:szCs w:val="20"/>
              </w:rPr>
              <w:t>准</w:t>
            </w:r>
          </w:p>
          <w:p w14:paraId="204A4D3D">
            <w:pPr>
              <w:pStyle w:val="27"/>
              <w:spacing w:before="71" w:line="380" w:lineRule="auto"/>
              <w:ind w:right="198"/>
              <w:jc w:val="center"/>
              <w:rPr>
                <w:rFonts w:asciiTheme="minorEastAsia" w:hAnsiTheme="minorEastAsia" w:eastAsiaTheme="minorEastAsia" w:cstheme="minorEastAsia"/>
                <w:sz w:val="20"/>
                <w:szCs w:val="20"/>
                <w:lang w:eastAsia="zh-CN"/>
              </w:rPr>
            </w:pPr>
          </w:p>
        </w:tc>
        <w:tc>
          <w:tcPr>
            <w:tcW w:w="2059" w:type="dxa"/>
            <w:gridSpan w:val="2"/>
            <w:tcBorders>
              <w:top w:val="single" w:color="auto" w:sz="4" w:space="0"/>
              <w:left w:val="single" w:color="auto" w:sz="4" w:space="0"/>
              <w:right w:val="single" w:color="auto" w:sz="4" w:space="0"/>
            </w:tcBorders>
          </w:tcPr>
          <w:p w14:paraId="186E94C2">
            <w:pPr>
              <w:pStyle w:val="27"/>
              <w:tabs>
                <w:tab w:val="left" w:pos="1890"/>
              </w:tabs>
              <w:spacing w:before="132" w:line="352" w:lineRule="auto"/>
              <w:ind w:left="506" w:right="153" w:hanging="325"/>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配送地点</w:t>
            </w:r>
          </w:p>
        </w:tc>
        <w:tc>
          <w:tcPr>
            <w:tcW w:w="4802" w:type="dxa"/>
            <w:tcBorders>
              <w:top w:val="single" w:color="auto" w:sz="4" w:space="0"/>
              <w:left w:val="single" w:color="auto" w:sz="4" w:space="0"/>
              <w:right w:val="single" w:color="auto" w:sz="4" w:space="0"/>
            </w:tcBorders>
          </w:tcPr>
          <w:p w14:paraId="4378C5F9">
            <w:pPr>
              <w:pStyle w:val="27"/>
              <w:spacing w:before="68" w:line="220" w:lineRule="auto"/>
              <w:jc w:val="center"/>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1"/>
                <w:sz w:val="20"/>
                <w:szCs w:val="20"/>
                <w:lang w:eastAsia="zh-CN"/>
              </w:rPr>
              <w:t>符合第二章“投标人须知”规定</w:t>
            </w:r>
          </w:p>
        </w:tc>
      </w:tr>
      <w:tr w14:paraId="785BE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715" w:type="dxa"/>
            <w:vMerge w:val="continue"/>
            <w:tcBorders>
              <w:top w:val="single" w:color="auto" w:sz="4" w:space="0"/>
              <w:left w:val="single" w:color="auto" w:sz="4" w:space="0"/>
              <w:bottom w:val="single" w:color="auto" w:sz="4" w:space="0"/>
              <w:right w:val="single" w:color="auto" w:sz="4" w:space="0"/>
            </w:tcBorders>
          </w:tcPr>
          <w:p w14:paraId="7A95E93A">
            <w:pPr>
              <w:rPr>
                <w:rFonts w:asciiTheme="minorEastAsia" w:hAnsiTheme="minorEastAsia" w:eastAsiaTheme="minorEastAsia" w:cstheme="minorEastAsia"/>
                <w:sz w:val="20"/>
                <w:szCs w:val="20"/>
                <w:lang w:eastAsia="zh-CN"/>
              </w:rPr>
            </w:pPr>
          </w:p>
        </w:tc>
        <w:tc>
          <w:tcPr>
            <w:tcW w:w="1447" w:type="dxa"/>
            <w:gridSpan w:val="2"/>
            <w:vMerge w:val="continue"/>
            <w:tcBorders>
              <w:top w:val="single" w:color="auto" w:sz="4" w:space="0"/>
              <w:left w:val="single" w:color="auto" w:sz="4" w:space="0"/>
              <w:bottom w:val="single" w:color="auto" w:sz="4" w:space="0"/>
              <w:right w:val="single" w:color="auto" w:sz="4" w:space="0"/>
            </w:tcBorders>
          </w:tcPr>
          <w:p w14:paraId="413DD9FA">
            <w:pPr>
              <w:rPr>
                <w:rFonts w:asciiTheme="minorEastAsia" w:hAnsiTheme="minorEastAsia" w:eastAsiaTheme="minorEastAsia" w:cstheme="minorEastAsia"/>
                <w:sz w:val="20"/>
                <w:szCs w:val="20"/>
                <w:lang w:eastAsia="zh-CN"/>
              </w:rPr>
            </w:pPr>
          </w:p>
        </w:tc>
        <w:tc>
          <w:tcPr>
            <w:tcW w:w="2059" w:type="dxa"/>
            <w:gridSpan w:val="2"/>
            <w:tcBorders>
              <w:top w:val="single" w:color="auto" w:sz="4" w:space="0"/>
              <w:left w:val="single" w:color="auto" w:sz="4" w:space="0"/>
              <w:bottom w:val="single" w:color="auto" w:sz="4" w:space="0"/>
              <w:right w:val="single" w:color="auto" w:sz="4" w:space="0"/>
            </w:tcBorders>
            <w:vAlign w:val="center"/>
          </w:tcPr>
          <w:p w14:paraId="715C923B">
            <w:pPr>
              <w:pStyle w:val="27"/>
              <w:spacing w:before="132" w:line="352" w:lineRule="auto"/>
              <w:ind w:left="506" w:right="153" w:hanging="325"/>
              <w:jc w:val="center"/>
              <w:rPr>
                <w:rFonts w:asciiTheme="minorEastAsia" w:hAnsiTheme="minorEastAsia" w:eastAsiaTheme="minorEastAsia" w:cstheme="minorEastAsia"/>
                <w:spacing w:val="-2"/>
                <w:sz w:val="20"/>
                <w:szCs w:val="20"/>
              </w:rPr>
            </w:pPr>
            <w:r>
              <w:rPr>
                <w:rFonts w:hint="eastAsia" w:asciiTheme="minorEastAsia" w:hAnsiTheme="minorEastAsia" w:eastAsiaTheme="minorEastAsia" w:cstheme="minorEastAsia"/>
                <w:spacing w:val="-2"/>
                <w:sz w:val="20"/>
                <w:szCs w:val="20"/>
              </w:rPr>
              <w:t>服务要求</w:t>
            </w:r>
          </w:p>
        </w:tc>
        <w:tc>
          <w:tcPr>
            <w:tcW w:w="4802" w:type="dxa"/>
            <w:tcBorders>
              <w:top w:val="single" w:color="auto" w:sz="4" w:space="0"/>
              <w:left w:val="single" w:color="auto" w:sz="4" w:space="0"/>
              <w:bottom w:val="single" w:color="auto" w:sz="4" w:space="0"/>
              <w:right w:val="single" w:color="auto" w:sz="4" w:space="0"/>
            </w:tcBorders>
            <w:vAlign w:val="center"/>
          </w:tcPr>
          <w:p w14:paraId="29A08050">
            <w:pPr>
              <w:pStyle w:val="27"/>
              <w:spacing w:before="68" w:line="220" w:lineRule="auto"/>
              <w:jc w:val="center"/>
              <w:rPr>
                <w:rFonts w:asciiTheme="minorEastAsia" w:hAnsiTheme="minorEastAsia" w:eastAsiaTheme="minorEastAsia" w:cstheme="minorEastAsia"/>
                <w:spacing w:val="-1"/>
                <w:sz w:val="20"/>
                <w:szCs w:val="20"/>
                <w:lang w:eastAsia="zh-CN"/>
              </w:rPr>
            </w:pPr>
            <w:r>
              <w:rPr>
                <w:rFonts w:hint="eastAsia" w:asciiTheme="minorEastAsia" w:hAnsiTheme="minorEastAsia" w:eastAsiaTheme="minorEastAsia" w:cstheme="minorEastAsia"/>
                <w:spacing w:val="-1"/>
                <w:sz w:val="20"/>
                <w:szCs w:val="20"/>
                <w:lang w:eastAsia="zh-CN"/>
              </w:rPr>
              <w:t>符合第二章“投标人须知”规定</w:t>
            </w:r>
          </w:p>
        </w:tc>
      </w:tr>
      <w:tr w14:paraId="70282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715" w:type="dxa"/>
            <w:vMerge w:val="continue"/>
            <w:tcBorders>
              <w:top w:val="single" w:color="auto" w:sz="4" w:space="0"/>
              <w:left w:val="single" w:color="auto" w:sz="4" w:space="0"/>
              <w:bottom w:val="single" w:color="auto" w:sz="4" w:space="0"/>
              <w:right w:val="single" w:color="auto" w:sz="4" w:space="0"/>
            </w:tcBorders>
          </w:tcPr>
          <w:p w14:paraId="66B9BD54">
            <w:pPr>
              <w:rPr>
                <w:rFonts w:asciiTheme="minorEastAsia" w:hAnsiTheme="minorEastAsia" w:eastAsiaTheme="minorEastAsia" w:cstheme="minorEastAsia"/>
                <w:sz w:val="20"/>
                <w:szCs w:val="20"/>
                <w:lang w:eastAsia="zh-CN"/>
              </w:rPr>
            </w:pPr>
          </w:p>
        </w:tc>
        <w:tc>
          <w:tcPr>
            <w:tcW w:w="1447" w:type="dxa"/>
            <w:gridSpan w:val="2"/>
            <w:vMerge w:val="continue"/>
            <w:tcBorders>
              <w:top w:val="single" w:color="auto" w:sz="4" w:space="0"/>
              <w:left w:val="single" w:color="auto" w:sz="4" w:space="0"/>
              <w:bottom w:val="single" w:color="auto" w:sz="4" w:space="0"/>
              <w:right w:val="single" w:color="auto" w:sz="4" w:space="0"/>
            </w:tcBorders>
          </w:tcPr>
          <w:p w14:paraId="589D623D">
            <w:pPr>
              <w:rPr>
                <w:rFonts w:asciiTheme="minorEastAsia" w:hAnsiTheme="minorEastAsia" w:eastAsiaTheme="minorEastAsia" w:cstheme="minorEastAsia"/>
                <w:sz w:val="20"/>
                <w:szCs w:val="20"/>
                <w:lang w:eastAsia="zh-CN"/>
              </w:rPr>
            </w:pPr>
          </w:p>
        </w:tc>
        <w:tc>
          <w:tcPr>
            <w:tcW w:w="2059" w:type="dxa"/>
            <w:gridSpan w:val="2"/>
            <w:tcBorders>
              <w:top w:val="single" w:color="auto" w:sz="4" w:space="0"/>
              <w:left w:val="single" w:color="auto" w:sz="4" w:space="0"/>
              <w:bottom w:val="single" w:color="auto" w:sz="4" w:space="0"/>
              <w:right w:val="single" w:color="auto" w:sz="4" w:space="0"/>
            </w:tcBorders>
            <w:vAlign w:val="center"/>
          </w:tcPr>
          <w:p w14:paraId="564D2687">
            <w:pPr>
              <w:pStyle w:val="27"/>
              <w:spacing w:before="132" w:line="352" w:lineRule="auto"/>
              <w:ind w:left="506" w:right="153" w:hanging="325"/>
              <w:jc w:val="center"/>
              <w:rPr>
                <w:rFonts w:asciiTheme="minorEastAsia" w:hAnsiTheme="minorEastAsia" w:eastAsiaTheme="minorEastAsia" w:cstheme="minorEastAsia"/>
                <w:spacing w:val="-2"/>
                <w:sz w:val="20"/>
                <w:szCs w:val="20"/>
              </w:rPr>
            </w:pPr>
            <w:r>
              <w:rPr>
                <w:rFonts w:hint="eastAsia" w:asciiTheme="minorEastAsia" w:hAnsiTheme="minorEastAsia" w:eastAsiaTheme="minorEastAsia" w:cstheme="minorEastAsia"/>
                <w:spacing w:val="-2"/>
                <w:sz w:val="20"/>
                <w:szCs w:val="20"/>
              </w:rPr>
              <w:t>食材质量要求</w:t>
            </w:r>
          </w:p>
        </w:tc>
        <w:tc>
          <w:tcPr>
            <w:tcW w:w="4802" w:type="dxa"/>
            <w:tcBorders>
              <w:top w:val="single" w:color="auto" w:sz="4" w:space="0"/>
              <w:left w:val="single" w:color="auto" w:sz="4" w:space="0"/>
              <w:bottom w:val="single" w:color="auto" w:sz="4" w:space="0"/>
              <w:right w:val="single" w:color="auto" w:sz="4" w:space="0"/>
            </w:tcBorders>
            <w:vAlign w:val="center"/>
          </w:tcPr>
          <w:p w14:paraId="29674892">
            <w:pPr>
              <w:pStyle w:val="27"/>
              <w:spacing w:before="68" w:line="220" w:lineRule="auto"/>
              <w:jc w:val="center"/>
              <w:rPr>
                <w:rFonts w:asciiTheme="minorEastAsia" w:hAnsiTheme="minorEastAsia" w:eastAsiaTheme="minorEastAsia" w:cstheme="minorEastAsia"/>
                <w:spacing w:val="-1"/>
                <w:sz w:val="20"/>
                <w:szCs w:val="20"/>
                <w:lang w:eastAsia="zh-CN"/>
              </w:rPr>
            </w:pPr>
            <w:r>
              <w:rPr>
                <w:rFonts w:hint="eastAsia" w:asciiTheme="minorEastAsia" w:hAnsiTheme="minorEastAsia" w:eastAsiaTheme="minorEastAsia" w:cstheme="minorEastAsia"/>
                <w:spacing w:val="-1"/>
                <w:sz w:val="20"/>
                <w:szCs w:val="20"/>
                <w:lang w:eastAsia="zh-CN"/>
              </w:rPr>
              <w:t>符合第二章“投标人须知”规定</w:t>
            </w:r>
          </w:p>
        </w:tc>
      </w:tr>
      <w:tr w14:paraId="056A5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715" w:type="dxa"/>
            <w:vMerge w:val="continue"/>
            <w:tcBorders>
              <w:top w:val="single" w:color="auto" w:sz="4" w:space="0"/>
              <w:left w:val="single" w:color="auto" w:sz="4" w:space="0"/>
              <w:bottom w:val="single" w:color="auto" w:sz="4" w:space="0"/>
              <w:right w:val="single" w:color="auto" w:sz="4" w:space="0"/>
            </w:tcBorders>
          </w:tcPr>
          <w:p w14:paraId="07FAD0D8">
            <w:pPr>
              <w:rPr>
                <w:rFonts w:asciiTheme="minorEastAsia" w:hAnsiTheme="minorEastAsia" w:eastAsiaTheme="minorEastAsia" w:cstheme="minorEastAsia"/>
                <w:sz w:val="20"/>
                <w:szCs w:val="20"/>
                <w:lang w:eastAsia="zh-CN"/>
              </w:rPr>
            </w:pPr>
          </w:p>
        </w:tc>
        <w:tc>
          <w:tcPr>
            <w:tcW w:w="1447" w:type="dxa"/>
            <w:gridSpan w:val="2"/>
            <w:vMerge w:val="continue"/>
            <w:tcBorders>
              <w:top w:val="single" w:color="auto" w:sz="4" w:space="0"/>
              <w:left w:val="single" w:color="auto" w:sz="4" w:space="0"/>
              <w:bottom w:val="single" w:color="auto" w:sz="4" w:space="0"/>
              <w:right w:val="single" w:color="auto" w:sz="4" w:space="0"/>
            </w:tcBorders>
          </w:tcPr>
          <w:p w14:paraId="218965C4">
            <w:pPr>
              <w:rPr>
                <w:rFonts w:asciiTheme="minorEastAsia" w:hAnsiTheme="minorEastAsia" w:eastAsiaTheme="minorEastAsia" w:cstheme="minorEastAsia"/>
                <w:sz w:val="20"/>
                <w:szCs w:val="20"/>
                <w:lang w:eastAsia="zh-CN"/>
              </w:rPr>
            </w:pPr>
          </w:p>
        </w:tc>
        <w:tc>
          <w:tcPr>
            <w:tcW w:w="2059" w:type="dxa"/>
            <w:gridSpan w:val="2"/>
            <w:tcBorders>
              <w:top w:val="single" w:color="auto" w:sz="4" w:space="0"/>
              <w:left w:val="single" w:color="auto" w:sz="4" w:space="0"/>
              <w:bottom w:val="single" w:color="auto" w:sz="4" w:space="0"/>
              <w:right w:val="single" w:color="auto" w:sz="4" w:space="0"/>
            </w:tcBorders>
            <w:vAlign w:val="center"/>
          </w:tcPr>
          <w:p w14:paraId="72F27C8E">
            <w:pPr>
              <w:pStyle w:val="27"/>
              <w:spacing w:before="132" w:line="352" w:lineRule="auto"/>
              <w:ind w:left="506" w:right="153" w:hanging="325"/>
              <w:jc w:val="center"/>
              <w:rPr>
                <w:rFonts w:asciiTheme="minorEastAsia" w:hAnsiTheme="minorEastAsia" w:eastAsiaTheme="minorEastAsia" w:cstheme="minorEastAsia"/>
                <w:spacing w:val="-2"/>
                <w:sz w:val="20"/>
                <w:szCs w:val="20"/>
              </w:rPr>
            </w:pPr>
            <w:r>
              <w:rPr>
                <w:rFonts w:hint="eastAsia" w:asciiTheme="minorEastAsia" w:hAnsiTheme="minorEastAsia" w:eastAsiaTheme="minorEastAsia" w:cstheme="minorEastAsia"/>
                <w:spacing w:val="-2"/>
                <w:sz w:val="20"/>
                <w:szCs w:val="20"/>
              </w:rPr>
              <w:t>合同履行期限</w:t>
            </w:r>
          </w:p>
        </w:tc>
        <w:tc>
          <w:tcPr>
            <w:tcW w:w="4802" w:type="dxa"/>
            <w:tcBorders>
              <w:top w:val="single" w:color="auto" w:sz="4" w:space="0"/>
              <w:left w:val="single" w:color="auto" w:sz="4" w:space="0"/>
              <w:bottom w:val="single" w:color="auto" w:sz="4" w:space="0"/>
              <w:right w:val="single" w:color="auto" w:sz="4" w:space="0"/>
            </w:tcBorders>
            <w:vAlign w:val="center"/>
          </w:tcPr>
          <w:p w14:paraId="35475E48">
            <w:pPr>
              <w:pStyle w:val="27"/>
              <w:spacing w:before="68" w:line="220" w:lineRule="auto"/>
              <w:jc w:val="center"/>
              <w:rPr>
                <w:rFonts w:asciiTheme="minorEastAsia" w:hAnsiTheme="minorEastAsia" w:eastAsiaTheme="minorEastAsia" w:cstheme="minorEastAsia"/>
                <w:spacing w:val="-1"/>
                <w:sz w:val="20"/>
                <w:szCs w:val="20"/>
                <w:lang w:eastAsia="zh-CN"/>
              </w:rPr>
            </w:pPr>
            <w:r>
              <w:rPr>
                <w:rFonts w:hint="eastAsia" w:asciiTheme="minorEastAsia" w:hAnsiTheme="minorEastAsia" w:eastAsiaTheme="minorEastAsia" w:cstheme="minorEastAsia"/>
                <w:spacing w:val="-1"/>
                <w:sz w:val="20"/>
                <w:szCs w:val="20"/>
                <w:lang w:eastAsia="zh-CN"/>
              </w:rPr>
              <w:t>符合第二章“投标人须知”规定</w:t>
            </w:r>
          </w:p>
        </w:tc>
      </w:tr>
      <w:tr w14:paraId="0FF7F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exact"/>
          <w:jc w:val="center"/>
        </w:trPr>
        <w:tc>
          <w:tcPr>
            <w:tcW w:w="715" w:type="dxa"/>
            <w:vMerge w:val="continue"/>
            <w:tcBorders>
              <w:top w:val="single" w:color="auto" w:sz="4" w:space="0"/>
              <w:left w:val="single" w:color="auto" w:sz="4" w:space="0"/>
              <w:bottom w:val="single" w:color="auto" w:sz="4" w:space="0"/>
              <w:right w:val="single" w:color="auto" w:sz="4" w:space="0"/>
            </w:tcBorders>
          </w:tcPr>
          <w:p w14:paraId="384614D7">
            <w:pPr>
              <w:rPr>
                <w:rFonts w:asciiTheme="minorEastAsia" w:hAnsiTheme="minorEastAsia" w:eastAsiaTheme="minorEastAsia" w:cstheme="minorEastAsia"/>
                <w:sz w:val="20"/>
                <w:szCs w:val="20"/>
                <w:lang w:eastAsia="zh-CN"/>
              </w:rPr>
            </w:pPr>
          </w:p>
        </w:tc>
        <w:tc>
          <w:tcPr>
            <w:tcW w:w="1447" w:type="dxa"/>
            <w:gridSpan w:val="2"/>
            <w:vMerge w:val="continue"/>
            <w:tcBorders>
              <w:top w:val="single" w:color="auto" w:sz="4" w:space="0"/>
              <w:left w:val="single" w:color="auto" w:sz="4" w:space="0"/>
              <w:bottom w:val="single" w:color="auto" w:sz="4" w:space="0"/>
              <w:right w:val="single" w:color="auto" w:sz="4" w:space="0"/>
            </w:tcBorders>
          </w:tcPr>
          <w:p w14:paraId="47D34199">
            <w:pPr>
              <w:rPr>
                <w:rFonts w:asciiTheme="minorEastAsia" w:hAnsiTheme="minorEastAsia" w:eastAsiaTheme="minorEastAsia" w:cstheme="minorEastAsia"/>
                <w:sz w:val="20"/>
                <w:szCs w:val="20"/>
                <w:lang w:eastAsia="zh-CN"/>
              </w:rPr>
            </w:pPr>
          </w:p>
        </w:tc>
        <w:tc>
          <w:tcPr>
            <w:tcW w:w="2059" w:type="dxa"/>
            <w:gridSpan w:val="2"/>
            <w:tcBorders>
              <w:top w:val="single" w:color="auto" w:sz="4" w:space="0"/>
              <w:left w:val="single" w:color="auto" w:sz="4" w:space="0"/>
              <w:bottom w:val="single" w:color="auto" w:sz="4" w:space="0"/>
              <w:right w:val="single" w:color="auto" w:sz="4" w:space="0"/>
            </w:tcBorders>
            <w:vAlign w:val="center"/>
          </w:tcPr>
          <w:p w14:paraId="3DDD093D">
            <w:pPr>
              <w:pStyle w:val="27"/>
              <w:spacing w:before="132" w:line="352" w:lineRule="auto"/>
              <w:ind w:left="506" w:right="153" w:hanging="325"/>
              <w:jc w:val="center"/>
              <w:rPr>
                <w:rFonts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招标实质性要求和条件承诺</w:t>
            </w:r>
          </w:p>
        </w:tc>
        <w:tc>
          <w:tcPr>
            <w:tcW w:w="4802" w:type="dxa"/>
            <w:tcBorders>
              <w:top w:val="single" w:color="auto" w:sz="4" w:space="0"/>
              <w:left w:val="single" w:color="auto" w:sz="4" w:space="0"/>
              <w:bottom w:val="single" w:color="auto" w:sz="4" w:space="0"/>
              <w:right w:val="single" w:color="auto" w:sz="4" w:space="0"/>
            </w:tcBorders>
            <w:vAlign w:val="center"/>
          </w:tcPr>
          <w:tbl>
            <w:tblPr>
              <w:tblStyle w:val="26"/>
              <w:tblW w:w="90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3"/>
            </w:tblGrid>
            <w:tr w14:paraId="2516B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4802" w:type="dxa"/>
                  <w:vAlign w:val="center"/>
                </w:tcPr>
                <w:p w14:paraId="14B8DFD9">
                  <w:pPr>
                    <w:pStyle w:val="27"/>
                    <w:spacing w:before="68" w:line="220" w:lineRule="auto"/>
                    <w:jc w:val="center"/>
                    <w:rPr>
                      <w:rFonts w:asciiTheme="minorEastAsia" w:hAnsiTheme="minorEastAsia" w:eastAsiaTheme="minorEastAsia" w:cstheme="minorEastAsia"/>
                      <w:spacing w:val="-1"/>
                      <w:sz w:val="20"/>
                      <w:szCs w:val="20"/>
                      <w:lang w:eastAsia="zh-CN"/>
                    </w:rPr>
                  </w:pPr>
                  <w:r>
                    <w:rPr>
                      <w:rFonts w:hint="eastAsia" w:asciiTheme="minorEastAsia" w:hAnsiTheme="minorEastAsia" w:eastAsiaTheme="minorEastAsia" w:cstheme="minorEastAsia"/>
                      <w:spacing w:val="-1"/>
                      <w:sz w:val="20"/>
                      <w:szCs w:val="20"/>
                      <w:lang w:eastAsia="zh-CN"/>
                    </w:rPr>
                    <w:t>符合第二章“投标人须知”规定</w:t>
                  </w:r>
                </w:p>
              </w:tc>
            </w:tr>
          </w:tbl>
          <w:p w14:paraId="6FDFAE40">
            <w:pPr>
              <w:pStyle w:val="27"/>
              <w:spacing w:before="68" w:line="220" w:lineRule="auto"/>
              <w:jc w:val="center"/>
              <w:rPr>
                <w:rFonts w:asciiTheme="minorEastAsia" w:hAnsiTheme="minorEastAsia" w:eastAsiaTheme="minorEastAsia" w:cstheme="minorEastAsia"/>
                <w:spacing w:val="-1"/>
                <w:sz w:val="20"/>
                <w:szCs w:val="20"/>
                <w:lang w:eastAsia="zh-CN"/>
              </w:rPr>
            </w:pPr>
          </w:p>
        </w:tc>
      </w:tr>
      <w:tr w14:paraId="538CD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715" w:type="dxa"/>
            <w:vMerge w:val="continue"/>
            <w:tcBorders>
              <w:top w:val="single" w:color="auto" w:sz="4" w:space="0"/>
              <w:left w:val="single" w:color="auto" w:sz="4" w:space="0"/>
              <w:bottom w:val="single" w:color="auto" w:sz="4" w:space="0"/>
              <w:right w:val="single" w:color="auto" w:sz="4" w:space="0"/>
            </w:tcBorders>
          </w:tcPr>
          <w:p w14:paraId="22E903C8">
            <w:pPr>
              <w:rPr>
                <w:rFonts w:asciiTheme="minorEastAsia" w:hAnsiTheme="minorEastAsia" w:eastAsiaTheme="minorEastAsia" w:cstheme="minorEastAsia"/>
                <w:sz w:val="20"/>
                <w:szCs w:val="20"/>
                <w:lang w:eastAsia="zh-CN"/>
              </w:rPr>
            </w:pPr>
          </w:p>
        </w:tc>
        <w:tc>
          <w:tcPr>
            <w:tcW w:w="1447" w:type="dxa"/>
            <w:gridSpan w:val="2"/>
            <w:vMerge w:val="continue"/>
            <w:tcBorders>
              <w:top w:val="single" w:color="auto" w:sz="4" w:space="0"/>
              <w:left w:val="single" w:color="auto" w:sz="4" w:space="0"/>
              <w:bottom w:val="single" w:color="auto" w:sz="4" w:space="0"/>
              <w:right w:val="single" w:color="auto" w:sz="4" w:space="0"/>
            </w:tcBorders>
          </w:tcPr>
          <w:p w14:paraId="38D2F8BE">
            <w:pPr>
              <w:rPr>
                <w:rFonts w:asciiTheme="minorEastAsia" w:hAnsiTheme="minorEastAsia" w:eastAsiaTheme="minorEastAsia" w:cstheme="minorEastAsia"/>
                <w:sz w:val="20"/>
                <w:szCs w:val="20"/>
                <w:lang w:eastAsia="zh-CN"/>
              </w:rPr>
            </w:pPr>
          </w:p>
        </w:tc>
        <w:tc>
          <w:tcPr>
            <w:tcW w:w="2059" w:type="dxa"/>
            <w:gridSpan w:val="2"/>
            <w:tcBorders>
              <w:top w:val="single" w:color="auto" w:sz="4" w:space="0"/>
              <w:left w:val="single" w:color="auto" w:sz="4" w:space="0"/>
              <w:bottom w:val="single" w:color="auto" w:sz="4" w:space="0"/>
              <w:right w:val="single" w:color="auto" w:sz="4" w:space="0"/>
            </w:tcBorders>
            <w:vAlign w:val="center"/>
          </w:tcPr>
          <w:p w14:paraId="1053CE16">
            <w:pPr>
              <w:pStyle w:val="27"/>
              <w:spacing w:before="68" w:line="221" w:lineRule="auto"/>
              <w:ind w:left="500"/>
              <w:jc w:val="both"/>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技术标准承诺</w:t>
            </w:r>
          </w:p>
        </w:tc>
        <w:tc>
          <w:tcPr>
            <w:tcW w:w="4802" w:type="dxa"/>
            <w:tcBorders>
              <w:top w:val="single" w:color="auto" w:sz="4" w:space="0"/>
              <w:left w:val="single" w:color="auto" w:sz="4" w:space="0"/>
              <w:bottom w:val="single" w:color="auto" w:sz="4" w:space="0"/>
              <w:right w:val="single" w:color="auto" w:sz="4" w:space="0"/>
            </w:tcBorders>
            <w:vAlign w:val="center"/>
          </w:tcPr>
          <w:p w14:paraId="1A6F59A2">
            <w:pPr>
              <w:pStyle w:val="27"/>
              <w:spacing w:before="68" w:line="221" w:lineRule="auto"/>
              <w:jc w:val="center"/>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1"/>
                <w:sz w:val="20"/>
                <w:szCs w:val="20"/>
                <w:lang w:eastAsia="zh-CN"/>
              </w:rPr>
              <w:t>符合“第四部分 技术标准”规定</w:t>
            </w:r>
          </w:p>
        </w:tc>
      </w:tr>
      <w:tr w14:paraId="43DEE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715" w:type="dxa"/>
            <w:vMerge w:val="continue"/>
            <w:tcBorders>
              <w:top w:val="single" w:color="auto" w:sz="4" w:space="0"/>
              <w:left w:val="single" w:color="auto" w:sz="4" w:space="0"/>
              <w:bottom w:val="single" w:color="auto" w:sz="4" w:space="0"/>
              <w:right w:val="single" w:color="auto" w:sz="4" w:space="0"/>
            </w:tcBorders>
          </w:tcPr>
          <w:p w14:paraId="6362062D">
            <w:pPr>
              <w:rPr>
                <w:rFonts w:asciiTheme="minorEastAsia" w:hAnsiTheme="minorEastAsia" w:eastAsiaTheme="minorEastAsia" w:cstheme="minorEastAsia"/>
                <w:sz w:val="20"/>
                <w:szCs w:val="20"/>
                <w:lang w:eastAsia="zh-CN"/>
              </w:rPr>
            </w:pPr>
          </w:p>
        </w:tc>
        <w:tc>
          <w:tcPr>
            <w:tcW w:w="1447" w:type="dxa"/>
            <w:gridSpan w:val="2"/>
            <w:vMerge w:val="continue"/>
            <w:tcBorders>
              <w:top w:val="single" w:color="auto" w:sz="4" w:space="0"/>
              <w:left w:val="single" w:color="auto" w:sz="4" w:space="0"/>
              <w:bottom w:val="single" w:color="auto" w:sz="4" w:space="0"/>
              <w:right w:val="single" w:color="auto" w:sz="4" w:space="0"/>
            </w:tcBorders>
          </w:tcPr>
          <w:p w14:paraId="59F83AEF">
            <w:pPr>
              <w:rPr>
                <w:rFonts w:asciiTheme="minorEastAsia" w:hAnsiTheme="minorEastAsia" w:eastAsiaTheme="minorEastAsia" w:cstheme="minorEastAsia"/>
                <w:sz w:val="20"/>
                <w:szCs w:val="20"/>
                <w:lang w:eastAsia="zh-CN"/>
              </w:rPr>
            </w:pPr>
          </w:p>
        </w:tc>
        <w:tc>
          <w:tcPr>
            <w:tcW w:w="2059" w:type="dxa"/>
            <w:gridSpan w:val="2"/>
            <w:tcBorders>
              <w:top w:val="single" w:color="auto" w:sz="4" w:space="0"/>
              <w:left w:val="single" w:color="auto" w:sz="4" w:space="0"/>
              <w:bottom w:val="single" w:color="auto" w:sz="4" w:space="0"/>
              <w:right w:val="single" w:color="auto" w:sz="4" w:space="0"/>
            </w:tcBorders>
          </w:tcPr>
          <w:p w14:paraId="6D31F926">
            <w:pPr>
              <w:pStyle w:val="27"/>
              <w:spacing w:before="177" w:line="221" w:lineRule="auto"/>
              <w:ind w:left="604"/>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投标有效期</w:t>
            </w:r>
          </w:p>
        </w:tc>
        <w:tc>
          <w:tcPr>
            <w:tcW w:w="4802" w:type="dxa"/>
            <w:tcBorders>
              <w:top w:val="single" w:color="auto" w:sz="4" w:space="0"/>
              <w:left w:val="single" w:color="auto" w:sz="4" w:space="0"/>
              <w:bottom w:val="single" w:color="auto" w:sz="4" w:space="0"/>
              <w:right w:val="single" w:color="auto" w:sz="4" w:space="0"/>
            </w:tcBorders>
            <w:vAlign w:val="center"/>
          </w:tcPr>
          <w:p w14:paraId="7A036056">
            <w:pPr>
              <w:pStyle w:val="27"/>
              <w:spacing w:before="176" w:line="220" w:lineRule="auto"/>
              <w:jc w:val="center"/>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1"/>
                <w:sz w:val="20"/>
                <w:szCs w:val="20"/>
                <w:lang w:eastAsia="zh-CN"/>
              </w:rPr>
              <w:t>符合第二章“投标人须知”规定</w:t>
            </w:r>
          </w:p>
        </w:tc>
      </w:tr>
      <w:tr w14:paraId="5ABD9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jc w:val="center"/>
        </w:trPr>
        <w:tc>
          <w:tcPr>
            <w:tcW w:w="2162" w:type="dxa"/>
            <w:gridSpan w:val="3"/>
            <w:tcBorders>
              <w:top w:val="single" w:color="auto" w:sz="4" w:space="0"/>
              <w:left w:val="single" w:color="auto" w:sz="4" w:space="0"/>
              <w:bottom w:val="single" w:color="auto" w:sz="4" w:space="0"/>
              <w:right w:val="single" w:color="auto" w:sz="4" w:space="0"/>
            </w:tcBorders>
            <w:vAlign w:val="center"/>
          </w:tcPr>
          <w:p w14:paraId="2A6359DE">
            <w:pPr>
              <w:pStyle w:val="27"/>
              <w:spacing w:before="72" w:line="182"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1.2.1</w:t>
            </w:r>
          </w:p>
        </w:tc>
        <w:tc>
          <w:tcPr>
            <w:tcW w:w="2059" w:type="dxa"/>
            <w:gridSpan w:val="2"/>
            <w:tcBorders>
              <w:top w:val="single" w:color="auto" w:sz="4" w:space="0"/>
              <w:left w:val="single" w:color="auto" w:sz="4" w:space="0"/>
              <w:bottom w:val="single" w:color="auto" w:sz="4" w:space="0"/>
              <w:right w:val="single" w:color="auto" w:sz="4" w:space="0"/>
            </w:tcBorders>
          </w:tcPr>
          <w:p w14:paraId="717AEA35">
            <w:pPr>
              <w:spacing w:line="321" w:lineRule="auto"/>
              <w:rPr>
                <w:rFonts w:asciiTheme="minorEastAsia" w:hAnsiTheme="minorEastAsia" w:eastAsiaTheme="minorEastAsia" w:cstheme="minorEastAsia"/>
                <w:sz w:val="20"/>
                <w:szCs w:val="20"/>
              </w:rPr>
            </w:pPr>
          </w:p>
          <w:p w14:paraId="3879BA15">
            <w:pPr>
              <w:pStyle w:val="27"/>
              <w:spacing w:before="71" w:line="220" w:lineRule="auto"/>
              <w:ind w:left="67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分值构成</w:t>
            </w:r>
          </w:p>
          <w:p w14:paraId="212BE3C6">
            <w:pPr>
              <w:pStyle w:val="27"/>
              <w:spacing w:before="71" w:line="221" w:lineRule="auto"/>
              <w:ind w:left="497"/>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rPr>
              <w:t>(总分</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pacing w:val="-10"/>
                <w:sz w:val="20"/>
                <w:szCs w:val="20"/>
              </w:rPr>
              <w:t>100</w:t>
            </w:r>
            <w:r>
              <w:rPr>
                <w:rFonts w:hint="eastAsia" w:asciiTheme="minorEastAsia" w:hAnsiTheme="minorEastAsia" w:eastAsiaTheme="minorEastAsia" w:cstheme="minorEastAsia"/>
                <w:spacing w:val="-46"/>
                <w:sz w:val="20"/>
                <w:szCs w:val="20"/>
              </w:rPr>
              <w:t xml:space="preserve"> </w:t>
            </w:r>
            <w:r>
              <w:rPr>
                <w:rFonts w:hint="eastAsia" w:asciiTheme="minorEastAsia" w:hAnsiTheme="minorEastAsia" w:eastAsiaTheme="minorEastAsia" w:cstheme="minorEastAsia"/>
                <w:spacing w:val="-10"/>
                <w:sz w:val="20"/>
                <w:szCs w:val="20"/>
              </w:rPr>
              <w:t>分)</w:t>
            </w:r>
          </w:p>
        </w:tc>
        <w:tc>
          <w:tcPr>
            <w:tcW w:w="4802" w:type="dxa"/>
            <w:tcBorders>
              <w:top w:val="single" w:color="auto" w:sz="4" w:space="0"/>
              <w:left w:val="single" w:color="auto" w:sz="4" w:space="0"/>
              <w:bottom w:val="single" w:color="auto" w:sz="4" w:space="0"/>
              <w:right w:val="single" w:color="auto" w:sz="4" w:space="0"/>
            </w:tcBorders>
          </w:tcPr>
          <w:p w14:paraId="16D6641F">
            <w:pPr>
              <w:spacing w:line="360" w:lineRule="auto"/>
              <w:jc w:val="both"/>
              <w:rPr>
                <w:rFonts w:asciiTheme="minorEastAsia" w:hAnsiTheme="minorEastAsia" w:eastAsiaTheme="minorEastAsia"/>
                <w:spacing w:val="-2"/>
                <w:sz w:val="20"/>
                <w:szCs w:val="20"/>
              </w:rPr>
            </w:pPr>
            <w:r>
              <w:rPr>
                <w:rFonts w:hint="eastAsia" w:asciiTheme="minorEastAsia" w:hAnsiTheme="minorEastAsia" w:eastAsiaTheme="minorEastAsia"/>
                <w:spacing w:val="7"/>
                <w:sz w:val="20"/>
                <w:szCs w:val="20"/>
                <w:lang w:eastAsia="zh-CN"/>
              </w:rPr>
              <w:t>商务标</w:t>
            </w:r>
            <w:r>
              <w:rPr>
                <w:rFonts w:hint="eastAsia" w:asciiTheme="minorEastAsia" w:hAnsiTheme="minorEastAsia" w:eastAsiaTheme="minorEastAsia"/>
                <w:spacing w:val="-2"/>
                <w:sz w:val="20"/>
                <w:szCs w:val="20"/>
              </w:rPr>
              <w:t>（0分）</w:t>
            </w:r>
          </w:p>
          <w:p w14:paraId="612568FE">
            <w:pPr>
              <w:spacing w:line="360" w:lineRule="auto"/>
              <w:jc w:val="both"/>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技术标（90分）</w:t>
            </w:r>
          </w:p>
          <w:p w14:paraId="3100712E">
            <w:pPr>
              <w:spacing w:line="360" w:lineRule="auto"/>
              <w:jc w:val="both"/>
              <w:rPr>
                <w:rFonts w:asciiTheme="minorEastAsia" w:hAnsiTheme="minorEastAsia" w:eastAsiaTheme="minorEastAsia" w:cstheme="minorEastAsia"/>
                <w:sz w:val="20"/>
                <w:szCs w:val="20"/>
                <w:lang w:eastAsia="zh-CN"/>
              </w:rPr>
            </w:pPr>
            <w:r>
              <w:rPr>
                <w:rFonts w:hint="eastAsia" w:cs="宋体" w:asciiTheme="minorEastAsia" w:hAnsiTheme="minorEastAsia" w:eastAsiaTheme="minorEastAsia"/>
                <w:sz w:val="20"/>
                <w:szCs w:val="20"/>
                <w:lang w:eastAsia="zh-CN"/>
              </w:rPr>
              <w:t>综合标（10分）</w:t>
            </w:r>
          </w:p>
        </w:tc>
      </w:tr>
      <w:tr w14:paraId="2C0D5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15" w:type="dxa"/>
            <w:tcBorders>
              <w:top w:val="single" w:color="auto" w:sz="4" w:space="0"/>
            </w:tcBorders>
          </w:tcPr>
          <w:p w14:paraId="4D96B898">
            <w:pPr>
              <w:pStyle w:val="27"/>
              <w:spacing w:before="158" w:line="306" w:lineRule="auto"/>
              <w:ind w:left="261" w:right="156" w:hanging="99"/>
              <w:jc w:val="center"/>
              <w:rPr>
                <w:rFonts w:asciiTheme="minorEastAsia" w:hAnsiTheme="minorEastAsia" w:eastAsiaTheme="minorEastAsia"/>
                <w:sz w:val="20"/>
                <w:szCs w:val="20"/>
              </w:rPr>
            </w:pPr>
            <w:r>
              <w:rPr>
                <w:rFonts w:hint="eastAsia" w:asciiTheme="minorEastAsia" w:hAnsiTheme="minorEastAsia" w:eastAsiaTheme="minorEastAsia"/>
                <w:spacing w:val="4"/>
                <w:sz w:val="20"/>
                <w:szCs w:val="20"/>
                <w:lang w:eastAsia="zh-CN"/>
              </w:rPr>
              <w:t xml:space="preserve"> </w:t>
            </w:r>
            <w:r>
              <w:rPr>
                <w:rFonts w:hint="eastAsia" w:asciiTheme="minorEastAsia" w:hAnsiTheme="minorEastAsia" w:eastAsiaTheme="minorEastAsia"/>
                <w:spacing w:val="4"/>
                <w:sz w:val="20"/>
                <w:szCs w:val="20"/>
              </w:rPr>
              <w:t>条款</w:t>
            </w:r>
            <w:r>
              <w:rPr>
                <w:rFonts w:hint="eastAsia" w:asciiTheme="minorEastAsia" w:hAnsiTheme="minorEastAsia" w:eastAsiaTheme="minorEastAsia"/>
                <w:spacing w:val="-2"/>
                <w:sz w:val="20"/>
                <w:szCs w:val="20"/>
              </w:rPr>
              <w:t>号</w:t>
            </w:r>
          </w:p>
        </w:tc>
        <w:tc>
          <w:tcPr>
            <w:tcW w:w="2257" w:type="dxa"/>
            <w:gridSpan w:val="3"/>
            <w:tcBorders>
              <w:top w:val="single" w:color="auto" w:sz="4" w:space="0"/>
            </w:tcBorders>
          </w:tcPr>
          <w:p w14:paraId="42D6468F">
            <w:pPr>
              <w:spacing w:line="255" w:lineRule="auto"/>
              <w:rPr>
                <w:rFonts w:cs="宋体" w:asciiTheme="minorEastAsia" w:hAnsiTheme="minorEastAsia" w:eastAsiaTheme="minorEastAsia"/>
                <w:sz w:val="20"/>
                <w:szCs w:val="20"/>
              </w:rPr>
            </w:pPr>
          </w:p>
          <w:p w14:paraId="59D6FC5A">
            <w:pPr>
              <w:pStyle w:val="27"/>
              <w:spacing w:before="58" w:line="229" w:lineRule="auto"/>
              <w:ind w:left="675"/>
              <w:rPr>
                <w:rFonts w:asciiTheme="minorEastAsia" w:hAnsiTheme="minorEastAsia" w:eastAsiaTheme="minorEastAsia"/>
                <w:sz w:val="20"/>
                <w:szCs w:val="20"/>
              </w:rPr>
            </w:pPr>
            <w:r>
              <w:rPr>
                <w:rFonts w:hint="eastAsia" w:asciiTheme="minorEastAsia" w:hAnsiTheme="minorEastAsia" w:eastAsiaTheme="minorEastAsia"/>
                <w:spacing w:val="7"/>
                <w:sz w:val="20"/>
                <w:szCs w:val="20"/>
              </w:rPr>
              <w:t>评分内容</w:t>
            </w:r>
          </w:p>
        </w:tc>
        <w:tc>
          <w:tcPr>
            <w:tcW w:w="6051" w:type="dxa"/>
            <w:gridSpan w:val="2"/>
            <w:tcBorders>
              <w:top w:val="single" w:color="auto" w:sz="4" w:space="0"/>
            </w:tcBorders>
          </w:tcPr>
          <w:p w14:paraId="300710F1">
            <w:pPr>
              <w:spacing w:line="254" w:lineRule="auto"/>
              <w:rPr>
                <w:rFonts w:cs="宋体" w:asciiTheme="minorEastAsia" w:hAnsiTheme="minorEastAsia" w:eastAsiaTheme="minorEastAsia"/>
                <w:sz w:val="20"/>
                <w:szCs w:val="20"/>
              </w:rPr>
            </w:pPr>
          </w:p>
          <w:p w14:paraId="20688061">
            <w:pPr>
              <w:pStyle w:val="27"/>
              <w:spacing w:before="59" w:line="230" w:lineRule="auto"/>
              <w:ind w:left="3137"/>
              <w:rPr>
                <w:rFonts w:asciiTheme="minorEastAsia" w:hAnsiTheme="minorEastAsia" w:eastAsiaTheme="minorEastAsia"/>
                <w:sz w:val="20"/>
                <w:szCs w:val="20"/>
              </w:rPr>
            </w:pPr>
            <w:r>
              <w:rPr>
                <w:rFonts w:hint="eastAsia" w:asciiTheme="minorEastAsia" w:hAnsiTheme="minorEastAsia" w:eastAsiaTheme="minorEastAsia"/>
                <w:spacing w:val="7"/>
                <w:sz w:val="20"/>
                <w:szCs w:val="20"/>
              </w:rPr>
              <w:t>评分标准</w:t>
            </w:r>
          </w:p>
        </w:tc>
      </w:tr>
      <w:tr w14:paraId="3EEDF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jc w:val="center"/>
        </w:trPr>
        <w:tc>
          <w:tcPr>
            <w:tcW w:w="715" w:type="dxa"/>
            <w:tcBorders>
              <w:bottom w:val="single" w:color="auto" w:sz="4" w:space="0"/>
            </w:tcBorders>
          </w:tcPr>
          <w:p w14:paraId="761919E8">
            <w:pPr>
              <w:spacing w:line="305" w:lineRule="auto"/>
              <w:rPr>
                <w:rFonts w:cs="宋体" w:asciiTheme="minorEastAsia" w:hAnsiTheme="minorEastAsia" w:eastAsiaTheme="minorEastAsia"/>
                <w:sz w:val="20"/>
                <w:szCs w:val="20"/>
              </w:rPr>
            </w:pPr>
          </w:p>
          <w:p w14:paraId="268FC095">
            <w:pPr>
              <w:spacing w:line="306" w:lineRule="auto"/>
              <w:rPr>
                <w:rFonts w:cs="宋体" w:asciiTheme="minorEastAsia" w:hAnsiTheme="minorEastAsia" w:eastAsiaTheme="minorEastAsia"/>
                <w:sz w:val="20"/>
                <w:szCs w:val="20"/>
              </w:rPr>
            </w:pPr>
          </w:p>
          <w:p w14:paraId="642128F0">
            <w:pPr>
              <w:pStyle w:val="27"/>
              <w:spacing w:before="59" w:line="189" w:lineRule="auto"/>
              <w:ind w:left="117"/>
              <w:rPr>
                <w:rFonts w:asciiTheme="minorEastAsia" w:hAnsiTheme="minorEastAsia" w:eastAsiaTheme="minorEastAsia"/>
                <w:spacing w:val="3"/>
                <w:sz w:val="20"/>
                <w:szCs w:val="20"/>
              </w:rPr>
            </w:pPr>
          </w:p>
          <w:p w14:paraId="38A2D7EC">
            <w:pPr>
              <w:pStyle w:val="27"/>
              <w:spacing w:before="59" w:line="189" w:lineRule="auto"/>
              <w:ind w:left="117"/>
              <w:rPr>
                <w:rFonts w:asciiTheme="minorEastAsia" w:hAnsiTheme="minorEastAsia" w:eastAsiaTheme="minorEastAsia"/>
                <w:sz w:val="20"/>
                <w:szCs w:val="20"/>
              </w:rPr>
            </w:pPr>
            <w:r>
              <w:rPr>
                <w:rFonts w:hint="eastAsia" w:asciiTheme="minorEastAsia" w:hAnsiTheme="minorEastAsia" w:eastAsiaTheme="minorEastAsia"/>
                <w:spacing w:val="3"/>
                <w:sz w:val="20"/>
                <w:szCs w:val="20"/>
              </w:rPr>
              <w:t>2.2.1</w:t>
            </w:r>
          </w:p>
        </w:tc>
        <w:tc>
          <w:tcPr>
            <w:tcW w:w="955" w:type="dxa"/>
            <w:tcBorders>
              <w:bottom w:val="single" w:color="auto" w:sz="4" w:space="0"/>
            </w:tcBorders>
          </w:tcPr>
          <w:p w14:paraId="234A5775">
            <w:pPr>
              <w:spacing w:line="459" w:lineRule="auto"/>
              <w:rPr>
                <w:rFonts w:cs="宋体" w:asciiTheme="minorEastAsia" w:hAnsiTheme="minorEastAsia" w:eastAsiaTheme="minorEastAsia"/>
                <w:sz w:val="20"/>
                <w:szCs w:val="20"/>
              </w:rPr>
            </w:pPr>
          </w:p>
          <w:p w14:paraId="3406D613">
            <w:pPr>
              <w:pStyle w:val="27"/>
              <w:spacing w:before="58" w:line="242" w:lineRule="auto"/>
              <w:ind w:left="309" w:right="108" w:hanging="195"/>
              <w:jc w:val="center"/>
              <w:rPr>
                <w:rFonts w:asciiTheme="minorEastAsia" w:hAnsiTheme="minorEastAsia" w:eastAsiaTheme="minorEastAsia"/>
                <w:spacing w:val="-10"/>
                <w:sz w:val="20"/>
                <w:szCs w:val="20"/>
              </w:rPr>
            </w:pPr>
          </w:p>
          <w:p w14:paraId="2435E324">
            <w:pPr>
              <w:pStyle w:val="27"/>
              <w:spacing w:before="58" w:line="360" w:lineRule="auto"/>
              <w:ind w:right="183"/>
              <w:jc w:val="center"/>
              <w:rPr>
                <w:rFonts w:asciiTheme="minorEastAsia" w:hAnsiTheme="minorEastAsia" w:eastAsiaTheme="minorEastAsia"/>
                <w:sz w:val="20"/>
                <w:szCs w:val="20"/>
                <w:lang w:eastAsia="zh-CN"/>
              </w:rPr>
            </w:pPr>
            <w:r>
              <w:rPr>
                <w:rFonts w:hint="eastAsia" w:asciiTheme="minorEastAsia" w:hAnsiTheme="minorEastAsia" w:eastAsiaTheme="minorEastAsia"/>
                <w:spacing w:val="7"/>
                <w:sz w:val="20"/>
                <w:szCs w:val="20"/>
                <w:lang w:eastAsia="zh-CN"/>
              </w:rPr>
              <w:t>商务标</w:t>
            </w:r>
            <w:r>
              <w:rPr>
                <w:rFonts w:hint="eastAsia" w:asciiTheme="minorEastAsia" w:hAnsiTheme="minorEastAsia" w:eastAsiaTheme="minorEastAsia"/>
                <w:spacing w:val="-2"/>
                <w:sz w:val="20"/>
                <w:szCs w:val="20"/>
              </w:rPr>
              <w:t>（0分）</w:t>
            </w:r>
          </w:p>
        </w:tc>
        <w:tc>
          <w:tcPr>
            <w:tcW w:w="1302" w:type="dxa"/>
            <w:gridSpan w:val="2"/>
            <w:tcBorders>
              <w:bottom w:val="single" w:color="auto" w:sz="4" w:space="0"/>
            </w:tcBorders>
          </w:tcPr>
          <w:p w14:paraId="5D652D8D">
            <w:pPr>
              <w:spacing w:line="360" w:lineRule="auto"/>
              <w:rPr>
                <w:rFonts w:cs="宋体" w:asciiTheme="minorEastAsia" w:hAnsiTheme="minorEastAsia" w:eastAsiaTheme="minorEastAsia"/>
                <w:sz w:val="20"/>
                <w:szCs w:val="20"/>
              </w:rPr>
            </w:pPr>
          </w:p>
          <w:p w14:paraId="418611F0">
            <w:pPr>
              <w:pStyle w:val="27"/>
              <w:spacing w:before="58" w:line="360" w:lineRule="auto"/>
              <w:ind w:left="214" w:right="183" w:hanging="31"/>
              <w:jc w:val="center"/>
              <w:rPr>
                <w:rFonts w:asciiTheme="minorEastAsia" w:hAnsiTheme="minorEastAsia" w:eastAsiaTheme="minorEastAsia"/>
                <w:spacing w:val="7"/>
                <w:sz w:val="20"/>
                <w:szCs w:val="20"/>
              </w:rPr>
            </w:pPr>
          </w:p>
          <w:p w14:paraId="2A6CA0B4">
            <w:pPr>
              <w:pStyle w:val="27"/>
              <w:spacing w:before="58" w:line="360" w:lineRule="auto"/>
              <w:ind w:right="183"/>
              <w:jc w:val="center"/>
              <w:rPr>
                <w:rFonts w:asciiTheme="minorEastAsia" w:hAnsiTheme="minorEastAsia" w:eastAsiaTheme="minorEastAsia"/>
                <w:spacing w:val="7"/>
                <w:sz w:val="20"/>
                <w:szCs w:val="20"/>
              </w:rPr>
            </w:pPr>
            <w:r>
              <w:rPr>
                <w:rFonts w:hint="eastAsia" w:asciiTheme="minorEastAsia" w:hAnsiTheme="minorEastAsia" w:eastAsiaTheme="minorEastAsia"/>
                <w:spacing w:val="7"/>
                <w:sz w:val="20"/>
                <w:szCs w:val="20"/>
                <w:lang w:eastAsia="zh-CN"/>
              </w:rPr>
              <w:t xml:space="preserve"> </w:t>
            </w:r>
            <w:r>
              <w:rPr>
                <w:rFonts w:hint="eastAsia" w:asciiTheme="minorEastAsia" w:hAnsiTheme="minorEastAsia" w:eastAsiaTheme="minorEastAsia"/>
                <w:spacing w:val="7"/>
                <w:sz w:val="20"/>
                <w:szCs w:val="20"/>
              </w:rPr>
              <w:t>投标报价</w:t>
            </w:r>
          </w:p>
          <w:p w14:paraId="478296E6">
            <w:pPr>
              <w:pStyle w:val="27"/>
              <w:spacing w:before="58" w:line="360" w:lineRule="auto"/>
              <w:ind w:left="214" w:right="183" w:hanging="31"/>
              <w:jc w:val="center"/>
              <w:rPr>
                <w:rFonts w:asciiTheme="minorEastAsia" w:hAnsiTheme="minorEastAsia" w:eastAsiaTheme="minorEastAsia"/>
                <w:sz w:val="20"/>
                <w:szCs w:val="20"/>
              </w:rPr>
            </w:pPr>
            <w:r>
              <w:rPr>
                <w:rFonts w:hint="eastAsia" w:asciiTheme="minorEastAsia" w:hAnsiTheme="minorEastAsia" w:eastAsiaTheme="minorEastAsia"/>
                <w:spacing w:val="-2"/>
                <w:sz w:val="20"/>
                <w:szCs w:val="20"/>
              </w:rPr>
              <w:t>（0分）</w:t>
            </w:r>
          </w:p>
        </w:tc>
        <w:tc>
          <w:tcPr>
            <w:tcW w:w="6051" w:type="dxa"/>
            <w:gridSpan w:val="2"/>
            <w:tcBorders>
              <w:bottom w:val="single" w:color="auto" w:sz="4" w:space="0"/>
            </w:tcBorders>
          </w:tcPr>
          <w:p w14:paraId="5A0EF112">
            <w:pPr>
              <w:pStyle w:val="27"/>
              <w:spacing w:before="26" w:line="360" w:lineRule="auto"/>
              <w:ind w:right="108"/>
              <w:jc w:val="both"/>
              <w:rPr>
                <w:rFonts w:asciiTheme="minorEastAsia" w:hAnsiTheme="minorEastAsia" w:eastAsiaTheme="minorEastAsia"/>
                <w:sz w:val="20"/>
                <w:szCs w:val="20"/>
                <w:lang w:eastAsia="zh-CN"/>
              </w:rPr>
            </w:pPr>
            <w:r>
              <w:rPr>
                <w:rFonts w:hint="eastAsia" w:asciiTheme="minorEastAsia" w:hAnsiTheme="minorEastAsia" w:eastAsiaTheme="minorEastAsia"/>
                <w:color w:val="333333"/>
                <w:spacing w:val="14"/>
                <w:sz w:val="20"/>
                <w:szCs w:val="20"/>
                <w:lang w:eastAsia="zh-CN"/>
              </w:rPr>
              <w:t>根据教育部等十五部门联合印发的《农村义务教育学生营养改善</w:t>
            </w:r>
            <w:r>
              <w:rPr>
                <w:rFonts w:hint="eastAsia" w:asciiTheme="minorEastAsia" w:hAnsiTheme="minorEastAsia" w:eastAsiaTheme="minorEastAsia"/>
                <w:color w:val="333333"/>
                <w:spacing w:val="13"/>
                <w:sz w:val="20"/>
                <w:szCs w:val="20"/>
                <w:lang w:eastAsia="zh-CN"/>
              </w:rPr>
              <w:t>计划实施细</w:t>
            </w:r>
            <w:r>
              <w:rPr>
                <w:rFonts w:hint="eastAsia" w:asciiTheme="minorEastAsia" w:hAnsiTheme="minorEastAsia" w:eastAsiaTheme="minorEastAsia"/>
                <w:color w:val="333333"/>
                <w:sz w:val="20"/>
                <w:szCs w:val="20"/>
                <w:lang w:eastAsia="zh-CN"/>
              </w:rPr>
              <w:t xml:space="preserve"> </w:t>
            </w:r>
            <w:r>
              <w:rPr>
                <w:rFonts w:hint="eastAsia" w:asciiTheme="minorEastAsia" w:hAnsiTheme="minorEastAsia" w:eastAsiaTheme="minorEastAsia"/>
                <w:color w:val="333333"/>
                <w:spacing w:val="9"/>
                <w:sz w:val="20"/>
                <w:szCs w:val="20"/>
                <w:lang w:eastAsia="zh-CN"/>
              </w:rPr>
              <w:t>则》及河南省学生营养办关于进一步加强农村义务教育学生营养改善计划监督管理</w:t>
            </w:r>
            <w:r>
              <w:rPr>
                <w:rFonts w:hint="eastAsia" w:asciiTheme="minorEastAsia" w:hAnsiTheme="minorEastAsia" w:eastAsiaTheme="minorEastAsia"/>
                <w:color w:val="333333"/>
                <w:spacing w:val="8"/>
                <w:sz w:val="20"/>
                <w:szCs w:val="20"/>
                <w:lang w:eastAsia="zh-CN"/>
              </w:rPr>
              <w:t>工作的通知【河南省学生营养办〔2018〕6</w:t>
            </w:r>
            <w:r>
              <w:rPr>
                <w:rFonts w:hint="eastAsia" w:asciiTheme="minorEastAsia" w:hAnsiTheme="minorEastAsia" w:eastAsiaTheme="minorEastAsia"/>
                <w:color w:val="333333"/>
                <w:spacing w:val="-11"/>
                <w:sz w:val="20"/>
                <w:szCs w:val="20"/>
                <w:lang w:eastAsia="zh-CN"/>
              </w:rPr>
              <w:t xml:space="preserve"> </w:t>
            </w:r>
            <w:r>
              <w:rPr>
                <w:rFonts w:hint="eastAsia" w:asciiTheme="minorEastAsia" w:hAnsiTheme="minorEastAsia" w:eastAsiaTheme="minorEastAsia"/>
                <w:color w:val="333333"/>
                <w:spacing w:val="8"/>
                <w:sz w:val="20"/>
                <w:szCs w:val="20"/>
                <w:lang w:eastAsia="zh-CN"/>
              </w:rPr>
              <w:t>号】精神“严禁克扣和浪费，确保5元</w:t>
            </w:r>
            <w:r>
              <w:rPr>
                <w:rFonts w:hint="eastAsia" w:asciiTheme="minorEastAsia" w:hAnsiTheme="minorEastAsia" w:eastAsiaTheme="minorEastAsia"/>
                <w:color w:val="333333"/>
                <w:spacing w:val="5"/>
                <w:sz w:val="20"/>
                <w:szCs w:val="20"/>
                <w:lang w:eastAsia="zh-CN"/>
              </w:rPr>
              <w:t>膳食补助全部吃进学生嘴里”及中华人民共和国财政部第</w:t>
            </w:r>
            <w:r>
              <w:rPr>
                <w:rFonts w:hint="eastAsia" w:asciiTheme="minorEastAsia" w:hAnsiTheme="minorEastAsia" w:eastAsiaTheme="minorEastAsia"/>
                <w:color w:val="333333"/>
                <w:spacing w:val="-34"/>
                <w:sz w:val="20"/>
                <w:szCs w:val="20"/>
                <w:lang w:eastAsia="zh-CN"/>
              </w:rPr>
              <w:t xml:space="preserve"> </w:t>
            </w:r>
            <w:r>
              <w:rPr>
                <w:rFonts w:hint="eastAsia" w:asciiTheme="minorEastAsia" w:hAnsiTheme="minorEastAsia" w:eastAsiaTheme="minorEastAsia"/>
                <w:color w:val="333333"/>
                <w:spacing w:val="5"/>
                <w:sz w:val="20"/>
                <w:szCs w:val="20"/>
                <w:lang w:eastAsia="zh-CN"/>
              </w:rPr>
              <w:t>87</w:t>
            </w:r>
            <w:r>
              <w:rPr>
                <w:rFonts w:hint="eastAsia" w:asciiTheme="minorEastAsia" w:hAnsiTheme="minorEastAsia" w:eastAsiaTheme="minorEastAsia"/>
                <w:color w:val="333333"/>
                <w:spacing w:val="-28"/>
                <w:sz w:val="20"/>
                <w:szCs w:val="20"/>
                <w:lang w:eastAsia="zh-CN"/>
              </w:rPr>
              <w:t xml:space="preserve"> </w:t>
            </w:r>
            <w:r>
              <w:rPr>
                <w:rFonts w:hint="eastAsia" w:asciiTheme="minorEastAsia" w:hAnsiTheme="minorEastAsia" w:eastAsiaTheme="minorEastAsia"/>
                <w:color w:val="333333"/>
                <w:spacing w:val="5"/>
                <w:sz w:val="20"/>
                <w:szCs w:val="20"/>
                <w:lang w:eastAsia="zh-CN"/>
              </w:rPr>
              <w:t>号令-第</w:t>
            </w:r>
            <w:r>
              <w:rPr>
                <w:rFonts w:hint="eastAsia" w:asciiTheme="minorEastAsia" w:hAnsiTheme="minorEastAsia" w:eastAsiaTheme="minorEastAsia"/>
                <w:color w:val="333333"/>
                <w:spacing w:val="-31"/>
                <w:sz w:val="20"/>
                <w:szCs w:val="20"/>
                <w:lang w:eastAsia="zh-CN"/>
              </w:rPr>
              <w:t xml:space="preserve"> </w:t>
            </w:r>
            <w:r>
              <w:rPr>
                <w:rFonts w:hint="eastAsia" w:asciiTheme="minorEastAsia" w:hAnsiTheme="minorEastAsia" w:eastAsiaTheme="minorEastAsia"/>
                <w:color w:val="333333"/>
                <w:spacing w:val="5"/>
                <w:sz w:val="20"/>
                <w:szCs w:val="20"/>
                <w:lang w:eastAsia="zh-CN"/>
              </w:rPr>
              <w:t>55</w:t>
            </w:r>
            <w:r>
              <w:rPr>
                <w:rFonts w:hint="eastAsia" w:asciiTheme="minorEastAsia" w:hAnsiTheme="minorEastAsia" w:eastAsiaTheme="minorEastAsia"/>
                <w:color w:val="333333"/>
                <w:spacing w:val="-32"/>
                <w:sz w:val="20"/>
                <w:szCs w:val="20"/>
                <w:lang w:eastAsia="zh-CN"/>
              </w:rPr>
              <w:t xml:space="preserve"> </w:t>
            </w:r>
            <w:r>
              <w:rPr>
                <w:rFonts w:hint="eastAsia" w:asciiTheme="minorEastAsia" w:hAnsiTheme="minorEastAsia" w:eastAsiaTheme="minorEastAsia"/>
                <w:color w:val="333333"/>
                <w:spacing w:val="5"/>
                <w:sz w:val="20"/>
                <w:szCs w:val="20"/>
                <w:lang w:eastAsia="zh-CN"/>
              </w:rPr>
              <w:t>条规定“执</w:t>
            </w:r>
            <w:r>
              <w:rPr>
                <w:rFonts w:hint="eastAsia" w:asciiTheme="minorEastAsia" w:hAnsiTheme="minorEastAsia" w:eastAsiaTheme="minorEastAsia"/>
                <w:color w:val="333333"/>
                <w:spacing w:val="10"/>
                <w:sz w:val="20"/>
                <w:szCs w:val="20"/>
                <w:lang w:eastAsia="zh-CN"/>
              </w:rPr>
              <w:t>行国家统一定价标准和采用固定价格采购的项目，</w:t>
            </w:r>
            <w:r>
              <w:rPr>
                <w:rFonts w:hint="eastAsia" w:asciiTheme="minorEastAsia" w:hAnsiTheme="minorEastAsia" w:eastAsiaTheme="minorEastAsia"/>
                <w:color w:val="333333"/>
                <w:spacing w:val="9"/>
                <w:sz w:val="20"/>
                <w:szCs w:val="20"/>
                <w:lang w:eastAsia="zh-CN"/>
              </w:rPr>
              <w:t>其价格不列为评审因素。</w:t>
            </w:r>
            <w:r>
              <w:rPr>
                <w:rFonts w:hint="eastAsia" w:asciiTheme="minorEastAsia" w:hAnsiTheme="minorEastAsia" w:eastAsiaTheme="minorEastAsia"/>
                <w:color w:val="333333"/>
                <w:spacing w:val="9"/>
                <w:sz w:val="20"/>
                <w:szCs w:val="20"/>
              </w:rPr>
              <w:t>”</w:t>
            </w:r>
            <w:r>
              <w:rPr>
                <w:rFonts w:hint="eastAsia" w:asciiTheme="minorEastAsia" w:hAnsiTheme="minorEastAsia" w:eastAsiaTheme="minorEastAsia"/>
                <w:color w:val="333333"/>
                <w:spacing w:val="6"/>
                <w:sz w:val="20"/>
                <w:szCs w:val="20"/>
              </w:rPr>
              <w:t>本项目投标报价不列为评审因素</w:t>
            </w:r>
            <w:r>
              <w:rPr>
                <w:rFonts w:hint="eastAsia" w:asciiTheme="minorEastAsia" w:hAnsiTheme="minorEastAsia" w:eastAsiaTheme="minorEastAsia"/>
                <w:color w:val="333333"/>
                <w:spacing w:val="6"/>
                <w:sz w:val="20"/>
                <w:szCs w:val="20"/>
                <w:lang w:eastAsia="zh-CN"/>
              </w:rPr>
              <w:t>。</w:t>
            </w:r>
          </w:p>
        </w:tc>
      </w:tr>
      <w:tr w14:paraId="33E24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715" w:type="dxa"/>
            <w:vMerge w:val="restart"/>
            <w:tcBorders>
              <w:top w:val="single" w:color="auto" w:sz="4" w:space="0"/>
              <w:left w:val="single" w:color="auto" w:sz="4" w:space="0"/>
              <w:bottom w:val="single" w:color="auto" w:sz="4" w:space="0"/>
              <w:right w:val="single" w:color="auto" w:sz="4" w:space="0"/>
            </w:tcBorders>
            <w:vAlign w:val="center"/>
          </w:tcPr>
          <w:p w14:paraId="716BAA14">
            <w:pPr>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2.2.2</w:t>
            </w:r>
          </w:p>
        </w:tc>
        <w:tc>
          <w:tcPr>
            <w:tcW w:w="955" w:type="dxa"/>
            <w:vMerge w:val="restart"/>
            <w:tcBorders>
              <w:top w:val="single" w:color="auto" w:sz="4" w:space="0"/>
              <w:left w:val="single" w:color="auto" w:sz="4" w:space="0"/>
              <w:bottom w:val="single" w:color="auto" w:sz="4" w:space="0"/>
              <w:right w:val="single" w:color="auto" w:sz="4" w:space="0"/>
            </w:tcBorders>
            <w:vAlign w:val="center"/>
          </w:tcPr>
          <w:p w14:paraId="48F2BDA0">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技术标</w:t>
            </w:r>
          </w:p>
          <w:p w14:paraId="611AE094">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（90分）</w:t>
            </w: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37309AE3">
            <w:pPr>
              <w:pStyle w:val="27"/>
              <w:spacing w:before="20" w:line="360" w:lineRule="auto"/>
              <w:ind w:left="169"/>
              <w:jc w:val="center"/>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1.</w:t>
            </w:r>
            <w:r>
              <w:rPr>
                <w:rFonts w:hint="eastAsia" w:asciiTheme="minorEastAsia" w:hAnsiTheme="minorEastAsia" w:eastAsiaTheme="minorEastAsia"/>
                <w:sz w:val="20"/>
                <w:szCs w:val="20"/>
              </w:rPr>
              <w:t>管理体系制度或方案措施</w:t>
            </w:r>
          </w:p>
          <w:p w14:paraId="1F6EE096">
            <w:pPr>
              <w:pStyle w:val="27"/>
              <w:spacing w:before="20" w:line="360"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（15分）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2EA343A4">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针对本项目供应商提供完善的食材来源制度、食材采购管理制度、验收管理制度、食品储藏、操作规范、卫生管理控制或管理方案（食品卫生，人员卫生，环境卫生，垃圾处理方案等）、检验制度（含留样制度）入库管理、工作防范措施；与学校、膳食委员会建立沟通机制，定期了解学校、膳食委员会对食材质量、品种的意见建议，及时改进服务机制等内容；</w:t>
            </w:r>
          </w:p>
          <w:p w14:paraId="21A5A50A">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第一档：内容完整详尽，内容非常清晰，具体实施方案科学合理、全面性可靠性高、切合采购人实际需求，计15分；</w:t>
            </w:r>
          </w:p>
          <w:p w14:paraId="796FB5D9">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第二档：内容和具体实施方案有一定的合理性，全面性、能够一定程度上满足采购人需求，计1</w:t>
            </w:r>
            <w:r>
              <w:rPr>
                <w:rFonts w:hint="eastAsia" w:cs="宋体" w:asciiTheme="minorEastAsia" w:hAnsiTheme="minorEastAsia" w:eastAsiaTheme="minorEastAsia"/>
                <w:color w:val="333333"/>
                <w:spacing w:val="14"/>
                <w:sz w:val="20"/>
                <w:szCs w:val="20"/>
                <w:highlight w:val="none"/>
                <w:lang w:val="en-US" w:eastAsia="zh-CN"/>
              </w:rPr>
              <w:t>1</w:t>
            </w:r>
            <w:r>
              <w:rPr>
                <w:rFonts w:hint="eastAsia" w:cs="宋体" w:asciiTheme="minorEastAsia" w:hAnsiTheme="minorEastAsia" w:eastAsiaTheme="minorEastAsia"/>
                <w:color w:val="333333"/>
                <w:spacing w:val="14"/>
                <w:sz w:val="20"/>
                <w:szCs w:val="20"/>
                <w:highlight w:val="none"/>
                <w:lang w:eastAsia="zh-CN"/>
              </w:rPr>
              <w:t>分；</w:t>
            </w:r>
          </w:p>
          <w:p w14:paraId="1E22D0E5">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第三档：内容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，具体实施方案内容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、全面性可靠性</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，方案内容</w:t>
            </w:r>
            <w:r>
              <w:rPr>
                <w:rFonts w:hint="eastAsia" w:cs="宋体" w:asciiTheme="minorEastAsia" w:hAnsiTheme="minorEastAsia" w:eastAsiaTheme="minorEastAsia"/>
                <w:color w:val="333333"/>
                <w:spacing w:val="14"/>
                <w:sz w:val="20"/>
                <w:szCs w:val="20"/>
                <w:highlight w:val="none"/>
                <w:lang w:val="en-US" w:eastAsia="zh-CN"/>
              </w:rPr>
              <w:t>一般性</w:t>
            </w:r>
            <w:r>
              <w:rPr>
                <w:rFonts w:hint="eastAsia" w:cs="宋体" w:asciiTheme="minorEastAsia" w:hAnsiTheme="minorEastAsia" w:eastAsiaTheme="minorEastAsia"/>
                <w:color w:val="333333"/>
                <w:spacing w:val="14"/>
                <w:sz w:val="20"/>
                <w:szCs w:val="20"/>
                <w:highlight w:val="none"/>
                <w:lang w:eastAsia="zh-CN"/>
              </w:rPr>
              <w:t>满足招标文件要求的，计</w:t>
            </w:r>
            <w:r>
              <w:rPr>
                <w:rFonts w:hint="eastAsia" w:cs="宋体" w:asciiTheme="minorEastAsia" w:hAnsiTheme="minorEastAsia" w:eastAsiaTheme="minorEastAsia"/>
                <w:color w:val="333333"/>
                <w:spacing w:val="14"/>
                <w:sz w:val="20"/>
                <w:szCs w:val="20"/>
                <w:highlight w:val="none"/>
                <w:lang w:val="en-US" w:eastAsia="zh-CN"/>
              </w:rPr>
              <w:t>7</w:t>
            </w:r>
            <w:r>
              <w:rPr>
                <w:rFonts w:hint="eastAsia" w:cs="宋体" w:asciiTheme="minorEastAsia" w:hAnsiTheme="minorEastAsia" w:eastAsiaTheme="minorEastAsia"/>
                <w:color w:val="333333"/>
                <w:spacing w:val="14"/>
                <w:sz w:val="20"/>
                <w:szCs w:val="20"/>
                <w:highlight w:val="none"/>
                <w:lang w:eastAsia="zh-CN"/>
              </w:rPr>
              <w:t>分。</w:t>
            </w:r>
          </w:p>
          <w:p w14:paraId="267818EB">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四</w:t>
            </w:r>
            <w:r>
              <w:rPr>
                <w:rFonts w:hint="eastAsia" w:cs="宋体" w:asciiTheme="minorEastAsia" w:hAnsiTheme="minorEastAsia" w:eastAsiaTheme="minorEastAsia"/>
                <w:color w:val="333333"/>
                <w:spacing w:val="14"/>
                <w:sz w:val="20"/>
                <w:szCs w:val="20"/>
                <w:highlight w:val="none"/>
                <w:lang w:eastAsia="zh-CN"/>
              </w:rPr>
              <w:t>档：内容笼统，具体实施方案内容笼统、全面性可靠性笼统，方案内容基本满足招标文件要求的，计</w:t>
            </w:r>
            <w:r>
              <w:rPr>
                <w:rFonts w:hint="eastAsia" w:cs="宋体" w:asciiTheme="minorEastAsia" w:hAnsiTheme="minorEastAsia" w:eastAsiaTheme="minorEastAsia"/>
                <w:color w:val="333333"/>
                <w:spacing w:val="14"/>
                <w:sz w:val="20"/>
                <w:szCs w:val="20"/>
                <w:highlight w:val="none"/>
                <w:lang w:val="en-US" w:eastAsia="zh-CN"/>
              </w:rPr>
              <w:t>4</w:t>
            </w:r>
            <w:r>
              <w:rPr>
                <w:rFonts w:hint="eastAsia" w:cs="宋体" w:asciiTheme="minorEastAsia" w:hAnsiTheme="minorEastAsia" w:eastAsiaTheme="minorEastAsia"/>
                <w:color w:val="333333"/>
                <w:spacing w:val="14"/>
                <w:sz w:val="20"/>
                <w:szCs w:val="20"/>
                <w:highlight w:val="none"/>
                <w:lang w:eastAsia="zh-CN"/>
              </w:rPr>
              <w:t>分。</w:t>
            </w:r>
          </w:p>
          <w:p w14:paraId="31CD6E3E">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五</w:t>
            </w:r>
            <w:r>
              <w:rPr>
                <w:rFonts w:hint="eastAsia" w:cs="宋体" w:asciiTheme="minorEastAsia" w:hAnsiTheme="minorEastAsia" w:eastAsiaTheme="minorEastAsia"/>
                <w:color w:val="333333"/>
                <w:spacing w:val="14"/>
                <w:sz w:val="20"/>
                <w:szCs w:val="20"/>
                <w:highlight w:val="none"/>
                <w:lang w:eastAsia="zh-CN"/>
              </w:rPr>
              <w:t>档：内容不完整，具体实施方案内容不完整、全面性可靠性不完整，计</w:t>
            </w:r>
            <w:r>
              <w:rPr>
                <w:rFonts w:hint="eastAsia" w:cs="宋体" w:asciiTheme="minorEastAsia" w:hAnsiTheme="minorEastAsia" w:eastAsiaTheme="minorEastAsia"/>
                <w:color w:val="333333"/>
                <w:spacing w:val="14"/>
                <w:sz w:val="20"/>
                <w:szCs w:val="20"/>
                <w:highlight w:val="none"/>
                <w:lang w:val="en-US" w:eastAsia="zh-CN"/>
              </w:rPr>
              <w:t>1</w:t>
            </w:r>
            <w:r>
              <w:rPr>
                <w:rFonts w:hint="eastAsia" w:cs="宋体" w:asciiTheme="minorEastAsia" w:hAnsiTheme="minorEastAsia" w:eastAsiaTheme="minorEastAsia"/>
                <w:color w:val="333333"/>
                <w:spacing w:val="14"/>
                <w:sz w:val="20"/>
                <w:szCs w:val="20"/>
                <w:highlight w:val="none"/>
                <w:lang w:eastAsia="zh-CN"/>
              </w:rPr>
              <w:t>分。</w:t>
            </w:r>
          </w:p>
          <w:p w14:paraId="2D03E493">
            <w:pPr>
              <w:spacing w:line="360" w:lineRule="auto"/>
              <w:rPr>
                <w:rFonts w:asciiTheme="minorEastAsia" w:hAnsiTheme="minorEastAsia" w:eastAsiaTheme="minorEastAsia"/>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六</w:t>
            </w:r>
            <w:r>
              <w:rPr>
                <w:rFonts w:hint="eastAsia" w:cs="宋体" w:asciiTheme="minorEastAsia" w:hAnsiTheme="minorEastAsia" w:eastAsiaTheme="minorEastAsia"/>
                <w:color w:val="333333"/>
                <w:spacing w:val="14"/>
                <w:sz w:val="20"/>
                <w:szCs w:val="20"/>
                <w:highlight w:val="none"/>
                <w:lang w:eastAsia="zh-CN"/>
              </w:rPr>
              <w:t>档：缺项不得分。</w:t>
            </w:r>
          </w:p>
        </w:tc>
      </w:tr>
      <w:tr w14:paraId="6CFE4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0286E0EB">
            <w:pPr>
              <w:jc w:val="center"/>
              <w:rPr>
                <w:rFonts w:cs="宋体" w:asciiTheme="minorEastAsia" w:hAnsiTheme="minorEastAsia" w:eastAsiaTheme="minorEastAsia"/>
                <w:sz w:val="20"/>
                <w:szCs w:val="20"/>
                <w:lang w:eastAsia="zh-CN"/>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0F3308D3">
            <w:pPr>
              <w:spacing w:line="360" w:lineRule="auto"/>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0F40E2AB">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2.食材选购人员职责体系和管理措施</w:t>
            </w:r>
          </w:p>
          <w:p w14:paraId="3E2A5A73">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（10分）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6C6F4663">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第一档：内容完整详尽，内容非常清晰，具体实施方案科学合理、全面性可靠性高、切合采购人实际需求，计10分；</w:t>
            </w:r>
          </w:p>
          <w:p w14:paraId="36CE76DA">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第二档：内容和具体实施方案有一定的合理性，全面性、能够一定程度上满足采购人需求，计</w:t>
            </w:r>
            <w:r>
              <w:rPr>
                <w:rFonts w:hint="eastAsia" w:cs="宋体" w:asciiTheme="minorEastAsia" w:hAnsiTheme="minorEastAsia" w:eastAsiaTheme="minorEastAsia"/>
                <w:color w:val="333333"/>
                <w:spacing w:val="14"/>
                <w:sz w:val="20"/>
                <w:szCs w:val="20"/>
                <w:highlight w:val="none"/>
                <w:lang w:val="en-US" w:eastAsia="zh-CN"/>
              </w:rPr>
              <w:t>8</w:t>
            </w:r>
            <w:r>
              <w:rPr>
                <w:rFonts w:hint="eastAsia" w:cs="宋体" w:asciiTheme="minorEastAsia" w:hAnsiTheme="minorEastAsia" w:eastAsiaTheme="minorEastAsia"/>
                <w:color w:val="333333"/>
                <w:spacing w:val="14"/>
                <w:sz w:val="20"/>
                <w:szCs w:val="20"/>
                <w:highlight w:val="none"/>
                <w:lang w:eastAsia="zh-CN"/>
              </w:rPr>
              <w:t>分；</w:t>
            </w:r>
          </w:p>
          <w:p w14:paraId="56B0094F">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三</w:t>
            </w:r>
            <w:r>
              <w:rPr>
                <w:rFonts w:hint="eastAsia" w:cs="宋体" w:asciiTheme="minorEastAsia" w:hAnsiTheme="minorEastAsia" w:eastAsiaTheme="minorEastAsia"/>
                <w:color w:val="333333"/>
                <w:spacing w:val="14"/>
                <w:sz w:val="20"/>
                <w:szCs w:val="20"/>
                <w:highlight w:val="none"/>
                <w:lang w:eastAsia="zh-CN"/>
              </w:rPr>
              <w:t>档：内容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，具体实施方案内容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、全面性可靠性</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，方案内容</w:t>
            </w:r>
            <w:r>
              <w:rPr>
                <w:rFonts w:hint="eastAsia" w:cs="宋体" w:asciiTheme="minorEastAsia" w:hAnsiTheme="minorEastAsia" w:eastAsiaTheme="minorEastAsia"/>
                <w:color w:val="333333"/>
                <w:spacing w:val="14"/>
                <w:sz w:val="20"/>
                <w:szCs w:val="20"/>
                <w:highlight w:val="none"/>
                <w:lang w:val="en-US" w:eastAsia="zh-CN"/>
              </w:rPr>
              <w:t>一般性</w:t>
            </w:r>
            <w:r>
              <w:rPr>
                <w:rFonts w:hint="eastAsia" w:cs="宋体" w:asciiTheme="minorEastAsia" w:hAnsiTheme="minorEastAsia" w:eastAsiaTheme="minorEastAsia"/>
                <w:color w:val="333333"/>
                <w:spacing w:val="14"/>
                <w:sz w:val="20"/>
                <w:szCs w:val="20"/>
                <w:highlight w:val="none"/>
                <w:lang w:eastAsia="zh-CN"/>
              </w:rPr>
              <w:t>满足招标文件要求的，计</w:t>
            </w:r>
            <w:r>
              <w:rPr>
                <w:rFonts w:hint="eastAsia" w:cs="宋体" w:asciiTheme="minorEastAsia" w:hAnsiTheme="minorEastAsia" w:eastAsiaTheme="minorEastAsia"/>
                <w:color w:val="333333"/>
                <w:spacing w:val="14"/>
                <w:sz w:val="20"/>
                <w:szCs w:val="20"/>
                <w:highlight w:val="none"/>
                <w:lang w:val="en-US" w:eastAsia="zh-CN"/>
              </w:rPr>
              <w:t>6</w:t>
            </w:r>
            <w:r>
              <w:rPr>
                <w:rFonts w:hint="eastAsia" w:cs="宋体" w:asciiTheme="minorEastAsia" w:hAnsiTheme="minorEastAsia" w:eastAsiaTheme="minorEastAsia"/>
                <w:color w:val="333333"/>
                <w:spacing w:val="14"/>
                <w:sz w:val="20"/>
                <w:szCs w:val="20"/>
                <w:highlight w:val="none"/>
                <w:lang w:eastAsia="zh-CN"/>
              </w:rPr>
              <w:t>分。</w:t>
            </w:r>
          </w:p>
          <w:p w14:paraId="315B5790">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四</w:t>
            </w:r>
            <w:r>
              <w:rPr>
                <w:rFonts w:hint="eastAsia" w:cs="宋体" w:asciiTheme="minorEastAsia" w:hAnsiTheme="minorEastAsia" w:eastAsiaTheme="minorEastAsia"/>
                <w:color w:val="333333"/>
                <w:spacing w:val="14"/>
                <w:sz w:val="20"/>
                <w:szCs w:val="20"/>
                <w:highlight w:val="none"/>
                <w:lang w:eastAsia="zh-CN"/>
              </w:rPr>
              <w:t>档：内容笼统，具体实施方案内容笼统、全面性可靠性笼统，方案内容基本满足招标文件要求的，计4分；</w:t>
            </w:r>
          </w:p>
          <w:p w14:paraId="3E50218E">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五</w:t>
            </w:r>
            <w:r>
              <w:rPr>
                <w:rFonts w:hint="eastAsia" w:cs="宋体" w:asciiTheme="minorEastAsia" w:hAnsiTheme="minorEastAsia" w:eastAsiaTheme="minorEastAsia"/>
                <w:color w:val="333333"/>
                <w:spacing w:val="14"/>
                <w:sz w:val="20"/>
                <w:szCs w:val="20"/>
                <w:highlight w:val="none"/>
                <w:lang w:eastAsia="zh-CN"/>
              </w:rPr>
              <w:t>档：内容不完整，具体实施方案内容不完整、全面性可靠性不完整，计1分；</w:t>
            </w:r>
          </w:p>
          <w:p w14:paraId="34CBDF5A">
            <w:pPr>
              <w:spacing w:line="360" w:lineRule="auto"/>
              <w:rPr>
                <w:rFonts w:asciiTheme="minorEastAsia" w:hAnsiTheme="minorEastAsia" w:eastAsiaTheme="minorEastAsia"/>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六</w:t>
            </w:r>
            <w:r>
              <w:rPr>
                <w:rFonts w:hint="eastAsia" w:cs="宋体" w:asciiTheme="minorEastAsia" w:hAnsiTheme="minorEastAsia" w:eastAsiaTheme="minorEastAsia"/>
                <w:color w:val="333333"/>
                <w:spacing w:val="14"/>
                <w:sz w:val="20"/>
                <w:szCs w:val="20"/>
                <w:highlight w:val="none"/>
                <w:lang w:eastAsia="zh-CN"/>
              </w:rPr>
              <w:t>档：缺项不得分。</w:t>
            </w:r>
          </w:p>
        </w:tc>
      </w:tr>
      <w:tr w14:paraId="53B86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66F7C240">
            <w:pPr>
              <w:jc w:val="center"/>
              <w:rPr>
                <w:rFonts w:cs="宋体" w:asciiTheme="minorEastAsia" w:hAnsiTheme="minorEastAsia" w:eastAsiaTheme="minorEastAsia"/>
                <w:sz w:val="20"/>
                <w:szCs w:val="20"/>
                <w:lang w:eastAsia="zh-CN"/>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04761B67">
            <w:pPr>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5562FF54">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3.食材的质量、安全管理制度与保障措施或方案</w:t>
            </w:r>
          </w:p>
          <w:p w14:paraId="6B1A0867">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（10分）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096C33C8">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针对本项目供应商提供食材的质量、安全的保证措施及方案包括食品质量保障新鲜与调换措施，食品质量安全的保证措施或方案等内容。</w:t>
            </w:r>
          </w:p>
          <w:p w14:paraId="68276E00">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第一档：内容完整详尽，内容非常清晰，具体实施方案科学合理、全面性可靠性高、切合采购人实际需求，计10分；</w:t>
            </w:r>
          </w:p>
          <w:p w14:paraId="11128A01">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第二档：内容和具体实施方案有一定的合理性，全面性、能够一定程度上满足采购人需求，计</w:t>
            </w:r>
            <w:r>
              <w:rPr>
                <w:rFonts w:hint="eastAsia" w:cs="宋体" w:asciiTheme="minorEastAsia" w:hAnsiTheme="minorEastAsia" w:eastAsiaTheme="minorEastAsia"/>
                <w:color w:val="333333"/>
                <w:spacing w:val="14"/>
                <w:sz w:val="20"/>
                <w:szCs w:val="20"/>
                <w:highlight w:val="none"/>
                <w:lang w:val="en-US" w:eastAsia="zh-CN"/>
              </w:rPr>
              <w:t>8</w:t>
            </w:r>
            <w:r>
              <w:rPr>
                <w:rFonts w:hint="eastAsia" w:cs="宋体" w:asciiTheme="minorEastAsia" w:hAnsiTheme="minorEastAsia" w:eastAsiaTheme="minorEastAsia"/>
                <w:color w:val="333333"/>
                <w:spacing w:val="14"/>
                <w:sz w:val="20"/>
                <w:szCs w:val="20"/>
                <w:highlight w:val="none"/>
                <w:lang w:eastAsia="zh-CN"/>
              </w:rPr>
              <w:t>分；</w:t>
            </w:r>
          </w:p>
          <w:p w14:paraId="42F0346A">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三</w:t>
            </w:r>
            <w:r>
              <w:rPr>
                <w:rFonts w:hint="eastAsia" w:cs="宋体" w:asciiTheme="minorEastAsia" w:hAnsiTheme="minorEastAsia" w:eastAsiaTheme="minorEastAsia"/>
                <w:color w:val="333333"/>
                <w:spacing w:val="14"/>
                <w:sz w:val="20"/>
                <w:szCs w:val="20"/>
                <w:highlight w:val="none"/>
                <w:lang w:eastAsia="zh-CN"/>
              </w:rPr>
              <w:t>档：内容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，具体实施方案内容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、全面性可靠性</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，方案内容</w:t>
            </w:r>
            <w:r>
              <w:rPr>
                <w:rFonts w:hint="eastAsia" w:cs="宋体" w:asciiTheme="minorEastAsia" w:hAnsiTheme="minorEastAsia" w:eastAsiaTheme="minorEastAsia"/>
                <w:color w:val="333333"/>
                <w:spacing w:val="14"/>
                <w:sz w:val="20"/>
                <w:szCs w:val="20"/>
                <w:highlight w:val="none"/>
                <w:lang w:val="en-US" w:eastAsia="zh-CN"/>
              </w:rPr>
              <w:t>一般性</w:t>
            </w:r>
            <w:r>
              <w:rPr>
                <w:rFonts w:hint="eastAsia" w:cs="宋体" w:asciiTheme="minorEastAsia" w:hAnsiTheme="minorEastAsia" w:eastAsiaTheme="minorEastAsia"/>
                <w:color w:val="333333"/>
                <w:spacing w:val="14"/>
                <w:sz w:val="20"/>
                <w:szCs w:val="20"/>
                <w:highlight w:val="none"/>
                <w:lang w:eastAsia="zh-CN"/>
              </w:rPr>
              <w:t>满足招标文件要求的，计</w:t>
            </w:r>
            <w:r>
              <w:rPr>
                <w:rFonts w:hint="eastAsia" w:cs="宋体" w:asciiTheme="minorEastAsia" w:hAnsiTheme="minorEastAsia" w:eastAsiaTheme="minorEastAsia"/>
                <w:color w:val="333333"/>
                <w:spacing w:val="14"/>
                <w:sz w:val="20"/>
                <w:szCs w:val="20"/>
                <w:highlight w:val="none"/>
                <w:lang w:val="en-US" w:eastAsia="zh-CN"/>
              </w:rPr>
              <w:t>6</w:t>
            </w:r>
            <w:r>
              <w:rPr>
                <w:rFonts w:hint="eastAsia" w:cs="宋体" w:asciiTheme="minorEastAsia" w:hAnsiTheme="minorEastAsia" w:eastAsiaTheme="minorEastAsia"/>
                <w:color w:val="333333"/>
                <w:spacing w:val="14"/>
                <w:sz w:val="20"/>
                <w:szCs w:val="20"/>
                <w:highlight w:val="none"/>
                <w:lang w:eastAsia="zh-CN"/>
              </w:rPr>
              <w:t>分。</w:t>
            </w:r>
          </w:p>
          <w:p w14:paraId="46923D3D">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四</w:t>
            </w:r>
            <w:r>
              <w:rPr>
                <w:rFonts w:hint="eastAsia" w:cs="宋体" w:asciiTheme="minorEastAsia" w:hAnsiTheme="minorEastAsia" w:eastAsiaTheme="minorEastAsia"/>
                <w:color w:val="333333"/>
                <w:spacing w:val="14"/>
                <w:sz w:val="20"/>
                <w:szCs w:val="20"/>
                <w:highlight w:val="none"/>
                <w:lang w:eastAsia="zh-CN"/>
              </w:rPr>
              <w:t>档：内容笼统，具体实施方案内容笼统、全面性可靠性笼统，方案内容基本满足招标文件要求的，计4分；</w:t>
            </w:r>
          </w:p>
          <w:p w14:paraId="3C1E5C61">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五</w:t>
            </w:r>
            <w:r>
              <w:rPr>
                <w:rFonts w:hint="eastAsia" w:cs="宋体" w:asciiTheme="minorEastAsia" w:hAnsiTheme="minorEastAsia" w:eastAsiaTheme="minorEastAsia"/>
                <w:color w:val="333333"/>
                <w:spacing w:val="14"/>
                <w:sz w:val="20"/>
                <w:szCs w:val="20"/>
                <w:highlight w:val="none"/>
                <w:lang w:eastAsia="zh-CN"/>
              </w:rPr>
              <w:t>档：内容不完整，具体实施方案内容不完整、全面性可靠性不完整，计1分。</w:t>
            </w:r>
          </w:p>
          <w:p w14:paraId="6B759B83">
            <w:pPr>
              <w:spacing w:line="360" w:lineRule="auto"/>
              <w:rPr>
                <w:rFonts w:asciiTheme="minorEastAsia" w:hAnsiTheme="minorEastAsia" w:eastAsiaTheme="minorEastAsia"/>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六</w:t>
            </w:r>
            <w:r>
              <w:rPr>
                <w:rFonts w:hint="eastAsia" w:cs="宋体" w:asciiTheme="minorEastAsia" w:hAnsiTheme="minorEastAsia" w:eastAsiaTheme="minorEastAsia"/>
                <w:color w:val="333333"/>
                <w:spacing w:val="14"/>
                <w:sz w:val="20"/>
                <w:szCs w:val="20"/>
                <w:highlight w:val="none"/>
                <w:lang w:eastAsia="zh-CN"/>
              </w:rPr>
              <w:t>档：缺项不得分。</w:t>
            </w:r>
          </w:p>
        </w:tc>
      </w:tr>
      <w:tr w14:paraId="0164E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16D55108">
            <w:pPr>
              <w:jc w:val="center"/>
              <w:rPr>
                <w:rFonts w:cs="宋体" w:asciiTheme="minorEastAsia" w:hAnsiTheme="minorEastAsia" w:eastAsiaTheme="minorEastAsia"/>
                <w:sz w:val="20"/>
                <w:szCs w:val="20"/>
                <w:lang w:eastAsia="zh-CN"/>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1985EB91">
            <w:pPr>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1135B27A">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4.食品安全事故的预防措施及方案及可能事故后的应急预案</w:t>
            </w:r>
          </w:p>
          <w:p w14:paraId="4E3DB9E6">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（10分）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52D3BF59">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为防止食品安全事故发生的预防措施及可能事故后的应急预案、安全应急预案等，从人员救治、危害控制、事故调查、善后处理等的全面性、预见性综合分析。</w:t>
            </w:r>
          </w:p>
          <w:p w14:paraId="16278884">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第一档：内容完整详尽，内容非常清晰，具体实施方案科学合理、全面性可靠性高、切合采购人实际需求，计10分；</w:t>
            </w:r>
          </w:p>
          <w:p w14:paraId="53C2CD9D">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第二档：内容和具体实施方案有一定的合理性，全面性、能够一定程度上满足采购人需求，计</w:t>
            </w:r>
            <w:r>
              <w:rPr>
                <w:rFonts w:hint="eastAsia" w:cs="宋体" w:asciiTheme="minorEastAsia" w:hAnsiTheme="minorEastAsia" w:eastAsiaTheme="minorEastAsia"/>
                <w:color w:val="333333"/>
                <w:spacing w:val="14"/>
                <w:sz w:val="20"/>
                <w:szCs w:val="20"/>
                <w:highlight w:val="none"/>
                <w:lang w:val="en-US" w:eastAsia="zh-CN"/>
              </w:rPr>
              <w:t>8</w:t>
            </w:r>
            <w:r>
              <w:rPr>
                <w:rFonts w:hint="eastAsia" w:cs="宋体" w:asciiTheme="minorEastAsia" w:hAnsiTheme="minorEastAsia" w:eastAsiaTheme="minorEastAsia"/>
                <w:color w:val="333333"/>
                <w:spacing w:val="14"/>
                <w:sz w:val="20"/>
                <w:szCs w:val="20"/>
                <w:highlight w:val="none"/>
                <w:lang w:eastAsia="zh-CN"/>
              </w:rPr>
              <w:t>分；</w:t>
            </w:r>
          </w:p>
          <w:p w14:paraId="4F352D70">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三</w:t>
            </w:r>
            <w:r>
              <w:rPr>
                <w:rFonts w:hint="eastAsia" w:cs="宋体" w:asciiTheme="minorEastAsia" w:hAnsiTheme="minorEastAsia" w:eastAsiaTheme="minorEastAsia"/>
                <w:color w:val="333333"/>
                <w:spacing w:val="14"/>
                <w:sz w:val="20"/>
                <w:szCs w:val="20"/>
                <w:highlight w:val="none"/>
                <w:lang w:eastAsia="zh-CN"/>
              </w:rPr>
              <w:t>档：内容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，具体实施方案内容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、全面性可靠性</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，方案内容</w:t>
            </w:r>
            <w:r>
              <w:rPr>
                <w:rFonts w:hint="eastAsia" w:cs="宋体" w:asciiTheme="minorEastAsia" w:hAnsiTheme="minorEastAsia" w:eastAsiaTheme="minorEastAsia"/>
                <w:color w:val="333333"/>
                <w:spacing w:val="14"/>
                <w:sz w:val="20"/>
                <w:szCs w:val="20"/>
                <w:highlight w:val="none"/>
                <w:lang w:val="en-US" w:eastAsia="zh-CN"/>
              </w:rPr>
              <w:t>一般性</w:t>
            </w:r>
            <w:r>
              <w:rPr>
                <w:rFonts w:hint="eastAsia" w:cs="宋体" w:asciiTheme="minorEastAsia" w:hAnsiTheme="minorEastAsia" w:eastAsiaTheme="minorEastAsia"/>
                <w:color w:val="333333"/>
                <w:spacing w:val="14"/>
                <w:sz w:val="20"/>
                <w:szCs w:val="20"/>
                <w:highlight w:val="none"/>
                <w:lang w:eastAsia="zh-CN"/>
              </w:rPr>
              <w:t>满足招标文件要求的，计</w:t>
            </w:r>
            <w:r>
              <w:rPr>
                <w:rFonts w:hint="eastAsia" w:cs="宋体" w:asciiTheme="minorEastAsia" w:hAnsiTheme="minorEastAsia" w:eastAsiaTheme="minorEastAsia"/>
                <w:color w:val="333333"/>
                <w:spacing w:val="14"/>
                <w:sz w:val="20"/>
                <w:szCs w:val="20"/>
                <w:highlight w:val="none"/>
                <w:lang w:val="en-US" w:eastAsia="zh-CN"/>
              </w:rPr>
              <w:t>6</w:t>
            </w:r>
            <w:r>
              <w:rPr>
                <w:rFonts w:hint="eastAsia" w:cs="宋体" w:asciiTheme="minorEastAsia" w:hAnsiTheme="minorEastAsia" w:eastAsiaTheme="minorEastAsia"/>
                <w:color w:val="333333"/>
                <w:spacing w:val="14"/>
                <w:sz w:val="20"/>
                <w:szCs w:val="20"/>
                <w:highlight w:val="none"/>
                <w:lang w:eastAsia="zh-CN"/>
              </w:rPr>
              <w:t>分。</w:t>
            </w:r>
          </w:p>
          <w:p w14:paraId="1DA16005">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四</w:t>
            </w:r>
            <w:r>
              <w:rPr>
                <w:rFonts w:hint="eastAsia" w:cs="宋体" w:asciiTheme="minorEastAsia" w:hAnsiTheme="minorEastAsia" w:eastAsiaTheme="minorEastAsia"/>
                <w:color w:val="333333"/>
                <w:spacing w:val="14"/>
                <w:sz w:val="20"/>
                <w:szCs w:val="20"/>
                <w:highlight w:val="none"/>
                <w:lang w:eastAsia="zh-CN"/>
              </w:rPr>
              <w:t>档：内容笼统，具体实施方案内容笼统、全面性可靠性笼统，方案内容基本满足招标文件要求的，计4分；</w:t>
            </w:r>
          </w:p>
          <w:p w14:paraId="1F5200F7">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五</w:t>
            </w:r>
            <w:r>
              <w:rPr>
                <w:rFonts w:hint="eastAsia" w:cs="宋体" w:asciiTheme="minorEastAsia" w:hAnsiTheme="minorEastAsia" w:eastAsiaTheme="minorEastAsia"/>
                <w:color w:val="333333"/>
                <w:spacing w:val="14"/>
                <w:sz w:val="20"/>
                <w:szCs w:val="20"/>
                <w:highlight w:val="none"/>
                <w:lang w:eastAsia="zh-CN"/>
              </w:rPr>
              <w:t>档：内容不完整，具体实施方案内容不完整、全面性可靠性不完整，计1分；</w:t>
            </w:r>
          </w:p>
          <w:p w14:paraId="4D6247B3">
            <w:pPr>
              <w:spacing w:line="360" w:lineRule="auto"/>
              <w:rPr>
                <w:rFonts w:asciiTheme="minorEastAsia" w:hAnsiTheme="minorEastAsia" w:eastAsiaTheme="minorEastAsia"/>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六</w:t>
            </w:r>
            <w:r>
              <w:rPr>
                <w:rFonts w:hint="eastAsia" w:cs="宋体" w:asciiTheme="minorEastAsia" w:hAnsiTheme="minorEastAsia" w:eastAsiaTheme="minorEastAsia"/>
                <w:color w:val="333333"/>
                <w:spacing w:val="14"/>
                <w:sz w:val="20"/>
                <w:szCs w:val="20"/>
                <w:highlight w:val="none"/>
                <w:lang w:eastAsia="zh-CN"/>
              </w:rPr>
              <w:t>档：缺项不得分。</w:t>
            </w:r>
          </w:p>
        </w:tc>
      </w:tr>
      <w:tr w14:paraId="1189B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5775C5B0">
            <w:pPr>
              <w:jc w:val="center"/>
              <w:rPr>
                <w:rFonts w:cs="宋体" w:asciiTheme="minorEastAsia" w:hAnsiTheme="minorEastAsia" w:eastAsiaTheme="minorEastAsia"/>
                <w:sz w:val="20"/>
                <w:szCs w:val="20"/>
                <w:lang w:eastAsia="zh-CN"/>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154D1335">
            <w:pPr>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10C27CAA">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5.相关人员的培训方案或措施</w:t>
            </w:r>
          </w:p>
          <w:p w14:paraId="7F325D74">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（10分）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75F91223">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为更好的服务好本此项目，所提供的相关人员培训方案或措施。</w:t>
            </w:r>
          </w:p>
          <w:p w14:paraId="476437BD">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第一档：内容完整详尽，内容非常清晰，具体实施方案科学合理、全面性可靠性高、切合采购人实际需求，计10分；</w:t>
            </w:r>
          </w:p>
          <w:p w14:paraId="47A8D232">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第二档：内容和具体实施方案有一定的合理性，全面性、能够一定程度上满足采购人需求，计</w:t>
            </w:r>
            <w:r>
              <w:rPr>
                <w:rFonts w:hint="eastAsia" w:cs="宋体" w:asciiTheme="minorEastAsia" w:hAnsiTheme="minorEastAsia" w:eastAsiaTheme="minorEastAsia"/>
                <w:color w:val="333333"/>
                <w:spacing w:val="14"/>
                <w:sz w:val="20"/>
                <w:szCs w:val="20"/>
                <w:highlight w:val="none"/>
                <w:lang w:val="en-US" w:eastAsia="zh-CN"/>
              </w:rPr>
              <w:t>8</w:t>
            </w:r>
            <w:r>
              <w:rPr>
                <w:rFonts w:hint="eastAsia" w:cs="宋体" w:asciiTheme="minorEastAsia" w:hAnsiTheme="minorEastAsia" w:eastAsiaTheme="minorEastAsia"/>
                <w:color w:val="333333"/>
                <w:spacing w:val="14"/>
                <w:sz w:val="20"/>
                <w:szCs w:val="20"/>
                <w:highlight w:val="none"/>
                <w:lang w:eastAsia="zh-CN"/>
              </w:rPr>
              <w:t>分；</w:t>
            </w:r>
          </w:p>
          <w:p w14:paraId="1484EF26">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三</w:t>
            </w:r>
            <w:r>
              <w:rPr>
                <w:rFonts w:hint="eastAsia" w:cs="宋体" w:asciiTheme="minorEastAsia" w:hAnsiTheme="minorEastAsia" w:eastAsiaTheme="minorEastAsia"/>
                <w:color w:val="333333"/>
                <w:spacing w:val="14"/>
                <w:sz w:val="20"/>
                <w:szCs w:val="20"/>
                <w:highlight w:val="none"/>
                <w:lang w:eastAsia="zh-CN"/>
              </w:rPr>
              <w:t>档：内容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，具体实施方案内容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、全面性可靠性</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，方案内容</w:t>
            </w:r>
            <w:r>
              <w:rPr>
                <w:rFonts w:hint="eastAsia" w:cs="宋体" w:asciiTheme="minorEastAsia" w:hAnsiTheme="minorEastAsia" w:eastAsiaTheme="minorEastAsia"/>
                <w:color w:val="333333"/>
                <w:spacing w:val="14"/>
                <w:sz w:val="20"/>
                <w:szCs w:val="20"/>
                <w:highlight w:val="none"/>
                <w:lang w:val="en-US" w:eastAsia="zh-CN"/>
              </w:rPr>
              <w:t>一般性</w:t>
            </w:r>
            <w:r>
              <w:rPr>
                <w:rFonts w:hint="eastAsia" w:cs="宋体" w:asciiTheme="minorEastAsia" w:hAnsiTheme="minorEastAsia" w:eastAsiaTheme="minorEastAsia"/>
                <w:color w:val="333333"/>
                <w:spacing w:val="14"/>
                <w:sz w:val="20"/>
                <w:szCs w:val="20"/>
                <w:highlight w:val="none"/>
                <w:lang w:eastAsia="zh-CN"/>
              </w:rPr>
              <w:t>满足招标文件要求的，计</w:t>
            </w:r>
            <w:r>
              <w:rPr>
                <w:rFonts w:hint="eastAsia" w:cs="宋体" w:asciiTheme="minorEastAsia" w:hAnsiTheme="minorEastAsia" w:eastAsiaTheme="minorEastAsia"/>
                <w:color w:val="333333"/>
                <w:spacing w:val="14"/>
                <w:sz w:val="20"/>
                <w:szCs w:val="20"/>
                <w:highlight w:val="none"/>
                <w:lang w:val="en-US" w:eastAsia="zh-CN"/>
              </w:rPr>
              <w:t>6</w:t>
            </w:r>
            <w:r>
              <w:rPr>
                <w:rFonts w:hint="eastAsia" w:cs="宋体" w:asciiTheme="minorEastAsia" w:hAnsiTheme="minorEastAsia" w:eastAsiaTheme="minorEastAsia"/>
                <w:color w:val="333333"/>
                <w:spacing w:val="14"/>
                <w:sz w:val="20"/>
                <w:szCs w:val="20"/>
                <w:highlight w:val="none"/>
                <w:lang w:eastAsia="zh-CN"/>
              </w:rPr>
              <w:t>分。</w:t>
            </w:r>
          </w:p>
          <w:p w14:paraId="26698A19">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四</w:t>
            </w:r>
            <w:r>
              <w:rPr>
                <w:rFonts w:hint="eastAsia" w:cs="宋体" w:asciiTheme="minorEastAsia" w:hAnsiTheme="minorEastAsia" w:eastAsiaTheme="minorEastAsia"/>
                <w:color w:val="333333"/>
                <w:spacing w:val="14"/>
                <w:sz w:val="20"/>
                <w:szCs w:val="20"/>
                <w:highlight w:val="none"/>
                <w:lang w:eastAsia="zh-CN"/>
              </w:rPr>
              <w:t>档：内容笼统，具体实施方案内容笼统、全面性可靠性笼统，方案内容基本满足招标文件要求的，计4分；</w:t>
            </w:r>
          </w:p>
          <w:p w14:paraId="57AEA7C3">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五</w:t>
            </w:r>
            <w:r>
              <w:rPr>
                <w:rFonts w:hint="eastAsia" w:cs="宋体" w:asciiTheme="minorEastAsia" w:hAnsiTheme="minorEastAsia" w:eastAsiaTheme="minorEastAsia"/>
                <w:color w:val="333333"/>
                <w:spacing w:val="14"/>
                <w:sz w:val="20"/>
                <w:szCs w:val="20"/>
                <w:highlight w:val="none"/>
                <w:lang w:eastAsia="zh-CN"/>
              </w:rPr>
              <w:t>档：内容不完整，具体实施方案内容不完整、全面性可靠性不完整，计1分；</w:t>
            </w:r>
          </w:p>
          <w:p w14:paraId="46FF1FA3">
            <w:pPr>
              <w:spacing w:line="360" w:lineRule="auto"/>
              <w:rPr>
                <w:rFonts w:asciiTheme="minorEastAsia" w:hAnsiTheme="minorEastAsia" w:eastAsiaTheme="minorEastAsia"/>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六</w:t>
            </w:r>
            <w:r>
              <w:rPr>
                <w:rFonts w:hint="eastAsia" w:cs="宋体" w:asciiTheme="minorEastAsia" w:hAnsiTheme="minorEastAsia" w:eastAsiaTheme="minorEastAsia"/>
                <w:color w:val="333333"/>
                <w:spacing w:val="14"/>
                <w:sz w:val="20"/>
                <w:szCs w:val="20"/>
                <w:highlight w:val="none"/>
                <w:lang w:eastAsia="zh-CN"/>
              </w:rPr>
              <w:t>档：缺项不得分。</w:t>
            </w:r>
          </w:p>
        </w:tc>
      </w:tr>
      <w:tr w14:paraId="1A2DB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4F0E099A">
            <w:pPr>
              <w:jc w:val="center"/>
              <w:rPr>
                <w:rFonts w:cs="宋体" w:asciiTheme="minorEastAsia" w:hAnsiTheme="minorEastAsia" w:eastAsiaTheme="minorEastAsia"/>
                <w:sz w:val="20"/>
                <w:szCs w:val="20"/>
                <w:lang w:eastAsia="zh-CN"/>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08D9A6FE">
            <w:pPr>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4C017CC7">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6.配送方案（人员、车辆、时间、计划等）及配送过</w:t>
            </w:r>
          </w:p>
          <w:p w14:paraId="3A4B1C35">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程中遇到紧急、突发问题的解决方案和现场与各部</w:t>
            </w:r>
          </w:p>
          <w:p w14:paraId="52F8D5CE">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门的协调管理计划措施方案（15分）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52247945">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供应商根据鲁山县农村义务教育的学校位置，提前规划好路线图，提供配送方案，保证配送的时间按时到达，保证在规定的时间前，将食材送到位。包含运送制度、车辆配备安排、线路安排、全流程时间安排、储存条件；供应商在配送过程中，遇到紧急、突发问题时后的解决措施方案，反应时间、应急配送人员技术能力、服务保障现场与各部门的协调措施方案等内容。</w:t>
            </w:r>
          </w:p>
          <w:p w14:paraId="25104B81">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第一档：内容完整详尽，内容非常清晰，具体实施方案科学合理、全面性可靠性高、切合采购人实际需求，计15分；</w:t>
            </w:r>
          </w:p>
          <w:p w14:paraId="4236CC78">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第二档：内容和具体实施方案有一定的合理性，全面性、能够一定程度上满足采购人需求，计</w:t>
            </w:r>
            <w:r>
              <w:rPr>
                <w:rFonts w:hint="eastAsia" w:cs="宋体" w:asciiTheme="minorEastAsia" w:hAnsiTheme="minorEastAsia" w:eastAsiaTheme="minorEastAsia"/>
                <w:color w:val="333333"/>
                <w:spacing w:val="14"/>
                <w:sz w:val="20"/>
                <w:szCs w:val="20"/>
                <w:highlight w:val="none"/>
                <w:lang w:val="en-US" w:eastAsia="zh-CN"/>
              </w:rPr>
              <w:t>11</w:t>
            </w:r>
            <w:r>
              <w:rPr>
                <w:rFonts w:hint="eastAsia" w:cs="宋体" w:asciiTheme="minorEastAsia" w:hAnsiTheme="minorEastAsia" w:eastAsiaTheme="minorEastAsia"/>
                <w:color w:val="333333"/>
                <w:spacing w:val="14"/>
                <w:sz w:val="20"/>
                <w:szCs w:val="20"/>
                <w:highlight w:val="none"/>
                <w:lang w:eastAsia="zh-CN"/>
              </w:rPr>
              <w:t>分；</w:t>
            </w:r>
          </w:p>
          <w:p w14:paraId="34E3F34A">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三</w:t>
            </w:r>
            <w:r>
              <w:rPr>
                <w:rFonts w:hint="eastAsia" w:cs="宋体" w:asciiTheme="minorEastAsia" w:hAnsiTheme="minorEastAsia" w:eastAsiaTheme="minorEastAsia"/>
                <w:color w:val="333333"/>
                <w:spacing w:val="14"/>
                <w:sz w:val="20"/>
                <w:szCs w:val="20"/>
                <w:highlight w:val="none"/>
                <w:lang w:eastAsia="zh-CN"/>
              </w:rPr>
              <w:t>档：内容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，具体实施方案内容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、全面性可靠性</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，方案内容</w:t>
            </w:r>
            <w:r>
              <w:rPr>
                <w:rFonts w:hint="eastAsia" w:cs="宋体" w:asciiTheme="minorEastAsia" w:hAnsiTheme="minorEastAsia" w:eastAsiaTheme="minorEastAsia"/>
                <w:color w:val="333333"/>
                <w:spacing w:val="14"/>
                <w:sz w:val="20"/>
                <w:szCs w:val="20"/>
                <w:highlight w:val="none"/>
                <w:lang w:val="en-US" w:eastAsia="zh-CN"/>
              </w:rPr>
              <w:t>一般性</w:t>
            </w:r>
            <w:r>
              <w:rPr>
                <w:rFonts w:hint="eastAsia" w:cs="宋体" w:asciiTheme="minorEastAsia" w:hAnsiTheme="minorEastAsia" w:eastAsiaTheme="minorEastAsia"/>
                <w:color w:val="333333"/>
                <w:spacing w:val="14"/>
                <w:sz w:val="20"/>
                <w:szCs w:val="20"/>
                <w:highlight w:val="none"/>
                <w:lang w:eastAsia="zh-CN"/>
              </w:rPr>
              <w:t>满足招标文件要求的，计</w:t>
            </w:r>
            <w:r>
              <w:rPr>
                <w:rFonts w:hint="eastAsia" w:cs="宋体" w:asciiTheme="minorEastAsia" w:hAnsiTheme="minorEastAsia" w:eastAsiaTheme="minorEastAsia"/>
                <w:color w:val="333333"/>
                <w:spacing w:val="14"/>
                <w:sz w:val="20"/>
                <w:szCs w:val="20"/>
                <w:highlight w:val="none"/>
                <w:lang w:val="en-US" w:eastAsia="zh-CN"/>
              </w:rPr>
              <w:t>7</w:t>
            </w:r>
            <w:r>
              <w:rPr>
                <w:rFonts w:hint="eastAsia" w:cs="宋体" w:asciiTheme="minorEastAsia" w:hAnsiTheme="minorEastAsia" w:eastAsiaTheme="minorEastAsia"/>
                <w:color w:val="333333"/>
                <w:spacing w:val="14"/>
                <w:sz w:val="20"/>
                <w:szCs w:val="20"/>
                <w:highlight w:val="none"/>
                <w:lang w:eastAsia="zh-CN"/>
              </w:rPr>
              <w:t>分。</w:t>
            </w:r>
          </w:p>
          <w:p w14:paraId="290BF844">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四</w:t>
            </w:r>
            <w:r>
              <w:rPr>
                <w:rFonts w:hint="eastAsia" w:cs="宋体" w:asciiTheme="minorEastAsia" w:hAnsiTheme="minorEastAsia" w:eastAsiaTheme="minorEastAsia"/>
                <w:color w:val="333333"/>
                <w:spacing w:val="14"/>
                <w:sz w:val="20"/>
                <w:szCs w:val="20"/>
                <w:highlight w:val="none"/>
                <w:lang w:eastAsia="zh-CN"/>
              </w:rPr>
              <w:t>档：内容笼统，具体实施方案内容笼统、全面性可靠性笼统，方案内容基本满足招标文件要求的，计</w:t>
            </w:r>
            <w:r>
              <w:rPr>
                <w:rFonts w:hint="eastAsia" w:cs="宋体" w:asciiTheme="minorEastAsia" w:hAnsiTheme="minorEastAsia" w:eastAsiaTheme="minorEastAsia"/>
                <w:color w:val="333333"/>
                <w:spacing w:val="14"/>
                <w:sz w:val="20"/>
                <w:szCs w:val="20"/>
                <w:highlight w:val="none"/>
                <w:lang w:val="en-US" w:eastAsia="zh-CN"/>
              </w:rPr>
              <w:t>4</w:t>
            </w:r>
            <w:r>
              <w:rPr>
                <w:rFonts w:hint="eastAsia" w:cs="宋体" w:asciiTheme="minorEastAsia" w:hAnsiTheme="minorEastAsia" w:eastAsiaTheme="minorEastAsia"/>
                <w:color w:val="333333"/>
                <w:spacing w:val="14"/>
                <w:sz w:val="20"/>
                <w:szCs w:val="20"/>
                <w:highlight w:val="none"/>
                <w:lang w:eastAsia="zh-CN"/>
              </w:rPr>
              <w:t>分。</w:t>
            </w:r>
          </w:p>
          <w:p w14:paraId="696FDEE2">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五</w:t>
            </w:r>
            <w:r>
              <w:rPr>
                <w:rFonts w:hint="eastAsia" w:cs="宋体" w:asciiTheme="minorEastAsia" w:hAnsiTheme="minorEastAsia" w:eastAsiaTheme="minorEastAsia"/>
                <w:color w:val="333333"/>
                <w:spacing w:val="14"/>
                <w:sz w:val="20"/>
                <w:szCs w:val="20"/>
                <w:highlight w:val="none"/>
                <w:lang w:eastAsia="zh-CN"/>
              </w:rPr>
              <w:t>档：内容不完整，具体实施方案内容不完整、全面性可靠性不完整，计1分。</w:t>
            </w:r>
          </w:p>
          <w:p w14:paraId="56408586">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六</w:t>
            </w:r>
            <w:r>
              <w:rPr>
                <w:rFonts w:hint="eastAsia" w:cs="宋体" w:asciiTheme="minorEastAsia" w:hAnsiTheme="minorEastAsia" w:eastAsiaTheme="minorEastAsia"/>
                <w:color w:val="333333"/>
                <w:spacing w:val="14"/>
                <w:sz w:val="20"/>
                <w:szCs w:val="20"/>
                <w:highlight w:val="none"/>
                <w:lang w:eastAsia="zh-CN"/>
              </w:rPr>
              <w:t>档：缺项不得分。</w:t>
            </w:r>
          </w:p>
        </w:tc>
      </w:tr>
      <w:tr w14:paraId="18E66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503F7BC8">
            <w:pPr>
              <w:jc w:val="center"/>
              <w:rPr>
                <w:rFonts w:cs="宋体" w:asciiTheme="minorEastAsia" w:hAnsiTheme="minorEastAsia" w:eastAsiaTheme="minorEastAsia"/>
                <w:sz w:val="20"/>
                <w:szCs w:val="20"/>
                <w:lang w:eastAsia="zh-CN"/>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31698076">
            <w:pPr>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031AD70D">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7.配送到位后，配合好学校食堂做餐的措施方案</w:t>
            </w:r>
          </w:p>
          <w:p w14:paraId="5A4E1597">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（10分）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63292FBD">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供应商在把食材配送到指定地点后，配合好学校食堂做餐的服务措施方案，更好的为学校食堂提供便捷服务，为学生吃上一顿及时、质量有保证的午餐。</w:t>
            </w:r>
          </w:p>
          <w:p w14:paraId="7F6DB18E">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第一档：内容完整详尽，内容非常清晰，具体实施方案科学合理、全面性可靠性高、切合采购人实际需求，计10分；</w:t>
            </w:r>
          </w:p>
          <w:p w14:paraId="37C7645A">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第二档：内容和具体实施方案有一定的合理性，全面性、能够一定程度上满足采购人需求，计</w:t>
            </w:r>
            <w:r>
              <w:rPr>
                <w:rFonts w:hint="eastAsia" w:cs="宋体" w:asciiTheme="minorEastAsia" w:hAnsiTheme="minorEastAsia" w:eastAsiaTheme="minorEastAsia"/>
                <w:color w:val="333333"/>
                <w:spacing w:val="14"/>
                <w:sz w:val="20"/>
                <w:szCs w:val="20"/>
                <w:highlight w:val="none"/>
                <w:lang w:val="en-US" w:eastAsia="zh-CN"/>
              </w:rPr>
              <w:t>8</w:t>
            </w:r>
            <w:r>
              <w:rPr>
                <w:rFonts w:hint="eastAsia" w:cs="宋体" w:asciiTheme="minorEastAsia" w:hAnsiTheme="minorEastAsia" w:eastAsiaTheme="minorEastAsia"/>
                <w:color w:val="333333"/>
                <w:spacing w:val="14"/>
                <w:sz w:val="20"/>
                <w:szCs w:val="20"/>
                <w:highlight w:val="none"/>
                <w:lang w:eastAsia="zh-CN"/>
              </w:rPr>
              <w:t>分；</w:t>
            </w:r>
          </w:p>
          <w:p w14:paraId="31F7D330">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三</w:t>
            </w:r>
            <w:r>
              <w:rPr>
                <w:rFonts w:hint="eastAsia" w:cs="宋体" w:asciiTheme="minorEastAsia" w:hAnsiTheme="minorEastAsia" w:eastAsiaTheme="minorEastAsia"/>
                <w:color w:val="333333"/>
                <w:spacing w:val="14"/>
                <w:sz w:val="20"/>
                <w:szCs w:val="20"/>
                <w:highlight w:val="none"/>
                <w:lang w:eastAsia="zh-CN"/>
              </w:rPr>
              <w:t>档：内容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，具体实施方案内容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、全面性可靠性</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，方案内容</w:t>
            </w:r>
            <w:r>
              <w:rPr>
                <w:rFonts w:hint="eastAsia" w:cs="宋体" w:asciiTheme="minorEastAsia" w:hAnsiTheme="minorEastAsia" w:eastAsiaTheme="minorEastAsia"/>
                <w:color w:val="333333"/>
                <w:spacing w:val="14"/>
                <w:sz w:val="20"/>
                <w:szCs w:val="20"/>
                <w:highlight w:val="none"/>
                <w:lang w:val="en-US" w:eastAsia="zh-CN"/>
              </w:rPr>
              <w:t>一般性</w:t>
            </w:r>
            <w:r>
              <w:rPr>
                <w:rFonts w:hint="eastAsia" w:cs="宋体" w:asciiTheme="minorEastAsia" w:hAnsiTheme="minorEastAsia" w:eastAsiaTheme="minorEastAsia"/>
                <w:color w:val="333333"/>
                <w:spacing w:val="14"/>
                <w:sz w:val="20"/>
                <w:szCs w:val="20"/>
                <w:highlight w:val="none"/>
                <w:lang w:eastAsia="zh-CN"/>
              </w:rPr>
              <w:t>满足招标文件要求的，计</w:t>
            </w:r>
            <w:r>
              <w:rPr>
                <w:rFonts w:hint="eastAsia" w:cs="宋体" w:asciiTheme="minorEastAsia" w:hAnsiTheme="minorEastAsia" w:eastAsiaTheme="minorEastAsia"/>
                <w:color w:val="333333"/>
                <w:spacing w:val="14"/>
                <w:sz w:val="20"/>
                <w:szCs w:val="20"/>
                <w:highlight w:val="none"/>
                <w:lang w:val="en-US" w:eastAsia="zh-CN"/>
              </w:rPr>
              <w:t>6</w:t>
            </w:r>
            <w:r>
              <w:rPr>
                <w:rFonts w:hint="eastAsia" w:cs="宋体" w:asciiTheme="minorEastAsia" w:hAnsiTheme="minorEastAsia" w:eastAsiaTheme="minorEastAsia"/>
                <w:color w:val="333333"/>
                <w:spacing w:val="14"/>
                <w:sz w:val="20"/>
                <w:szCs w:val="20"/>
                <w:highlight w:val="none"/>
                <w:lang w:eastAsia="zh-CN"/>
              </w:rPr>
              <w:t>分。</w:t>
            </w:r>
          </w:p>
          <w:p w14:paraId="20937656">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四</w:t>
            </w:r>
            <w:r>
              <w:rPr>
                <w:rFonts w:hint="eastAsia" w:cs="宋体" w:asciiTheme="minorEastAsia" w:hAnsiTheme="minorEastAsia" w:eastAsiaTheme="minorEastAsia"/>
                <w:color w:val="333333"/>
                <w:spacing w:val="14"/>
                <w:sz w:val="20"/>
                <w:szCs w:val="20"/>
                <w:highlight w:val="none"/>
                <w:lang w:eastAsia="zh-CN"/>
              </w:rPr>
              <w:t>档：内容笼统，具体实施方案内容笼统、全面性可靠性笼统，方案内容基本满足招标文件要求的，计4分。</w:t>
            </w:r>
          </w:p>
          <w:p w14:paraId="1AD1CF22">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五</w:t>
            </w:r>
            <w:r>
              <w:rPr>
                <w:rFonts w:hint="eastAsia" w:cs="宋体" w:asciiTheme="minorEastAsia" w:hAnsiTheme="minorEastAsia" w:eastAsiaTheme="minorEastAsia"/>
                <w:color w:val="333333"/>
                <w:spacing w:val="14"/>
                <w:sz w:val="20"/>
                <w:szCs w:val="20"/>
                <w:highlight w:val="none"/>
                <w:lang w:eastAsia="zh-CN"/>
              </w:rPr>
              <w:t>档：内容不完整，具体实施方案内容不完整、全面性可靠性不完整，计1分。</w:t>
            </w:r>
          </w:p>
          <w:p w14:paraId="398CBB93">
            <w:pPr>
              <w:spacing w:line="360" w:lineRule="auto"/>
              <w:rPr>
                <w:rFonts w:asciiTheme="minorEastAsia" w:hAnsiTheme="minorEastAsia" w:eastAsiaTheme="minorEastAsia"/>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六</w:t>
            </w:r>
            <w:r>
              <w:rPr>
                <w:rFonts w:hint="eastAsia" w:cs="宋体" w:asciiTheme="minorEastAsia" w:hAnsiTheme="minorEastAsia" w:eastAsiaTheme="minorEastAsia"/>
                <w:color w:val="333333"/>
                <w:spacing w:val="14"/>
                <w:sz w:val="20"/>
                <w:szCs w:val="20"/>
                <w:highlight w:val="none"/>
                <w:lang w:eastAsia="zh-CN"/>
              </w:rPr>
              <w:t>档：缺项不得分。</w:t>
            </w:r>
          </w:p>
        </w:tc>
      </w:tr>
      <w:tr w14:paraId="621C9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4EFF7752">
            <w:pPr>
              <w:jc w:val="center"/>
              <w:rPr>
                <w:rFonts w:cs="宋体" w:asciiTheme="minorEastAsia" w:hAnsiTheme="minorEastAsia" w:eastAsiaTheme="minorEastAsia"/>
                <w:sz w:val="20"/>
                <w:szCs w:val="20"/>
                <w:lang w:eastAsia="zh-CN"/>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7C10D689">
            <w:pPr>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125B7FE3">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8.突发应急方案和投诉处理方案</w:t>
            </w:r>
          </w:p>
          <w:p w14:paraId="3D409770">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（10分）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1DAE96F5">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供应商针对本项目制定的突发事件应急处置方案包括但不限于食品安全事故、交通运输意外、紧急任务、重要节日、自然灾害等方面的应急措施；供应商针对本项目提供可能发生的投诉事件，及应对投诉的处理方案，妥善解决好投诉事件；</w:t>
            </w:r>
          </w:p>
          <w:p w14:paraId="469F7589">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第一档：内容完整详尽，内容非常清晰，具体实施方案科学合理、全面性可靠性高、切合采购人实际需求，计10分；</w:t>
            </w:r>
          </w:p>
          <w:p w14:paraId="51A9F737">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第二档：内容和具体实施方案有一定的合理性，全面性、能够一定程度上满足采购人需求，计</w:t>
            </w:r>
            <w:r>
              <w:rPr>
                <w:rFonts w:hint="eastAsia" w:cs="宋体" w:asciiTheme="minorEastAsia" w:hAnsiTheme="minorEastAsia" w:eastAsiaTheme="minorEastAsia"/>
                <w:color w:val="333333"/>
                <w:spacing w:val="14"/>
                <w:sz w:val="20"/>
                <w:szCs w:val="20"/>
                <w:highlight w:val="none"/>
                <w:lang w:val="en-US" w:eastAsia="zh-CN"/>
              </w:rPr>
              <w:t>8</w:t>
            </w:r>
            <w:r>
              <w:rPr>
                <w:rFonts w:hint="eastAsia" w:cs="宋体" w:asciiTheme="minorEastAsia" w:hAnsiTheme="minorEastAsia" w:eastAsiaTheme="minorEastAsia"/>
                <w:color w:val="333333"/>
                <w:spacing w:val="14"/>
                <w:sz w:val="20"/>
                <w:szCs w:val="20"/>
                <w:highlight w:val="none"/>
                <w:lang w:eastAsia="zh-CN"/>
              </w:rPr>
              <w:t>分；</w:t>
            </w:r>
          </w:p>
          <w:p w14:paraId="704F72CD">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三</w:t>
            </w:r>
            <w:r>
              <w:rPr>
                <w:rFonts w:hint="eastAsia" w:cs="宋体" w:asciiTheme="minorEastAsia" w:hAnsiTheme="minorEastAsia" w:eastAsiaTheme="minorEastAsia"/>
                <w:color w:val="333333"/>
                <w:spacing w:val="14"/>
                <w:sz w:val="20"/>
                <w:szCs w:val="20"/>
                <w:highlight w:val="none"/>
                <w:lang w:eastAsia="zh-CN"/>
              </w:rPr>
              <w:t>档：内容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，具体实施方案内容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、全面性可靠性</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，方案内容</w:t>
            </w:r>
            <w:r>
              <w:rPr>
                <w:rFonts w:hint="eastAsia" w:cs="宋体" w:asciiTheme="minorEastAsia" w:hAnsiTheme="minorEastAsia" w:eastAsiaTheme="minorEastAsia"/>
                <w:color w:val="333333"/>
                <w:spacing w:val="14"/>
                <w:sz w:val="20"/>
                <w:szCs w:val="20"/>
                <w:highlight w:val="none"/>
                <w:lang w:val="en-US" w:eastAsia="zh-CN"/>
              </w:rPr>
              <w:t>一般性</w:t>
            </w:r>
            <w:r>
              <w:rPr>
                <w:rFonts w:hint="eastAsia" w:cs="宋体" w:asciiTheme="minorEastAsia" w:hAnsiTheme="minorEastAsia" w:eastAsiaTheme="minorEastAsia"/>
                <w:color w:val="333333"/>
                <w:spacing w:val="14"/>
                <w:sz w:val="20"/>
                <w:szCs w:val="20"/>
                <w:highlight w:val="none"/>
                <w:lang w:eastAsia="zh-CN"/>
              </w:rPr>
              <w:t>满足招标文件要求的，计</w:t>
            </w:r>
            <w:r>
              <w:rPr>
                <w:rFonts w:hint="eastAsia" w:cs="宋体" w:asciiTheme="minorEastAsia" w:hAnsiTheme="minorEastAsia" w:eastAsiaTheme="minorEastAsia"/>
                <w:color w:val="333333"/>
                <w:spacing w:val="14"/>
                <w:sz w:val="20"/>
                <w:szCs w:val="20"/>
                <w:highlight w:val="none"/>
                <w:lang w:val="en-US" w:eastAsia="zh-CN"/>
              </w:rPr>
              <w:t>6</w:t>
            </w:r>
            <w:r>
              <w:rPr>
                <w:rFonts w:hint="eastAsia" w:cs="宋体" w:asciiTheme="minorEastAsia" w:hAnsiTheme="minorEastAsia" w:eastAsiaTheme="minorEastAsia"/>
                <w:color w:val="333333"/>
                <w:spacing w:val="14"/>
                <w:sz w:val="20"/>
                <w:szCs w:val="20"/>
                <w:highlight w:val="none"/>
                <w:lang w:eastAsia="zh-CN"/>
              </w:rPr>
              <w:t>分。</w:t>
            </w:r>
          </w:p>
          <w:p w14:paraId="57CF34BA">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四</w:t>
            </w:r>
            <w:r>
              <w:rPr>
                <w:rFonts w:hint="eastAsia" w:cs="宋体" w:asciiTheme="minorEastAsia" w:hAnsiTheme="minorEastAsia" w:eastAsiaTheme="minorEastAsia"/>
                <w:color w:val="333333"/>
                <w:spacing w:val="14"/>
                <w:sz w:val="20"/>
                <w:szCs w:val="20"/>
                <w:highlight w:val="none"/>
                <w:lang w:eastAsia="zh-CN"/>
              </w:rPr>
              <w:t>档：内容笼统，具体实施方案内容笼统、全面性可靠性笼统，方案内容基本满足招标文件要求的，计4分。</w:t>
            </w:r>
          </w:p>
          <w:p w14:paraId="3FB3D060">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五</w:t>
            </w:r>
            <w:r>
              <w:rPr>
                <w:rFonts w:hint="eastAsia" w:cs="宋体" w:asciiTheme="minorEastAsia" w:hAnsiTheme="minorEastAsia" w:eastAsiaTheme="minorEastAsia"/>
                <w:color w:val="333333"/>
                <w:spacing w:val="14"/>
                <w:sz w:val="20"/>
                <w:szCs w:val="20"/>
                <w:highlight w:val="none"/>
                <w:lang w:eastAsia="zh-CN"/>
              </w:rPr>
              <w:t>档：内容不完整，具体实施方案内容不完整、全面性可靠性不完整，计1分。</w:t>
            </w:r>
          </w:p>
          <w:p w14:paraId="5267087A">
            <w:pPr>
              <w:spacing w:line="360" w:lineRule="auto"/>
              <w:rPr>
                <w:rFonts w:asciiTheme="minorEastAsia" w:hAnsiTheme="minorEastAsia" w:eastAsiaTheme="minorEastAsia"/>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六</w:t>
            </w:r>
            <w:r>
              <w:rPr>
                <w:rFonts w:hint="eastAsia" w:cs="宋体" w:asciiTheme="minorEastAsia" w:hAnsiTheme="minorEastAsia" w:eastAsiaTheme="minorEastAsia"/>
                <w:color w:val="333333"/>
                <w:spacing w:val="14"/>
                <w:sz w:val="20"/>
                <w:szCs w:val="20"/>
                <w:highlight w:val="none"/>
                <w:lang w:eastAsia="zh-CN"/>
              </w:rPr>
              <w:t>档：缺项不得分。</w:t>
            </w:r>
          </w:p>
        </w:tc>
      </w:tr>
      <w:tr w14:paraId="468BE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15" w:type="dxa"/>
            <w:vMerge w:val="restart"/>
            <w:tcBorders>
              <w:top w:val="single" w:color="auto" w:sz="4" w:space="0"/>
              <w:left w:val="single" w:color="auto" w:sz="4" w:space="0"/>
              <w:right w:val="single" w:color="auto" w:sz="4" w:space="0"/>
            </w:tcBorders>
            <w:vAlign w:val="center"/>
          </w:tcPr>
          <w:p w14:paraId="4DA290C1">
            <w:pPr>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2.2.3</w:t>
            </w:r>
          </w:p>
        </w:tc>
        <w:tc>
          <w:tcPr>
            <w:tcW w:w="955" w:type="dxa"/>
            <w:vMerge w:val="restart"/>
            <w:tcBorders>
              <w:top w:val="single" w:color="auto" w:sz="4" w:space="0"/>
              <w:left w:val="single" w:color="auto" w:sz="4" w:space="0"/>
              <w:right w:val="single" w:color="auto" w:sz="4" w:space="0"/>
            </w:tcBorders>
            <w:vAlign w:val="center"/>
          </w:tcPr>
          <w:p w14:paraId="2E75F97C">
            <w:pPr>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综合标</w:t>
            </w:r>
          </w:p>
          <w:p w14:paraId="0D240124">
            <w:pPr>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（10分）</w:t>
            </w: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0BFAA8CD">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冷链配送车</w:t>
            </w:r>
          </w:p>
          <w:p w14:paraId="4F6096A7">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w:t>
            </w:r>
            <w:r>
              <w:rPr>
                <w:rFonts w:cs="宋体" w:asciiTheme="minorEastAsia" w:hAnsiTheme="minorEastAsia" w:eastAsiaTheme="minorEastAsia"/>
                <w:sz w:val="20"/>
                <w:szCs w:val="20"/>
                <w:lang w:eastAsia="zh-CN"/>
              </w:rPr>
              <w:t>4</w:t>
            </w:r>
            <w:r>
              <w:rPr>
                <w:rFonts w:hint="eastAsia" w:cs="宋体" w:asciiTheme="minorEastAsia" w:hAnsiTheme="minorEastAsia" w:eastAsiaTheme="minorEastAsia"/>
                <w:sz w:val="20"/>
                <w:szCs w:val="20"/>
                <w:lang w:eastAsia="zh-CN"/>
              </w:rPr>
              <w:t>分）</w:t>
            </w:r>
          </w:p>
        </w:tc>
        <w:tc>
          <w:tcPr>
            <w:tcW w:w="6051" w:type="dxa"/>
            <w:gridSpan w:val="2"/>
            <w:tcBorders>
              <w:top w:val="single" w:color="auto" w:sz="4" w:space="0"/>
              <w:left w:val="single" w:color="auto" w:sz="4" w:space="0"/>
              <w:bottom w:val="single" w:color="auto" w:sz="4" w:space="0"/>
              <w:right w:val="single" w:color="auto" w:sz="4" w:space="0"/>
            </w:tcBorders>
          </w:tcPr>
          <w:p w14:paraId="2E96404D">
            <w:pPr>
              <w:pStyle w:val="27"/>
              <w:spacing w:before="29" w:line="360" w:lineRule="auto"/>
              <w:ind w:left="106" w:right="105"/>
              <w:jc w:val="both"/>
              <w:rPr>
                <w:rFonts w:asciiTheme="minorEastAsia" w:hAnsiTheme="minorEastAsia" w:eastAsiaTheme="minorEastAsia"/>
                <w:color w:val="333333"/>
                <w:spacing w:val="14"/>
                <w:sz w:val="20"/>
                <w:szCs w:val="20"/>
                <w:lang w:eastAsia="zh-CN"/>
              </w:rPr>
            </w:pPr>
            <w:r>
              <w:rPr>
                <w:rFonts w:hint="eastAsia" w:asciiTheme="minorEastAsia" w:hAnsiTheme="minorEastAsia" w:eastAsiaTheme="minorEastAsia"/>
                <w:color w:val="333333"/>
                <w:spacing w:val="14"/>
                <w:sz w:val="20"/>
                <w:szCs w:val="20"/>
                <w:lang w:eastAsia="zh-CN"/>
              </w:rPr>
              <w:t>投标人冷链配送车（自有或租赁）,需提供车辆照片（车牌号要清晰，不清晰者不得分）、车辆行驶证；车辆为供应商租赁的需另外提供租赁合同、自有的需另外提供购买发票；缺项或不提供不得分。（4分）</w:t>
            </w:r>
          </w:p>
        </w:tc>
      </w:tr>
      <w:tr w14:paraId="63AA6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715" w:type="dxa"/>
            <w:vMerge w:val="continue"/>
            <w:tcBorders>
              <w:left w:val="single" w:color="auto" w:sz="4" w:space="0"/>
              <w:right w:val="single" w:color="auto" w:sz="4" w:space="0"/>
            </w:tcBorders>
            <w:vAlign w:val="center"/>
          </w:tcPr>
          <w:p w14:paraId="2465DFB3">
            <w:pPr>
              <w:jc w:val="center"/>
              <w:rPr>
                <w:rFonts w:cs="宋体" w:asciiTheme="minorEastAsia" w:hAnsiTheme="minorEastAsia" w:eastAsiaTheme="minorEastAsia"/>
                <w:sz w:val="20"/>
                <w:szCs w:val="20"/>
                <w:lang w:eastAsia="zh-CN"/>
              </w:rPr>
            </w:pPr>
          </w:p>
        </w:tc>
        <w:tc>
          <w:tcPr>
            <w:tcW w:w="955" w:type="dxa"/>
            <w:vMerge w:val="continue"/>
            <w:tcBorders>
              <w:left w:val="single" w:color="auto" w:sz="4" w:space="0"/>
              <w:right w:val="single" w:color="auto" w:sz="4" w:space="0"/>
            </w:tcBorders>
            <w:vAlign w:val="center"/>
          </w:tcPr>
          <w:p w14:paraId="73F74985">
            <w:pPr>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2FFDC422">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厢式配送车</w:t>
            </w:r>
          </w:p>
          <w:p w14:paraId="1AE155CA">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w:t>
            </w:r>
            <w:r>
              <w:rPr>
                <w:rFonts w:cs="宋体" w:asciiTheme="minorEastAsia" w:hAnsiTheme="minorEastAsia" w:eastAsiaTheme="minorEastAsia"/>
                <w:sz w:val="20"/>
                <w:szCs w:val="20"/>
                <w:lang w:eastAsia="zh-CN"/>
              </w:rPr>
              <w:t>4</w:t>
            </w:r>
            <w:r>
              <w:rPr>
                <w:rFonts w:hint="eastAsia" w:cs="宋体" w:asciiTheme="minorEastAsia" w:hAnsiTheme="minorEastAsia" w:eastAsiaTheme="minorEastAsia"/>
                <w:sz w:val="20"/>
                <w:szCs w:val="20"/>
                <w:lang w:eastAsia="zh-CN"/>
              </w:rPr>
              <w:t>分）</w:t>
            </w:r>
          </w:p>
        </w:tc>
        <w:tc>
          <w:tcPr>
            <w:tcW w:w="6051" w:type="dxa"/>
            <w:gridSpan w:val="2"/>
            <w:tcBorders>
              <w:top w:val="single" w:color="auto" w:sz="4" w:space="0"/>
              <w:left w:val="single" w:color="auto" w:sz="4" w:space="0"/>
              <w:bottom w:val="single" w:color="auto" w:sz="4" w:space="0"/>
              <w:right w:val="single" w:color="auto" w:sz="4" w:space="0"/>
            </w:tcBorders>
          </w:tcPr>
          <w:p w14:paraId="3A31E73A">
            <w:pPr>
              <w:pStyle w:val="27"/>
              <w:spacing w:before="26" w:line="360" w:lineRule="auto"/>
              <w:ind w:left="106" w:right="105" w:firstLine="5"/>
              <w:jc w:val="both"/>
              <w:rPr>
                <w:rFonts w:asciiTheme="minorEastAsia" w:hAnsiTheme="minorEastAsia" w:eastAsiaTheme="minorEastAsia"/>
                <w:color w:val="333333"/>
                <w:spacing w:val="14"/>
                <w:sz w:val="20"/>
                <w:szCs w:val="20"/>
                <w:lang w:eastAsia="zh-CN"/>
              </w:rPr>
            </w:pPr>
            <w:r>
              <w:rPr>
                <w:rFonts w:hint="eastAsia" w:asciiTheme="minorEastAsia" w:hAnsiTheme="minorEastAsia" w:eastAsiaTheme="minorEastAsia"/>
                <w:color w:val="333333"/>
                <w:spacing w:val="14"/>
                <w:sz w:val="20"/>
                <w:szCs w:val="20"/>
                <w:lang w:eastAsia="zh-CN"/>
              </w:rPr>
              <w:t>投标人厢式配送车（自有或租赁）,需提供车辆照片（车牌号要清晰，不清晰者不得分）、车辆行驶证；车辆为供应商租赁的需另外提供租赁合同、自有的需另外提供购买发票；缺项或不提供不得分。（4分）</w:t>
            </w:r>
          </w:p>
        </w:tc>
      </w:tr>
      <w:tr w14:paraId="64CB3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715" w:type="dxa"/>
            <w:vMerge w:val="continue"/>
            <w:tcBorders>
              <w:left w:val="single" w:color="auto" w:sz="4" w:space="0"/>
              <w:right w:val="single" w:color="auto" w:sz="4" w:space="0"/>
            </w:tcBorders>
            <w:vAlign w:val="center"/>
          </w:tcPr>
          <w:p w14:paraId="46787157">
            <w:pPr>
              <w:jc w:val="center"/>
              <w:rPr>
                <w:rFonts w:cs="宋体" w:asciiTheme="minorEastAsia" w:hAnsiTheme="minorEastAsia" w:eastAsiaTheme="minorEastAsia"/>
                <w:sz w:val="20"/>
                <w:szCs w:val="20"/>
                <w:lang w:eastAsia="zh-CN"/>
              </w:rPr>
            </w:pPr>
          </w:p>
        </w:tc>
        <w:tc>
          <w:tcPr>
            <w:tcW w:w="955" w:type="dxa"/>
            <w:vMerge w:val="continue"/>
            <w:tcBorders>
              <w:left w:val="single" w:color="auto" w:sz="4" w:space="0"/>
              <w:right w:val="single" w:color="auto" w:sz="4" w:space="0"/>
            </w:tcBorders>
            <w:vAlign w:val="center"/>
          </w:tcPr>
          <w:p w14:paraId="6FFD8A95">
            <w:pPr>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0CEF6BA0">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业绩</w:t>
            </w:r>
          </w:p>
          <w:p w14:paraId="20B37B61">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（2分）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46613A28">
            <w:pPr>
              <w:spacing w:line="360" w:lineRule="auto"/>
              <w:rPr>
                <w:rFonts w:cs="宋体" w:asciiTheme="minorEastAsia" w:hAnsiTheme="minorEastAsia" w:eastAsiaTheme="minorEastAsia"/>
                <w:color w:val="333333"/>
                <w:spacing w:val="14"/>
                <w:sz w:val="20"/>
                <w:szCs w:val="20"/>
                <w:lang w:eastAsia="zh-CN"/>
              </w:rPr>
            </w:pPr>
            <w:r>
              <w:rPr>
                <w:rFonts w:hint="eastAsia" w:cs="宋体" w:asciiTheme="minorEastAsia" w:hAnsiTheme="minorEastAsia" w:eastAsiaTheme="minorEastAsia"/>
                <w:color w:val="333333"/>
                <w:spacing w:val="14"/>
                <w:sz w:val="20"/>
                <w:szCs w:val="20"/>
                <w:lang w:eastAsia="zh-CN"/>
              </w:rPr>
              <w:t>供应商自202</w:t>
            </w:r>
            <w:r>
              <w:rPr>
                <w:rFonts w:hint="eastAsia" w:cs="宋体" w:asciiTheme="minorEastAsia" w:hAnsiTheme="minorEastAsia" w:eastAsiaTheme="minorEastAsia"/>
                <w:color w:val="333333"/>
                <w:spacing w:val="14"/>
                <w:sz w:val="20"/>
                <w:szCs w:val="20"/>
                <w:lang w:val="en-US" w:eastAsia="zh-CN"/>
              </w:rPr>
              <w:t>2</w:t>
            </w:r>
            <w:r>
              <w:rPr>
                <w:rFonts w:hint="eastAsia" w:cs="宋体" w:asciiTheme="minorEastAsia" w:hAnsiTheme="minorEastAsia" w:eastAsiaTheme="minorEastAsia"/>
                <w:color w:val="333333"/>
                <w:spacing w:val="14"/>
                <w:sz w:val="20"/>
                <w:szCs w:val="20"/>
                <w:lang w:eastAsia="zh-CN"/>
              </w:rPr>
              <w:t>年1月1日以来承担过1个类似项目，业绩需提供中标通知书和合同，具备齐全者得2分，否则不计分，本项最多得2分。（日期以合同签订日期为准）</w:t>
            </w:r>
          </w:p>
        </w:tc>
      </w:tr>
    </w:tbl>
    <w:p w14:paraId="2E137082">
      <w:pPr>
        <w:spacing w:line="328" w:lineRule="auto"/>
        <w:rPr>
          <w:rFonts w:asciiTheme="minorEastAsia" w:hAnsiTheme="minorEastAsia" w:eastAsiaTheme="minorEastAsia" w:cstheme="minorEastAsia"/>
          <w:lang w:eastAsia="zh-CN"/>
        </w:rPr>
      </w:pPr>
    </w:p>
    <w:p w14:paraId="10156FFE">
      <w:pPr>
        <w:rPr>
          <w:rFonts w:asciiTheme="minorEastAsia" w:hAnsiTheme="minorEastAsia" w:eastAsiaTheme="minorEastAsia" w:cstheme="minorEastAsia"/>
          <w:b/>
          <w:bCs/>
          <w:spacing w:val="-1"/>
          <w:sz w:val="31"/>
          <w:szCs w:val="31"/>
          <w:lang w:eastAsia="zh-CN"/>
        </w:rPr>
      </w:pPr>
      <w:bookmarkStart w:id="447" w:name="bookmark48"/>
      <w:bookmarkEnd w:id="447"/>
      <w:bookmarkStart w:id="448" w:name="bookmark47"/>
      <w:bookmarkEnd w:id="448"/>
      <w:r>
        <w:rPr>
          <w:rFonts w:hint="eastAsia" w:asciiTheme="minorEastAsia" w:hAnsiTheme="minorEastAsia" w:eastAsiaTheme="minorEastAsia" w:cstheme="minorEastAsia"/>
          <w:b/>
          <w:bCs/>
          <w:spacing w:val="-1"/>
          <w:sz w:val="31"/>
          <w:szCs w:val="31"/>
          <w:lang w:eastAsia="zh-CN"/>
        </w:rPr>
        <w:br w:type="page"/>
      </w:r>
    </w:p>
    <w:p w14:paraId="4E9B5CD7">
      <w:pPr>
        <w:pStyle w:val="6"/>
        <w:spacing w:line="360" w:lineRule="auto"/>
        <w:ind w:firstLine="618" w:firstLineChars="200"/>
        <w:outlineLvl w:val="1"/>
        <w:rPr>
          <w:rFonts w:asciiTheme="minorEastAsia" w:hAnsiTheme="minorEastAsia" w:eastAsiaTheme="minorEastAsia" w:cstheme="minorEastAsia"/>
          <w:sz w:val="31"/>
          <w:szCs w:val="31"/>
          <w:lang w:eastAsia="zh-CN"/>
        </w:rPr>
      </w:pPr>
      <w:bookmarkStart w:id="449" w:name="_Toc17980"/>
      <w:r>
        <w:rPr>
          <w:rFonts w:hint="eastAsia" w:asciiTheme="minorEastAsia" w:hAnsiTheme="minorEastAsia" w:eastAsiaTheme="minorEastAsia" w:cstheme="minorEastAsia"/>
          <w:b/>
          <w:bCs/>
          <w:spacing w:val="-1"/>
          <w:sz w:val="31"/>
          <w:szCs w:val="31"/>
          <w:lang w:eastAsia="zh-CN"/>
        </w:rPr>
        <w:t>1.评标方法</w:t>
      </w:r>
      <w:bookmarkEnd w:id="449"/>
    </w:p>
    <w:p w14:paraId="4AA21A05">
      <w:pPr>
        <w:pStyle w:val="6"/>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本次评标采用综合评估法。评标委员会对满足招标文</w:t>
      </w:r>
      <w:r>
        <w:rPr>
          <w:rFonts w:hint="eastAsia" w:asciiTheme="minorEastAsia" w:hAnsiTheme="minorEastAsia" w:eastAsiaTheme="minorEastAsia" w:cstheme="minorEastAsia"/>
          <w:spacing w:val="-1"/>
          <w:sz w:val="21"/>
          <w:szCs w:val="21"/>
          <w:lang w:eastAsia="zh-CN"/>
        </w:rPr>
        <w:t>件实质性要求的投标文件，按照本章第</w:t>
      </w:r>
      <w:r>
        <w:rPr>
          <w:rFonts w:hint="eastAsia" w:asciiTheme="minorEastAsia" w:hAnsiTheme="minorEastAsia" w:eastAsiaTheme="minorEastAsia" w:cstheme="minorEastAsia"/>
          <w:spacing w:val="-42"/>
          <w:sz w:val="21"/>
          <w:szCs w:val="21"/>
          <w:lang w:eastAsia="zh-CN"/>
        </w:rPr>
        <w:t xml:space="preserve"> </w:t>
      </w:r>
      <w:r>
        <w:rPr>
          <w:rFonts w:hint="eastAsia" w:asciiTheme="minorEastAsia" w:hAnsiTheme="minorEastAsia" w:eastAsiaTheme="minorEastAsia" w:cstheme="minorEastAsia"/>
          <w:spacing w:val="-1"/>
          <w:sz w:val="21"/>
          <w:szCs w:val="21"/>
          <w:lang w:eastAsia="zh-CN"/>
        </w:rPr>
        <w:t>2.2</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1"/>
          <w:sz w:val="21"/>
          <w:szCs w:val="21"/>
          <w:lang w:eastAsia="zh-CN"/>
        </w:rPr>
        <w:t>款规定的评分标准进行打分，并按得分由高到低顺序每标段推荐</w:t>
      </w:r>
      <w:r>
        <w:rPr>
          <w:rFonts w:hint="eastAsia" w:asciiTheme="minorEastAsia" w:hAnsiTheme="minorEastAsia" w:eastAsiaTheme="minorEastAsia" w:cstheme="minorEastAsia"/>
          <w:spacing w:val="-40"/>
          <w:sz w:val="21"/>
          <w:szCs w:val="21"/>
          <w:lang w:eastAsia="zh-CN"/>
        </w:rPr>
        <w:t xml:space="preserve"> </w:t>
      </w:r>
      <w:r>
        <w:rPr>
          <w:rFonts w:hint="eastAsia" w:asciiTheme="minorEastAsia" w:hAnsiTheme="minorEastAsia" w:eastAsiaTheme="minorEastAsia" w:cstheme="minorEastAsia"/>
          <w:spacing w:val="-2"/>
          <w:sz w:val="21"/>
          <w:szCs w:val="21"/>
          <w:lang w:eastAsia="zh-CN"/>
        </w:rPr>
        <w:t>3</w:t>
      </w:r>
      <w:r>
        <w:rPr>
          <w:rFonts w:hint="eastAsia" w:asciiTheme="minorEastAsia" w:hAnsiTheme="minorEastAsia" w:eastAsiaTheme="minorEastAsia" w:cstheme="minorEastAsia"/>
          <w:spacing w:val="-44"/>
          <w:sz w:val="21"/>
          <w:szCs w:val="21"/>
          <w:lang w:eastAsia="zh-CN"/>
        </w:rPr>
        <w:t xml:space="preserve"> </w:t>
      </w:r>
      <w:r>
        <w:rPr>
          <w:rFonts w:hint="eastAsia" w:asciiTheme="minorEastAsia" w:hAnsiTheme="minorEastAsia" w:eastAsiaTheme="minorEastAsia" w:cstheme="minorEastAsia"/>
          <w:spacing w:val="-2"/>
          <w:sz w:val="21"/>
          <w:szCs w:val="21"/>
          <w:lang w:eastAsia="zh-CN"/>
        </w:rPr>
        <w:t>名中标候选人。</w:t>
      </w:r>
    </w:p>
    <w:p w14:paraId="08180215">
      <w:pPr>
        <w:pStyle w:val="6"/>
        <w:spacing w:line="360" w:lineRule="auto"/>
        <w:ind w:firstLine="630" w:firstLineChars="200"/>
        <w:outlineLvl w:val="1"/>
        <w:rPr>
          <w:rFonts w:asciiTheme="minorEastAsia" w:hAnsiTheme="minorEastAsia" w:eastAsiaTheme="minorEastAsia" w:cstheme="minorEastAsia"/>
          <w:sz w:val="31"/>
          <w:szCs w:val="31"/>
          <w:lang w:eastAsia="zh-CN"/>
        </w:rPr>
      </w:pPr>
      <w:bookmarkStart w:id="450" w:name="bookmark49"/>
      <w:bookmarkEnd w:id="450"/>
      <w:bookmarkStart w:id="451" w:name="bookmark50"/>
      <w:bookmarkEnd w:id="451"/>
      <w:bookmarkStart w:id="452" w:name="_Toc6716"/>
      <w:r>
        <w:rPr>
          <w:rFonts w:hint="eastAsia" w:asciiTheme="minorEastAsia" w:hAnsiTheme="minorEastAsia" w:eastAsiaTheme="minorEastAsia" w:cstheme="minorEastAsia"/>
          <w:b/>
          <w:bCs/>
          <w:spacing w:val="2"/>
          <w:sz w:val="31"/>
          <w:szCs w:val="31"/>
          <w:lang w:eastAsia="zh-CN"/>
        </w:rPr>
        <w:t>2.评审标准</w:t>
      </w:r>
      <w:bookmarkEnd w:id="452"/>
    </w:p>
    <w:p w14:paraId="29EE66A7">
      <w:pPr>
        <w:pStyle w:val="6"/>
        <w:spacing w:line="360" w:lineRule="auto"/>
        <w:ind w:firstLine="638" w:firstLineChars="200"/>
        <w:outlineLvl w:val="2"/>
        <w:rPr>
          <w:rFonts w:asciiTheme="minorEastAsia" w:hAnsiTheme="minorEastAsia" w:eastAsiaTheme="minorEastAsia" w:cstheme="minorEastAsia"/>
          <w:sz w:val="31"/>
          <w:szCs w:val="31"/>
          <w:lang w:eastAsia="zh-CN"/>
        </w:rPr>
      </w:pPr>
      <w:bookmarkStart w:id="453" w:name="_Toc14722"/>
      <w:r>
        <w:rPr>
          <w:rFonts w:hint="eastAsia" w:asciiTheme="minorEastAsia" w:hAnsiTheme="minorEastAsia" w:eastAsiaTheme="minorEastAsia" w:cstheme="minorEastAsia"/>
          <w:b/>
          <w:bCs/>
          <w:spacing w:val="4"/>
          <w:sz w:val="31"/>
          <w:szCs w:val="31"/>
          <w:lang w:eastAsia="zh-CN"/>
        </w:rPr>
        <w:t>2.1</w:t>
      </w:r>
      <w:r>
        <w:rPr>
          <w:rFonts w:hint="eastAsia" w:asciiTheme="minorEastAsia" w:hAnsiTheme="minorEastAsia" w:eastAsiaTheme="minorEastAsia" w:cstheme="minorEastAsia"/>
          <w:spacing w:val="4"/>
          <w:sz w:val="31"/>
          <w:szCs w:val="31"/>
          <w:lang w:eastAsia="zh-CN"/>
        </w:rPr>
        <w:t xml:space="preserve"> </w:t>
      </w:r>
      <w:r>
        <w:rPr>
          <w:rFonts w:hint="eastAsia" w:asciiTheme="minorEastAsia" w:hAnsiTheme="minorEastAsia" w:eastAsiaTheme="minorEastAsia" w:cstheme="minorEastAsia"/>
          <w:b/>
          <w:bCs/>
          <w:spacing w:val="4"/>
          <w:sz w:val="31"/>
          <w:szCs w:val="31"/>
          <w:lang w:eastAsia="zh-CN"/>
        </w:rPr>
        <w:t>初步评审标准</w:t>
      </w:r>
      <w:bookmarkEnd w:id="453"/>
    </w:p>
    <w:p w14:paraId="5FEFAD19">
      <w:pPr>
        <w:pStyle w:val="6"/>
        <w:spacing w:line="360" w:lineRule="auto"/>
        <w:ind w:firstLine="416"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2.1.1 形式评审标准：见评标办法前附表。</w:t>
      </w:r>
    </w:p>
    <w:p w14:paraId="480AF193">
      <w:pPr>
        <w:pStyle w:val="6"/>
        <w:spacing w:line="360" w:lineRule="auto"/>
        <w:ind w:firstLine="416"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2.1.2 资格评审标准：资格评审按《中华人民共和国财政部令第</w:t>
      </w:r>
      <w:r>
        <w:rPr>
          <w:rFonts w:hint="eastAsia" w:asciiTheme="minorEastAsia" w:hAnsiTheme="minorEastAsia" w:eastAsiaTheme="minorEastAsia" w:cstheme="minorEastAsia"/>
          <w:spacing w:val="-14"/>
          <w:sz w:val="21"/>
          <w:szCs w:val="21"/>
          <w:lang w:eastAsia="zh-CN"/>
        </w:rPr>
        <w:t xml:space="preserve"> </w:t>
      </w:r>
      <w:r>
        <w:rPr>
          <w:rFonts w:hint="eastAsia" w:asciiTheme="minorEastAsia" w:hAnsiTheme="minorEastAsia" w:eastAsiaTheme="minorEastAsia" w:cstheme="minorEastAsia"/>
          <w:spacing w:val="-1"/>
          <w:sz w:val="21"/>
          <w:szCs w:val="21"/>
          <w:lang w:eastAsia="zh-CN"/>
        </w:rPr>
        <w:t>87 号--政府采购货物和服务招标投标管理办法》。“第四十四条”公开招标采购项目开标结束</w:t>
      </w:r>
      <w:r>
        <w:rPr>
          <w:rFonts w:hint="eastAsia" w:asciiTheme="minorEastAsia" w:hAnsiTheme="minorEastAsia" w:eastAsiaTheme="minorEastAsia" w:cstheme="minorEastAsia"/>
          <w:spacing w:val="-2"/>
          <w:sz w:val="21"/>
          <w:szCs w:val="21"/>
          <w:lang w:eastAsia="zh-CN"/>
        </w:rPr>
        <w:t>后，采购人或者采购代理机构应当依法对投标人的资格进行审查。合格投标人不足</w:t>
      </w:r>
      <w:r>
        <w:rPr>
          <w:rFonts w:hint="eastAsia" w:asciiTheme="minorEastAsia" w:hAnsiTheme="minorEastAsia" w:eastAsiaTheme="minorEastAsia" w:cstheme="minorEastAsia"/>
          <w:spacing w:val="-24"/>
          <w:sz w:val="21"/>
          <w:szCs w:val="21"/>
          <w:lang w:eastAsia="zh-CN"/>
        </w:rPr>
        <w:t xml:space="preserve"> </w:t>
      </w:r>
      <w:r>
        <w:rPr>
          <w:rFonts w:hint="eastAsia" w:asciiTheme="minorEastAsia" w:hAnsiTheme="minorEastAsia" w:eastAsiaTheme="minorEastAsia" w:cstheme="minorEastAsia"/>
          <w:spacing w:val="-2"/>
          <w:sz w:val="21"/>
          <w:szCs w:val="21"/>
          <w:lang w:eastAsia="zh-CN"/>
        </w:rPr>
        <w:t>3</w:t>
      </w:r>
      <w:r>
        <w:rPr>
          <w:rFonts w:hint="eastAsia" w:asciiTheme="minorEastAsia" w:hAnsiTheme="minorEastAsia" w:eastAsiaTheme="minorEastAsia" w:cstheme="minorEastAsia"/>
          <w:spacing w:val="-42"/>
          <w:sz w:val="21"/>
          <w:szCs w:val="21"/>
          <w:lang w:eastAsia="zh-CN"/>
        </w:rPr>
        <w:t xml:space="preserve"> </w:t>
      </w:r>
      <w:r>
        <w:rPr>
          <w:rFonts w:hint="eastAsia" w:asciiTheme="minorEastAsia" w:hAnsiTheme="minorEastAsia" w:eastAsiaTheme="minorEastAsia" w:cstheme="minorEastAsia"/>
          <w:spacing w:val="-2"/>
          <w:sz w:val="21"/>
          <w:szCs w:val="21"/>
          <w:lang w:eastAsia="zh-CN"/>
        </w:rPr>
        <w:t>家的，不得评标。</w:t>
      </w:r>
    </w:p>
    <w:p w14:paraId="22EA6999">
      <w:pPr>
        <w:pStyle w:val="6"/>
        <w:spacing w:line="360" w:lineRule="auto"/>
        <w:ind w:firstLine="41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eastAsia="zh-CN"/>
        </w:rPr>
        <w:t>2.1.3</w:t>
      </w:r>
      <w:r>
        <w:rPr>
          <w:rFonts w:hint="eastAsia" w:asciiTheme="minorEastAsia" w:hAnsiTheme="minorEastAsia" w:eastAsiaTheme="minorEastAsia" w:cstheme="minorEastAsia"/>
          <w:spacing w:val="-31"/>
          <w:sz w:val="21"/>
          <w:szCs w:val="21"/>
          <w:lang w:eastAsia="zh-CN"/>
        </w:rPr>
        <w:t xml:space="preserve"> </w:t>
      </w:r>
      <w:r>
        <w:rPr>
          <w:rFonts w:hint="eastAsia" w:asciiTheme="minorEastAsia" w:hAnsiTheme="minorEastAsia" w:eastAsiaTheme="minorEastAsia" w:cstheme="minorEastAsia"/>
          <w:spacing w:val="-2"/>
          <w:sz w:val="21"/>
          <w:szCs w:val="21"/>
          <w:lang w:eastAsia="zh-CN"/>
        </w:rPr>
        <w:t>响应性评审标准：见评标办法前附表。</w:t>
      </w:r>
    </w:p>
    <w:p w14:paraId="6C208F96">
      <w:pPr>
        <w:pStyle w:val="6"/>
        <w:spacing w:line="360" w:lineRule="auto"/>
        <w:ind w:firstLine="642" w:firstLineChars="200"/>
        <w:outlineLvl w:val="2"/>
        <w:rPr>
          <w:rFonts w:asciiTheme="minorEastAsia" w:hAnsiTheme="minorEastAsia" w:eastAsiaTheme="minorEastAsia" w:cstheme="minorEastAsia"/>
          <w:sz w:val="31"/>
          <w:szCs w:val="31"/>
          <w:lang w:eastAsia="zh-CN"/>
        </w:rPr>
      </w:pPr>
      <w:bookmarkStart w:id="454" w:name="_Toc13329"/>
      <w:r>
        <w:rPr>
          <w:rFonts w:hint="eastAsia" w:asciiTheme="minorEastAsia" w:hAnsiTheme="minorEastAsia" w:eastAsiaTheme="minorEastAsia" w:cstheme="minorEastAsia"/>
          <w:b/>
          <w:bCs/>
          <w:spacing w:val="5"/>
          <w:sz w:val="31"/>
          <w:szCs w:val="31"/>
          <w:lang w:eastAsia="zh-CN"/>
        </w:rPr>
        <w:t>2.2</w:t>
      </w:r>
      <w:r>
        <w:rPr>
          <w:rFonts w:hint="eastAsia" w:asciiTheme="minorEastAsia" w:hAnsiTheme="minorEastAsia" w:eastAsiaTheme="minorEastAsia" w:cstheme="minorEastAsia"/>
          <w:spacing w:val="5"/>
          <w:sz w:val="31"/>
          <w:szCs w:val="31"/>
          <w:lang w:eastAsia="zh-CN"/>
        </w:rPr>
        <w:t xml:space="preserve"> </w:t>
      </w:r>
      <w:r>
        <w:rPr>
          <w:rFonts w:hint="eastAsia" w:asciiTheme="minorEastAsia" w:hAnsiTheme="minorEastAsia" w:eastAsiaTheme="minorEastAsia" w:cstheme="minorEastAsia"/>
          <w:b/>
          <w:bCs/>
          <w:spacing w:val="5"/>
          <w:sz w:val="31"/>
          <w:szCs w:val="31"/>
          <w:lang w:eastAsia="zh-CN"/>
        </w:rPr>
        <w:t>分值构成与评分标准</w:t>
      </w:r>
      <w:bookmarkEnd w:id="454"/>
    </w:p>
    <w:p w14:paraId="0A75DF23">
      <w:pPr>
        <w:pStyle w:val="6"/>
        <w:spacing w:line="360" w:lineRule="auto"/>
        <w:ind w:firstLine="41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eastAsia="zh-CN"/>
        </w:rPr>
        <w:t>2.2.1 技术标：见评标办法前附表；</w:t>
      </w:r>
    </w:p>
    <w:p w14:paraId="1F5ACDC7">
      <w:pPr>
        <w:pStyle w:val="6"/>
        <w:spacing w:line="360" w:lineRule="auto"/>
        <w:ind w:firstLine="41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eastAsia="zh-CN"/>
        </w:rPr>
        <w:t>2.2.2 商务标：见评标办法前附表；</w:t>
      </w:r>
    </w:p>
    <w:p w14:paraId="694879A7">
      <w:pPr>
        <w:pStyle w:val="6"/>
        <w:spacing w:line="360" w:lineRule="auto"/>
        <w:ind w:firstLine="41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eastAsia="zh-CN"/>
        </w:rPr>
        <w:t>2.2.3 综合标：见评标办法前附表；</w:t>
      </w:r>
    </w:p>
    <w:p w14:paraId="29B5F1D7">
      <w:pPr>
        <w:pStyle w:val="6"/>
        <w:spacing w:line="360" w:lineRule="auto"/>
        <w:ind w:firstLine="41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eastAsia="zh-CN"/>
        </w:rPr>
        <w:t>2.2.4 评分标准:见评标办法前附表；</w:t>
      </w:r>
    </w:p>
    <w:p w14:paraId="21BDA699">
      <w:pPr>
        <w:pStyle w:val="6"/>
        <w:spacing w:line="360" w:lineRule="auto"/>
        <w:ind w:firstLine="626" w:firstLineChars="200"/>
        <w:outlineLvl w:val="1"/>
        <w:rPr>
          <w:rFonts w:asciiTheme="minorEastAsia" w:hAnsiTheme="minorEastAsia" w:eastAsiaTheme="minorEastAsia" w:cstheme="minorEastAsia"/>
          <w:sz w:val="31"/>
          <w:szCs w:val="31"/>
          <w:lang w:eastAsia="zh-CN"/>
        </w:rPr>
      </w:pPr>
      <w:bookmarkStart w:id="455" w:name="bookmark52"/>
      <w:bookmarkEnd w:id="455"/>
      <w:bookmarkStart w:id="456" w:name="bookmark51"/>
      <w:bookmarkEnd w:id="456"/>
      <w:bookmarkStart w:id="457" w:name="_Toc31918"/>
      <w:r>
        <w:rPr>
          <w:rFonts w:hint="eastAsia" w:asciiTheme="minorEastAsia" w:hAnsiTheme="minorEastAsia" w:eastAsiaTheme="minorEastAsia" w:cstheme="minorEastAsia"/>
          <w:b/>
          <w:bCs/>
          <w:spacing w:val="1"/>
          <w:sz w:val="31"/>
          <w:szCs w:val="31"/>
          <w:lang w:eastAsia="zh-CN"/>
        </w:rPr>
        <w:t>3.评标程序</w:t>
      </w:r>
      <w:bookmarkEnd w:id="457"/>
    </w:p>
    <w:p w14:paraId="6773EB0B">
      <w:pPr>
        <w:pStyle w:val="6"/>
        <w:spacing w:line="360" w:lineRule="auto"/>
        <w:ind w:firstLine="634" w:firstLineChars="200"/>
        <w:outlineLvl w:val="2"/>
        <w:rPr>
          <w:rFonts w:asciiTheme="minorEastAsia" w:hAnsiTheme="minorEastAsia" w:eastAsiaTheme="minorEastAsia" w:cstheme="minorEastAsia"/>
          <w:sz w:val="31"/>
          <w:szCs w:val="31"/>
          <w:lang w:eastAsia="zh-CN"/>
        </w:rPr>
      </w:pPr>
      <w:bookmarkStart w:id="458" w:name="_Toc30118"/>
      <w:r>
        <w:rPr>
          <w:rFonts w:hint="eastAsia" w:asciiTheme="minorEastAsia" w:hAnsiTheme="minorEastAsia" w:eastAsiaTheme="minorEastAsia" w:cstheme="minorEastAsia"/>
          <w:b/>
          <w:bCs/>
          <w:spacing w:val="3"/>
          <w:sz w:val="31"/>
          <w:szCs w:val="31"/>
          <w:lang w:eastAsia="zh-CN"/>
        </w:rPr>
        <w:t>3.1</w:t>
      </w:r>
      <w:r>
        <w:rPr>
          <w:rFonts w:hint="eastAsia" w:asciiTheme="minorEastAsia" w:hAnsiTheme="minorEastAsia" w:eastAsiaTheme="minorEastAsia" w:cstheme="minorEastAsia"/>
          <w:spacing w:val="3"/>
          <w:sz w:val="31"/>
          <w:szCs w:val="31"/>
          <w:lang w:eastAsia="zh-CN"/>
        </w:rPr>
        <w:t xml:space="preserve"> </w:t>
      </w:r>
      <w:r>
        <w:rPr>
          <w:rFonts w:hint="eastAsia" w:asciiTheme="minorEastAsia" w:hAnsiTheme="minorEastAsia" w:eastAsiaTheme="minorEastAsia" w:cstheme="minorEastAsia"/>
          <w:b/>
          <w:bCs/>
          <w:spacing w:val="3"/>
          <w:sz w:val="31"/>
          <w:szCs w:val="31"/>
          <w:lang w:eastAsia="zh-CN"/>
        </w:rPr>
        <w:t>初步评审</w:t>
      </w:r>
      <w:bookmarkEnd w:id="458"/>
    </w:p>
    <w:p w14:paraId="08954767">
      <w:pPr>
        <w:pStyle w:val="6"/>
        <w:spacing w:line="360" w:lineRule="auto"/>
        <w:ind w:firstLine="424"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3.1.1 评标委员会依据本章第 2.1 款规定的标准对投标文件进行初步评审。有一</w:t>
      </w:r>
      <w:r>
        <w:rPr>
          <w:rFonts w:hint="eastAsia" w:asciiTheme="minorEastAsia" w:hAnsiTheme="minorEastAsia" w:eastAsiaTheme="minorEastAsia" w:cstheme="minorEastAsia"/>
          <w:sz w:val="21"/>
          <w:szCs w:val="21"/>
          <w:lang w:eastAsia="zh-CN"/>
        </w:rPr>
        <w:t xml:space="preserve">项不符合评审 </w:t>
      </w:r>
      <w:r>
        <w:rPr>
          <w:rFonts w:hint="eastAsia" w:asciiTheme="minorEastAsia" w:hAnsiTheme="minorEastAsia" w:eastAsiaTheme="minorEastAsia" w:cstheme="minorEastAsia"/>
          <w:spacing w:val="-1"/>
          <w:sz w:val="21"/>
          <w:szCs w:val="21"/>
          <w:lang w:eastAsia="zh-CN"/>
        </w:rPr>
        <w:t>标准的，否决其投标。</w:t>
      </w:r>
    </w:p>
    <w:p w14:paraId="1CADF93E">
      <w:pPr>
        <w:pStyle w:val="6"/>
        <w:spacing w:line="360" w:lineRule="auto"/>
        <w:ind w:firstLine="41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eastAsia="zh-CN"/>
        </w:rPr>
        <w:t xml:space="preserve">3.1.2 </w:t>
      </w:r>
      <w:r>
        <w:rPr>
          <w:rFonts w:hint="eastAsia" w:asciiTheme="minorEastAsia" w:hAnsiTheme="minorEastAsia" w:eastAsiaTheme="minorEastAsia" w:cstheme="minorEastAsia"/>
          <w:b/>
          <w:bCs/>
          <w:spacing w:val="-2"/>
          <w:sz w:val="21"/>
          <w:szCs w:val="21"/>
          <w:lang w:eastAsia="zh-CN"/>
        </w:rPr>
        <w:t>投标人有以下情形之一的，其投标将被否决：</w:t>
      </w:r>
    </w:p>
    <w:p w14:paraId="783F2B0C">
      <w:pPr>
        <w:pStyle w:val="6"/>
        <w:spacing w:line="360" w:lineRule="auto"/>
        <w:ind w:firstLine="406"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pacing w:val="-4"/>
          <w:sz w:val="21"/>
          <w:szCs w:val="21"/>
          <w:lang w:eastAsia="zh-CN"/>
        </w:rPr>
        <w:t>(l）串通投标或弄虚作假或有其他违法行为的；</w:t>
      </w:r>
    </w:p>
    <w:p w14:paraId="33329002">
      <w:pPr>
        <w:pStyle w:val="6"/>
        <w:spacing w:line="360" w:lineRule="auto"/>
        <w:ind w:firstLine="402" w:firstLineChars="200"/>
        <w:rPr>
          <w:rFonts w:asciiTheme="minorEastAsia" w:hAnsiTheme="minorEastAsia" w:eastAsiaTheme="minorEastAsia" w:cstheme="minorEastAsia"/>
          <w:b/>
          <w:bCs/>
          <w:spacing w:val="-5"/>
          <w:sz w:val="21"/>
          <w:szCs w:val="21"/>
          <w:lang w:eastAsia="zh-CN"/>
        </w:rPr>
      </w:pPr>
      <w:r>
        <w:rPr>
          <w:rFonts w:hint="eastAsia" w:asciiTheme="minorEastAsia" w:hAnsiTheme="minorEastAsia" w:eastAsiaTheme="minorEastAsia" w:cstheme="minorEastAsia"/>
          <w:b/>
          <w:bCs/>
          <w:spacing w:val="-5"/>
          <w:sz w:val="21"/>
          <w:szCs w:val="21"/>
          <w:lang w:eastAsia="zh-CN"/>
        </w:rPr>
        <w:t>(2）不按评标委员会要求澄清、说明或补正的。</w:t>
      </w:r>
    </w:p>
    <w:p w14:paraId="6774144D">
      <w:pPr>
        <w:pStyle w:val="6"/>
        <w:spacing w:line="360" w:lineRule="auto"/>
        <w:ind w:firstLine="440" w:firstLineChars="200"/>
        <w:outlineLvl w:val="2"/>
        <w:rPr>
          <w:rFonts w:asciiTheme="minorEastAsia" w:hAnsiTheme="minorEastAsia" w:eastAsiaTheme="minorEastAsia" w:cstheme="minorEastAsia"/>
          <w:sz w:val="31"/>
          <w:szCs w:val="31"/>
          <w:lang w:eastAsia="zh-CN"/>
        </w:rPr>
      </w:pPr>
      <w:r>
        <w:rPr>
          <w:rFonts w:hint="eastAsia" w:asciiTheme="minorEastAsia" w:hAnsiTheme="minorEastAsia" w:eastAsiaTheme="minorEastAsia" w:cstheme="minorEastAsia"/>
          <w:spacing w:val="5"/>
          <w:sz w:val="21"/>
          <w:szCs w:val="21"/>
          <w:lang w:eastAsia="zh-CN"/>
        </w:rPr>
        <w:t xml:space="preserve"> </w:t>
      </w:r>
      <w:bookmarkStart w:id="459" w:name="_Toc24388"/>
      <w:r>
        <w:rPr>
          <w:rFonts w:hint="eastAsia" w:asciiTheme="minorEastAsia" w:hAnsiTheme="minorEastAsia" w:eastAsiaTheme="minorEastAsia" w:cstheme="minorEastAsia"/>
          <w:b/>
          <w:bCs/>
          <w:sz w:val="31"/>
          <w:szCs w:val="31"/>
          <w:lang w:eastAsia="zh-CN"/>
        </w:rPr>
        <w:t>3.2</w:t>
      </w:r>
      <w:r>
        <w:rPr>
          <w:rFonts w:hint="eastAsia" w:asciiTheme="minorEastAsia" w:hAnsiTheme="minorEastAsia" w:eastAsiaTheme="minorEastAsia" w:cstheme="minorEastAsia"/>
          <w:spacing w:val="26"/>
          <w:sz w:val="31"/>
          <w:szCs w:val="31"/>
          <w:lang w:eastAsia="zh-CN"/>
        </w:rPr>
        <w:t xml:space="preserve"> </w:t>
      </w:r>
      <w:r>
        <w:rPr>
          <w:rFonts w:hint="eastAsia" w:asciiTheme="minorEastAsia" w:hAnsiTheme="minorEastAsia" w:eastAsiaTheme="minorEastAsia" w:cstheme="minorEastAsia"/>
          <w:b/>
          <w:bCs/>
          <w:sz w:val="31"/>
          <w:szCs w:val="31"/>
          <w:lang w:eastAsia="zh-CN"/>
        </w:rPr>
        <w:t>详细评审</w:t>
      </w:r>
      <w:bookmarkEnd w:id="459"/>
    </w:p>
    <w:p w14:paraId="30BBF41E">
      <w:pPr>
        <w:pStyle w:val="6"/>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3.2.1 评标委员会按本章第</w:t>
      </w:r>
      <w:r>
        <w:rPr>
          <w:rFonts w:hint="eastAsia" w:asciiTheme="minorEastAsia" w:hAnsiTheme="minorEastAsia" w:eastAsiaTheme="minorEastAsia" w:cstheme="minorEastAsia"/>
          <w:spacing w:val="-41"/>
          <w:sz w:val="21"/>
          <w:szCs w:val="21"/>
          <w:lang w:eastAsia="zh-CN"/>
        </w:rPr>
        <w:t xml:space="preserve"> </w:t>
      </w:r>
      <w:r>
        <w:rPr>
          <w:rFonts w:hint="eastAsia" w:asciiTheme="minorEastAsia" w:hAnsiTheme="minorEastAsia" w:eastAsiaTheme="minorEastAsia" w:cstheme="minorEastAsia"/>
          <w:sz w:val="21"/>
          <w:szCs w:val="21"/>
          <w:lang w:eastAsia="zh-CN"/>
        </w:rPr>
        <w:t>2.2 款规定的量化因素</w:t>
      </w:r>
      <w:r>
        <w:rPr>
          <w:rFonts w:hint="eastAsia" w:asciiTheme="minorEastAsia" w:hAnsiTheme="minorEastAsia" w:eastAsiaTheme="minorEastAsia" w:cstheme="minorEastAsia"/>
          <w:spacing w:val="-1"/>
          <w:sz w:val="21"/>
          <w:szCs w:val="21"/>
          <w:lang w:eastAsia="zh-CN"/>
        </w:rPr>
        <w:t>和分值进行打分，并计算出综合评估得分。</w:t>
      </w:r>
    </w:p>
    <w:p w14:paraId="72E596D4">
      <w:pPr>
        <w:pStyle w:val="6"/>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3.2.2 评分分值计算保留小数点后两位，小数点后第三位</w:t>
      </w:r>
      <w:r>
        <w:rPr>
          <w:rFonts w:hint="eastAsia" w:asciiTheme="minorEastAsia" w:hAnsiTheme="minorEastAsia" w:eastAsiaTheme="minorEastAsia" w:cstheme="minorEastAsia"/>
          <w:spacing w:val="-1"/>
          <w:sz w:val="21"/>
          <w:szCs w:val="21"/>
          <w:lang w:eastAsia="zh-CN"/>
        </w:rPr>
        <w:t>“四舍五入”。</w:t>
      </w:r>
    </w:p>
    <w:p w14:paraId="6A082846">
      <w:pPr>
        <w:pStyle w:val="6"/>
        <w:spacing w:line="360" w:lineRule="auto"/>
        <w:ind w:firstLine="416"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3.2.3 最终得分为各个评委计分的算术平均值。</w:t>
      </w:r>
    </w:p>
    <w:p w14:paraId="10959DEF">
      <w:pPr>
        <w:pStyle w:val="6"/>
        <w:spacing w:line="360" w:lineRule="auto"/>
        <w:ind w:firstLine="642" w:firstLineChars="200"/>
        <w:outlineLvl w:val="2"/>
        <w:rPr>
          <w:rFonts w:asciiTheme="minorEastAsia" w:hAnsiTheme="minorEastAsia" w:eastAsiaTheme="minorEastAsia" w:cstheme="minorEastAsia"/>
          <w:sz w:val="31"/>
          <w:szCs w:val="31"/>
          <w:lang w:eastAsia="zh-CN"/>
        </w:rPr>
      </w:pPr>
      <w:bookmarkStart w:id="460" w:name="_Toc32267"/>
      <w:r>
        <w:rPr>
          <w:rFonts w:hint="eastAsia" w:asciiTheme="minorEastAsia" w:hAnsiTheme="minorEastAsia" w:eastAsiaTheme="minorEastAsia" w:cstheme="minorEastAsia"/>
          <w:b/>
          <w:bCs/>
          <w:spacing w:val="5"/>
          <w:sz w:val="31"/>
          <w:szCs w:val="31"/>
          <w:lang w:eastAsia="zh-CN"/>
        </w:rPr>
        <w:t>3.3</w:t>
      </w:r>
      <w:r>
        <w:rPr>
          <w:rFonts w:hint="eastAsia" w:asciiTheme="minorEastAsia" w:hAnsiTheme="minorEastAsia" w:eastAsiaTheme="minorEastAsia" w:cstheme="minorEastAsia"/>
          <w:spacing w:val="5"/>
          <w:sz w:val="31"/>
          <w:szCs w:val="31"/>
          <w:lang w:eastAsia="zh-CN"/>
        </w:rPr>
        <w:t xml:space="preserve"> </w:t>
      </w:r>
      <w:r>
        <w:rPr>
          <w:rFonts w:hint="eastAsia" w:asciiTheme="minorEastAsia" w:hAnsiTheme="minorEastAsia" w:eastAsiaTheme="minorEastAsia" w:cstheme="minorEastAsia"/>
          <w:b/>
          <w:bCs/>
          <w:spacing w:val="5"/>
          <w:sz w:val="31"/>
          <w:szCs w:val="31"/>
          <w:lang w:eastAsia="zh-CN"/>
        </w:rPr>
        <w:t>投标文件的澄清和补正</w:t>
      </w:r>
      <w:bookmarkEnd w:id="460"/>
    </w:p>
    <w:p w14:paraId="7DCBCEBF">
      <w:pPr>
        <w:spacing w:line="360" w:lineRule="auto"/>
        <w:ind w:firstLine="420" w:firstLineChars="200"/>
        <w:rPr>
          <w:rFonts w:asciiTheme="minorEastAsia" w:hAnsiTheme="minorEastAsia" w:eastAsiaTheme="minorEastAsia" w:cstheme="minorEastAsia"/>
          <w:lang w:eastAsia="zh-CN"/>
        </w:rPr>
      </w:pPr>
    </w:p>
    <w:p w14:paraId="7B290ADF">
      <w:pPr>
        <w:pStyle w:val="6"/>
        <w:spacing w:line="360" w:lineRule="auto"/>
        <w:ind w:firstLine="416"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3.3.1 在评标过程中，评标委员会可以书面形式要求投</w:t>
      </w:r>
      <w:r>
        <w:rPr>
          <w:rFonts w:hint="eastAsia" w:asciiTheme="minorEastAsia" w:hAnsiTheme="minorEastAsia" w:eastAsiaTheme="minorEastAsia" w:cstheme="minorEastAsia"/>
          <w:spacing w:val="-2"/>
          <w:sz w:val="21"/>
          <w:szCs w:val="21"/>
          <w:lang w:eastAsia="zh-CN"/>
        </w:rPr>
        <w:t>标人对所提交投标文件中不明确的内容进</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1"/>
          <w:sz w:val="21"/>
          <w:szCs w:val="21"/>
          <w:lang w:eastAsia="zh-CN"/>
        </w:rPr>
        <w:t>行书面澄清或说明，或者对细微偏差进行补正。评标委员会</w:t>
      </w:r>
      <w:r>
        <w:rPr>
          <w:rFonts w:hint="eastAsia" w:asciiTheme="minorEastAsia" w:hAnsiTheme="minorEastAsia" w:eastAsiaTheme="minorEastAsia" w:cstheme="minorEastAsia"/>
          <w:spacing w:val="-2"/>
          <w:sz w:val="21"/>
          <w:szCs w:val="21"/>
          <w:lang w:eastAsia="zh-CN"/>
        </w:rPr>
        <w:t>不接受投标人主动提出的澄清、说明或补</w:t>
      </w:r>
      <w:r>
        <w:rPr>
          <w:rFonts w:hint="eastAsia" w:asciiTheme="minorEastAsia" w:hAnsiTheme="minorEastAsia" w:eastAsiaTheme="minorEastAsia" w:cstheme="minorEastAsia"/>
          <w:spacing w:val="-10"/>
          <w:sz w:val="21"/>
          <w:szCs w:val="21"/>
          <w:lang w:eastAsia="zh-CN"/>
        </w:rPr>
        <w:t>正。</w:t>
      </w:r>
    </w:p>
    <w:p w14:paraId="3922D735">
      <w:pPr>
        <w:pStyle w:val="6"/>
        <w:spacing w:line="360" w:lineRule="auto"/>
        <w:ind w:firstLine="416"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3.3.2 澄清、说明和补正不得改变投标文件的实质性内</w:t>
      </w:r>
      <w:r>
        <w:rPr>
          <w:rFonts w:hint="eastAsia" w:asciiTheme="minorEastAsia" w:hAnsiTheme="minorEastAsia" w:eastAsiaTheme="minorEastAsia" w:cstheme="minorEastAsia"/>
          <w:spacing w:val="-2"/>
          <w:sz w:val="21"/>
          <w:szCs w:val="21"/>
          <w:lang w:eastAsia="zh-CN"/>
        </w:rPr>
        <w:t>容（算术性错误修正的除外）。投标人的</w:t>
      </w:r>
      <w:r>
        <w:rPr>
          <w:rFonts w:hint="eastAsia" w:asciiTheme="minorEastAsia" w:hAnsiTheme="minorEastAsia" w:eastAsiaTheme="minorEastAsia" w:cstheme="minorEastAsia"/>
          <w:spacing w:val="-1"/>
          <w:sz w:val="21"/>
          <w:szCs w:val="21"/>
          <w:lang w:eastAsia="zh-CN"/>
        </w:rPr>
        <w:t>书面澄清、说明和补正属于投标文件的组成部</w:t>
      </w:r>
      <w:r>
        <w:rPr>
          <w:rFonts w:hint="eastAsia" w:asciiTheme="minorEastAsia" w:hAnsiTheme="minorEastAsia" w:eastAsiaTheme="minorEastAsia" w:cstheme="minorEastAsia"/>
          <w:spacing w:val="-2"/>
          <w:sz w:val="21"/>
          <w:szCs w:val="21"/>
          <w:lang w:eastAsia="zh-CN"/>
        </w:rPr>
        <w:t>分。</w:t>
      </w:r>
    </w:p>
    <w:p w14:paraId="7AFF1326">
      <w:pPr>
        <w:pStyle w:val="6"/>
        <w:spacing w:line="360" w:lineRule="auto"/>
        <w:ind w:firstLine="416"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3.3.3 评标委员会对投标人提交的澄清、说明或补正有</w:t>
      </w:r>
      <w:r>
        <w:rPr>
          <w:rFonts w:hint="eastAsia" w:asciiTheme="minorEastAsia" w:hAnsiTheme="minorEastAsia" w:eastAsiaTheme="minorEastAsia" w:cstheme="minorEastAsia"/>
          <w:spacing w:val="-2"/>
          <w:sz w:val="21"/>
          <w:szCs w:val="21"/>
          <w:lang w:eastAsia="zh-CN"/>
        </w:rPr>
        <w:t>疑问的，可以要求投标人进一步澄清、说</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3"/>
          <w:sz w:val="21"/>
          <w:szCs w:val="21"/>
          <w:lang w:eastAsia="zh-CN"/>
        </w:rPr>
        <w:t>明或补正，直至满足评标委员会的要求。</w:t>
      </w:r>
    </w:p>
    <w:p w14:paraId="6EE26EBB">
      <w:pPr>
        <w:pStyle w:val="6"/>
        <w:spacing w:line="360" w:lineRule="auto"/>
        <w:ind w:firstLine="634" w:firstLineChars="200"/>
        <w:outlineLvl w:val="2"/>
        <w:rPr>
          <w:rFonts w:asciiTheme="minorEastAsia" w:hAnsiTheme="minorEastAsia" w:eastAsiaTheme="minorEastAsia" w:cstheme="minorEastAsia"/>
          <w:sz w:val="31"/>
          <w:szCs w:val="31"/>
          <w:lang w:eastAsia="zh-CN"/>
        </w:rPr>
      </w:pPr>
      <w:bookmarkStart w:id="461" w:name="_Toc17215"/>
      <w:r>
        <w:rPr>
          <w:rFonts w:hint="eastAsia" w:asciiTheme="minorEastAsia" w:hAnsiTheme="minorEastAsia" w:eastAsiaTheme="minorEastAsia" w:cstheme="minorEastAsia"/>
          <w:b/>
          <w:bCs/>
          <w:spacing w:val="3"/>
          <w:sz w:val="31"/>
          <w:szCs w:val="31"/>
          <w:lang w:eastAsia="zh-CN"/>
        </w:rPr>
        <w:t>3.4</w:t>
      </w:r>
      <w:r>
        <w:rPr>
          <w:rFonts w:hint="eastAsia" w:asciiTheme="minorEastAsia" w:hAnsiTheme="minorEastAsia" w:eastAsiaTheme="minorEastAsia" w:cstheme="minorEastAsia"/>
          <w:spacing w:val="3"/>
          <w:sz w:val="31"/>
          <w:szCs w:val="31"/>
          <w:lang w:eastAsia="zh-CN"/>
        </w:rPr>
        <w:t xml:space="preserve"> </w:t>
      </w:r>
      <w:r>
        <w:rPr>
          <w:rFonts w:hint="eastAsia" w:asciiTheme="minorEastAsia" w:hAnsiTheme="minorEastAsia" w:eastAsiaTheme="minorEastAsia" w:cstheme="minorEastAsia"/>
          <w:b/>
          <w:bCs/>
          <w:spacing w:val="3"/>
          <w:sz w:val="31"/>
          <w:szCs w:val="31"/>
          <w:lang w:eastAsia="zh-CN"/>
        </w:rPr>
        <w:t>评标结果</w:t>
      </w:r>
      <w:bookmarkEnd w:id="461"/>
    </w:p>
    <w:p w14:paraId="1031DFF2">
      <w:pPr>
        <w:pStyle w:val="6"/>
        <w:spacing w:line="360" w:lineRule="auto"/>
        <w:ind w:firstLine="416"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3.4.1 评标委员会按照得分由高到低的顺序每个标段</w:t>
      </w:r>
      <w:r>
        <w:rPr>
          <w:rFonts w:hint="eastAsia" w:asciiTheme="minorEastAsia" w:hAnsiTheme="minorEastAsia" w:eastAsiaTheme="minorEastAsia" w:cstheme="minorEastAsia"/>
          <w:spacing w:val="-2"/>
          <w:sz w:val="21"/>
          <w:szCs w:val="21"/>
          <w:lang w:eastAsia="zh-CN"/>
        </w:rPr>
        <w:t>推荐</w:t>
      </w:r>
      <w:r>
        <w:rPr>
          <w:rFonts w:hint="eastAsia" w:asciiTheme="minorEastAsia" w:hAnsiTheme="minorEastAsia" w:eastAsiaTheme="minorEastAsia" w:cstheme="minorEastAsia"/>
          <w:spacing w:val="-40"/>
          <w:sz w:val="21"/>
          <w:szCs w:val="21"/>
          <w:lang w:eastAsia="zh-CN"/>
        </w:rPr>
        <w:t xml:space="preserve"> </w:t>
      </w:r>
      <w:r>
        <w:rPr>
          <w:rFonts w:hint="eastAsia" w:asciiTheme="minorEastAsia" w:hAnsiTheme="minorEastAsia" w:eastAsiaTheme="minorEastAsia" w:cstheme="minorEastAsia"/>
          <w:spacing w:val="-2"/>
          <w:sz w:val="21"/>
          <w:szCs w:val="21"/>
          <w:lang w:eastAsia="zh-CN"/>
        </w:rPr>
        <w:t>3</w:t>
      </w:r>
      <w:r>
        <w:rPr>
          <w:rFonts w:hint="eastAsia" w:asciiTheme="minorEastAsia" w:hAnsiTheme="minorEastAsia" w:eastAsiaTheme="minorEastAsia" w:cstheme="minorEastAsia"/>
          <w:spacing w:val="-41"/>
          <w:sz w:val="21"/>
          <w:szCs w:val="21"/>
          <w:lang w:eastAsia="zh-CN"/>
        </w:rPr>
        <w:t xml:space="preserve"> </w:t>
      </w:r>
      <w:r>
        <w:rPr>
          <w:rFonts w:hint="eastAsia" w:asciiTheme="minorEastAsia" w:hAnsiTheme="minorEastAsia" w:eastAsiaTheme="minorEastAsia" w:cstheme="minorEastAsia"/>
          <w:spacing w:val="-2"/>
          <w:sz w:val="21"/>
          <w:szCs w:val="21"/>
          <w:lang w:eastAsia="zh-CN"/>
        </w:rPr>
        <w:t>名中标候选人。</w:t>
      </w:r>
    </w:p>
    <w:p w14:paraId="478FBD0B">
      <w:pPr>
        <w:pStyle w:val="6"/>
        <w:spacing w:line="360" w:lineRule="auto"/>
        <w:ind w:firstLine="41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1"/>
          <w:szCs w:val="21"/>
          <w:lang w:eastAsia="zh-CN"/>
        </w:rPr>
        <w:t>3.4.2 评标委员会完成评标后，应当向采购人提交书面评标报告。</w:t>
      </w:r>
    </w:p>
    <w:sectPr>
      <w:headerReference r:id="rId8" w:type="first"/>
      <w:footerReference r:id="rId10" w:type="first"/>
      <w:headerReference r:id="rId7" w:type="default"/>
      <w:footerReference r:id="rId9" w:type="default"/>
      <w:pgSz w:w="11907" w:h="16841"/>
      <w:pgMar w:top="1417" w:right="1417" w:bottom="1417" w:left="1417" w:header="863" w:footer="998" w:gutter="0"/>
      <w:pgBorders>
        <w:top w:val="none" w:sz="0" w:space="0"/>
        <w:left w:val="none" w:sz="0" w:space="0"/>
        <w:bottom w:val="none" w:sz="0" w:space="0"/>
        <w:right w:val="none" w:sz="0" w:space="0"/>
      </w:pgBorders>
      <w:pgNumType w:fmt="numberInDash" w:start="1"/>
      <w:cols w:space="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6E66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5279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CB21">
    <w:pPr>
      <w:pStyle w:val="12"/>
      <w:pBdr>
        <w:top w:val="single" w:color="000000" w:themeColor="text1" w:sz="18" w:space="1"/>
        <w:left w:val="none" w:color="auto" w:sz="0" w:space="4"/>
        <w:bottom w:val="none" w:color="auto" w:sz="0" w:space="1"/>
        <w:right w:val="none" w:color="auto" w:sz="0" w:space="4"/>
        <w:between w:val="none" w:color="auto" w:sz="0" w:space="0"/>
      </w:pBdr>
      <w:kinsoku w:val="0"/>
      <w:autoSpaceDE w:val="0"/>
      <w:autoSpaceDN w:val="0"/>
      <w:adjustRightInd w:val="0"/>
      <w:snapToGrid w:val="0"/>
      <w:textAlignment w:val="baseline"/>
      <w:rPr>
        <w:rFonts w:hint="default"/>
        <w:b/>
        <w:bCs/>
        <w:lang w:val="en-US"/>
      </w:rPr>
    </w:pPr>
    <w:r>
      <w:rPr>
        <w:b/>
        <w:bCs/>
        <w:sz w:val="18"/>
      </w:rPr>
      <w:pict>
        <v:shape id="_x0000_s2067" o:spid="_x0000_s2067" o:spt="202" type="#_x0000_t202" style="position:absolute;left:0pt;margin-left:218.8pt;margin-top:0pt;height:144pt;width:144p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3643FD08">
                <w:pPr>
                  <w:pStyle w:val="12"/>
                </w:pPr>
                <w:r>
                  <w:fldChar w:fldCharType="begin"/>
                </w:r>
                <w:r>
                  <w:instrText xml:space="preserve"> PAGE  \* MERGEFORMAT </w:instrText>
                </w:r>
                <w:r>
                  <w:fldChar w:fldCharType="separate"/>
                </w:r>
                <w:r>
                  <w:t>- 1 -</w:t>
                </w:r>
                <w:r>
                  <w:fldChar w:fldCharType="end"/>
                </w:r>
              </w:p>
            </w:txbxContent>
          </v:textbox>
        </v:shape>
      </w:pict>
    </w:r>
    <w:r>
      <w:rPr>
        <w:rFonts w:hint="eastAsia" w:eastAsia="宋体"/>
        <w:b/>
        <w:bCs/>
        <w:lang w:val="en-US" w:eastAsia="zh-CN"/>
      </w:rPr>
      <w:t>河南润豫工程管理有限公司</w:t>
    </w:r>
  </w:p>
  <w:p w14:paraId="5FBDA0FD">
    <w:pPr>
      <w:pStyle w:val="12"/>
      <w:rPr>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946E">
    <w:pPr>
      <w:pStyle w:val="12"/>
      <w:pBdr>
        <w:top w:val="single" w:color="000000" w:themeColor="text1" w:sz="18" w:space="1"/>
        <w:left w:val="none" w:color="auto" w:sz="0" w:space="4"/>
        <w:bottom w:val="none" w:color="auto" w:sz="0" w:space="1"/>
        <w:right w:val="none" w:color="auto" w:sz="0" w:space="4"/>
        <w:between w:val="none" w:color="auto" w:sz="0" w:space="0"/>
      </w:pBdr>
      <w:kinsoku w:val="0"/>
      <w:autoSpaceDE w:val="0"/>
      <w:autoSpaceDN w:val="0"/>
      <w:adjustRightInd w:val="0"/>
      <w:snapToGrid w:val="0"/>
      <w:textAlignment w:val="baseline"/>
      <w:rPr>
        <w:rFonts w:hint="default"/>
        <w:b/>
        <w:bCs/>
        <w:lang w:val="en-US"/>
      </w:rPr>
    </w:pPr>
    <w:r>
      <w:rPr>
        <w:b/>
        <w:bCs/>
        <w:sz w:val="18"/>
      </w:rPr>
      <w:pict>
        <v:shape id="_x0000_s2061" o:spid="_x0000_s206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4CF0C5F">
                <w:pPr>
                  <w:pStyle w:val="12"/>
                </w:pPr>
                <w:r>
                  <w:fldChar w:fldCharType="begin"/>
                </w:r>
                <w:r>
                  <w:instrText xml:space="preserve"> PAGE  \* MERGEFORMAT </w:instrText>
                </w:r>
                <w:r>
                  <w:fldChar w:fldCharType="separate"/>
                </w:r>
                <w:r>
                  <w:t>- 1 -</w:t>
                </w:r>
                <w:r>
                  <w:fldChar w:fldCharType="end"/>
                </w:r>
              </w:p>
            </w:txbxContent>
          </v:textbox>
        </v:shape>
      </w:pict>
    </w:r>
    <w:r>
      <w:rPr>
        <w:rFonts w:hint="eastAsia" w:eastAsia="宋体"/>
        <w:b/>
        <w:bCs/>
        <w:lang w:val="en-US" w:eastAsia="zh-CN"/>
      </w:rPr>
      <w:t>河南润豫工程管理有限公司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FF9D">
    <w:pPr>
      <w:pStyle w:val="6"/>
      <w:spacing w:before="16" w:line="219" w:lineRule="auto"/>
      <w:ind w:left="36"/>
      <w:rPr>
        <w:b/>
        <w:bCs/>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485C1">
    <w:pPr>
      <w:pStyle w:val="6"/>
      <w:spacing w:before="16" w:line="219" w:lineRule="auto"/>
      <w:ind w:left="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5245D">
    <w:pPr>
      <w:pStyle w:val="6"/>
      <w:spacing w:before="16" w:line="219" w:lineRule="auto"/>
      <w:ind w:left="36"/>
    </w:pPr>
    <w:r>
      <w:rPr>
        <w:rFonts w:hint="eastAsia"/>
        <w:b/>
        <w:bCs/>
        <w:sz w:val="18"/>
        <w:szCs w:val="18"/>
        <w:lang w:eastAsia="zh-CN"/>
      </w:rPr>
      <w:t>鲁山县教育体育局鲁山县农村义务教育学校营养改善计划食材采购项目</w:t>
    </w:r>
    <w:r>
      <w:rPr>
        <w:b/>
        <w:bCs/>
        <w:sz w:val="18"/>
        <w:szCs w:val="18"/>
        <w:lang w:eastAsia="zh-CN"/>
      </w:rPr>
      <w:pict>
        <v:rect id="_x0000_s2068" o:spid="_x0000_s2068" o:spt="1" style="position:absolute;left:0pt;margin-left:69.5pt;margin-top:55.3pt;height:3.6pt;width:462.2pt;mso-position-horizontal-relative:page;mso-position-vertical-relative:page;z-index:251664384;mso-width-relative:page;mso-height-relative:page;" fillcolor="#000000" filled="t" stroked="f" coordsize="21600,21600" o:allowincell="f">
          <v:path/>
          <v:fill on="t" focussize="0,0"/>
          <v:stroke on="f"/>
          <v:imagedata o:title=""/>
          <o:lock v:ext="edit"/>
        </v:rect>
      </w:pict>
    </w:r>
    <w:r>
      <w:rPr>
        <w:b/>
        <w:bCs/>
        <w:sz w:val="18"/>
        <w:szCs w:val="18"/>
        <w:lang w:eastAsia="zh-CN"/>
      </w:rPr>
      <w:t xml:space="preserve">               </w:t>
    </w:r>
    <w:r>
      <w:rPr>
        <w:rFonts w:hint="eastAsia"/>
        <w:b/>
        <w:bCs/>
        <w:sz w:val="18"/>
        <w:szCs w:val="18"/>
        <w:lang w:val="en-US" w:eastAsia="zh-CN"/>
      </w:rPr>
      <w:t xml:space="preserve">             </w:t>
    </w:r>
    <w:r>
      <w:rPr>
        <w:b/>
        <w:bCs/>
        <w:sz w:val="18"/>
        <w:szCs w:val="18"/>
        <w:lang w:eastAsia="zh-CN"/>
      </w:rPr>
      <w:t xml:space="preserve">  招标文件</w:t>
    </w:r>
  </w:p>
  <w:p w14:paraId="4A653B5C">
    <w:pPr>
      <w:pStyle w:val="6"/>
      <w:spacing w:before="16" w:line="219" w:lineRule="auto"/>
      <w:ind w:left="36"/>
      <w:rPr>
        <w:b/>
        <w:bCs/>
        <w:sz w:val="18"/>
        <w:szCs w:val="18"/>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F99B1">
    <w:pPr>
      <w:pStyle w:val="6"/>
      <w:spacing w:before="16" w:line="219" w:lineRule="auto"/>
      <w:ind w:left="36"/>
    </w:pPr>
    <w:r>
      <w:rPr>
        <w:rFonts w:hint="eastAsia"/>
        <w:b/>
        <w:bCs/>
        <w:sz w:val="18"/>
        <w:szCs w:val="18"/>
        <w:lang w:eastAsia="zh-CN"/>
      </w:rPr>
      <w:t>鲁山县教育体育局鲁山县农村义务教育学校营养改善计划食材采购项目</w:t>
    </w:r>
    <w:r>
      <w:rPr>
        <w:b/>
        <w:bCs/>
        <w:sz w:val="18"/>
        <w:szCs w:val="18"/>
        <w:lang w:eastAsia="zh-CN"/>
      </w:rPr>
      <w:pict>
        <v:rect id="_x0000_s2066" o:spid="_x0000_s2066" o:spt="1" style="position:absolute;left:0pt;margin-left:69.5pt;margin-top:55.3pt;height:3.6pt;width:462.2pt;mso-position-horizontal-relative:page;mso-position-vertical-relative:page;z-index:251662336;mso-width-relative:page;mso-height-relative:page;" fillcolor="#000000" filled="t" stroked="f" coordsize="21600,21600" o:allowincell="f">
          <v:path/>
          <v:fill on="t" focussize="0,0"/>
          <v:stroke on="f"/>
          <v:imagedata o:title=""/>
          <o:lock v:ext="edit"/>
        </v:rect>
      </w:pict>
    </w:r>
    <w:r>
      <w:rPr>
        <w:b/>
        <w:bCs/>
        <w:sz w:val="18"/>
        <w:szCs w:val="18"/>
        <w:lang w:eastAsia="zh-CN"/>
      </w:rPr>
      <w:t xml:space="preserve">               </w:t>
    </w:r>
    <w:r>
      <w:rPr>
        <w:rFonts w:hint="eastAsia"/>
        <w:b/>
        <w:bCs/>
        <w:sz w:val="18"/>
        <w:szCs w:val="18"/>
        <w:lang w:val="en-US" w:eastAsia="zh-CN"/>
      </w:rPr>
      <w:t xml:space="preserve">             </w:t>
    </w:r>
    <w:r>
      <w:rPr>
        <w:b/>
        <w:bCs/>
        <w:sz w:val="18"/>
        <w:szCs w:val="18"/>
        <w:lang w:eastAsia="zh-CN"/>
      </w:rPr>
      <w:t xml:space="preserve">  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50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NiMTQ1ZTBkMWI3MTZhZDA3NzBhMmUwODU4NDBjZWMifQ=="/>
  </w:docVars>
  <w:rsids>
    <w:rsidRoot w:val="00172A27"/>
    <w:rsid w:val="0000040C"/>
    <w:rsid w:val="000035E4"/>
    <w:rsid w:val="00005160"/>
    <w:rsid w:val="00014B8D"/>
    <w:rsid w:val="0001672C"/>
    <w:rsid w:val="00016A26"/>
    <w:rsid w:val="000337CE"/>
    <w:rsid w:val="0004537C"/>
    <w:rsid w:val="00050958"/>
    <w:rsid w:val="00052D65"/>
    <w:rsid w:val="00053951"/>
    <w:rsid w:val="00070E7F"/>
    <w:rsid w:val="00073DD6"/>
    <w:rsid w:val="00093ECA"/>
    <w:rsid w:val="000941C2"/>
    <w:rsid w:val="0009757E"/>
    <w:rsid w:val="000C6D75"/>
    <w:rsid w:val="000E2196"/>
    <w:rsid w:val="000F407C"/>
    <w:rsid w:val="001000C4"/>
    <w:rsid w:val="0010278D"/>
    <w:rsid w:val="00103DFB"/>
    <w:rsid w:val="00110592"/>
    <w:rsid w:val="001115FE"/>
    <w:rsid w:val="0014330B"/>
    <w:rsid w:val="001536AC"/>
    <w:rsid w:val="0016577D"/>
    <w:rsid w:val="00172A27"/>
    <w:rsid w:val="00191353"/>
    <w:rsid w:val="001B0723"/>
    <w:rsid w:val="001B0E80"/>
    <w:rsid w:val="001B4E6D"/>
    <w:rsid w:val="001C5400"/>
    <w:rsid w:val="001C5565"/>
    <w:rsid w:val="001C5683"/>
    <w:rsid w:val="001D1751"/>
    <w:rsid w:val="001D5CED"/>
    <w:rsid w:val="001D6D72"/>
    <w:rsid w:val="001E0BE8"/>
    <w:rsid w:val="001E7479"/>
    <w:rsid w:val="00211305"/>
    <w:rsid w:val="002313D6"/>
    <w:rsid w:val="00237819"/>
    <w:rsid w:val="00240787"/>
    <w:rsid w:val="002444D8"/>
    <w:rsid w:val="002511C9"/>
    <w:rsid w:val="00270483"/>
    <w:rsid w:val="0029226A"/>
    <w:rsid w:val="00296481"/>
    <w:rsid w:val="002A1878"/>
    <w:rsid w:val="002B5E18"/>
    <w:rsid w:val="002C6D30"/>
    <w:rsid w:val="002E38B7"/>
    <w:rsid w:val="002F07FA"/>
    <w:rsid w:val="002F0F39"/>
    <w:rsid w:val="003103F6"/>
    <w:rsid w:val="00310ECF"/>
    <w:rsid w:val="00317350"/>
    <w:rsid w:val="00320A5D"/>
    <w:rsid w:val="00351AAA"/>
    <w:rsid w:val="00374149"/>
    <w:rsid w:val="00394D61"/>
    <w:rsid w:val="0039575A"/>
    <w:rsid w:val="003B1A0D"/>
    <w:rsid w:val="003B4A53"/>
    <w:rsid w:val="003E282C"/>
    <w:rsid w:val="003F0EA0"/>
    <w:rsid w:val="003F5530"/>
    <w:rsid w:val="00403C3F"/>
    <w:rsid w:val="0041162B"/>
    <w:rsid w:val="00416F26"/>
    <w:rsid w:val="00423D86"/>
    <w:rsid w:val="004448C7"/>
    <w:rsid w:val="00452D36"/>
    <w:rsid w:val="0045300E"/>
    <w:rsid w:val="0045352A"/>
    <w:rsid w:val="00456EBE"/>
    <w:rsid w:val="0048125C"/>
    <w:rsid w:val="00484CF7"/>
    <w:rsid w:val="004A5364"/>
    <w:rsid w:val="004B78A1"/>
    <w:rsid w:val="004E0E61"/>
    <w:rsid w:val="004E4823"/>
    <w:rsid w:val="004E63E2"/>
    <w:rsid w:val="004F7144"/>
    <w:rsid w:val="004F7CA0"/>
    <w:rsid w:val="0051049D"/>
    <w:rsid w:val="0051156C"/>
    <w:rsid w:val="00544E0F"/>
    <w:rsid w:val="00560CDD"/>
    <w:rsid w:val="0057389D"/>
    <w:rsid w:val="00587C7D"/>
    <w:rsid w:val="005979F7"/>
    <w:rsid w:val="005A38D2"/>
    <w:rsid w:val="005B751F"/>
    <w:rsid w:val="005D3D17"/>
    <w:rsid w:val="005F6465"/>
    <w:rsid w:val="00606F0F"/>
    <w:rsid w:val="0062203E"/>
    <w:rsid w:val="006241D2"/>
    <w:rsid w:val="006620A0"/>
    <w:rsid w:val="0066713C"/>
    <w:rsid w:val="006734E1"/>
    <w:rsid w:val="00675481"/>
    <w:rsid w:val="00686083"/>
    <w:rsid w:val="00695C5C"/>
    <w:rsid w:val="006A7F37"/>
    <w:rsid w:val="006B0E84"/>
    <w:rsid w:val="006B316A"/>
    <w:rsid w:val="006B6FF4"/>
    <w:rsid w:val="006D5367"/>
    <w:rsid w:val="006D737B"/>
    <w:rsid w:val="007104CC"/>
    <w:rsid w:val="00715591"/>
    <w:rsid w:val="00723F74"/>
    <w:rsid w:val="00730D4F"/>
    <w:rsid w:val="00753637"/>
    <w:rsid w:val="00753889"/>
    <w:rsid w:val="00756930"/>
    <w:rsid w:val="00764614"/>
    <w:rsid w:val="0076710A"/>
    <w:rsid w:val="00784F90"/>
    <w:rsid w:val="007869BA"/>
    <w:rsid w:val="0079683D"/>
    <w:rsid w:val="007C4912"/>
    <w:rsid w:val="007E2FBD"/>
    <w:rsid w:val="008162D7"/>
    <w:rsid w:val="00820E7A"/>
    <w:rsid w:val="0083110D"/>
    <w:rsid w:val="00837C49"/>
    <w:rsid w:val="008467C5"/>
    <w:rsid w:val="0086210C"/>
    <w:rsid w:val="00867D22"/>
    <w:rsid w:val="008B3727"/>
    <w:rsid w:val="008C04A9"/>
    <w:rsid w:val="008D17D9"/>
    <w:rsid w:val="008E5AD2"/>
    <w:rsid w:val="008F361E"/>
    <w:rsid w:val="00917138"/>
    <w:rsid w:val="00943113"/>
    <w:rsid w:val="00944A9A"/>
    <w:rsid w:val="0095134D"/>
    <w:rsid w:val="009536C7"/>
    <w:rsid w:val="00973301"/>
    <w:rsid w:val="0097722E"/>
    <w:rsid w:val="009A6205"/>
    <w:rsid w:val="009B39C1"/>
    <w:rsid w:val="009B73DB"/>
    <w:rsid w:val="009D009F"/>
    <w:rsid w:val="009D1AB1"/>
    <w:rsid w:val="009E4A75"/>
    <w:rsid w:val="009F4CF4"/>
    <w:rsid w:val="00A1182A"/>
    <w:rsid w:val="00A3736D"/>
    <w:rsid w:val="00A51503"/>
    <w:rsid w:val="00A65FA9"/>
    <w:rsid w:val="00A67CD7"/>
    <w:rsid w:val="00A75A73"/>
    <w:rsid w:val="00A82BE3"/>
    <w:rsid w:val="00A87F74"/>
    <w:rsid w:val="00AA032A"/>
    <w:rsid w:val="00AB6932"/>
    <w:rsid w:val="00AB77AC"/>
    <w:rsid w:val="00AD2B56"/>
    <w:rsid w:val="00AD56B3"/>
    <w:rsid w:val="00AD74D3"/>
    <w:rsid w:val="00AF7B21"/>
    <w:rsid w:val="00B222CE"/>
    <w:rsid w:val="00B3138C"/>
    <w:rsid w:val="00B4021D"/>
    <w:rsid w:val="00B52B41"/>
    <w:rsid w:val="00B57D17"/>
    <w:rsid w:val="00B70E2C"/>
    <w:rsid w:val="00B745C7"/>
    <w:rsid w:val="00BA5FE4"/>
    <w:rsid w:val="00BB3A5C"/>
    <w:rsid w:val="00BD04E1"/>
    <w:rsid w:val="00BE10E4"/>
    <w:rsid w:val="00BE7DE9"/>
    <w:rsid w:val="00BF12AC"/>
    <w:rsid w:val="00BF1D0F"/>
    <w:rsid w:val="00C020C8"/>
    <w:rsid w:val="00C371A0"/>
    <w:rsid w:val="00C4120C"/>
    <w:rsid w:val="00C62BAF"/>
    <w:rsid w:val="00C6467B"/>
    <w:rsid w:val="00C858A9"/>
    <w:rsid w:val="00C914B8"/>
    <w:rsid w:val="00C931C1"/>
    <w:rsid w:val="00CB5529"/>
    <w:rsid w:val="00CC2964"/>
    <w:rsid w:val="00CE1E46"/>
    <w:rsid w:val="00CE5330"/>
    <w:rsid w:val="00CF2196"/>
    <w:rsid w:val="00CF5557"/>
    <w:rsid w:val="00D03DE6"/>
    <w:rsid w:val="00D0420B"/>
    <w:rsid w:val="00D11D07"/>
    <w:rsid w:val="00D1204B"/>
    <w:rsid w:val="00D20F9A"/>
    <w:rsid w:val="00D3612F"/>
    <w:rsid w:val="00D50E26"/>
    <w:rsid w:val="00D5719F"/>
    <w:rsid w:val="00D61A23"/>
    <w:rsid w:val="00D64194"/>
    <w:rsid w:val="00D866BE"/>
    <w:rsid w:val="00D90C8A"/>
    <w:rsid w:val="00D92392"/>
    <w:rsid w:val="00DA2E4E"/>
    <w:rsid w:val="00DB5434"/>
    <w:rsid w:val="00DC5FF9"/>
    <w:rsid w:val="00DE0244"/>
    <w:rsid w:val="00DE20DE"/>
    <w:rsid w:val="00DF7BA8"/>
    <w:rsid w:val="00E06512"/>
    <w:rsid w:val="00E2068B"/>
    <w:rsid w:val="00E23D6E"/>
    <w:rsid w:val="00E246E9"/>
    <w:rsid w:val="00E334C0"/>
    <w:rsid w:val="00E45270"/>
    <w:rsid w:val="00E63031"/>
    <w:rsid w:val="00E67D34"/>
    <w:rsid w:val="00E709F2"/>
    <w:rsid w:val="00E7146C"/>
    <w:rsid w:val="00E71E50"/>
    <w:rsid w:val="00E922A3"/>
    <w:rsid w:val="00E93ED6"/>
    <w:rsid w:val="00E952A6"/>
    <w:rsid w:val="00EC45CF"/>
    <w:rsid w:val="00EC5BA9"/>
    <w:rsid w:val="00ED71EB"/>
    <w:rsid w:val="00EE12C8"/>
    <w:rsid w:val="00EF0C1B"/>
    <w:rsid w:val="00EF4AD6"/>
    <w:rsid w:val="00EF4E04"/>
    <w:rsid w:val="00F32656"/>
    <w:rsid w:val="00F3549A"/>
    <w:rsid w:val="00F50CC9"/>
    <w:rsid w:val="00F526C6"/>
    <w:rsid w:val="00F705B3"/>
    <w:rsid w:val="00F81EA0"/>
    <w:rsid w:val="00F908CB"/>
    <w:rsid w:val="00FA5C06"/>
    <w:rsid w:val="00FC15C6"/>
    <w:rsid w:val="00FC1AE8"/>
    <w:rsid w:val="00FF20A7"/>
    <w:rsid w:val="00FF3B34"/>
    <w:rsid w:val="00FF7B6A"/>
    <w:rsid w:val="01055032"/>
    <w:rsid w:val="01253372"/>
    <w:rsid w:val="012C369E"/>
    <w:rsid w:val="0132783D"/>
    <w:rsid w:val="013C0BA6"/>
    <w:rsid w:val="013D6280"/>
    <w:rsid w:val="015D7DFD"/>
    <w:rsid w:val="01A87AFF"/>
    <w:rsid w:val="01D56040"/>
    <w:rsid w:val="01DF5C17"/>
    <w:rsid w:val="01EC4075"/>
    <w:rsid w:val="02145195"/>
    <w:rsid w:val="021C6A11"/>
    <w:rsid w:val="021F4265"/>
    <w:rsid w:val="02747437"/>
    <w:rsid w:val="0281282A"/>
    <w:rsid w:val="02881E0B"/>
    <w:rsid w:val="02963DFC"/>
    <w:rsid w:val="02A63DD7"/>
    <w:rsid w:val="02B01361"/>
    <w:rsid w:val="02BC1AB4"/>
    <w:rsid w:val="02C848FD"/>
    <w:rsid w:val="02DA090F"/>
    <w:rsid w:val="02DA1F3A"/>
    <w:rsid w:val="02EB05EB"/>
    <w:rsid w:val="02EB239A"/>
    <w:rsid w:val="03561F09"/>
    <w:rsid w:val="035A307B"/>
    <w:rsid w:val="035E2DD2"/>
    <w:rsid w:val="035E700F"/>
    <w:rsid w:val="03655CA8"/>
    <w:rsid w:val="0374413D"/>
    <w:rsid w:val="038F6958"/>
    <w:rsid w:val="039842CF"/>
    <w:rsid w:val="03BA2ABC"/>
    <w:rsid w:val="040A684F"/>
    <w:rsid w:val="04163446"/>
    <w:rsid w:val="042C03E1"/>
    <w:rsid w:val="0472779E"/>
    <w:rsid w:val="048A01A6"/>
    <w:rsid w:val="04AB3B8E"/>
    <w:rsid w:val="04CD3B26"/>
    <w:rsid w:val="04DC643E"/>
    <w:rsid w:val="04EA7B74"/>
    <w:rsid w:val="04FC43EA"/>
    <w:rsid w:val="05087233"/>
    <w:rsid w:val="05132F92"/>
    <w:rsid w:val="05450A86"/>
    <w:rsid w:val="05656433"/>
    <w:rsid w:val="056713C6"/>
    <w:rsid w:val="056A1C9B"/>
    <w:rsid w:val="058060BB"/>
    <w:rsid w:val="05AA6DC9"/>
    <w:rsid w:val="05E03D0C"/>
    <w:rsid w:val="06021ED4"/>
    <w:rsid w:val="060E0362"/>
    <w:rsid w:val="061B2F96"/>
    <w:rsid w:val="06383B48"/>
    <w:rsid w:val="064053F4"/>
    <w:rsid w:val="06712BB6"/>
    <w:rsid w:val="067B371F"/>
    <w:rsid w:val="06950CBD"/>
    <w:rsid w:val="06C947A0"/>
    <w:rsid w:val="07261BF2"/>
    <w:rsid w:val="072F6440"/>
    <w:rsid w:val="076072C9"/>
    <w:rsid w:val="0781507A"/>
    <w:rsid w:val="0797489E"/>
    <w:rsid w:val="07A82607"/>
    <w:rsid w:val="07C37441"/>
    <w:rsid w:val="07E15B19"/>
    <w:rsid w:val="07F76269"/>
    <w:rsid w:val="082779D0"/>
    <w:rsid w:val="082F2D28"/>
    <w:rsid w:val="086521EE"/>
    <w:rsid w:val="08DF1698"/>
    <w:rsid w:val="08E214E7"/>
    <w:rsid w:val="09174568"/>
    <w:rsid w:val="0922463B"/>
    <w:rsid w:val="09414AC1"/>
    <w:rsid w:val="095328C6"/>
    <w:rsid w:val="0956439C"/>
    <w:rsid w:val="0972111F"/>
    <w:rsid w:val="09734E97"/>
    <w:rsid w:val="0991353D"/>
    <w:rsid w:val="09C82A7E"/>
    <w:rsid w:val="0A0554B2"/>
    <w:rsid w:val="0A240A37"/>
    <w:rsid w:val="0A4B1DFF"/>
    <w:rsid w:val="0A656ED5"/>
    <w:rsid w:val="0A8C03F2"/>
    <w:rsid w:val="0A8C3F82"/>
    <w:rsid w:val="0A8C7FBE"/>
    <w:rsid w:val="0A976D65"/>
    <w:rsid w:val="0AA25A34"/>
    <w:rsid w:val="0AB1263B"/>
    <w:rsid w:val="0AC0410C"/>
    <w:rsid w:val="0AD32091"/>
    <w:rsid w:val="0AD45054"/>
    <w:rsid w:val="0AD876A7"/>
    <w:rsid w:val="0B083F4B"/>
    <w:rsid w:val="0B275F39"/>
    <w:rsid w:val="0B8E1704"/>
    <w:rsid w:val="0B974E6D"/>
    <w:rsid w:val="0BC809D9"/>
    <w:rsid w:val="0C061FF2"/>
    <w:rsid w:val="0C463BD6"/>
    <w:rsid w:val="0C48260B"/>
    <w:rsid w:val="0C5821E5"/>
    <w:rsid w:val="0C5C212C"/>
    <w:rsid w:val="0C654F6B"/>
    <w:rsid w:val="0C721436"/>
    <w:rsid w:val="0C7A4ABE"/>
    <w:rsid w:val="0C831895"/>
    <w:rsid w:val="0C8F1FE8"/>
    <w:rsid w:val="0C9168E5"/>
    <w:rsid w:val="0C9420F8"/>
    <w:rsid w:val="0C9D2956"/>
    <w:rsid w:val="0CAD06C0"/>
    <w:rsid w:val="0D0E73B0"/>
    <w:rsid w:val="0D1D6A45"/>
    <w:rsid w:val="0D354DA4"/>
    <w:rsid w:val="0D371D66"/>
    <w:rsid w:val="0D774F56"/>
    <w:rsid w:val="0D796C86"/>
    <w:rsid w:val="0D8B27AF"/>
    <w:rsid w:val="0D906017"/>
    <w:rsid w:val="0D961154"/>
    <w:rsid w:val="0DA745E5"/>
    <w:rsid w:val="0DAE649D"/>
    <w:rsid w:val="0DB0769E"/>
    <w:rsid w:val="0DBC6E0C"/>
    <w:rsid w:val="0DD56120"/>
    <w:rsid w:val="0DE25760"/>
    <w:rsid w:val="0DED6FC6"/>
    <w:rsid w:val="0E252C04"/>
    <w:rsid w:val="0E501060"/>
    <w:rsid w:val="0E697416"/>
    <w:rsid w:val="0E6B25E0"/>
    <w:rsid w:val="0E9067FE"/>
    <w:rsid w:val="0E9B08FE"/>
    <w:rsid w:val="0EF12AE6"/>
    <w:rsid w:val="0EF35394"/>
    <w:rsid w:val="0EF45971"/>
    <w:rsid w:val="0EFC384A"/>
    <w:rsid w:val="0F16079E"/>
    <w:rsid w:val="0F276507"/>
    <w:rsid w:val="0F4277E5"/>
    <w:rsid w:val="0F4946D0"/>
    <w:rsid w:val="0F4E10F7"/>
    <w:rsid w:val="0F566DED"/>
    <w:rsid w:val="0F5B4403"/>
    <w:rsid w:val="0F76123D"/>
    <w:rsid w:val="0F917E25"/>
    <w:rsid w:val="0FBD0C1A"/>
    <w:rsid w:val="0FD50659"/>
    <w:rsid w:val="0FFB76F3"/>
    <w:rsid w:val="101271B8"/>
    <w:rsid w:val="10127F12"/>
    <w:rsid w:val="10463305"/>
    <w:rsid w:val="105E064F"/>
    <w:rsid w:val="10BB33AB"/>
    <w:rsid w:val="10E2381E"/>
    <w:rsid w:val="10E70644"/>
    <w:rsid w:val="11217B56"/>
    <w:rsid w:val="11515ABE"/>
    <w:rsid w:val="118D733C"/>
    <w:rsid w:val="11A27AE4"/>
    <w:rsid w:val="11C158D4"/>
    <w:rsid w:val="12011292"/>
    <w:rsid w:val="12154D3D"/>
    <w:rsid w:val="1234146E"/>
    <w:rsid w:val="12380A00"/>
    <w:rsid w:val="123A3CC7"/>
    <w:rsid w:val="123A47A4"/>
    <w:rsid w:val="124D5570"/>
    <w:rsid w:val="12891287"/>
    <w:rsid w:val="12981CFB"/>
    <w:rsid w:val="129D771A"/>
    <w:rsid w:val="129E5CF1"/>
    <w:rsid w:val="12CC5D44"/>
    <w:rsid w:val="12D15108"/>
    <w:rsid w:val="12E7492B"/>
    <w:rsid w:val="130970C4"/>
    <w:rsid w:val="1318084E"/>
    <w:rsid w:val="132F322B"/>
    <w:rsid w:val="134C5509"/>
    <w:rsid w:val="1356385F"/>
    <w:rsid w:val="135F0966"/>
    <w:rsid w:val="138165B6"/>
    <w:rsid w:val="13873A19"/>
    <w:rsid w:val="13B660AC"/>
    <w:rsid w:val="13C91FE9"/>
    <w:rsid w:val="13DB6DF4"/>
    <w:rsid w:val="13EC5F71"/>
    <w:rsid w:val="13F015BE"/>
    <w:rsid w:val="14151024"/>
    <w:rsid w:val="14186D67"/>
    <w:rsid w:val="14237BE5"/>
    <w:rsid w:val="143376FC"/>
    <w:rsid w:val="14533175"/>
    <w:rsid w:val="14BE790E"/>
    <w:rsid w:val="14D273DE"/>
    <w:rsid w:val="14DC1B42"/>
    <w:rsid w:val="14E1184E"/>
    <w:rsid w:val="14E804E7"/>
    <w:rsid w:val="15325C06"/>
    <w:rsid w:val="15453B8B"/>
    <w:rsid w:val="15475B55"/>
    <w:rsid w:val="15495848"/>
    <w:rsid w:val="154A2F50"/>
    <w:rsid w:val="154D2A40"/>
    <w:rsid w:val="157D1577"/>
    <w:rsid w:val="15977BEB"/>
    <w:rsid w:val="1598015F"/>
    <w:rsid w:val="159C6C86"/>
    <w:rsid w:val="15D1722A"/>
    <w:rsid w:val="15EA64E1"/>
    <w:rsid w:val="1602382A"/>
    <w:rsid w:val="1606331B"/>
    <w:rsid w:val="16296C9F"/>
    <w:rsid w:val="16445BF1"/>
    <w:rsid w:val="16490B86"/>
    <w:rsid w:val="165F6C6C"/>
    <w:rsid w:val="16674575"/>
    <w:rsid w:val="16702E8A"/>
    <w:rsid w:val="168F3D98"/>
    <w:rsid w:val="16B94831"/>
    <w:rsid w:val="16DE1BA1"/>
    <w:rsid w:val="171812BA"/>
    <w:rsid w:val="171F21BA"/>
    <w:rsid w:val="17344377"/>
    <w:rsid w:val="1763479D"/>
    <w:rsid w:val="178B0081"/>
    <w:rsid w:val="178B04F8"/>
    <w:rsid w:val="17A032FB"/>
    <w:rsid w:val="17A70B2D"/>
    <w:rsid w:val="17AC1CA0"/>
    <w:rsid w:val="17C92852"/>
    <w:rsid w:val="17D905BB"/>
    <w:rsid w:val="18027B0E"/>
    <w:rsid w:val="18220702"/>
    <w:rsid w:val="18631AFF"/>
    <w:rsid w:val="18982224"/>
    <w:rsid w:val="189C4399"/>
    <w:rsid w:val="189C7F66"/>
    <w:rsid w:val="18B232E6"/>
    <w:rsid w:val="18C02600"/>
    <w:rsid w:val="18CF433A"/>
    <w:rsid w:val="18D66E49"/>
    <w:rsid w:val="18D72194"/>
    <w:rsid w:val="191C08DC"/>
    <w:rsid w:val="191D2D96"/>
    <w:rsid w:val="192835A8"/>
    <w:rsid w:val="196842EC"/>
    <w:rsid w:val="197B5DCD"/>
    <w:rsid w:val="19C57049"/>
    <w:rsid w:val="19C72DC1"/>
    <w:rsid w:val="19D91AA4"/>
    <w:rsid w:val="19DB686C"/>
    <w:rsid w:val="19EE1986"/>
    <w:rsid w:val="19F618F8"/>
    <w:rsid w:val="1A010F96"/>
    <w:rsid w:val="1A732F49"/>
    <w:rsid w:val="1A766595"/>
    <w:rsid w:val="1A9C424D"/>
    <w:rsid w:val="1AA475A6"/>
    <w:rsid w:val="1AA56D01"/>
    <w:rsid w:val="1AA9696A"/>
    <w:rsid w:val="1ABA0B77"/>
    <w:rsid w:val="1B010554"/>
    <w:rsid w:val="1B075976"/>
    <w:rsid w:val="1B23671D"/>
    <w:rsid w:val="1B6D3662"/>
    <w:rsid w:val="1B7C6776"/>
    <w:rsid w:val="1B903686"/>
    <w:rsid w:val="1B94018A"/>
    <w:rsid w:val="1B966EEF"/>
    <w:rsid w:val="1BEA069C"/>
    <w:rsid w:val="1BFA7D68"/>
    <w:rsid w:val="1C24690F"/>
    <w:rsid w:val="1C395ACC"/>
    <w:rsid w:val="1C4A7CD9"/>
    <w:rsid w:val="1C5B133C"/>
    <w:rsid w:val="1C5D17BA"/>
    <w:rsid w:val="1C775345"/>
    <w:rsid w:val="1C8568B5"/>
    <w:rsid w:val="1CCC6940"/>
    <w:rsid w:val="1CE974F2"/>
    <w:rsid w:val="1CEB11B0"/>
    <w:rsid w:val="1CF57C45"/>
    <w:rsid w:val="1D0E0D07"/>
    <w:rsid w:val="1D246914"/>
    <w:rsid w:val="1D262649"/>
    <w:rsid w:val="1D2D73DF"/>
    <w:rsid w:val="1D386337"/>
    <w:rsid w:val="1D491F5C"/>
    <w:rsid w:val="1D5721C3"/>
    <w:rsid w:val="1DAB1CCD"/>
    <w:rsid w:val="1DD563AA"/>
    <w:rsid w:val="1DEA52D0"/>
    <w:rsid w:val="1DEE23CB"/>
    <w:rsid w:val="1DF06B89"/>
    <w:rsid w:val="1DF13847"/>
    <w:rsid w:val="1DF63C75"/>
    <w:rsid w:val="1E1A15EF"/>
    <w:rsid w:val="1E1B36DB"/>
    <w:rsid w:val="1E1D5A5B"/>
    <w:rsid w:val="1E3E73CA"/>
    <w:rsid w:val="1E497C12"/>
    <w:rsid w:val="1E65704C"/>
    <w:rsid w:val="1E7E3DC6"/>
    <w:rsid w:val="1E8E20FF"/>
    <w:rsid w:val="1E9637BD"/>
    <w:rsid w:val="1EA5569B"/>
    <w:rsid w:val="1EBA2EF4"/>
    <w:rsid w:val="1ED756A7"/>
    <w:rsid w:val="1F0A4F00"/>
    <w:rsid w:val="1F14791D"/>
    <w:rsid w:val="1F1A1BE5"/>
    <w:rsid w:val="1F550E6F"/>
    <w:rsid w:val="1F5E3223"/>
    <w:rsid w:val="1F633121"/>
    <w:rsid w:val="1F7532BF"/>
    <w:rsid w:val="1F7B6F6A"/>
    <w:rsid w:val="1F811C64"/>
    <w:rsid w:val="1FA871F0"/>
    <w:rsid w:val="1FB21E1D"/>
    <w:rsid w:val="1FB913FE"/>
    <w:rsid w:val="1FC27080"/>
    <w:rsid w:val="1FCB1131"/>
    <w:rsid w:val="1FD6B9D8"/>
    <w:rsid w:val="1FD91AA0"/>
    <w:rsid w:val="20254CE5"/>
    <w:rsid w:val="202A22FB"/>
    <w:rsid w:val="203171E6"/>
    <w:rsid w:val="20476A09"/>
    <w:rsid w:val="205630F0"/>
    <w:rsid w:val="20731721"/>
    <w:rsid w:val="208B5B97"/>
    <w:rsid w:val="20994D8B"/>
    <w:rsid w:val="20C242E2"/>
    <w:rsid w:val="20D919B5"/>
    <w:rsid w:val="20EF79E3"/>
    <w:rsid w:val="213C22E6"/>
    <w:rsid w:val="21570ECE"/>
    <w:rsid w:val="216F7324"/>
    <w:rsid w:val="2181419D"/>
    <w:rsid w:val="218D2ED7"/>
    <w:rsid w:val="219C7E11"/>
    <w:rsid w:val="21AE2AB8"/>
    <w:rsid w:val="21AF394B"/>
    <w:rsid w:val="21B06830"/>
    <w:rsid w:val="21B6306A"/>
    <w:rsid w:val="21F266A7"/>
    <w:rsid w:val="2243252F"/>
    <w:rsid w:val="22484CBB"/>
    <w:rsid w:val="22561186"/>
    <w:rsid w:val="22617B2B"/>
    <w:rsid w:val="228644BC"/>
    <w:rsid w:val="22CC58EC"/>
    <w:rsid w:val="22DC376E"/>
    <w:rsid w:val="22E5075C"/>
    <w:rsid w:val="22FF7A6F"/>
    <w:rsid w:val="23216393"/>
    <w:rsid w:val="23264FFC"/>
    <w:rsid w:val="233F7E6C"/>
    <w:rsid w:val="2366493F"/>
    <w:rsid w:val="236B5495"/>
    <w:rsid w:val="238669E9"/>
    <w:rsid w:val="239A1546"/>
    <w:rsid w:val="23A45F21"/>
    <w:rsid w:val="23C445EF"/>
    <w:rsid w:val="23F549CE"/>
    <w:rsid w:val="2446347C"/>
    <w:rsid w:val="24792598"/>
    <w:rsid w:val="2492221D"/>
    <w:rsid w:val="24DD5B8E"/>
    <w:rsid w:val="24DD793C"/>
    <w:rsid w:val="24E24F53"/>
    <w:rsid w:val="24E44142"/>
    <w:rsid w:val="24F133E8"/>
    <w:rsid w:val="24FD1D8D"/>
    <w:rsid w:val="250027A3"/>
    <w:rsid w:val="25184E18"/>
    <w:rsid w:val="254A2AF8"/>
    <w:rsid w:val="254A43CB"/>
    <w:rsid w:val="255319AC"/>
    <w:rsid w:val="258C1362"/>
    <w:rsid w:val="258C4EBE"/>
    <w:rsid w:val="25A15482"/>
    <w:rsid w:val="25C048C7"/>
    <w:rsid w:val="25C24D84"/>
    <w:rsid w:val="25D0124F"/>
    <w:rsid w:val="25E116AE"/>
    <w:rsid w:val="25E66CC5"/>
    <w:rsid w:val="25ED1E01"/>
    <w:rsid w:val="25F520CF"/>
    <w:rsid w:val="25F969F8"/>
    <w:rsid w:val="26057D67"/>
    <w:rsid w:val="26084E8D"/>
    <w:rsid w:val="261A49D8"/>
    <w:rsid w:val="26405340"/>
    <w:rsid w:val="2677280B"/>
    <w:rsid w:val="267F67D1"/>
    <w:rsid w:val="26B96187"/>
    <w:rsid w:val="26CA3EF0"/>
    <w:rsid w:val="26D7660D"/>
    <w:rsid w:val="26E10B6B"/>
    <w:rsid w:val="26E8081A"/>
    <w:rsid w:val="271C6E91"/>
    <w:rsid w:val="273E668C"/>
    <w:rsid w:val="2751016E"/>
    <w:rsid w:val="27624129"/>
    <w:rsid w:val="2787049A"/>
    <w:rsid w:val="27904839"/>
    <w:rsid w:val="27CC45A3"/>
    <w:rsid w:val="27F74710"/>
    <w:rsid w:val="27FE1675"/>
    <w:rsid w:val="282011E6"/>
    <w:rsid w:val="283E6AA2"/>
    <w:rsid w:val="2844309B"/>
    <w:rsid w:val="285048C9"/>
    <w:rsid w:val="286F2FA1"/>
    <w:rsid w:val="286F3F95"/>
    <w:rsid w:val="289447B6"/>
    <w:rsid w:val="2894790D"/>
    <w:rsid w:val="289C7B0E"/>
    <w:rsid w:val="28B6351A"/>
    <w:rsid w:val="28C13D8E"/>
    <w:rsid w:val="28E86CDC"/>
    <w:rsid w:val="291C15CF"/>
    <w:rsid w:val="292F44DF"/>
    <w:rsid w:val="29695C42"/>
    <w:rsid w:val="2987431B"/>
    <w:rsid w:val="298760C9"/>
    <w:rsid w:val="29954C89"/>
    <w:rsid w:val="299D3D9D"/>
    <w:rsid w:val="29A9603F"/>
    <w:rsid w:val="29D30788"/>
    <w:rsid w:val="29DB6414"/>
    <w:rsid w:val="29FF6315"/>
    <w:rsid w:val="2A3D0E7D"/>
    <w:rsid w:val="2A4D2ACD"/>
    <w:rsid w:val="2A7D06D5"/>
    <w:rsid w:val="2A7E6069"/>
    <w:rsid w:val="2A846AAC"/>
    <w:rsid w:val="2AA86103"/>
    <w:rsid w:val="2AB94FB3"/>
    <w:rsid w:val="2AD0584D"/>
    <w:rsid w:val="2AE412F9"/>
    <w:rsid w:val="2AF4735D"/>
    <w:rsid w:val="2AF90B75"/>
    <w:rsid w:val="2AFC4894"/>
    <w:rsid w:val="2B485D2C"/>
    <w:rsid w:val="2B4F38F7"/>
    <w:rsid w:val="2B5E554F"/>
    <w:rsid w:val="2B647096"/>
    <w:rsid w:val="2B673AE7"/>
    <w:rsid w:val="2B7E5D28"/>
    <w:rsid w:val="2B940F71"/>
    <w:rsid w:val="2BBD4024"/>
    <w:rsid w:val="2C1005F7"/>
    <w:rsid w:val="2C11611D"/>
    <w:rsid w:val="2C2C73FB"/>
    <w:rsid w:val="2C5A5D16"/>
    <w:rsid w:val="2CC97ED5"/>
    <w:rsid w:val="2CF03F85"/>
    <w:rsid w:val="2CF6236B"/>
    <w:rsid w:val="2D790198"/>
    <w:rsid w:val="2D880661"/>
    <w:rsid w:val="2D8D3346"/>
    <w:rsid w:val="2D9576BA"/>
    <w:rsid w:val="2DAA05D8"/>
    <w:rsid w:val="2DBB3E7C"/>
    <w:rsid w:val="2DD41AF8"/>
    <w:rsid w:val="2DD438A6"/>
    <w:rsid w:val="2E00469C"/>
    <w:rsid w:val="2E0E6DB8"/>
    <w:rsid w:val="2E1C748A"/>
    <w:rsid w:val="2E204329"/>
    <w:rsid w:val="2E313B0F"/>
    <w:rsid w:val="2E432391"/>
    <w:rsid w:val="2E440A2C"/>
    <w:rsid w:val="2E836087"/>
    <w:rsid w:val="2EC67693"/>
    <w:rsid w:val="2ECD5F69"/>
    <w:rsid w:val="2EE31FF3"/>
    <w:rsid w:val="2EEA7450"/>
    <w:rsid w:val="2EF51D5D"/>
    <w:rsid w:val="2F0E760F"/>
    <w:rsid w:val="2F1F0B51"/>
    <w:rsid w:val="2F236C64"/>
    <w:rsid w:val="2F773ADD"/>
    <w:rsid w:val="2F8D1F5F"/>
    <w:rsid w:val="2FA01C92"/>
    <w:rsid w:val="2FAA0D63"/>
    <w:rsid w:val="2FBC525A"/>
    <w:rsid w:val="2FCD7BD2"/>
    <w:rsid w:val="2FD64419"/>
    <w:rsid w:val="30000983"/>
    <w:rsid w:val="30030473"/>
    <w:rsid w:val="30087837"/>
    <w:rsid w:val="300E30A0"/>
    <w:rsid w:val="30252571"/>
    <w:rsid w:val="302D729E"/>
    <w:rsid w:val="303C1183"/>
    <w:rsid w:val="30416AFF"/>
    <w:rsid w:val="30470360"/>
    <w:rsid w:val="30550CCF"/>
    <w:rsid w:val="3058256D"/>
    <w:rsid w:val="30647164"/>
    <w:rsid w:val="309C68FD"/>
    <w:rsid w:val="30A15A78"/>
    <w:rsid w:val="30D62D39"/>
    <w:rsid w:val="30D87443"/>
    <w:rsid w:val="30FE2DDD"/>
    <w:rsid w:val="3109525D"/>
    <w:rsid w:val="3162252D"/>
    <w:rsid w:val="316B2774"/>
    <w:rsid w:val="316B4522"/>
    <w:rsid w:val="31717031"/>
    <w:rsid w:val="317404E9"/>
    <w:rsid w:val="317C04DD"/>
    <w:rsid w:val="317E3945"/>
    <w:rsid w:val="31AA329C"/>
    <w:rsid w:val="31CF5D0D"/>
    <w:rsid w:val="31D433D1"/>
    <w:rsid w:val="320504D2"/>
    <w:rsid w:val="32186458"/>
    <w:rsid w:val="324048F2"/>
    <w:rsid w:val="324E3C27"/>
    <w:rsid w:val="3258433F"/>
    <w:rsid w:val="327F3A40"/>
    <w:rsid w:val="32A7158A"/>
    <w:rsid w:val="32A95302"/>
    <w:rsid w:val="32AE10DC"/>
    <w:rsid w:val="32BD2B5B"/>
    <w:rsid w:val="32D103B5"/>
    <w:rsid w:val="32D51FB3"/>
    <w:rsid w:val="32F81DE5"/>
    <w:rsid w:val="32FE6971"/>
    <w:rsid w:val="330257C9"/>
    <w:rsid w:val="334B1F47"/>
    <w:rsid w:val="33500DAC"/>
    <w:rsid w:val="335214F5"/>
    <w:rsid w:val="33707BCD"/>
    <w:rsid w:val="33811DDB"/>
    <w:rsid w:val="338910C0"/>
    <w:rsid w:val="338A1BB6"/>
    <w:rsid w:val="33923FE8"/>
    <w:rsid w:val="33A8380B"/>
    <w:rsid w:val="33BA52ED"/>
    <w:rsid w:val="33CD3272"/>
    <w:rsid w:val="33E83269"/>
    <w:rsid w:val="33FD75CB"/>
    <w:rsid w:val="34190265"/>
    <w:rsid w:val="3428494C"/>
    <w:rsid w:val="34480B4A"/>
    <w:rsid w:val="3456587C"/>
    <w:rsid w:val="345B2B40"/>
    <w:rsid w:val="346911EC"/>
    <w:rsid w:val="347F4209"/>
    <w:rsid w:val="3482405C"/>
    <w:rsid w:val="349618B6"/>
    <w:rsid w:val="34D523DE"/>
    <w:rsid w:val="34F55457"/>
    <w:rsid w:val="34FB5BBD"/>
    <w:rsid w:val="350418BE"/>
    <w:rsid w:val="350D41BE"/>
    <w:rsid w:val="35137050"/>
    <w:rsid w:val="3518051D"/>
    <w:rsid w:val="351C625F"/>
    <w:rsid w:val="352D1D99"/>
    <w:rsid w:val="355F439E"/>
    <w:rsid w:val="35645176"/>
    <w:rsid w:val="357A6B39"/>
    <w:rsid w:val="357D65D2"/>
    <w:rsid w:val="35AD6EB7"/>
    <w:rsid w:val="35B00755"/>
    <w:rsid w:val="35BA10E4"/>
    <w:rsid w:val="35DD2AFA"/>
    <w:rsid w:val="35DD75FE"/>
    <w:rsid w:val="35F5085E"/>
    <w:rsid w:val="35F745D6"/>
    <w:rsid w:val="36070CBD"/>
    <w:rsid w:val="363B44C3"/>
    <w:rsid w:val="363E0457"/>
    <w:rsid w:val="36657792"/>
    <w:rsid w:val="366C2586"/>
    <w:rsid w:val="36AF122B"/>
    <w:rsid w:val="36B85B13"/>
    <w:rsid w:val="36C73FA8"/>
    <w:rsid w:val="36CA5847"/>
    <w:rsid w:val="36F405E0"/>
    <w:rsid w:val="37030562"/>
    <w:rsid w:val="371B60A2"/>
    <w:rsid w:val="372E2279"/>
    <w:rsid w:val="374970B3"/>
    <w:rsid w:val="37971BCD"/>
    <w:rsid w:val="379876F3"/>
    <w:rsid w:val="37A8268A"/>
    <w:rsid w:val="37B409D1"/>
    <w:rsid w:val="37BE35FD"/>
    <w:rsid w:val="37D270A9"/>
    <w:rsid w:val="37D50947"/>
    <w:rsid w:val="37E562C3"/>
    <w:rsid w:val="37EB7469"/>
    <w:rsid w:val="38591578"/>
    <w:rsid w:val="385C0D8F"/>
    <w:rsid w:val="388C36FB"/>
    <w:rsid w:val="3894610C"/>
    <w:rsid w:val="389C7F90"/>
    <w:rsid w:val="38D539D2"/>
    <w:rsid w:val="38DE382B"/>
    <w:rsid w:val="38F265F2"/>
    <w:rsid w:val="38FE0D31"/>
    <w:rsid w:val="39044F76"/>
    <w:rsid w:val="392576AC"/>
    <w:rsid w:val="39335925"/>
    <w:rsid w:val="39382F3B"/>
    <w:rsid w:val="393D68F9"/>
    <w:rsid w:val="39447B32"/>
    <w:rsid w:val="395D4BD0"/>
    <w:rsid w:val="39627FB8"/>
    <w:rsid w:val="39754190"/>
    <w:rsid w:val="39897C3B"/>
    <w:rsid w:val="39974106"/>
    <w:rsid w:val="39EC3F23"/>
    <w:rsid w:val="39F21EAE"/>
    <w:rsid w:val="3A1A0893"/>
    <w:rsid w:val="3A6B7341"/>
    <w:rsid w:val="3A804B9A"/>
    <w:rsid w:val="3A881CA1"/>
    <w:rsid w:val="3A96260F"/>
    <w:rsid w:val="3AA27206"/>
    <w:rsid w:val="3AA73EFB"/>
    <w:rsid w:val="3ADC46EA"/>
    <w:rsid w:val="3AEC4556"/>
    <w:rsid w:val="3AF15A98"/>
    <w:rsid w:val="3AF70BD4"/>
    <w:rsid w:val="3B0635D1"/>
    <w:rsid w:val="3B0752BB"/>
    <w:rsid w:val="3B192AA3"/>
    <w:rsid w:val="3B1D063B"/>
    <w:rsid w:val="3B20637D"/>
    <w:rsid w:val="3B506C62"/>
    <w:rsid w:val="3B514788"/>
    <w:rsid w:val="3B5F0C53"/>
    <w:rsid w:val="3B9518B6"/>
    <w:rsid w:val="3BBD1E1E"/>
    <w:rsid w:val="3BC82A00"/>
    <w:rsid w:val="3C094170"/>
    <w:rsid w:val="3C097069"/>
    <w:rsid w:val="3C241E9D"/>
    <w:rsid w:val="3C3E4D0D"/>
    <w:rsid w:val="3C530DD9"/>
    <w:rsid w:val="3C634773"/>
    <w:rsid w:val="3C6D55F2"/>
    <w:rsid w:val="3C74072E"/>
    <w:rsid w:val="3C8A7F52"/>
    <w:rsid w:val="3C8C1F1C"/>
    <w:rsid w:val="3C8C2C34"/>
    <w:rsid w:val="3C916221"/>
    <w:rsid w:val="3CA52FDE"/>
    <w:rsid w:val="3CAC3CAF"/>
    <w:rsid w:val="3CB37786"/>
    <w:rsid w:val="3CCC056A"/>
    <w:rsid w:val="3CD1741C"/>
    <w:rsid w:val="3CD218F9"/>
    <w:rsid w:val="3CD70CBD"/>
    <w:rsid w:val="3D432DCD"/>
    <w:rsid w:val="3D4445A5"/>
    <w:rsid w:val="3D522A89"/>
    <w:rsid w:val="3D6C7658"/>
    <w:rsid w:val="3D793B23"/>
    <w:rsid w:val="3D806EB0"/>
    <w:rsid w:val="3DC5629B"/>
    <w:rsid w:val="3DD66984"/>
    <w:rsid w:val="3DDA28D3"/>
    <w:rsid w:val="3DDE716B"/>
    <w:rsid w:val="3DE03515"/>
    <w:rsid w:val="3E081DAF"/>
    <w:rsid w:val="3E1E34BB"/>
    <w:rsid w:val="3E210442"/>
    <w:rsid w:val="3E272EAA"/>
    <w:rsid w:val="3E341073"/>
    <w:rsid w:val="3E491747"/>
    <w:rsid w:val="3E4D56DB"/>
    <w:rsid w:val="3E636CAD"/>
    <w:rsid w:val="3E88226F"/>
    <w:rsid w:val="3EB968CD"/>
    <w:rsid w:val="3ED656D0"/>
    <w:rsid w:val="3EDA6843"/>
    <w:rsid w:val="3EEF0540"/>
    <w:rsid w:val="3EF20610"/>
    <w:rsid w:val="3F71076A"/>
    <w:rsid w:val="3F80563C"/>
    <w:rsid w:val="3F9E5AC2"/>
    <w:rsid w:val="3FA30CEF"/>
    <w:rsid w:val="3FCE0156"/>
    <w:rsid w:val="3FD6525C"/>
    <w:rsid w:val="3FE179E2"/>
    <w:rsid w:val="3FEC2CD2"/>
    <w:rsid w:val="3FEF631E"/>
    <w:rsid w:val="4004626D"/>
    <w:rsid w:val="40073D9C"/>
    <w:rsid w:val="400D3374"/>
    <w:rsid w:val="405368AD"/>
    <w:rsid w:val="40666E18"/>
    <w:rsid w:val="40CB28E7"/>
    <w:rsid w:val="40CF687B"/>
    <w:rsid w:val="40F75126"/>
    <w:rsid w:val="41061B71"/>
    <w:rsid w:val="41391F47"/>
    <w:rsid w:val="415D3E87"/>
    <w:rsid w:val="41854125"/>
    <w:rsid w:val="419378A9"/>
    <w:rsid w:val="419B675D"/>
    <w:rsid w:val="41A970CC"/>
    <w:rsid w:val="41F63994"/>
    <w:rsid w:val="41FA1643"/>
    <w:rsid w:val="421D51E8"/>
    <w:rsid w:val="421E7BDA"/>
    <w:rsid w:val="42240501"/>
    <w:rsid w:val="4230334A"/>
    <w:rsid w:val="423B3A9C"/>
    <w:rsid w:val="424F08BB"/>
    <w:rsid w:val="426B6130"/>
    <w:rsid w:val="428606C1"/>
    <w:rsid w:val="429A4C67"/>
    <w:rsid w:val="429C0B37"/>
    <w:rsid w:val="42A72EE0"/>
    <w:rsid w:val="42DF267A"/>
    <w:rsid w:val="43030A5E"/>
    <w:rsid w:val="4320600B"/>
    <w:rsid w:val="43615785"/>
    <w:rsid w:val="439A3786"/>
    <w:rsid w:val="43CA332A"/>
    <w:rsid w:val="43E91A02"/>
    <w:rsid w:val="43ED0DC6"/>
    <w:rsid w:val="43F860E9"/>
    <w:rsid w:val="43FD36FF"/>
    <w:rsid w:val="44054362"/>
    <w:rsid w:val="44134CD1"/>
    <w:rsid w:val="44550E45"/>
    <w:rsid w:val="44592D30"/>
    <w:rsid w:val="447036E5"/>
    <w:rsid w:val="447119F7"/>
    <w:rsid w:val="447B2820"/>
    <w:rsid w:val="4492209A"/>
    <w:rsid w:val="44E3512B"/>
    <w:rsid w:val="44EE129A"/>
    <w:rsid w:val="44EF4B92"/>
    <w:rsid w:val="450E7246"/>
    <w:rsid w:val="453B44DF"/>
    <w:rsid w:val="455A6FF1"/>
    <w:rsid w:val="456C6BC7"/>
    <w:rsid w:val="4588524B"/>
    <w:rsid w:val="45FB3C6E"/>
    <w:rsid w:val="461A4D0F"/>
    <w:rsid w:val="4665733A"/>
    <w:rsid w:val="468B4FF2"/>
    <w:rsid w:val="46A41C10"/>
    <w:rsid w:val="46AC4F69"/>
    <w:rsid w:val="46AE6F33"/>
    <w:rsid w:val="46B04A59"/>
    <w:rsid w:val="46BB51AC"/>
    <w:rsid w:val="46C01F5A"/>
    <w:rsid w:val="46FA2178"/>
    <w:rsid w:val="471054F8"/>
    <w:rsid w:val="47153499"/>
    <w:rsid w:val="4731621B"/>
    <w:rsid w:val="4732227C"/>
    <w:rsid w:val="473311E6"/>
    <w:rsid w:val="47665118"/>
    <w:rsid w:val="477E4B57"/>
    <w:rsid w:val="478077BD"/>
    <w:rsid w:val="479723E9"/>
    <w:rsid w:val="47B666DF"/>
    <w:rsid w:val="47BE6D02"/>
    <w:rsid w:val="47C7611D"/>
    <w:rsid w:val="47CA60B4"/>
    <w:rsid w:val="47D017F8"/>
    <w:rsid w:val="47D25CD1"/>
    <w:rsid w:val="47D439C1"/>
    <w:rsid w:val="47E04ECA"/>
    <w:rsid w:val="47E32C0C"/>
    <w:rsid w:val="47ED5839"/>
    <w:rsid w:val="481C6EE1"/>
    <w:rsid w:val="4820176A"/>
    <w:rsid w:val="48403A5C"/>
    <w:rsid w:val="48456D36"/>
    <w:rsid w:val="484D6C28"/>
    <w:rsid w:val="485B7B54"/>
    <w:rsid w:val="48644510"/>
    <w:rsid w:val="48735221"/>
    <w:rsid w:val="48AD3BDC"/>
    <w:rsid w:val="48CA7928"/>
    <w:rsid w:val="48D12A65"/>
    <w:rsid w:val="48E00EFA"/>
    <w:rsid w:val="48E54C80"/>
    <w:rsid w:val="48F21359"/>
    <w:rsid w:val="48FA020D"/>
    <w:rsid w:val="491068C2"/>
    <w:rsid w:val="49136163"/>
    <w:rsid w:val="492217BE"/>
    <w:rsid w:val="492A6EC0"/>
    <w:rsid w:val="493D6429"/>
    <w:rsid w:val="496A437B"/>
    <w:rsid w:val="498920D0"/>
    <w:rsid w:val="498975CF"/>
    <w:rsid w:val="49A95790"/>
    <w:rsid w:val="49AE2DA6"/>
    <w:rsid w:val="49B93C25"/>
    <w:rsid w:val="49C763A9"/>
    <w:rsid w:val="49D16325"/>
    <w:rsid w:val="49E54A1A"/>
    <w:rsid w:val="49E862B8"/>
    <w:rsid w:val="4A0B07AE"/>
    <w:rsid w:val="4A227A1C"/>
    <w:rsid w:val="4A260593"/>
    <w:rsid w:val="4A3E237C"/>
    <w:rsid w:val="4A5E18B0"/>
    <w:rsid w:val="4A633B90"/>
    <w:rsid w:val="4A6E0B49"/>
    <w:rsid w:val="4A810C9E"/>
    <w:rsid w:val="4A914BA1"/>
    <w:rsid w:val="4ABA40F8"/>
    <w:rsid w:val="4AD14F9E"/>
    <w:rsid w:val="4B180E1F"/>
    <w:rsid w:val="4B3814C1"/>
    <w:rsid w:val="4B502367"/>
    <w:rsid w:val="4B627422"/>
    <w:rsid w:val="4B7342A7"/>
    <w:rsid w:val="4B9422CC"/>
    <w:rsid w:val="4BBF107F"/>
    <w:rsid w:val="4BD50ABE"/>
    <w:rsid w:val="4BDA272A"/>
    <w:rsid w:val="4BDF36EB"/>
    <w:rsid w:val="4BFC24EE"/>
    <w:rsid w:val="4C4023DB"/>
    <w:rsid w:val="4C7C4B97"/>
    <w:rsid w:val="4C8C14A2"/>
    <w:rsid w:val="4C972C2F"/>
    <w:rsid w:val="4CFF6962"/>
    <w:rsid w:val="4D27359B"/>
    <w:rsid w:val="4D382228"/>
    <w:rsid w:val="4D491763"/>
    <w:rsid w:val="4D520B07"/>
    <w:rsid w:val="4D534390"/>
    <w:rsid w:val="4D7A7B6F"/>
    <w:rsid w:val="4D83114A"/>
    <w:rsid w:val="4D8E7176"/>
    <w:rsid w:val="4D9246E7"/>
    <w:rsid w:val="4DBF5001"/>
    <w:rsid w:val="4DD70B1D"/>
    <w:rsid w:val="4DDE2092"/>
    <w:rsid w:val="4E2A5C26"/>
    <w:rsid w:val="4E355844"/>
    <w:rsid w:val="4E417537"/>
    <w:rsid w:val="4E48180D"/>
    <w:rsid w:val="4E4A234A"/>
    <w:rsid w:val="4E7D7917"/>
    <w:rsid w:val="4EA67CCD"/>
    <w:rsid w:val="4EB9774A"/>
    <w:rsid w:val="4ED11A10"/>
    <w:rsid w:val="4EE00BA7"/>
    <w:rsid w:val="4EE400F6"/>
    <w:rsid w:val="4EF37BD9"/>
    <w:rsid w:val="4F22226C"/>
    <w:rsid w:val="4F4A531F"/>
    <w:rsid w:val="4F4E12B3"/>
    <w:rsid w:val="4F500B6B"/>
    <w:rsid w:val="4F5D5052"/>
    <w:rsid w:val="4F820F5D"/>
    <w:rsid w:val="4FD86DCF"/>
    <w:rsid w:val="4FE439C5"/>
    <w:rsid w:val="4FE87012"/>
    <w:rsid w:val="50151DD1"/>
    <w:rsid w:val="501A61F2"/>
    <w:rsid w:val="503C7AAB"/>
    <w:rsid w:val="505446A7"/>
    <w:rsid w:val="5060304C"/>
    <w:rsid w:val="50BB0282"/>
    <w:rsid w:val="50DD0010"/>
    <w:rsid w:val="50E53551"/>
    <w:rsid w:val="50EB4717"/>
    <w:rsid w:val="510F6820"/>
    <w:rsid w:val="511D0F3D"/>
    <w:rsid w:val="512A0C17"/>
    <w:rsid w:val="514C1822"/>
    <w:rsid w:val="51622DF4"/>
    <w:rsid w:val="516A1CA8"/>
    <w:rsid w:val="516F72BF"/>
    <w:rsid w:val="517D19C3"/>
    <w:rsid w:val="519D3E2C"/>
    <w:rsid w:val="51CA1EC8"/>
    <w:rsid w:val="51CA2298"/>
    <w:rsid w:val="51DB43E6"/>
    <w:rsid w:val="51DE34F3"/>
    <w:rsid w:val="520308E4"/>
    <w:rsid w:val="52171E30"/>
    <w:rsid w:val="522D22E4"/>
    <w:rsid w:val="522E717A"/>
    <w:rsid w:val="52350508"/>
    <w:rsid w:val="52422C24"/>
    <w:rsid w:val="524E1185"/>
    <w:rsid w:val="525C5A95"/>
    <w:rsid w:val="526130AB"/>
    <w:rsid w:val="52744039"/>
    <w:rsid w:val="52976ACD"/>
    <w:rsid w:val="52A81EB5"/>
    <w:rsid w:val="53130849"/>
    <w:rsid w:val="533048AF"/>
    <w:rsid w:val="533068D6"/>
    <w:rsid w:val="534215FF"/>
    <w:rsid w:val="537D1D1C"/>
    <w:rsid w:val="538F5B83"/>
    <w:rsid w:val="53963229"/>
    <w:rsid w:val="53CB25BE"/>
    <w:rsid w:val="53F00B8B"/>
    <w:rsid w:val="5415657A"/>
    <w:rsid w:val="541D1254"/>
    <w:rsid w:val="542603BD"/>
    <w:rsid w:val="542813F0"/>
    <w:rsid w:val="543C792C"/>
    <w:rsid w:val="544A6CFB"/>
    <w:rsid w:val="548E5CAE"/>
    <w:rsid w:val="549459BA"/>
    <w:rsid w:val="54971006"/>
    <w:rsid w:val="54A13C33"/>
    <w:rsid w:val="54C31DFB"/>
    <w:rsid w:val="551958DD"/>
    <w:rsid w:val="552825CC"/>
    <w:rsid w:val="554D5B69"/>
    <w:rsid w:val="5552317F"/>
    <w:rsid w:val="5560764A"/>
    <w:rsid w:val="556D2EE9"/>
    <w:rsid w:val="55770846"/>
    <w:rsid w:val="558B71F0"/>
    <w:rsid w:val="55B547CE"/>
    <w:rsid w:val="55CB39DB"/>
    <w:rsid w:val="55DB13C7"/>
    <w:rsid w:val="55DF58B9"/>
    <w:rsid w:val="55ED715E"/>
    <w:rsid w:val="55F01C4F"/>
    <w:rsid w:val="5613290E"/>
    <w:rsid w:val="562E14F6"/>
    <w:rsid w:val="564C41FC"/>
    <w:rsid w:val="565C42B5"/>
    <w:rsid w:val="56666EE2"/>
    <w:rsid w:val="56982E14"/>
    <w:rsid w:val="569A6B8C"/>
    <w:rsid w:val="56A1616C"/>
    <w:rsid w:val="56A26EBD"/>
    <w:rsid w:val="56A51578"/>
    <w:rsid w:val="56B91708"/>
    <w:rsid w:val="56BC6B02"/>
    <w:rsid w:val="56C43C09"/>
    <w:rsid w:val="57190D8C"/>
    <w:rsid w:val="572A0ECA"/>
    <w:rsid w:val="575B27BF"/>
    <w:rsid w:val="577D0B9E"/>
    <w:rsid w:val="579B0E0D"/>
    <w:rsid w:val="57DA616B"/>
    <w:rsid w:val="580A1AEF"/>
    <w:rsid w:val="583B7EFB"/>
    <w:rsid w:val="58B33F35"/>
    <w:rsid w:val="58C223CA"/>
    <w:rsid w:val="58DC4DB7"/>
    <w:rsid w:val="58EB7325"/>
    <w:rsid w:val="59130187"/>
    <w:rsid w:val="593B28A8"/>
    <w:rsid w:val="596C6687"/>
    <w:rsid w:val="597D18F3"/>
    <w:rsid w:val="59955907"/>
    <w:rsid w:val="59A246D5"/>
    <w:rsid w:val="59AC7302"/>
    <w:rsid w:val="59B44408"/>
    <w:rsid w:val="59C12681"/>
    <w:rsid w:val="59C24CD2"/>
    <w:rsid w:val="59D70C41"/>
    <w:rsid w:val="59E720E8"/>
    <w:rsid w:val="59F842F5"/>
    <w:rsid w:val="5A3B2434"/>
    <w:rsid w:val="5A686BE6"/>
    <w:rsid w:val="5A751DEA"/>
    <w:rsid w:val="5A7F2242"/>
    <w:rsid w:val="5AA61FA3"/>
    <w:rsid w:val="5AAB75B9"/>
    <w:rsid w:val="5AAC50E0"/>
    <w:rsid w:val="5AAE0E58"/>
    <w:rsid w:val="5AC71F19"/>
    <w:rsid w:val="5AEC372E"/>
    <w:rsid w:val="5AF2003F"/>
    <w:rsid w:val="5B422E2E"/>
    <w:rsid w:val="5B721E85"/>
    <w:rsid w:val="5B9E0ECC"/>
    <w:rsid w:val="5BA069F2"/>
    <w:rsid w:val="5BA46599"/>
    <w:rsid w:val="5BAC79A6"/>
    <w:rsid w:val="5BCD17B1"/>
    <w:rsid w:val="5BD14DFE"/>
    <w:rsid w:val="5BD82630"/>
    <w:rsid w:val="5C0F0319"/>
    <w:rsid w:val="5C351C48"/>
    <w:rsid w:val="5C417F38"/>
    <w:rsid w:val="5C45759A"/>
    <w:rsid w:val="5C531CB7"/>
    <w:rsid w:val="5C61579B"/>
    <w:rsid w:val="5C7F0CFE"/>
    <w:rsid w:val="5C8C57E9"/>
    <w:rsid w:val="5CED3EB9"/>
    <w:rsid w:val="5D17501F"/>
    <w:rsid w:val="5D2C42B6"/>
    <w:rsid w:val="5D2E6280"/>
    <w:rsid w:val="5D8D2142"/>
    <w:rsid w:val="5D9117E4"/>
    <w:rsid w:val="5D937351"/>
    <w:rsid w:val="5DAF5613"/>
    <w:rsid w:val="5DD76917"/>
    <w:rsid w:val="5DD9443E"/>
    <w:rsid w:val="5DE66B5A"/>
    <w:rsid w:val="5E005E6E"/>
    <w:rsid w:val="5E0F60B1"/>
    <w:rsid w:val="5E231B5D"/>
    <w:rsid w:val="5E3C5C66"/>
    <w:rsid w:val="5E4B0F37"/>
    <w:rsid w:val="5E4E4E2C"/>
    <w:rsid w:val="5E51291A"/>
    <w:rsid w:val="5E653F23"/>
    <w:rsid w:val="5E6F03E6"/>
    <w:rsid w:val="5E714676"/>
    <w:rsid w:val="5E826883"/>
    <w:rsid w:val="5E9D34E8"/>
    <w:rsid w:val="5EC953EE"/>
    <w:rsid w:val="5EE17C8E"/>
    <w:rsid w:val="5EFF1C82"/>
    <w:rsid w:val="5F125E59"/>
    <w:rsid w:val="5F1C2834"/>
    <w:rsid w:val="5F243723"/>
    <w:rsid w:val="5F2B2A77"/>
    <w:rsid w:val="5F5E6BD8"/>
    <w:rsid w:val="5F700DD2"/>
    <w:rsid w:val="5F712636"/>
    <w:rsid w:val="5F7B589B"/>
    <w:rsid w:val="5F906D7E"/>
    <w:rsid w:val="5F9F5ABD"/>
    <w:rsid w:val="5FA647F3"/>
    <w:rsid w:val="5FB92B44"/>
    <w:rsid w:val="5FCF78A6"/>
    <w:rsid w:val="5FDD57D0"/>
    <w:rsid w:val="600E6913"/>
    <w:rsid w:val="600E7C10"/>
    <w:rsid w:val="601D6342"/>
    <w:rsid w:val="60433DF0"/>
    <w:rsid w:val="606A5821"/>
    <w:rsid w:val="607406B8"/>
    <w:rsid w:val="607E307A"/>
    <w:rsid w:val="60E23609"/>
    <w:rsid w:val="61025A59"/>
    <w:rsid w:val="6109503A"/>
    <w:rsid w:val="610C0686"/>
    <w:rsid w:val="610E43FE"/>
    <w:rsid w:val="61145C9C"/>
    <w:rsid w:val="61151C31"/>
    <w:rsid w:val="612A5DDF"/>
    <w:rsid w:val="6131633F"/>
    <w:rsid w:val="613F0A5C"/>
    <w:rsid w:val="619959F1"/>
    <w:rsid w:val="620F48D2"/>
    <w:rsid w:val="62113437"/>
    <w:rsid w:val="629127A7"/>
    <w:rsid w:val="62966DA1"/>
    <w:rsid w:val="62970456"/>
    <w:rsid w:val="62A76B9B"/>
    <w:rsid w:val="62CD7867"/>
    <w:rsid w:val="62F678DE"/>
    <w:rsid w:val="63175E87"/>
    <w:rsid w:val="63274D56"/>
    <w:rsid w:val="6333174D"/>
    <w:rsid w:val="63506F50"/>
    <w:rsid w:val="63612F0B"/>
    <w:rsid w:val="63754C08"/>
    <w:rsid w:val="637C5F97"/>
    <w:rsid w:val="637D216D"/>
    <w:rsid w:val="637E6A4D"/>
    <w:rsid w:val="63B52B1D"/>
    <w:rsid w:val="63F43D7F"/>
    <w:rsid w:val="64342B64"/>
    <w:rsid w:val="64501908"/>
    <w:rsid w:val="64583414"/>
    <w:rsid w:val="647E5D3F"/>
    <w:rsid w:val="6488096B"/>
    <w:rsid w:val="64946C8F"/>
    <w:rsid w:val="64BF421D"/>
    <w:rsid w:val="64C03613"/>
    <w:rsid w:val="64D4595F"/>
    <w:rsid w:val="650D73AC"/>
    <w:rsid w:val="65451723"/>
    <w:rsid w:val="656F7435"/>
    <w:rsid w:val="65761AB1"/>
    <w:rsid w:val="65827493"/>
    <w:rsid w:val="658459C1"/>
    <w:rsid w:val="658B4EE7"/>
    <w:rsid w:val="65A11CE5"/>
    <w:rsid w:val="65BB267B"/>
    <w:rsid w:val="65D96141"/>
    <w:rsid w:val="662F5543"/>
    <w:rsid w:val="66504F95"/>
    <w:rsid w:val="66725C36"/>
    <w:rsid w:val="668B3D4F"/>
    <w:rsid w:val="669E4476"/>
    <w:rsid w:val="66BB0B84"/>
    <w:rsid w:val="66BE2423"/>
    <w:rsid w:val="670859D2"/>
    <w:rsid w:val="67136C12"/>
    <w:rsid w:val="6717075E"/>
    <w:rsid w:val="673F17B5"/>
    <w:rsid w:val="674345C6"/>
    <w:rsid w:val="67541624"/>
    <w:rsid w:val="67726912"/>
    <w:rsid w:val="67B04461"/>
    <w:rsid w:val="67C779FD"/>
    <w:rsid w:val="67C9107F"/>
    <w:rsid w:val="67DD7FA5"/>
    <w:rsid w:val="6809606D"/>
    <w:rsid w:val="680B1697"/>
    <w:rsid w:val="680C5410"/>
    <w:rsid w:val="681A1182"/>
    <w:rsid w:val="686F3C52"/>
    <w:rsid w:val="686F7E78"/>
    <w:rsid w:val="688651C2"/>
    <w:rsid w:val="68925915"/>
    <w:rsid w:val="68926B02"/>
    <w:rsid w:val="68F47A32"/>
    <w:rsid w:val="690031C6"/>
    <w:rsid w:val="692112C9"/>
    <w:rsid w:val="693C61FA"/>
    <w:rsid w:val="696077C1"/>
    <w:rsid w:val="696F3EA8"/>
    <w:rsid w:val="697274F4"/>
    <w:rsid w:val="69866CCF"/>
    <w:rsid w:val="69992CD3"/>
    <w:rsid w:val="69A41DA4"/>
    <w:rsid w:val="69B0699A"/>
    <w:rsid w:val="69BF098B"/>
    <w:rsid w:val="69E0792C"/>
    <w:rsid w:val="69F0323B"/>
    <w:rsid w:val="69F119A2"/>
    <w:rsid w:val="6A010FA4"/>
    <w:rsid w:val="6A1D3904"/>
    <w:rsid w:val="6A4C3825"/>
    <w:rsid w:val="6A4E7F61"/>
    <w:rsid w:val="6A7D07B7"/>
    <w:rsid w:val="6A8C2CC7"/>
    <w:rsid w:val="6A9040D6"/>
    <w:rsid w:val="6A975464"/>
    <w:rsid w:val="6AB53B26"/>
    <w:rsid w:val="6ACA583A"/>
    <w:rsid w:val="6AE01721"/>
    <w:rsid w:val="6B20545A"/>
    <w:rsid w:val="6B2667E8"/>
    <w:rsid w:val="6B2A0087"/>
    <w:rsid w:val="6B2C02A3"/>
    <w:rsid w:val="6B2C2051"/>
    <w:rsid w:val="6B2F7D93"/>
    <w:rsid w:val="6B3112FA"/>
    <w:rsid w:val="6B3A720F"/>
    <w:rsid w:val="6B3B04E6"/>
    <w:rsid w:val="6B7439F8"/>
    <w:rsid w:val="6B8230D4"/>
    <w:rsid w:val="6B930322"/>
    <w:rsid w:val="6BA02A3F"/>
    <w:rsid w:val="6C0E11BB"/>
    <w:rsid w:val="6C3C2767"/>
    <w:rsid w:val="6C3D203B"/>
    <w:rsid w:val="6C3E2441"/>
    <w:rsid w:val="6C5773B6"/>
    <w:rsid w:val="6C776A3F"/>
    <w:rsid w:val="6CD2501E"/>
    <w:rsid w:val="6CF03552"/>
    <w:rsid w:val="6CF3094C"/>
    <w:rsid w:val="6CF5724A"/>
    <w:rsid w:val="6CF63649"/>
    <w:rsid w:val="6D2231F1"/>
    <w:rsid w:val="6D582FEE"/>
    <w:rsid w:val="6D741A8D"/>
    <w:rsid w:val="6DA76501"/>
    <w:rsid w:val="6DB81974"/>
    <w:rsid w:val="6DBB590E"/>
    <w:rsid w:val="6DC412AC"/>
    <w:rsid w:val="6DDD3839"/>
    <w:rsid w:val="6E001573"/>
    <w:rsid w:val="6E027099"/>
    <w:rsid w:val="6E1833D1"/>
    <w:rsid w:val="6E5F0929"/>
    <w:rsid w:val="6E647D53"/>
    <w:rsid w:val="6E83612F"/>
    <w:rsid w:val="6EA91C0A"/>
    <w:rsid w:val="6EAB1E23"/>
    <w:rsid w:val="6ECB657E"/>
    <w:rsid w:val="6ED70525"/>
    <w:rsid w:val="6EDF6CBC"/>
    <w:rsid w:val="6EE113A4"/>
    <w:rsid w:val="6EE36ECA"/>
    <w:rsid w:val="6F0B6421"/>
    <w:rsid w:val="6F255DD2"/>
    <w:rsid w:val="6F305E09"/>
    <w:rsid w:val="6F51652A"/>
    <w:rsid w:val="6F5C30DD"/>
    <w:rsid w:val="6F654CF8"/>
    <w:rsid w:val="6F6A0833"/>
    <w:rsid w:val="6F8166E3"/>
    <w:rsid w:val="6F896567"/>
    <w:rsid w:val="6FB90E41"/>
    <w:rsid w:val="6FE612E2"/>
    <w:rsid w:val="6FEC2194"/>
    <w:rsid w:val="6FFF2778"/>
    <w:rsid w:val="70115FB7"/>
    <w:rsid w:val="701B2694"/>
    <w:rsid w:val="705B6F34"/>
    <w:rsid w:val="707C1807"/>
    <w:rsid w:val="70850C8B"/>
    <w:rsid w:val="70C0343B"/>
    <w:rsid w:val="70DB393E"/>
    <w:rsid w:val="70E76A1A"/>
    <w:rsid w:val="70EB475C"/>
    <w:rsid w:val="70F33611"/>
    <w:rsid w:val="71072C18"/>
    <w:rsid w:val="71083AF3"/>
    <w:rsid w:val="7143236C"/>
    <w:rsid w:val="71445C1A"/>
    <w:rsid w:val="71463740"/>
    <w:rsid w:val="71752972"/>
    <w:rsid w:val="719B7F30"/>
    <w:rsid w:val="719E5573"/>
    <w:rsid w:val="71D271CF"/>
    <w:rsid w:val="72181581"/>
    <w:rsid w:val="722E2B52"/>
    <w:rsid w:val="722E78BF"/>
    <w:rsid w:val="72380C91"/>
    <w:rsid w:val="72446667"/>
    <w:rsid w:val="725421F9"/>
    <w:rsid w:val="725B146D"/>
    <w:rsid w:val="72742D1A"/>
    <w:rsid w:val="7298621E"/>
    <w:rsid w:val="72C20CD7"/>
    <w:rsid w:val="72D52FCE"/>
    <w:rsid w:val="72E25FD8"/>
    <w:rsid w:val="732E6B82"/>
    <w:rsid w:val="734737A0"/>
    <w:rsid w:val="73522870"/>
    <w:rsid w:val="735B1A95"/>
    <w:rsid w:val="73752023"/>
    <w:rsid w:val="737A4711"/>
    <w:rsid w:val="739764D5"/>
    <w:rsid w:val="739F6DEE"/>
    <w:rsid w:val="73A77042"/>
    <w:rsid w:val="73AD7D7E"/>
    <w:rsid w:val="73CC268A"/>
    <w:rsid w:val="73D239B1"/>
    <w:rsid w:val="73D9089C"/>
    <w:rsid w:val="73E3171A"/>
    <w:rsid w:val="73E86D31"/>
    <w:rsid w:val="73F263DF"/>
    <w:rsid w:val="73F676A0"/>
    <w:rsid w:val="740873D3"/>
    <w:rsid w:val="740C0C71"/>
    <w:rsid w:val="740F42BD"/>
    <w:rsid w:val="742C11FC"/>
    <w:rsid w:val="742E508B"/>
    <w:rsid w:val="742F670E"/>
    <w:rsid w:val="744A3547"/>
    <w:rsid w:val="74671F38"/>
    <w:rsid w:val="74942A15"/>
    <w:rsid w:val="74AA72BF"/>
    <w:rsid w:val="74AC5FB0"/>
    <w:rsid w:val="74DA48CB"/>
    <w:rsid w:val="74DB0643"/>
    <w:rsid w:val="75061AC9"/>
    <w:rsid w:val="75092519"/>
    <w:rsid w:val="751002ED"/>
    <w:rsid w:val="75412B9C"/>
    <w:rsid w:val="75437428"/>
    <w:rsid w:val="75587EE6"/>
    <w:rsid w:val="757765BE"/>
    <w:rsid w:val="757C5983"/>
    <w:rsid w:val="757F5473"/>
    <w:rsid w:val="75954C96"/>
    <w:rsid w:val="75956A44"/>
    <w:rsid w:val="75CB06B8"/>
    <w:rsid w:val="75DC28C5"/>
    <w:rsid w:val="75FE6CDF"/>
    <w:rsid w:val="761E2EDE"/>
    <w:rsid w:val="7620726A"/>
    <w:rsid w:val="76391AC6"/>
    <w:rsid w:val="764C4EDD"/>
    <w:rsid w:val="764D731F"/>
    <w:rsid w:val="76582B84"/>
    <w:rsid w:val="76676633"/>
    <w:rsid w:val="76856AB9"/>
    <w:rsid w:val="768947FB"/>
    <w:rsid w:val="76944F4E"/>
    <w:rsid w:val="76A55AC8"/>
    <w:rsid w:val="76C07AF1"/>
    <w:rsid w:val="76C21ABB"/>
    <w:rsid w:val="76D872C4"/>
    <w:rsid w:val="76D92566"/>
    <w:rsid w:val="77145600"/>
    <w:rsid w:val="7748213F"/>
    <w:rsid w:val="775D419B"/>
    <w:rsid w:val="776500DC"/>
    <w:rsid w:val="777032C5"/>
    <w:rsid w:val="77732816"/>
    <w:rsid w:val="77762633"/>
    <w:rsid w:val="779A12DA"/>
    <w:rsid w:val="77A80CB1"/>
    <w:rsid w:val="77DF669D"/>
    <w:rsid w:val="77E51300"/>
    <w:rsid w:val="780103C1"/>
    <w:rsid w:val="782F44E1"/>
    <w:rsid w:val="7856250B"/>
    <w:rsid w:val="78827754"/>
    <w:rsid w:val="78C37D6C"/>
    <w:rsid w:val="78E513CA"/>
    <w:rsid w:val="79075EAB"/>
    <w:rsid w:val="79167E9C"/>
    <w:rsid w:val="792A3948"/>
    <w:rsid w:val="79342270"/>
    <w:rsid w:val="79532E9E"/>
    <w:rsid w:val="79B4611B"/>
    <w:rsid w:val="79BC1425"/>
    <w:rsid w:val="79DC10E6"/>
    <w:rsid w:val="79F3642F"/>
    <w:rsid w:val="7A066163"/>
    <w:rsid w:val="7A214D4A"/>
    <w:rsid w:val="7A4B1DC7"/>
    <w:rsid w:val="7A5E1AFB"/>
    <w:rsid w:val="7A682979"/>
    <w:rsid w:val="7A7C01D3"/>
    <w:rsid w:val="7A7E344B"/>
    <w:rsid w:val="7A9814B1"/>
    <w:rsid w:val="7A9F4E9E"/>
    <w:rsid w:val="7AAD4924"/>
    <w:rsid w:val="7ABA32DC"/>
    <w:rsid w:val="7AD93877"/>
    <w:rsid w:val="7AE244DA"/>
    <w:rsid w:val="7AEA15E0"/>
    <w:rsid w:val="7AF95CC7"/>
    <w:rsid w:val="7B022DCE"/>
    <w:rsid w:val="7B6B19F4"/>
    <w:rsid w:val="7B6E2211"/>
    <w:rsid w:val="7B787C37"/>
    <w:rsid w:val="7B841A35"/>
    <w:rsid w:val="7B8A287E"/>
    <w:rsid w:val="7B8C08E9"/>
    <w:rsid w:val="7B963516"/>
    <w:rsid w:val="7B9D2AF7"/>
    <w:rsid w:val="7BB35E76"/>
    <w:rsid w:val="7BB816DF"/>
    <w:rsid w:val="7BB85A2F"/>
    <w:rsid w:val="7BC97448"/>
    <w:rsid w:val="7BCE2CB0"/>
    <w:rsid w:val="7BDC361F"/>
    <w:rsid w:val="7BEE704C"/>
    <w:rsid w:val="7BFD0CC1"/>
    <w:rsid w:val="7C05739D"/>
    <w:rsid w:val="7C084414"/>
    <w:rsid w:val="7C1877D9"/>
    <w:rsid w:val="7C336FB7"/>
    <w:rsid w:val="7C353720"/>
    <w:rsid w:val="7C3C010D"/>
    <w:rsid w:val="7C607919"/>
    <w:rsid w:val="7C6B6751"/>
    <w:rsid w:val="7C9A0DE4"/>
    <w:rsid w:val="7CB3691A"/>
    <w:rsid w:val="7CB830BD"/>
    <w:rsid w:val="7CE704CD"/>
    <w:rsid w:val="7D1B0177"/>
    <w:rsid w:val="7D324F51"/>
    <w:rsid w:val="7D657644"/>
    <w:rsid w:val="7D920A88"/>
    <w:rsid w:val="7DAA351E"/>
    <w:rsid w:val="7E066731"/>
    <w:rsid w:val="7E12157A"/>
    <w:rsid w:val="7E1626EC"/>
    <w:rsid w:val="7E286F6A"/>
    <w:rsid w:val="7E413C0D"/>
    <w:rsid w:val="7E465B77"/>
    <w:rsid w:val="7E4C5CB5"/>
    <w:rsid w:val="7E4C610E"/>
    <w:rsid w:val="7E77762F"/>
    <w:rsid w:val="7E7A0ECD"/>
    <w:rsid w:val="7E977CD1"/>
    <w:rsid w:val="7EA85A3A"/>
    <w:rsid w:val="7EB20667"/>
    <w:rsid w:val="7EC42148"/>
    <w:rsid w:val="7EDD2876"/>
    <w:rsid w:val="7EE47335"/>
    <w:rsid w:val="7F0A04A3"/>
    <w:rsid w:val="7F0FD475"/>
    <w:rsid w:val="7F485CBA"/>
    <w:rsid w:val="7F6851CA"/>
    <w:rsid w:val="7F6A7194"/>
    <w:rsid w:val="7F8664A3"/>
    <w:rsid w:val="7F875650"/>
    <w:rsid w:val="7F947D6D"/>
    <w:rsid w:val="7FA74399"/>
    <w:rsid w:val="7FC428A5"/>
    <w:rsid w:val="7FDDD619"/>
    <w:rsid w:val="7FEA3E31"/>
    <w:rsid w:val="7FEC5DFB"/>
    <w:rsid w:val="7FFB521F"/>
    <w:rsid w:val="7FFD1DB6"/>
    <w:rsid w:val="99C38B65"/>
    <w:rsid w:val="FFCDE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eastAsia="黑体"/>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0"/>
    </w:rPr>
  </w:style>
  <w:style w:type="paragraph" w:styleId="5">
    <w:name w:val="Document Map"/>
    <w:basedOn w:val="1"/>
    <w:link w:val="35"/>
    <w:qFormat/>
    <w:uiPriority w:val="0"/>
    <w:rPr>
      <w:rFonts w:ascii="宋体" w:eastAsia="宋体"/>
      <w:sz w:val="18"/>
      <w:szCs w:val="18"/>
    </w:rPr>
  </w:style>
  <w:style w:type="paragraph" w:styleId="6">
    <w:name w:val="Body Text"/>
    <w:basedOn w:val="1"/>
    <w:semiHidden/>
    <w:qFormat/>
    <w:uiPriority w:val="0"/>
    <w:rPr>
      <w:rFonts w:ascii="宋体" w:hAnsi="宋体" w:eastAsia="宋体" w:cs="宋体"/>
      <w:sz w:val="30"/>
      <w:szCs w:val="30"/>
    </w:rPr>
  </w:style>
  <w:style w:type="paragraph" w:styleId="7">
    <w:name w:val="Body Text Indent"/>
    <w:basedOn w:val="6"/>
    <w:qFormat/>
    <w:uiPriority w:val="0"/>
    <w:pPr>
      <w:spacing w:line="360" w:lineRule="auto"/>
      <w:ind w:firstLine="540" w:firstLineChars="225"/>
    </w:pPr>
    <w:rPr>
      <w:rFonts w:ascii="Times New Roman" w:hAnsi="Times New Roman"/>
      <w:sz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eastAsiaTheme="minorEastAsia" w:cstheme="minorBidi"/>
      <w:szCs w:val="22"/>
    </w:rPr>
  </w:style>
  <w:style w:type="paragraph" w:styleId="10">
    <w:name w:val="Body Text Indent 2"/>
    <w:basedOn w:val="1"/>
    <w:qFormat/>
    <w:uiPriority w:val="0"/>
    <w:pPr>
      <w:spacing w:line="360" w:lineRule="auto"/>
      <w:ind w:left="360" w:firstLine="600"/>
    </w:pPr>
    <w:rPr>
      <w:b/>
      <w:sz w:val="24"/>
      <w:szCs w:val="20"/>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next w:val="1"/>
    <w:qFormat/>
    <w:uiPriority w:val="0"/>
  </w:style>
  <w:style w:type="paragraph" w:styleId="15">
    <w:name w:val="Body Text Indent 3"/>
    <w:basedOn w:val="1"/>
    <w:qFormat/>
    <w:uiPriority w:val="0"/>
    <w:pPr>
      <w:spacing w:line="500" w:lineRule="exact"/>
      <w:ind w:firstLine="360" w:firstLineChars="150"/>
    </w:pPr>
    <w:rPr>
      <w:sz w:val="24"/>
      <w:szCs w:val="20"/>
    </w:rPr>
  </w:style>
  <w:style w:type="paragraph" w:styleId="16">
    <w:name w:val="toc 2"/>
    <w:basedOn w:val="1"/>
    <w:next w:val="1"/>
    <w:qFormat/>
    <w:uiPriority w:val="0"/>
    <w:pPr>
      <w:ind w:left="420" w:leftChars="200"/>
    </w:pPr>
  </w:style>
  <w:style w:type="paragraph" w:styleId="17">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8">
    <w:name w:val="Normal (Web)"/>
    <w:basedOn w:val="1"/>
    <w:qFormat/>
    <w:uiPriority w:val="0"/>
    <w:pPr>
      <w:spacing w:beforeAutospacing="1" w:afterAutospacing="1"/>
    </w:pPr>
    <w:rPr>
      <w:rFonts w:cs="Times New Roman"/>
      <w:sz w:val="24"/>
      <w:lang w:eastAsia="zh-CN"/>
    </w:rPr>
  </w:style>
  <w:style w:type="paragraph" w:styleId="19">
    <w:name w:val="Body Text First Indent"/>
    <w:basedOn w:val="6"/>
    <w:next w:val="20"/>
    <w:unhideWhenUsed/>
    <w:qFormat/>
    <w:uiPriority w:val="99"/>
    <w:pPr>
      <w:ind w:firstLine="420" w:firstLineChars="100"/>
    </w:pPr>
    <w:rPr>
      <w:rFonts w:ascii="Times New Roman" w:hAnsi="Times New Roman"/>
    </w:rPr>
  </w:style>
  <w:style w:type="paragraph" w:styleId="20">
    <w:name w:val="Body Text First Indent 2"/>
    <w:basedOn w:val="7"/>
    <w:next w:val="4"/>
    <w:unhideWhenUsed/>
    <w:qFormat/>
    <w:uiPriority w:val="99"/>
    <w:pPr>
      <w:ind w:firstLine="420" w:firstLineChars="200"/>
    </w:pPr>
    <w:rPr>
      <w:szCs w:val="24"/>
    </w:rPr>
  </w:style>
  <w:style w:type="character" w:styleId="23">
    <w:name w:val="Strong"/>
    <w:basedOn w:val="22"/>
    <w:qFormat/>
    <w:uiPriority w:val="0"/>
    <w:rPr>
      <w:b/>
    </w:rPr>
  </w:style>
  <w:style w:type="character" w:styleId="24">
    <w:name w:val="page number"/>
    <w:qFormat/>
    <w:uiPriority w:val="0"/>
  </w:style>
  <w:style w:type="paragraph" w:customStyle="1" w:styleId="25">
    <w:name w:val="段"/>
    <w:next w:val="1"/>
    <w:qFormat/>
    <w:uiPriority w:val="0"/>
    <w:pPr>
      <w:autoSpaceDE w:val="0"/>
      <w:autoSpaceDN w:val="0"/>
      <w:ind w:firstLine="200" w:firstLineChars="200"/>
      <w:jc w:val="both"/>
    </w:pPr>
    <w:rPr>
      <w:rFonts w:ascii="宋体" w:hAnsi="Calibri" w:eastAsia="Times New Roman" w:cs="Times New Roman"/>
      <w:sz w:val="21"/>
      <w:lang w:val="en-US" w:eastAsia="zh-CN" w:bidi="ar-SA"/>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rPr>
  </w:style>
  <w:style w:type="paragraph" w:styleId="28">
    <w:name w:val="List Paragraph"/>
    <w:basedOn w:val="1"/>
    <w:qFormat/>
    <w:uiPriority w:val="34"/>
    <w:pPr>
      <w:ind w:firstLine="420" w:firstLineChars="200"/>
    </w:pPr>
  </w:style>
  <w:style w:type="paragraph" w:customStyle="1" w:styleId="29">
    <w:name w:val="Table Paragraph"/>
    <w:basedOn w:val="1"/>
    <w:qFormat/>
    <w:uiPriority w:val="1"/>
    <w:pPr>
      <w:spacing w:before="81"/>
      <w:ind w:left="108"/>
    </w:pPr>
    <w:rPr>
      <w:rFonts w:ascii="宋体" w:hAnsi="宋体" w:cs="宋体"/>
      <w:sz w:val="22"/>
      <w:lang w:val="zh-CN" w:bidi="zh-CN"/>
    </w:rPr>
  </w:style>
  <w:style w:type="paragraph" w:customStyle="1" w:styleId="30">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4"/>
      <w:lang w:val="en-US" w:eastAsia="zh-CN" w:bidi="ar-SA"/>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4">
    <w:name w:val="批注框文本 Char"/>
    <w:basedOn w:val="22"/>
    <w:link w:val="11"/>
    <w:qFormat/>
    <w:uiPriority w:val="0"/>
    <w:rPr>
      <w:rFonts w:ascii="Arial" w:hAnsi="Arial" w:eastAsia="Arial" w:cs="Arial"/>
      <w:snapToGrid w:val="0"/>
      <w:color w:val="000000"/>
      <w:sz w:val="18"/>
      <w:szCs w:val="18"/>
      <w:lang w:eastAsia="en-US"/>
    </w:rPr>
  </w:style>
  <w:style w:type="character" w:customStyle="1" w:styleId="35">
    <w:name w:val="文档结构图 Char"/>
    <w:basedOn w:val="22"/>
    <w:link w:val="5"/>
    <w:qFormat/>
    <w:uiPriority w:val="0"/>
    <w:rPr>
      <w:rFonts w:ascii="宋体" w:hAnsi="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8"/>
    <customShpInfo spid="_x0000_s2066"/>
    <customShpInfo spid="_x0000_s2067" textRotate="1"/>
    <customShpInfo spid="_x0000_s206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3930</Words>
  <Characters>4596</Characters>
  <Lines>232</Lines>
  <Paragraphs>65</Paragraphs>
  <TotalTime>8</TotalTime>
  <ScaleCrop>false</ScaleCrop>
  <LinksUpToDate>false</LinksUpToDate>
  <CharactersWithSpaces>4812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2019-07-14T08:46:00Z</dcterms:created>
  <dc:creator>yhx</dc:creator>
  <cp:lastModifiedBy>Acer</cp:lastModifiedBy>
  <cp:lastPrinted>2025-07-22T08:46:00Z</cp:lastPrinted>
  <dcterms:modified xsi:type="dcterms:W3CDTF">2025-07-23T01:05:01Z</dcterms:modified>
  <dc:title>光山县政府采购年新增农村饮水安全工程PVC—U给水管材供应项目</dc:title>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2024-07-08T14:56:04Z</vt:filetime>
  </property>
  <property fmtid="{D5CDD505-2E9C-101B-9397-08002B2CF9AE}" pid="4" name="KSOProductBuildVer">
    <vt:lpwstr>2052-12.1.0.21541</vt:lpwstr>
  </property>
  <property fmtid="{D5CDD505-2E9C-101B-9397-08002B2CF9AE}" pid="5" name="ICV">
    <vt:lpwstr>FCD8C6B006434875AE381368E001A34C_12</vt:lpwstr>
  </property>
  <property fmtid="{D5CDD505-2E9C-101B-9397-08002B2CF9AE}" pid="6" name="KSOTemplateDocerSaveRecord">
    <vt:lpwstr>eyJoZGlkIjoiZjg0NzdhYTg5MDkzZjRjNWNjM2QzNzI3MDA2MGFhMmIifQ==</vt:lpwstr>
  </property>
</Properties>
</file>