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97C7C">
      <w:pPr>
        <w:jc w:val="center"/>
        <w:rPr>
          <w:rFonts w:hint="default" w:ascii="Times New Roman" w:hAnsi="Times New Roman" w:eastAsia="宋体" w:cs="Times New Roman"/>
          <w:b/>
          <w:color w:val="auto"/>
          <w:sz w:val="72"/>
          <w:szCs w:val="72"/>
          <w:lang w:val="en-US" w:eastAsia="zh-CN"/>
        </w:rPr>
      </w:pPr>
      <w:r>
        <w:rPr>
          <w:rFonts w:hint="eastAsia" w:ascii="Times New Roman" w:hAnsi="Times New Roman" w:eastAsia="宋体" w:cs="Times New Roman"/>
          <w:b/>
          <w:color w:val="auto"/>
          <w:sz w:val="72"/>
          <w:szCs w:val="72"/>
          <w:lang w:val="en" w:eastAsia="zh-CN"/>
        </w:rPr>
        <w:t>郑州铁路职业技术学院智慧教学环境更新与提升项目（二期)项目</w:t>
      </w:r>
    </w:p>
    <w:p w14:paraId="0A9E4AC3">
      <w:pPr>
        <w:tabs>
          <w:tab w:val="left" w:pos="1950"/>
        </w:tabs>
        <w:jc w:val="left"/>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 xml:space="preserve"> </w:t>
      </w:r>
    </w:p>
    <w:p w14:paraId="77D21C5E">
      <w:pPr>
        <w:pStyle w:val="72"/>
        <w:ind w:firstLine="318"/>
        <w:rPr>
          <w:rFonts w:hint="default" w:ascii="Times New Roman" w:hAnsi="Times New Roman" w:cs="Times New Roman"/>
          <w:color w:val="auto"/>
          <w:lang w:val="en-US" w:eastAsia="zh-CN"/>
        </w:rPr>
      </w:pPr>
    </w:p>
    <w:p w14:paraId="32B59298">
      <w:pPr>
        <w:pStyle w:val="72"/>
        <w:ind w:firstLine="318"/>
        <w:rPr>
          <w:rFonts w:hint="default" w:ascii="Times New Roman" w:hAnsi="Times New Roman" w:cs="Times New Roman"/>
          <w:color w:val="auto"/>
          <w:lang w:val="en-US" w:eastAsia="zh-CN"/>
        </w:rPr>
      </w:pPr>
    </w:p>
    <w:p w14:paraId="7F667081">
      <w:pPr>
        <w:pStyle w:val="72"/>
        <w:ind w:firstLine="318"/>
        <w:rPr>
          <w:rFonts w:hint="default" w:ascii="Times New Roman" w:hAnsi="Times New Roman" w:cs="Times New Roman"/>
          <w:color w:val="auto"/>
          <w:lang w:val="en-US" w:eastAsia="zh-CN"/>
        </w:rPr>
      </w:pPr>
    </w:p>
    <w:p w14:paraId="2558A115">
      <w:pPr>
        <w:tabs>
          <w:tab w:val="left" w:pos="1950"/>
        </w:tabs>
        <w:jc w:val="left"/>
        <w:rPr>
          <w:rFonts w:hint="default" w:ascii="Times New Roman" w:hAnsi="Times New Roman" w:eastAsia="宋体" w:cs="Times New Roman"/>
          <w:b/>
          <w:bCs/>
          <w:color w:val="auto"/>
          <w:lang w:val="en-US" w:eastAsia="zh-CN"/>
        </w:rPr>
      </w:pPr>
    </w:p>
    <w:p w14:paraId="1996FD84">
      <w:pPr>
        <w:jc w:val="center"/>
        <w:rPr>
          <w:rFonts w:hint="default" w:ascii="Times New Roman" w:hAnsi="Times New Roman" w:eastAsia="宋体" w:cs="Times New Roman"/>
          <w:b/>
          <w:bCs/>
          <w:color w:val="auto"/>
          <w:sz w:val="112"/>
          <w:szCs w:val="112"/>
          <w:lang w:val="en" w:eastAsia="zh-CN"/>
        </w:rPr>
      </w:pPr>
      <w:r>
        <w:rPr>
          <w:rFonts w:hint="default" w:ascii="Times New Roman" w:hAnsi="Times New Roman" w:eastAsia="宋体" w:cs="Times New Roman"/>
          <w:b/>
          <w:color w:val="auto"/>
          <w:sz w:val="112"/>
          <w:szCs w:val="112"/>
          <w:lang w:val="en" w:eastAsia="zh-CN"/>
        </w:rPr>
        <w:t>竞争性磋商文件</w:t>
      </w:r>
    </w:p>
    <w:p w14:paraId="606E1E7F">
      <w:pPr>
        <w:jc w:val="center"/>
        <w:rPr>
          <w:rFonts w:hint="default" w:ascii="Times New Roman" w:hAnsi="Times New Roman" w:eastAsia="宋体" w:cs="Times New Roman"/>
          <w:b/>
          <w:color w:val="auto"/>
          <w:sz w:val="36"/>
          <w:szCs w:val="36"/>
          <w:lang w:eastAsia="zh-CN"/>
        </w:rPr>
      </w:pPr>
    </w:p>
    <w:p w14:paraId="32DE95DE">
      <w:pPr>
        <w:jc w:val="center"/>
        <w:rPr>
          <w:rFonts w:hint="default" w:ascii="Times New Roman" w:hAnsi="Times New Roman" w:eastAsia="宋体" w:cs="Times New Roman"/>
          <w:b/>
          <w:color w:val="auto"/>
          <w:sz w:val="36"/>
          <w:szCs w:val="36"/>
          <w:lang w:val="en-US" w:eastAsia="zh-CN"/>
        </w:rPr>
      </w:pPr>
      <w:r>
        <w:rPr>
          <w:rFonts w:hint="default" w:ascii="Times New Roman" w:hAnsi="Times New Roman" w:eastAsia="宋体" w:cs="Times New Roman"/>
          <w:b/>
          <w:color w:val="auto"/>
          <w:sz w:val="36"/>
          <w:szCs w:val="36"/>
          <w:lang w:eastAsia="zh-CN"/>
        </w:rPr>
        <w:t>采购编号：</w:t>
      </w:r>
      <w:r>
        <w:rPr>
          <w:rFonts w:hint="eastAsia" w:ascii="Times New Roman" w:hAnsi="Times New Roman" w:eastAsia="宋体" w:cs="Times New Roman"/>
          <w:b/>
          <w:color w:val="auto"/>
          <w:sz w:val="36"/>
          <w:szCs w:val="36"/>
          <w:lang w:val="en-US" w:eastAsia="zh-CN"/>
        </w:rPr>
        <w:t>豫财磋商采购-2026-889</w:t>
      </w:r>
    </w:p>
    <w:p w14:paraId="6DA31BAD">
      <w:pPr>
        <w:pStyle w:val="73"/>
        <w:rPr>
          <w:rFonts w:hint="default" w:ascii="Times New Roman" w:hAnsi="Times New Roman" w:eastAsia="宋体" w:cs="Times New Roman"/>
          <w:b/>
          <w:color w:val="auto"/>
          <w:sz w:val="36"/>
          <w:szCs w:val="36"/>
          <w:lang w:val="en-US" w:eastAsia="zh-CN"/>
        </w:rPr>
      </w:pPr>
    </w:p>
    <w:p w14:paraId="416F3E16">
      <w:pPr>
        <w:pStyle w:val="70"/>
        <w:rPr>
          <w:rFonts w:hint="default" w:ascii="Times New Roman" w:hAnsi="Times New Roman" w:cs="Times New Roman"/>
          <w:b/>
          <w:color w:val="auto"/>
          <w:sz w:val="36"/>
          <w:szCs w:val="36"/>
        </w:rPr>
      </w:pPr>
    </w:p>
    <w:p w14:paraId="0929600B">
      <w:pPr>
        <w:spacing w:line="240" w:lineRule="atLeast"/>
        <w:ind w:left="1080" w:hanging="540"/>
        <w:jc w:val="center"/>
        <w:rPr>
          <w:rFonts w:hint="default" w:ascii="Times New Roman" w:hAnsi="Times New Roman" w:eastAsia="宋体" w:cs="Times New Roman"/>
          <w:b/>
          <w:bCs/>
          <w:color w:val="auto"/>
          <w:sz w:val="28"/>
          <w:szCs w:val="28"/>
        </w:rPr>
      </w:pP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lang w:val="en-US" w:eastAsia="zh-CN"/>
        </w:rPr>
        <w:drawing>
          <wp:inline distT="0" distB="0" distL="114300" distR="114300">
            <wp:extent cx="1401445" cy="1401445"/>
            <wp:effectExtent l="0" t="0" r="8255" b="825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8"/>
                    <a:stretch>
                      <a:fillRect/>
                    </a:stretch>
                  </pic:blipFill>
                  <pic:spPr>
                    <a:xfrm>
                      <a:off x="0" y="0"/>
                      <a:ext cx="1401445" cy="1401445"/>
                    </a:xfrm>
                    <a:prstGeom prst="rect">
                      <a:avLst/>
                    </a:prstGeom>
                    <a:noFill/>
                    <a:ln>
                      <a:noFill/>
                    </a:ln>
                  </pic:spPr>
                </pic:pic>
              </a:graphicData>
            </a:graphic>
          </wp:inline>
        </w:drawing>
      </w:r>
    </w:p>
    <w:p w14:paraId="5EDA5149">
      <w:pPr>
        <w:spacing w:line="240" w:lineRule="atLeast"/>
        <w:ind w:left="1080" w:hanging="540"/>
        <w:jc w:val="center"/>
        <w:rPr>
          <w:rFonts w:hint="default" w:ascii="Times New Roman" w:hAnsi="Times New Roman" w:eastAsia="宋体" w:cs="Times New Roman"/>
          <w:b/>
          <w:bCs/>
          <w:color w:val="auto"/>
          <w:sz w:val="28"/>
          <w:szCs w:val="28"/>
          <w:lang w:val="en-US"/>
        </w:rPr>
      </w:pPr>
    </w:p>
    <w:p w14:paraId="383A60DF">
      <w:pPr>
        <w:spacing w:line="240" w:lineRule="atLeast"/>
        <w:ind w:left="1080" w:hanging="540"/>
        <w:jc w:val="center"/>
        <w:rPr>
          <w:rFonts w:hint="default" w:ascii="Times New Roman" w:hAnsi="Times New Roman" w:eastAsia="宋体" w:cs="Times New Roman"/>
          <w:b/>
          <w:bCs/>
          <w:color w:val="auto"/>
          <w:sz w:val="28"/>
          <w:szCs w:val="28"/>
          <w:lang w:val="en-US"/>
        </w:rPr>
      </w:pPr>
    </w:p>
    <w:p w14:paraId="4386D4E0">
      <w:pPr>
        <w:tabs>
          <w:tab w:val="left" w:pos="360"/>
        </w:tabs>
        <w:spacing w:line="360" w:lineRule="auto"/>
        <w:ind w:firstLine="723" w:firstLineChars="200"/>
        <w:rPr>
          <w:rFonts w:hint="default" w:ascii="Times New Roman" w:hAnsi="Times New Roman" w:eastAsia="CESI宋体-GB2312" w:cs="Times New Roman"/>
          <w:b/>
          <w:color w:val="auto"/>
          <w:sz w:val="36"/>
          <w:szCs w:val="36"/>
          <w:lang w:val="en-US" w:eastAsia="zh-CN"/>
        </w:rPr>
      </w:pPr>
      <w:r>
        <w:rPr>
          <w:rFonts w:hint="default" w:ascii="Times New Roman" w:hAnsi="Times New Roman" w:eastAsia="CESI宋体-GB2312" w:cs="Times New Roman"/>
          <w:b/>
          <w:color w:val="auto"/>
          <w:sz w:val="36"/>
          <w:szCs w:val="36"/>
          <w:lang w:eastAsia="zh-CN"/>
        </w:rPr>
        <w:t>采   购   人：</w:t>
      </w:r>
      <w:r>
        <w:rPr>
          <w:rFonts w:hint="default" w:ascii="Times New Roman" w:hAnsi="Times New Roman" w:eastAsia="宋体" w:cs="Times New Roman"/>
          <w:b/>
          <w:color w:val="auto"/>
          <w:sz w:val="36"/>
          <w:szCs w:val="36"/>
          <w:lang w:val="en-US" w:eastAsia="zh-CN"/>
        </w:rPr>
        <w:t>郑州铁路职业技术学院</w:t>
      </w:r>
    </w:p>
    <w:p w14:paraId="2C4BDD2D">
      <w:pPr>
        <w:tabs>
          <w:tab w:val="left" w:pos="360"/>
        </w:tabs>
        <w:spacing w:line="360" w:lineRule="auto"/>
        <w:ind w:firstLine="723" w:firstLineChars="200"/>
        <w:rPr>
          <w:rFonts w:hint="default" w:ascii="Times New Roman" w:hAnsi="Times New Roman" w:eastAsia="CESI宋体-GB2312" w:cs="Times New Roman"/>
          <w:b/>
          <w:color w:val="auto"/>
          <w:sz w:val="36"/>
          <w:szCs w:val="36"/>
          <w:lang w:eastAsia="zh-CN"/>
        </w:rPr>
      </w:pPr>
      <w:r>
        <w:rPr>
          <w:rFonts w:hint="default" w:ascii="Times New Roman" w:hAnsi="Times New Roman" w:eastAsia="CESI宋体-GB2312" w:cs="Times New Roman"/>
          <w:b/>
          <w:color w:val="auto"/>
          <w:sz w:val="36"/>
          <w:szCs w:val="36"/>
          <w:lang w:eastAsia="zh-CN"/>
        </w:rPr>
        <w:t>集中采购机构：河南省公共资源交易中心</w:t>
      </w:r>
    </w:p>
    <w:p w14:paraId="1E8696F7">
      <w:pPr>
        <w:spacing w:line="360" w:lineRule="auto"/>
        <w:jc w:val="center"/>
        <w:rPr>
          <w:rFonts w:hint="default" w:ascii="Times New Roman" w:hAnsi="Times New Roman" w:eastAsia="CESI宋体-GB2312" w:cs="Times New Roman"/>
          <w:b/>
          <w:color w:val="auto"/>
          <w:sz w:val="36"/>
          <w:szCs w:val="36"/>
          <w:lang w:val="en-US"/>
        </w:rPr>
      </w:pPr>
      <w:r>
        <w:rPr>
          <w:rFonts w:hint="default" w:ascii="Times New Roman" w:hAnsi="Times New Roman" w:eastAsia="CESI宋体-GB2312" w:cs="Times New Roman"/>
          <w:b/>
          <w:color w:val="auto"/>
          <w:sz w:val="36"/>
          <w:szCs w:val="36"/>
          <w:lang w:val="en-US"/>
        </w:rPr>
        <w:t>202</w:t>
      </w:r>
      <w:r>
        <w:rPr>
          <w:rFonts w:hint="default" w:ascii="Times New Roman" w:hAnsi="Times New Roman" w:eastAsia="CESI宋体-GB2312" w:cs="Times New Roman"/>
          <w:b/>
          <w:color w:val="auto"/>
          <w:sz w:val="36"/>
          <w:szCs w:val="36"/>
          <w:lang w:val="en-US" w:eastAsia="zh-CN"/>
        </w:rPr>
        <w:t>6</w:t>
      </w:r>
      <w:r>
        <w:rPr>
          <w:rFonts w:hint="default" w:ascii="Times New Roman" w:hAnsi="Times New Roman" w:eastAsia="CESI宋体-GB2312" w:cs="Times New Roman"/>
          <w:b/>
          <w:color w:val="auto"/>
          <w:sz w:val="36"/>
          <w:szCs w:val="36"/>
          <w:lang w:val="en-US"/>
        </w:rPr>
        <w:t>年</w:t>
      </w:r>
      <w:r>
        <w:rPr>
          <w:rFonts w:hint="eastAsia" w:ascii="Times New Roman" w:hAnsi="Times New Roman" w:eastAsia="CESI宋体-GB2312" w:cs="Times New Roman"/>
          <w:b/>
          <w:color w:val="auto"/>
          <w:sz w:val="36"/>
          <w:szCs w:val="36"/>
          <w:lang w:val="en-US" w:eastAsia="zh-CN"/>
        </w:rPr>
        <w:t>9</w:t>
      </w:r>
      <w:r>
        <w:rPr>
          <w:rFonts w:hint="default" w:ascii="Times New Roman" w:hAnsi="Times New Roman" w:eastAsia="CESI宋体-GB2312" w:cs="Times New Roman"/>
          <w:b/>
          <w:color w:val="auto"/>
          <w:sz w:val="36"/>
          <w:szCs w:val="36"/>
          <w:lang w:val="en-US"/>
        </w:rPr>
        <w:t>月</w:t>
      </w:r>
    </w:p>
    <w:p w14:paraId="583A72A7">
      <w:pPr>
        <w:keepNext/>
        <w:keepLines/>
        <w:jc w:val="center"/>
        <w:rPr>
          <w:rFonts w:hint="default" w:ascii="Times New Roman" w:hAnsi="Times New Roman" w:eastAsia="宋体" w:cs="Times New Roman"/>
          <w:b/>
          <w:bCs/>
          <w:color w:val="auto"/>
          <w:sz w:val="48"/>
          <w:szCs w:val="48"/>
          <w:lang w:val="en-US" w:eastAsia="zh-CN"/>
        </w:rPr>
        <w:sectPr>
          <w:pgSz w:w="11900" w:h="16840"/>
          <w:pgMar w:top="1440" w:right="1797" w:bottom="1440" w:left="1797" w:header="851" w:footer="992" w:gutter="0"/>
          <w:pgNumType w:start="0"/>
          <w:cols w:space="720" w:num="1"/>
        </w:sectPr>
      </w:pPr>
    </w:p>
    <w:p w14:paraId="6D565D7A">
      <w:pPr>
        <w:keepNext/>
        <w:keepLines/>
        <w:jc w:val="center"/>
        <w:rPr>
          <w:rFonts w:hint="default" w:ascii="Times New Roman" w:hAnsi="Times New Roman" w:eastAsia="宋体" w:cs="Times New Roman"/>
          <w:b/>
          <w:bCs/>
          <w:color w:val="auto"/>
          <w:sz w:val="52"/>
          <w:szCs w:val="52"/>
          <w:lang w:val="en-US" w:eastAsia="zh-CN"/>
        </w:rPr>
      </w:pPr>
      <w:r>
        <w:rPr>
          <w:rFonts w:hint="default" w:ascii="Times New Roman" w:hAnsi="Times New Roman" w:eastAsia="宋体" w:cs="Times New Roman"/>
          <w:b/>
          <w:bCs/>
          <w:color w:val="auto"/>
          <w:sz w:val="48"/>
          <w:szCs w:val="48"/>
          <w:lang w:val="en-US" w:eastAsia="zh-CN"/>
        </w:rPr>
        <w:t>目 录</w:t>
      </w:r>
    </w:p>
    <w:p w14:paraId="1C6F9C62">
      <w:pPr>
        <w:pStyle w:val="31"/>
        <w:tabs>
          <w:tab w:val="right" w:leader="dot" w:pos="8306"/>
        </w:tabs>
        <w:spacing w:line="480" w:lineRule="auto"/>
        <w:rPr>
          <w:rFonts w:hint="default" w:ascii="Times New Roman" w:hAnsi="Times New Roman" w:eastAsia="仿宋_GB2312" w:cs="Times New Roman"/>
          <w:sz w:val="32"/>
          <w:szCs w:val="32"/>
        </w:rPr>
      </w:pPr>
      <w:bookmarkStart w:id="0" w:name="_Toc349457307"/>
    </w:p>
    <w:p w14:paraId="6C50102B">
      <w:pPr>
        <w:pStyle w:val="31"/>
        <w:tabs>
          <w:tab w:val="right" w:leader="dot" w:pos="830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TOC \o "1-1" \h \u </w:instrText>
      </w:r>
      <w:r>
        <w:rPr>
          <w:rFonts w:hint="default" w:ascii="Times New Roman" w:hAnsi="Times New Roman" w:eastAsia="仿宋_GB2312" w:cs="Times New Roman"/>
          <w:sz w:val="32"/>
          <w:szCs w:val="32"/>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"_Toc13414" </w:instrText>
      </w:r>
      <w:r>
        <w:rPr>
          <w:rFonts w:hint="default" w:ascii="Times New Roman" w:hAnsi="Times New Roman" w:cs="Times New Roman"/>
        </w:rPr>
        <w:fldChar w:fldCharType="separate"/>
      </w:r>
      <w:r>
        <w:rPr>
          <w:rFonts w:hint="default" w:ascii="Times New Roman" w:hAnsi="Times New Roman" w:eastAsia="仿宋_GB2312" w:cs="Times New Roman"/>
          <w:sz w:val="32"/>
          <w:szCs w:val="32"/>
        </w:rPr>
        <w:t>第一章 竞争性磋商邀请</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_Toc13414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1FDF266F">
      <w:pPr>
        <w:pStyle w:val="31"/>
        <w:tabs>
          <w:tab w:val="right" w:leader="dot" w:pos="8306"/>
        </w:tabs>
        <w:rPr>
          <w:rFonts w:hint="default" w:ascii="Times New Roman" w:hAnsi="Times New Roman" w:eastAsia="仿宋_GB2312"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"_Toc31156" </w:instrText>
      </w:r>
      <w:r>
        <w:rPr>
          <w:rFonts w:hint="default" w:ascii="Times New Roman" w:hAnsi="Times New Roman" w:cs="Times New Roman"/>
        </w:rPr>
        <w:fldChar w:fldCharType="separate"/>
      </w:r>
      <w:r>
        <w:rPr>
          <w:rFonts w:hint="default" w:ascii="Times New Roman" w:hAnsi="Times New Roman" w:eastAsia="仿宋_GB2312" w:cs="Times New Roman"/>
          <w:bCs/>
          <w:sz w:val="32"/>
          <w:szCs w:val="32"/>
        </w:rPr>
        <w:t>第二章 供应商须知前附表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_Toc31156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478D6FB4">
      <w:pPr>
        <w:pStyle w:val="31"/>
        <w:tabs>
          <w:tab w:val="right" w:leader="dot" w:pos="8306"/>
        </w:tabs>
        <w:rPr>
          <w:rFonts w:hint="default" w:ascii="Times New Roman" w:hAnsi="Times New Roman" w:eastAsia="仿宋_GB2312"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"_Toc4600" </w:instrText>
      </w:r>
      <w:r>
        <w:rPr>
          <w:rFonts w:hint="default" w:ascii="Times New Roman" w:hAnsi="Times New Roman" w:cs="Times New Roman"/>
        </w:rPr>
        <w:fldChar w:fldCharType="separate"/>
      </w:r>
      <w:r>
        <w:rPr>
          <w:rFonts w:hint="default" w:ascii="Times New Roman" w:hAnsi="Times New Roman" w:eastAsia="仿宋_GB2312" w:cs="Times New Roman"/>
          <w:bCs/>
          <w:sz w:val="32"/>
          <w:szCs w:val="32"/>
        </w:rPr>
        <w:t>第三章 供应商须知</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_Toc4600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76A11EB">
      <w:pPr>
        <w:pStyle w:val="31"/>
        <w:tabs>
          <w:tab w:val="right" w:leader="dot" w:pos="8306"/>
        </w:tabs>
        <w:rPr>
          <w:rFonts w:hint="default" w:ascii="Times New Roman" w:hAnsi="Times New Roman" w:eastAsia="仿宋_GB2312"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"_Toc26582" </w:instrText>
      </w:r>
      <w:r>
        <w:rPr>
          <w:rFonts w:hint="default" w:ascii="Times New Roman" w:hAnsi="Times New Roman" w:cs="Times New Roman"/>
        </w:rPr>
        <w:fldChar w:fldCharType="separate"/>
      </w:r>
      <w:r>
        <w:rPr>
          <w:rFonts w:hint="default" w:ascii="Times New Roman" w:hAnsi="Times New Roman" w:eastAsia="仿宋_GB2312" w:cs="Times New Roman"/>
          <w:sz w:val="32"/>
          <w:szCs w:val="32"/>
        </w:rPr>
        <w:t>第四章 竞争性磋商响应文件格式</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_Toc26582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33</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2C555030">
      <w:pPr>
        <w:pStyle w:val="31"/>
        <w:tabs>
          <w:tab w:val="right" w:leader="dot" w:pos="8306"/>
        </w:tabs>
        <w:rPr>
          <w:rFonts w:hint="default" w:ascii="Times New Roman" w:hAnsi="Times New Roman" w:eastAsia="仿宋_GB2312"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"_Toc17577" </w:instrText>
      </w:r>
      <w:r>
        <w:rPr>
          <w:rFonts w:hint="default" w:ascii="Times New Roman" w:hAnsi="Times New Roman" w:cs="Times New Roman"/>
        </w:rPr>
        <w:fldChar w:fldCharType="separate"/>
      </w:r>
      <w:r>
        <w:rPr>
          <w:rFonts w:hint="default" w:ascii="Times New Roman" w:hAnsi="Times New Roman" w:eastAsia="仿宋_GB2312" w:cs="Times New Roman"/>
          <w:sz w:val="32"/>
          <w:szCs w:val="32"/>
        </w:rPr>
        <w:t>第五章 项目需求及技术要求</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_Toc17577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61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A8D02E0">
      <w:pPr>
        <w:pStyle w:val="31"/>
        <w:tabs>
          <w:tab w:val="right" w:leader="dot" w:pos="8306"/>
        </w:tabs>
        <w:rPr>
          <w:rFonts w:hint="default" w:ascii="Times New Roman" w:hAnsi="Times New Roman" w:eastAsia="仿宋_GB2312"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"_Toc9116" </w:instrText>
      </w:r>
      <w:r>
        <w:rPr>
          <w:rFonts w:hint="default" w:ascii="Times New Roman" w:hAnsi="Times New Roman" w:cs="Times New Roman"/>
        </w:rPr>
        <w:fldChar w:fldCharType="separate"/>
      </w:r>
      <w:r>
        <w:rPr>
          <w:rFonts w:hint="default" w:ascii="Times New Roman" w:hAnsi="Times New Roman" w:eastAsia="仿宋_GB2312" w:cs="Times New Roman"/>
          <w:bCs/>
          <w:kern w:val="44"/>
          <w:sz w:val="32"/>
          <w:szCs w:val="32"/>
        </w:rPr>
        <w:t>第六章 磋商方法和标准</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_Toc9116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108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4F65C698">
      <w:pPr>
        <w:pStyle w:val="31"/>
        <w:tabs>
          <w:tab w:val="right" w:leader="dot" w:pos="8306"/>
        </w:tabs>
        <w:rPr>
          <w:rFonts w:hint="default" w:ascii="Times New Roman" w:hAnsi="Times New Roman" w:eastAsia="仿宋_GB2312"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"_Toc13426" </w:instrText>
      </w:r>
      <w:r>
        <w:rPr>
          <w:rFonts w:hint="default" w:ascii="Times New Roman" w:hAnsi="Times New Roman" w:cs="Times New Roman"/>
        </w:rPr>
        <w:fldChar w:fldCharType="separate"/>
      </w:r>
      <w:r>
        <w:rPr>
          <w:rFonts w:hint="default" w:ascii="Times New Roman" w:hAnsi="Times New Roman" w:eastAsia="仿宋_GB2312" w:cs="Times New Roman"/>
          <w:bCs/>
          <w:kern w:val="44"/>
          <w:sz w:val="32"/>
          <w:szCs w:val="32"/>
        </w:rPr>
        <w:t>第七章 政府采购合同</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_Toc13426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116</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7CD7769C">
      <w:pPr>
        <w:spacing w:line="480" w:lineRule="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32"/>
          <w:szCs w:val="32"/>
        </w:rPr>
        <w:fldChar w:fldCharType="end"/>
      </w:r>
    </w:p>
    <w:bookmarkEnd w:id="0"/>
    <w:p w14:paraId="50DC29B8">
      <w:pPr>
        <w:pStyle w:val="2"/>
        <w:spacing w:before="0" w:after="0" w:line="360" w:lineRule="auto"/>
        <w:jc w:val="center"/>
        <w:rPr>
          <w:rFonts w:hint="default" w:ascii="Times New Roman" w:hAnsi="Times New Roman" w:eastAsia="宋体" w:cs="Times New Roman"/>
          <w:color w:val="auto"/>
          <w:sz w:val="36"/>
          <w:szCs w:val="36"/>
          <w:lang w:eastAsia="zh-CN"/>
        </w:rPr>
        <w:sectPr>
          <w:footerReference r:id="rId3" w:type="default"/>
          <w:pgSz w:w="11900" w:h="16840"/>
          <w:pgMar w:top="1440" w:right="1797" w:bottom="1440" w:left="1797" w:header="851" w:footer="992" w:gutter="0"/>
          <w:pgNumType w:start="1"/>
          <w:cols w:space="720" w:num="1"/>
        </w:sectPr>
      </w:pPr>
      <w:bookmarkStart w:id="1" w:name="_Toc1390283293"/>
    </w:p>
    <w:p w14:paraId="689B9C48">
      <w:pPr>
        <w:pStyle w:val="2"/>
        <w:spacing w:before="0" w:after="0" w:line="360" w:lineRule="auto"/>
        <w:jc w:val="center"/>
        <w:rPr>
          <w:rFonts w:hint="default" w:ascii="Times New Roman" w:hAnsi="Times New Roman" w:eastAsia="宋体" w:cs="Times New Roman"/>
          <w:color w:val="auto"/>
          <w:sz w:val="36"/>
          <w:szCs w:val="36"/>
          <w:lang w:eastAsia="zh-CN"/>
        </w:rPr>
      </w:pPr>
      <w:bookmarkStart w:id="2" w:name="_Toc13414"/>
      <w:r>
        <w:rPr>
          <w:rFonts w:hint="default" w:ascii="Times New Roman" w:hAnsi="Times New Roman" w:eastAsia="宋体" w:cs="Times New Roman"/>
          <w:color w:val="auto"/>
          <w:sz w:val="36"/>
          <w:szCs w:val="36"/>
          <w:lang w:eastAsia="zh-CN"/>
        </w:rPr>
        <w:t>第一章</w:t>
      </w:r>
      <w:r>
        <w:rPr>
          <w:rFonts w:hint="default" w:ascii="Times New Roman" w:hAnsi="Times New Roman" w:eastAsia="宋体" w:cs="Times New Roman"/>
          <w:color w:val="auto"/>
          <w:sz w:val="36"/>
          <w:szCs w:val="36"/>
          <w:lang w:val="en-US" w:eastAsia="zh-CN"/>
        </w:rPr>
        <w:t xml:space="preserve"> </w:t>
      </w:r>
      <w:r>
        <w:rPr>
          <w:rFonts w:hint="default" w:ascii="Times New Roman" w:hAnsi="Times New Roman" w:eastAsia="宋体" w:cs="Times New Roman"/>
          <w:color w:val="auto"/>
          <w:sz w:val="36"/>
          <w:szCs w:val="36"/>
          <w:lang w:eastAsia="zh-CN"/>
        </w:rPr>
        <w:t>竞争性磋商邀请</w:t>
      </w:r>
      <w:bookmarkEnd w:id="1"/>
      <w:bookmarkEnd w:id="2"/>
    </w:p>
    <w:p w14:paraId="5D865CC9">
      <w:pPr>
        <w:spacing w:before="240" w:beforeLines="100" w:line="400" w:lineRule="exact"/>
        <w:jc w:val="center"/>
        <w:rPr>
          <w:rFonts w:hint="default" w:ascii="Times New Roman" w:hAnsi="Times New Roman" w:eastAsia="仿宋_GB2312" w:cs="Times New Roman"/>
          <w:b/>
          <w:color w:val="auto"/>
          <w:sz w:val="32"/>
          <w:szCs w:val="32"/>
          <w:lang w:val="en" w:eastAsia="zh-CN"/>
        </w:rPr>
      </w:pPr>
      <w:bookmarkStart w:id="3" w:name="OLE_LINK2"/>
      <w:bookmarkStart w:id="4" w:name="OLE_LINK4"/>
      <w:r>
        <w:rPr>
          <w:rFonts w:hint="eastAsia" w:ascii="Times New Roman" w:hAnsi="Times New Roman" w:eastAsia="仿宋_GB2312" w:cs="Times New Roman"/>
          <w:b/>
          <w:color w:val="auto"/>
          <w:sz w:val="32"/>
          <w:szCs w:val="32"/>
          <w:lang w:val="en" w:eastAsia="zh-CN"/>
        </w:rPr>
        <w:t>郑州铁路职业技术学院智慧教学环境更新与提升项目（二期)项目</w:t>
      </w:r>
      <w:r>
        <w:rPr>
          <w:rFonts w:hint="default" w:ascii="Times New Roman" w:hAnsi="Times New Roman" w:eastAsia="仿宋_GB2312" w:cs="Times New Roman"/>
          <w:b/>
          <w:color w:val="auto"/>
          <w:sz w:val="32"/>
          <w:szCs w:val="32"/>
          <w:lang w:val="en" w:eastAsia="zh-CN"/>
        </w:rPr>
        <w:t>-竞争性磋商公告</w:t>
      </w:r>
      <w:r>
        <w:rPr>
          <w:rFonts w:hint="eastAsia" w:ascii="Times New Roman" w:hAnsi="Times New Roman" w:eastAsia="仿宋_GB2312" w:cs="Times New Roman"/>
          <w:b/>
          <w:color w:val="auto"/>
          <w:sz w:val="32"/>
          <w:szCs w:val="32"/>
          <w:lang w:val="en" w:eastAsia="zh-CN"/>
        </w:rPr>
        <w:t>（</w:t>
      </w:r>
      <w:r>
        <w:rPr>
          <w:rFonts w:hint="eastAsia" w:ascii="Times New Roman" w:hAnsi="Times New Roman" w:eastAsia="仿宋_GB2312" w:cs="Times New Roman"/>
          <w:b/>
          <w:color w:val="auto"/>
          <w:sz w:val="32"/>
          <w:szCs w:val="32"/>
          <w:lang w:val="en-US" w:eastAsia="zh-CN"/>
        </w:rPr>
        <w:t>二次</w:t>
      </w:r>
      <w:r>
        <w:rPr>
          <w:rFonts w:hint="eastAsia" w:ascii="Times New Roman" w:hAnsi="Times New Roman" w:eastAsia="仿宋_GB2312" w:cs="Times New Roman"/>
          <w:b/>
          <w:color w:val="auto"/>
          <w:sz w:val="32"/>
          <w:szCs w:val="32"/>
          <w:lang w:val="en" w:eastAsia="zh-CN"/>
        </w:rPr>
        <w:t>）</w:t>
      </w:r>
    </w:p>
    <w:bookmarkEnd w:id="3"/>
    <w:bookmarkEnd w:id="4"/>
    <w:p w14:paraId="24C13A31">
      <w:pPr>
        <w:rPr>
          <w:rFonts w:hint="default" w:ascii="Times New Roman" w:hAnsi="Times New Roman" w:cs="Times New Roman"/>
          <w:color w:val="auto"/>
          <w:lang w:eastAsia="zh-CN"/>
        </w:rPr>
      </w:pPr>
    </w:p>
    <w:p w14:paraId="546D1CF4">
      <w:pPr>
        <w:spacing w:line="500" w:lineRule="exact"/>
        <w:ind w:firstLine="562"/>
        <w:jc w:val="center"/>
        <w:rPr>
          <w:rFonts w:hint="default" w:ascii="Times New Roman" w:hAnsi="Times New Roman" w:eastAsia="仿宋_GB2312" w:cs="Times New Roman"/>
          <w:b/>
          <w:color w:val="auto"/>
          <w:sz w:val="28"/>
          <w:szCs w:val="28"/>
          <w:lang w:eastAsia="zh-CN"/>
        </w:rPr>
      </w:pPr>
      <w:r>
        <w:rPr>
          <w:rFonts w:hint="default" w:ascii="Times New Roman" w:hAnsi="Times New Roman" w:cs="Times New Roman"/>
          <w:color w:val="auto"/>
          <w:u w:val="single"/>
          <w:lang w:val="en-US" w:eastAsia="zh-CN"/>
        </w:rPr>
        <mc:AlternateContent>
          <mc:Choice Requires="wps">
            <w:drawing>
              <wp:anchor distT="0" distB="0" distL="114300" distR="114300" simplePos="0" relativeHeight="251667456" behindDoc="0" locked="0" layoutInCell="1" allowOverlap="1">
                <wp:simplePos x="0" y="0"/>
                <wp:positionH relativeFrom="column">
                  <wp:posOffset>-140970</wp:posOffset>
                </wp:positionH>
                <wp:positionV relativeFrom="paragraph">
                  <wp:posOffset>72390</wp:posOffset>
                </wp:positionV>
                <wp:extent cx="5495925" cy="1870710"/>
                <wp:effectExtent l="4445" t="5080" r="5080" b="10160"/>
                <wp:wrapNone/>
                <wp:docPr id="3" name="文本框 2"/>
                <wp:cNvGraphicFramePr/>
                <a:graphic xmlns:a="http://schemas.openxmlformats.org/drawingml/2006/main">
                  <a:graphicData uri="http://schemas.microsoft.com/office/word/2010/wordprocessingShape">
                    <wps:wsp>
                      <wps:cNvSpPr txBox="1"/>
                      <wps:spPr>
                        <a:xfrm>
                          <a:off x="0" y="0"/>
                          <a:ext cx="5495925" cy="1870710"/>
                        </a:xfrm>
                        <a:prstGeom prst="rect">
                          <a:avLst/>
                        </a:prstGeom>
                        <a:noFill/>
                        <a:ln w="9525" cap="flat" cmpd="sng">
                          <a:solidFill>
                            <a:srgbClr val="000000"/>
                          </a:solidFill>
                          <a:prstDash val="solid"/>
                          <a:miter/>
                          <a:headEnd type="none" w="med" len="med"/>
                          <a:tailEnd type="none" w="med" len="med"/>
                        </a:ln>
                      </wps:spPr>
                      <wps:txbx>
                        <w:txbxContent>
                          <w:p w14:paraId="4A55F7D8">
                            <w:pPr>
                              <w:pStyle w:val="223"/>
                              <w:spacing w:line="360" w:lineRule="auto"/>
                              <w:ind w:firstLine="562"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项目概况</w:t>
                            </w:r>
                          </w:p>
                          <w:p w14:paraId="6408F769">
                            <w:pPr>
                              <w:pStyle w:val="223"/>
                              <w:spacing w:line="360" w:lineRule="auto"/>
                              <w:ind w:firstLine="562" w:firstLineChars="200"/>
                              <w:jc w:val="both"/>
                              <w:rPr>
                                <w:rFonts w:ascii="Times New Roman" w:hAnsi="Times New Roman" w:cs="Times New Roman"/>
                              </w:rPr>
                            </w:pPr>
                            <w:r>
                              <w:rPr>
                                <w:rFonts w:hint="eastAsia" w:ascii="Times New Roman" w:hAnsi="Times New Roman" w:eastAsia="仿宋_GB2312" w:cs="Times New Roman"/>
                                <w:b/>
                                <w:bCs/>
                                <w:sz w:val="28"/>
                                <w:szCs w:val="28"/>
                                <w:u w:val="single"/>
                                <w:lang w:val="en" w:eastAsia="zh-CN"/>
                              </w:rPr>
                              <w:t>郑州铁路职业技术学院智慧教学环境更新与提升项目（二期)项目</w:t>
                            </w:r>
                            <w:r>
                              <w:rPr>
                                <w:rFonts w:ascii="Times New Roman" w:hAnsi="Times New Roman" w:eastAsia="仿宋_GB2312" w:cs="Times New Roman"/>
                                <w:sz w:val="28"/>
                                <w:szCs w:val="28"/>
                              </w:rPr>
                              <w:t>的潜在供应商应在</w:t>
                            </w:r>
                            <w:r>
                              <w:rPr>
                                <w:rFonts w:ascii="Times New Roman" w:hAnsi="Times New Roman" w:eastAsia="仿宋_GB2312" w:cs="Times New Roman"/>
                                <w:b/>
                                <w:bCs/>
                                <w:sz w:val="28"/>
                                <w:szCs w:val="28"/>
                                <w:u w:val="single"/>
                              </w:rPr>
                              <w:t>河南省公共资源交易中心网站（</w:t>
                            </w:r>
                            <w:r>
                              <w:rPr>
                                <w:rStyle w:val="63"/>
                                <w:rFonts w:ascii="Times New Roman" w:hAnsi="Times New Roman" w:eastAsia="仿宋_GB2312" w:cs="Times New Roman"/>
                                <w:b/>
                                <w:bCs/>
                                <w:sz w:val="28"/>
                                <w:szCs w:val="28"/>
                              </w:rPr>
                              <w:t>hnsggzyjy.henan.gov.cn</w:t>
                            </w:r>
                            <w:r>
                              <w:rPr>
                                <w:rFonts w:ascii="Times New Roman" w:hAnsi="Times New Roman" w:eastAsia="仿宋_GB2312" w:cs="Times New Roman"/>
                                <w:b/>
                                <w:bCs/>
                                <w:sz w:val="28"/>
                                <w:szCs w:val="28"/>
                                <w:u w:val="single"/>
                              </w:rPr>
                              <w:t>）</w:t>
                            </w:r>
                            <w:r>
                              <w:rPr>
                                <w:rFonts w:ascii="Times New Roman" w:hAnsi="Times New Roman" w:eastAsia="仿宋_GB2312" w:cs="Times New Roman"/>
                                <w:sz w:val="28"/>
                                <w:szCs w:val="28"/>
                              </w:rPr>
                              <w:t>获取招标文件，并于</w:t>
                            </w:r>
                            <w:r>
                              <w:rPr>
                                <w:rFonts w:ascii="Times New Roman" w:hAnsi="Times New Roman" w:eastAsia="仿宋_GB2312" w:cs="Times New Roman"/>
                                <w:b/>
                                <w:bCs/>
                                <w:color w:val="auto"/>
                                <w:sz w:val="28"/>
                                <w:szCs w:val="28"/>
                                <w:u w:val="single"/>
                              </w:rPr>
                              <w:t>202</w:t>
                            </w:r>
                            <w:r>
                              <w:rPr>
                                <w:rFonts w:hint="eastAsia" w:ascii="Times New Roman" w:hAnsi="Times New Roman" w:eastAsia="仿宋_GB2312" w:cs="Times New Roman"/>
                                <w:b/>
                                <w:bCs/>
                                <w:color w:val="auto"/>
                                <w:sz w:val="28"/>
                                <w:szCs w:val="28"/>
                                <w:u w:val="single"/>
                              </w:rPr>
                              <w:t>6</w:t>
                            </w:r>
                            <w:r>
                              <w:rPr>
                                <w:rFonts w:ascii="Times New Roman" w:hAnsi="Times New Roman" w:eastAsia="仿宋_GB2312" w:cs="Times New Roman"/>
                                <w:b/>
                                <w:bCs/>
                                <w:color w:val="auto"/>
                                <w:sz w:val="28"/>
                                <w:szCs w:val="28"/>
                                <w:u w:val="single"/>
                              </w:rPr>
                              <w:t>年</w:t>
                            </w:r>
                            <w:r>
                              <w:rPr>
                                <w:rFonts w:hint="eastAsia" w:ascii="Times New Roman" w:hAnsi="Times New Roman" w:eastAsia="仿宋_GB2312" w:cs="Times New Roman"/>
                                <w:b/>
                                <w:bCs/>
                                <w:color w:val="auto"/>
                                <w:sz w:val="28"/>
                                <w:szCs w:val="28"/>
                                <w:u w:val="single"/>
                                <w:lang w:val="en-US" w:eastAsia="zh-CN"/>
                              </w:rPr>
                              <w:t>10</w:t>
                            </w:r>
                            <w:r>
                              <w:rPr>
                                <w:rFonts w:ascii="Times New Roman" w:hAnsi="Times New Roman" w:eastAsia="仿宋_GB2312" w:cs="Times New Roman"/>
                                <w:b/>
                                <w:bCs/>
                                <w:color w:val="auto"/>
                                <w:sz w:val="28"/>
                                <w:szCs w:val="28"/>
                                <w:u w:val="single"/>
                              </w:rPr>
                              <w:t>月</w:t>
                            </w:r>
                            <w:r>
                              <w:rPr>
                                <w:rFonts w:hint="eastAsia" w:ascii="Times New Roman" w:hAnsi="Times New Roman" w:eastAsia="仿宋_GB2312" w:cs="Times New Roman"/>
                                <w:b/>
                                <w:bCs/>
                                <w:color w:val="auto"/>
                                <w:sz w:val="28"/>
                                <w:szCs w:val="28"/>
                                <w:u w:val="single"/>
                                <w:lang w:val="en-US" w:eastAsia="zh-CN"/>
                              </w:rPr>
                              <w:t>14</w:t>
                            </w:r>
                            <w:r>
                              <w:rPr>
                                <w:rFonts w:ascii="Times New Roman" w:hAnsi="Times New Roman" w:eastAsia="仿宋_GB2312" w:cs="Times New Roman"/>
                                <w:b/>
                                <w:bCs/>
                                <w:color w:val="auto"/>
                                <w:sz w:val="28"/>
                                <w:szCs w:val="28"/>
                                <w:u w:val="single"/>
                              </w:rPr>
                              <w:t>日09时00分</w:t>
                            </w:r>
                            <w:r>
                              <w:rPr>
                                <w:rFonts w:ascii="Times New Roman" w:hAnsi="Times New Roman" w:eastAsia="仿宋_GB2312" w:cs="Times New Roman"/>
                                <w:sz w:val="28"/>
                                <w:szCs w:val="28"/>
                              </w:rPr>
                              <w:t xml:space="preserve">（北京时间）前递交响应文件。 </w:t>
                            </w:r>
                          </w:p>
                        </w:txbxContent>
                      </wps:txbx>
                      <wps:bodyPr wrap="square" upright="1"/>
                    </wps:wsp>
                  </a:graphicData>
                </a:graphic>
              </wp:anchor>
            </w:drawing>
          </mc:Choice>
          <mc:Fallback>
            <w:pict>
              <v:shape id="文本框 2" o:spid="_x0000_s1026" o:spt="202" type="#_x0000_t202" style="position:absolute;left:0pt;margin-left:-11.1pt;margin-top:5.7pt;height:147.3pt;width:432.75pt;z-index:251667456;mso-width-relative:page;mso-height-relative:page;" filled="f" stroked="t" coordsize="21600,21600" o:gfxdata="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TydgY1wAAAAoBAAAPAAAAAAAAAAEA&#10;IAAAACIAAABkcnMvZG93bnJldi54bWxQSwECFAAUAAAACACHTuJAZMLFFRACAAAcBAAADgAAAAAA&#10;AAABACAAAAAmAQAAZHJzL2Uyb0RvYy54bWxQSwUGAAAAAAYABgBZAQAAqAUAAAAA&#10;">
                <v:fill on="f" focussize="0,0"/>
                <v:stroke color="#000000" joinstyle="miter"/>
                <v:imagedata o:title=""/>
                <o:lock v:ext="edit" aspectratio="f"/>
                <v:textbox>
                  <w:txbxContent>
                    <w:p w14:paraId="4A55F7D8">
                      <w:pPr>
                        <w:pStyle w:val="223"/>
                        <w:spacing w:line="360" w:lineRule="auto"/>
                        <w:ind w:firstLine="562"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项目概况</w:t>
                      </w:r>
                    </w:p>
                    <w:p w14:paraId="6408F769">
                      <w:pPr>
                        <w:pStyle w:val="223"/>
                        <w:spacing w:line="360" w:lineRule="auto"/>
                        <w:ind w:firstLine="562" w:firstLineChars="200"/>
                        <w:jc w:val="both"/>
                        <w:rPr>
                          <w:rFonts w:ascii="Times New Roman" w:hAnsi="Times New Roman" w:cs="Times New Roman"/>
                        </w:rPr>
                      </w:pPr>
                      <w:r>
                        <w:rPr>
                          <w:rFonts w:hint="eastAsia" w:ascii="Times New Roman" w:hAnsi="Times New Roman" w:eastAsia="仿宋_GB2312" w:cs="Times New Roman"/>
                          <w:b/>
                          <w:bCs/>
                          <w:sz w:val="28"/>
                          <w:szCs w:val="28"/>
                          <w:u w:val="single"/>
                          <w:lang w:val="en" w:eastAsia="zh-CN"/>
                        </w:rPr>
                        <w:t>郑州铁路职业技术学院智慧教学环境更新与提升项目（二期)项目</w:t>
                      </w:r>
                      <w:r>
                        <w:rPr>
                          <w:rFonts w:ascii="Times New Roman" w:hAnsi="Times New Roman" w:eastAsia="仿宋_GB2312" w:cs="Times New Roman"/>
                          <w:sz w:val="28"/>
                          <w:szCs w:val="28"/>
                        </w:rPr>
                        <w:t>的潜在供应商应在</w:t>
                      </w:r>
                      <w:r>
                        <w:rPr>
                          <w:rFonts w:ascii="Times New Roman" w:hAnsi="Times New Roman" w:eastAsia="仿宋_GB2312" w:cs="Times New Roman"/>
                          <w:b/>
                          <w:bCs/>
                          <w:sz w:val="28"/>
                          <w:szCs w:val="28"/>
                          <w:u w:val="single"/>
                        </w:rPr>
                        <w:t>河南省公共资源交易中心网站（</w:t>
                      </w:r>
                      <w:r>
                        <w:rPr>
                          <w:rStyle w:val="63"/>
                          <w:rFonts w:ascii="Times New Roman" w:hAnsi="Times New Roman" w:eastAsia="仿宋_GB2312" w:cs="Times New Roman"/>
                          <w:b/>
                          <w:bCs/>
                          <w:sz w:val="28"/>
                          <w:szCs w:val="28"/>
                        </w:rPr>
                        <w:t>hnsggzyjy.henan.gov.cn</w:t>
                      </w:r>
                      <w:r>
                        <w:rPr>
                          <w:rFonts w:ascii="Times New Roman" w:hAnsi="Times New Roman" w:eastAsia="仿宋_GB2312" w:cs="Times New Roman"/>
                          <w:b/>
                          <w:bCs/>
                          <w:sz w:val="28"/>
                          <w:szCs w:val="28"/>
                          <w:u w:val="single"/>
                        </w:rPr>
                        <w:t>）</w:t>
                      </w:r>
                      <w:r>
                        <w:rPr>
                          <w:rFonts w:ascii="Times New Roman" w:hAnsi="Times New Roman" w:eastAsia="仿宋_GB2312" w:cs="Times New Roman"/>
                          <w:sz w:val="28"/>
                          <w:szCs w:val="28"/>
                        </w:rPr>
                        <w:t>获取招标文件，并于</w:t>
                      </w:r>
                      <w:r>
                        <w:rPr>
                          <w:rFonts w:ascii="Times New Roman" w:hAnsi="Times New Roman" w:eastAsia="仿宋_GB2312" w:cs="Times New Roman"/>
                          <w:b/>
                          <w:bCs/>
                          <w:color w:val="auto"/>
                          <w:sz w:val="28"/>
                          <w:szCs w:val="28"/>
                          <w:u w:val="single"/>
                        </w:rPr>
                        <w:t>202</w:t>
                      </w:r>
                      <w:r>
                        <w:rPr>
                          <w:rFonts w:hint="eastAsia" w:ascii="Times New Roman" w:hAnsi="Times New Roman" w:eastAsia="仿宋_GB2312" w:cs="Times New Roman"/>
                          <w:b/>
                          <w:bCs/>
                          <w:color w:val="auto"/>
                          <w:sz w:val="28"/>
                          <w:szCs w:val="28"/>
                          <w:u w:val="single"/>
                        </w:rPr>
                        <w:t>6</w:t>
                      </w:r>
                      <w:r>
                        <w:rPr>
                          <w:rFonts w:ascii="Times New Roman" w:hAnsi="Times New Roman" w:eastAsia="仿宋_GB2312" w:cs="Times New Roman"/>
                          <w:b/>
                          <w:bCs/>
                          <w:color w:val="auto"/>
                          <w:sz w:val="28"/>
                          <w:szCs w:val="28"/>
                          <w:u w:val="single"/>
                        </w:rPr>
                        <w:t>年</w:t>
                      </w:r>
                      <w:r>
                        <w:rPr>
                          <w:rFonts w:hint="eastAsia" w:ascii="Times New Roman" w:hAnsi="Times New Roman" w:eastAsia="仿宋_GB2312" w:cs="Times New Roman"/>
                          <w:b/>
                          <w:bCs/>
                          <w:color w:val="auto"/>
                          <w:sz w:val="28"/>
                          <w:szCs w:val="28"/>
                          <w:u w:val="single"/>
                          <w:lang w:val="en-US" w:eastAsia="zh-CN"/>
                        </w:rPr>
                        <w:t>10</w:t>
                      </w:r>
                      <w:r>
                        <w:rPr>
                          <w:rFonts w:ascii="Times New Roman" w:hAnsi="Times New Roman" w:eastAsia="仿宋_GB2312" w:cs="Times New Roman"/>
                          <w:b/>
                          <w:bCs/>
                          <w:color w:val="auto"/>
                          <w:sz w:val="28"/>
                          <w:szCs w:val="28"/>
                          <w:u w:val="single"/>
                        </w:rPr>
                        <w:t>月</w:t>
                      </w:r>
                      <w:r>
                        <w:rPr>
                          <w:rFonts w:hint="eastAsia" w:ascii="Times New Roman" w:hAnsi="Times New Roman" w:eastAsia="仿宋_GB2312" w:cs="Times New Roman"/>
                          <w:b/>
                          <w:bCs/>
                          <w:color w:val="auto"/>
                          <w:sz w:val="28"/>
                          <w:szCs w:val="28"/>
                          <w:u w:val="single"/>
                          <w:lang w:val="en-US" w:eastAsia="zh-CN"/>
                        </w:rPr>
                        <w:t>14</w:t>
                      </w:r>
                      <w:r>
                        <w:rPr>
                          <w:rFonts w:ascii="Times New Roman" w:hAnsi="Times New Roman" w:eastAsia="仿宋_GB2312" w:cs="Times New Roman"/>
                          <w:b/>
                          <w:bCs/>
                          <w:color w:val="auto"/>
                          <w:sz w:val="28"/>
                          <w:szCs w:val="28"/>
                          <w:u w:val="single"/>
                        </w:rPr>
                        <w:t>日09时00分</w:t>
                      </w:r>
                      <w:r>
                        <w:rPr>
                          <w:rFonts w:ascii="Times New Roman" w:hAnsi="Times New Roman" w:eastAsia="仿宋_GB2312" w:cs="Times New Roman"/>
                          <w:sz w:val="28"/>
                          <w:szCs w:val="28"/>
                        </w:rPr>
                        <w:t xml:space="preserve">（北京时间）前递交响应文件。 </w:t>
                      </w:r>
                    </w:p>
                  </w:txbxContent>
                </v:textbox>
              </v:shape>
            </w:pict>
          </mc:Fallback>
        </mc:AlternateContent>
      </w:r>
    </w:p>
    <w:p w14:paraId="731C4F1C">
      <w:pPr>
        <w:spacing w:line="500" w:lineRule="exact"/>
        <w:ind w:firstLine="562"/>
        <w:jc w:val="center"/>
        <w:rPr>
          <w:rFonts w:hint="default" w:ascii="Times New Roman" w:hAnsi="Times New Roman" w:eastAsia="仿宋_GB2312" w:cs="Times New Roman"/>
          <w:b/>
          <w:color w:val="auto"/>
          <w:sz w:val="28"/>
          <w:szCs w:val="28"/>
          <w:lang w:eastAsia="zh-CN"/>
        </w:rPr>
      </w:pPr>
    </w:p>
    <w:p w14:paraId="7BEF91C7">
      <w:pPr>
        <w:spacing w:line="500" w:lineRule="exact"/>
        <w:ind w:firstLine="562"/>
        <w:jc w:val="center"/>
        <w:rPr>
          <w:rFonts w:hint="default" w:ascii="Times New Roman" w:hAnsi="Times New Roman" w:eastAsia="仿宋_GB2312" w:cs="Times New Roman"/>
          <w:b/>
          <w:bCs/>
          <w:color w:val="auto"/>
          <w:sz w:val="28"/>
          <w:szCs w:val="28"/>
          <w:lang w:eastAsia="zh-CN"/>
        </w:rPr>
      </w:pPr>
    </w:p>
    <w:p w14:paraId="41644DDA">
      <w:pPr>
        <w:spacing w:line="500" w:lineRule="exact"/>
        <w:ind w:firstLine="480"/>
        <w:jc w:val="left"/>
        <w:rPr>
          <w:rFonts w:hint="default" w:ascii="Times New Roman" w:hAnsi="Times New Roman" w:eastAsia="仿宋_GB2312" w:cs="Times New Roman"/>
          <w:color w:val="auto"/>
          <w:sz w:val="28"/>
          <w:szCs w:val="28"/>
          <w:lang w:eastAsia="zh-CN"/>
        </w:rPr>
      </w:pPr>
    </w:p>
    <w:p w14:paraId="535DC897">
      <w:pPr>
        <w:spacing w:line="500" w:lineRule="exact"/>
        <w:jc w:val="left"/>
        <w:rPr>
          <w:rFonts w:hint="default" w:ascii="Times New Roman" w:hAnsi="Times New Roman" w:eastAsia="方正小标宋_GBK" w:cs="Times New Roman"/>
          <w:b/>
          <w:bCs/>
          <w:color w:val="auto"/>
          <w:sz w:val="28"/>
          <w:szCs w:val="28"/>
          <w:lang w:val="en-US" w:eastAsia="zh-CN"/>
        </w:rPr>
      </w:pPr>
      <w:bookmarkStart w:id="5" w:name="_Toc1853601844_WPSOffice_Level2"/>
      <w:bookmarkStart w:id="6" w:name="_Toc1456310841_WPSOffice_Level2"/>
      <w:bookmarkStart w:id="7" w:name="_Toc2031125453_WPSOffice_Level2"/>
      <w:r>
        <w:rPr>
          <w:rFonts w:hint="default" w:ascii="Times New Roman" w:hAnsi="Times New Roman" w:eastAsia="方正小标宋_GBK" w:cs="Times New Roman"/>
          <w:b/>
          <w:bCs/>
          <w:color w:val="auto"/>
          <w:sz w:val="28"/>
          <w:szCs w:val="28"/>
          <w:lang w:val="en-US" w:eastAsia="zh-CN"/>
        </w:rPr>
        <w:t xml:space="preserve">    </w:t>
      </w:r>
      <w:bookmarkStart w:id="8" w:name="_Toc1811351892_WPSOffice_Level2"/>
    </w:p>
    <w:p w14:paraId="0F51F35C">
      <w:pPr>
        <w:spacing w:line="500" w:lineRule="exact"/>
        <w:jc w:val="left"/>
        <w:rPr>
          <w:rFonts w:hint="default" w:ascii="Times New Roman" w:hAnsi="Times New Roman" w:eastAsia="方正小标宋_GBK" w:cs="Times New Roman"/>
          <w:b/>
          <w:bCs/>
          <w:color w:val="auto"/>
          <w:sz w:val="28"/>
          <w:szCs w:val="28"/>
          <w:lang w:val="en-US" w:eastAsia="zh-CN"/>
        </w:rPr>
      </w:pPr>
      <w:r>
        <w:rPr>
          <w:rFonts w:hint="default" w:ascii="Times New Roman" w:hAnsi="Times New Roman" w:eastAsia="方正小标宋_GBK" w:cs="Times New Roman"/>
          <w:b/>
          <w:bCs/>
          <w:color w:val="auto"/>
          <w:sz w:val="28"/>
          <w:szCs w:val="28"/>
          <w:lang w:val="en-US" w:eastAsia="zh-CN"/>
        </w:rPr>
        <w:t xml:space="preserve">   </w:t>
      </w:r>
    </w:p>
    <w:p w14:paraId="79BA8DCF">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一、项目基本情况</w:t>
      </w:r>
    </w:p>
    <w:p w14:paraId="1D260B3A">
      <w:pPr>
        <w:spacing w:line="500" w:lineRule="exact"/>
        <w:ind w:firstLine="560" w:firstLineChars="200"/>
        <w:rPr>
          <w:rFonts w:hint="default" w:ascii="Times New Roman" w:hAnsi="Times New Roman" w:eastAsia="仿宋_GB2312" w:cs="Times New Roman"/>
          <w:color w:val="auto"/>
          <w:sz w:val="28"/>
          <w:szCs w:val="28"/>
          <w:highlight w:val="yellow"/>
          <w:lang w:val="en-US" w:eastAsia="zh-CN"/>
        </w:rPr>
      </w:pPr>
      <w:r>
        <w:rPr>
          <w:rFonts w:hint="default" w:ascii="Times New Roman" w:hAnsi="Times New Roman" w:eastAsia="仿宋_GB2312" w:cs="Times New Roman"/>
          <w:color w:val="auto"/>
          <w:sz w:val="28"/>
          <w:szCs w:val="28"/>
          <w:lang w:val="en-US" w:eastAsia="zh-CN"/>
        </w:rPr>
        <w:t>1、项目编号：</w:t>
      </w:r>
      <w:r>
        <w:rPr>
          <w:rFonts w:hint="eastAsia" w:ascii="Times New Roman" w:hAnsi="Times New Roman" w:eastAsia="仿宋_GB2312" w:cs="Times New Roman"/>
          <w:color w:val="auto"/>
          <w:sz w:val="28"/>
          <w:szCs w:val="28"/>
          <w:lang w:val="en-US" w:eastAsia="zh-CN"/>
        </w:rPr>
        <w:t>豫财磋商采购-2026-889</w:t>
      </w:r>
    </w:p>
    <w:p w14:paraId="7DF43BE9">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2、项目名称：</w:t>
      </w:r>
      <w:r>
        <w:rPr>
          <w:rFonts w:hint="eastAsia" w:ascii="Times New Roman" w:hAnsi="Times New Roman" w:eastAsia="仿宋_GB2312" w:cs="Times New Roman"/>
          <w:color w:val="auto"/>
          <w:sz w:val="28"/>
          <w:szCs w:val="28"/>
          <w:lang w:val="en" w:eastAsia="zh-CN"/>
        </w:rPr>
        <w:t>郑州铁路职业技术学院智慧教学环境更新与提升项目（二期)项目</w:t>
      </w:r>
      <w:r>
        <w:rPr>
          <w:rFonts w:hint="default" w:ascii="Times New Roman" w:hAnsi="Times New Roman" w:eastAsia="仿宋_GB2312" w:cs="Times New Roman"/>
          <w:color w:val="auto"/>
          <w:sz w:val="28"/>
          <w:szCs w:val="28"/>
          <w:lang w:val="en-US" w:eastAsia="zh-CN"/>
        </w:rPr>
        <w:t xml:space="preserve"> </w:t>
      </w:r>
    </w:p>
    <w:p w14:paraId="5AEE600C">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3、采购方式：竞争性磋商</w:t>
      </w:r>
    </w:p>
    <w:p w14:paraId="545B857E">
      <w:pPr>
        <w:spacing w:line="500" w:lineRule="exact"/>
        <w:ind w:firstLine="560" w:firstLineChars="200"/>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预算金额：</w:t>
      </w:r>
      <w:r>
        <w:rPr>
          <w:rFonts w:hint="default" w:ascii="Times New Roman" w:hAnsi="Times New Roman" w:eastAsia="仿宋" w:cs="Times New Roman"/>
          <w:color w:val="auto"/>
          <w:sz w:val="28"/>
          <w:szCs w:val="28"/>
          <w:lang w:eastAsia="zh-CN"/>
        </w:rPr>
        <w:t>1550000</w:t>
      </w:r>
      <w:r>
        <w:rPr>
          <w:rFonts w:hint="default" w:ascii="Times New Roman" w:hAnsi="Times New Roman" w:eastAsia="仿宋_GB2312" w:cs="Times New Roman"/>
          <w:color w:val="auto"/>
          <w:sz w:val="28"/>
          <w:szCs w:val="28"/>
          <w:lang w:eastAsia="zh-CN"/>
        </w:rPr>
        <w:t>元</w:t>
      </w:r>
    </w:p>
    <w:p w14:paraId="7BFA3A44">
      <w:pPr>
        <w:spacing w:line="500" w:lineRule="exact"/>
        <w:ind w:firstLine="977" w:firstLineChars="349"/>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最高限价：</w:t>
      </w:r>
      <w:r>
        <w:rPr>
          <w:rFonts w:ascii="Times New Roman" w:hAnsi="Times New Roman" w:eastAsia="仿宋" w:cs="Times New Roman"/>
          <w:color w:val="auto"/>
          <w:sz w:val="28"/>
          <w:szCs w:val="28"/>
          <w:lang w:eastAsia="zh-CN"/>
        </w:rPr>
        <w:t>1486156</w:t>
      </w:r>
      <w:r>
        <w:rPr>
          <w:rFonts w:hint="default" w:ascii="Times New Roman" w:hAnsi="Times New Roman" w:eastAsia="仿宋_GB2312" w:cs="Times New Roman"/>
          <w:color w:val="auto"/>
          <w:sz w:val="28"/>
          <w:szCs w:val="28"/>
          <w:lang w:eastAsia="zh-CN"/>
        </w:rPr>
        <w:t>元</w:t>
      </w:r>
    </w:p>
    <w:p w14:paraId="6A811E27">
      <w:pPr>
        <w:spacing w:line="500" w:lineRule="exact"/>
        <w:ind w:firstLine="560" w:firstLineChars="200"/>
        <w:rPr>
          <w:rFonts w:hint="default" w:ascii="Times New Roman" w:hAnsi="Times New Roman" w:eastAsia="仿宋_GB2312" w:cs="Times New Roman"/>
          <w:color w:val="auto"/>
          <w:sz w:val="28"/>
          <w:szCs w:val="28"/>
          <w:lang w:val="en-US" w:eastAsia="zh-CN"/>
        </w:rPr>
      </w:pPr>
    </w:p>
    <w:tbl>
      <w:tblPr>
        <w:tblStyle w:val="52"/>
        <w:tblW w:w="9638"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20"/>
        <w:gridCol w:w="2426"/>
        <w:gridCol w:w="2317"/>
        <w:gridCol w:w="2237"/>
        <w:gridCol w:w="2138"/>
      </w:tblGrid>
      <w:tr w14:paraId="336EE0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0" w:hRule="atLeast"/>
          <w:tblCellSpacing w:w="0" w:type="dxa"/>
          <w:jc w:val="center"/>
        </w:trPr>
        <w:tc>
          <w:tcPr>
            <w:tcW w:w="520" w:type="dxa"/>
            <w:tcMar>
              <w:top w:w="120" w:type="dxa"/>
            </w:tcMar>
            <w:vAlign w:val="center"/>
          </w:tcPr>
          <w:p w14:paraId="03240639">
            <w:pPr>
              <w:wordWrap w:val="0"/>
              <w:spacing w:line="420" w:lineRule="atLeas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0"/>
                <w:sz w:val="24"/>
                <w:szCs w:val="24"/>
                <w:lang w:val="en-US" w:eastAsia="zh-CN" w:bidi="ar"/>
              </w:rPr>
              <w:t>序号</w:t>
            </w:r>
          </w:p>
        </w:tc>
        <w:tc>
          <w:tcPr>
            <w:tcW w:w="2426" w:type="dxa"/>
            <w:tcMar>
              <w:top w:w="120" w:type="dxa"/>
            </w:tcMar>
            <w:vAlign w:val="center"/>
          </w:tcPr>
          <w:p w14:paraId="5A7BF362">
            <w:pPr>
              <w:wordWrap w:val="0"/>
              <w:spacing w:line="420" w:lineRule="atLeas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0"/>
                <w:sz w:val="24"/>
                <w:szCs w:val="24"/>
                <w:lang w:val="en-US" w:eastAsia="zh-CN" w:bidi="ar"/>
              </w:rPr>
              <w:t>包号</w:t>
            </w:r>
          </w:p>
        </w:tc>
        <w:tc>
          <w:tcPr>
            <w:tcW w:w="2317" w:type="dxa"/>
            <w:tcMar>
              <w:top w:w="120" w:type="dxa"/>
            </w:tcMar>
            <w:vAlign w:val="center"/>
          </w:tcPr>
          <w:p w14:paraId="441E06E6">
            <w:pPr>
              <w:wordWrap w:val="0"/>
              <w:spacing w:line="420" w:lineRule="atLeas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0"/>
                <w:sz w:val="24"/>
                <w:szCs w:val="24"/>
                <w:lang w:val="en-US" w:eastAsia="zh-CN" w:bidi="ar"/>
              </w:rPr>
              <w:t>包名称</w:t>
            </w:r>
          </w:p>
        </w:tc>
        <w:tc>
          <w:tcPr>
            <w:tcW w:w="2237" w:type="dxa"/>
            <w:tcMar>
              <w:top w:w="120" w:type="dxa"/>
            </w:tcMar>
            <w:vAlign w:val="center"/>
          </w:tcPr>
          <w:p w14:paraId="68908234">
            <w:pPr>
              <w:wordWrap w:val="0"/>
              <w:spacing w:line="420" w:lineRule="atLeas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0"/>
                <w:sz w:val="24"/>
                <w:szCs w:val="24"/>
                <w:lang w:val="en-US" w:eastAsia="zh-CN" w:bidi="ar"/>
              </w:rPr>
              <w:t>包预算（元）</w:t>
            </w:r>
          </w:p>
        </w:tc>
        <w:tc>
          <w:tcPr>
            <w:tcW w:w="2138" w:type="dxa"/>
            <w:tcMar>
              <w:top w:w="120" w:type="dxa"/>
            </w:tcMar>
            <w:vAlign w:val="center"/>
          </w:tcPr>
          <w:p w14:paraId="0AD374DE">
            <w:pPr>
              <w:wordWrap w:val="0"/>
              <w:spacing w:line="420" w:lineRule="atLeas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0"/>
                <w:sz w:val="24"/>
                <w:szCs w:val="24"/>
                <w:lang w:val="en-US" w:eastAsia="zh-CN" w:bidi="ar"/>
              </w:rPr>
              <w:t>包最高限价（元）</w:t>
            </w:r>
          </w:p>
        </w:tc>
      </w:tr>
      <w:tr w14:paraId="6E8443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137" w:hRule="atLeast"/>
          <w:tblCellSpacing w:w="0" w:type="dxa"/>
          <w:jc w:val="center"/>
        </w:trPr>
        <w:tc>
          <w:tcPr>
            <w:tcW w:w="520" w:type="dxa"/>
            <w:tcMar>
              <w:top w:w="120" w:type="dxa"/>
            </w:tcMar>
            <w:vAlign w:val="center"/>
          </w:tcPr>
          <w:p w14:paraId="2457113D">
            <w:pPr>
              <w:wordWrap w:val="0"/>
              <w:spacing w:line="420" w:lineRule="atLeast"/>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1</w:t>
            </w:r>
          </w:p>
        </w:tc>
        <w:tc>
          <w:tcPr>
            <w:tcW w:w="2426" w:type="dxa"/>
            <w:tcMar>
              <w:top w:w="120" w:type="dxa"/>
            </w:tcMar>
            <w:vAlign w:val="center"/>
          </w:tcPr>
          <w:p w14:paraId="4A6E4991">
            <w:pPr>
              <w:wordWrap w:val="0"/>
              <w:spacing w:line="420" w:lineRule="atLeast"/>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豫政采(1)20260255-1</w:t>
            </w:r>
          </w:p>
        </w:tc>
        <w:tc>
          <w:tcPr>
            <w:tcW w:w="2317" w:type="dxa"/>
            <w:tcMar>
              <w:top w:w="120" w:type="dxa"/>
            </w:tcMar>
            <w:vAlign w:val="center"/>
          </w:tcPr>
          <w:p w14:paraId="6A1D82C3">
            <w:pPr>
              <w:wordWrap w:val="0"/>
              <w:spacing w:line="420" w:lineRule="atLeast"/>
              <w:jc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8"/>
                <w:szCs w:val="28"/>
                <w:lang w:val="en" w:eastAsia="zh-CN"/>
              </w:rPr>
              <w:t>郑州铁路职业技术学院智慧教学环境更新与提升项目（二期)项目</w:t>
            </w:r>
          </w:p>
        </w:tc>
        <w:tc>
          <w:tcPr>
            <w:tcW w:w="2237" w:type="dxa"/>
            <w:tcMar>
              <w:top w:w="120" w:type="dxa"/>
            </w:tcMar>
            <w:vAlign w:val="center"/>
          </w:tcPr>
          <w:p w14:paraId="15B00819">
            <w:pPr>
              <w:wordWrap w:val="0"/>
              <w:spacing w:line="420" w:lineRule="atLeast"/>
              <w:jc w:val="center"/>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 w:cs="Times New Roman"/>
                <w:color w:val="auto"/>
                <w:sz w:val="28"/>
                <w:szCs w:val="28"/>
                <w:lang w:eastAsia="zh-CN"/>
              </w:rPr>
              <w:t>1550000</w:t>
            </w:r>
          </w:p>
        </w:tc>
        <w:tc>
          <w:tcPr>
            <w:tcW w:w="2138" w:type="dxa"/>
            <w:tcMar>
              <w:top w:w="120" w:type="dxa"/>
            </w:tcMar>
            <w:vAlign w:val="center"/>
          </w:tcPr>
          <w:p w14:paraId="6E817F53">
            <w:pPr>
              <w:wordWrap w:val="0"/>
              <w:spacing w:line="420" w:lineRule="atLeast"/>
              <w:jc w:val="center"/>
              <w:rPr>
                <w:rFonts w:hint="default" w:ascii="Times New Roman" w:hAnsi="Times New Roman" w:eastAsia="PMingLiU" w:cs="Times New Roman"/>
                <w:color w:val="auto"/>
                <w:sz w:val="24"/>
                <w:szCs w:val="24"/>
                <w:lang w:val="en-US"/>
              </w:rPr>
            </w:pPr>
            <w:r>
              <w:rPr>
                <w:rFonts w:ascii="Times New Roman" w:hAnsi="Times New Roman" w:eastAsia="仿宋" w:cs="Times New Roman"/>
                <w:color w:val="auto"/>
                <w:sz w:val="28"/>
                <w:szCs w:val="28"/>
                <w:lang w:eastAsia="zh-CN"/>
              </w:rPr>
              <w:t>1486156</w:t>
            </w:r>
          </w:p>
        </w:tc>
      </w:tr>
    </w:tbl>
    <w:p w14:paraId="037B6AE0">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5、采购需求（包括但不限于标的的名称、数量、简要技术需求或服务要求等）</w:t>
      </w:r>
    </w:p>
    <w:p w14:paraId="58917E34">
      <w:pPr>
        <w:spacing w:line="500" w:lineRule="exact"/>
        <w:ind w:firstLine="560" w:firstLineChars="200"/>
        <w:rPr>
          <w:rFonts w:hint="default" w:ascii="Times New Roman" w:hAnsi="Times New Roman" w:eastAsia="仿宋_GB2312" w:cs="Times New Roman"/>
          <w:color w:val="auto"/>
          <w:sz w:val="28"/>
          <w:szCs w:val="28"/>
          <w:highlight w:val="cyan"/>
          <w:lang w:val="en-US" w:eastAsia="zh-CN"/>
        </w:rPr>
      </w:pPr>
      <w:r>
        <w:rPr>
          <w:rFonts w:hint="default" w:ascii="Times New Roman" w:hAnsi="Times New Roman" w:eastAsia="仿宋_GB2312" w:cs="Times New Roman"/>
          <w:color w:val="auto"/>
          <w:sz w:val="28"/>
          <w:szCs w:val="28"/>
          <w:lang w:val="en-US" w:eastAsia="zh-CN"/>
        </w:rPr>
        <w:t>（1）采购内容：</w:t>
      </w:r>
      <w:r>
        <w:rPr>
          <w:rFonts w:hint="eastAsia" w:ascii="Times New Roman" w:hAnsi="Times New Roman" w:eastAsia="仿宋_GB2312" w:cs="Times New Roman"/>
          <w:color w:val="auto"/>
          <w:sz w:val="28"/>
          <w:szCs w:val="28"/>
          <w:lang w:val="en" w:eastAsia="zh-CN"/>
        </w:rPr>
        <w:t>郑州铁路职业技术学院智慧教学环境更新与提升项目（二期)项目</w:t>
      </w:r>
      <w:r>
        <w:rPr>
          <w:rFonts w:hint="default" w:ascii="Times New Roman" w:hAnsi="Times New Roman" w:eastAsia="仿宋_GB2312" w:cs="Times New Roman"/>
          <w:color w:val="auto"/>
          <w:sz w:val="28"/>
          <w:szCs w:val="28"/>
          <w:lang w:val="en-US" w:eastAsia="zh-CN"/>
        </w:rPr>
        <w:t>，共1个包。主要包含：智慧黑板7台、激光高清工程投影机 7台、激光高清工程投影机 8台、幕布 1为7套、幕布 2为8套、高清触摸显示器22台、多媒体智能终端22台、交互式主机22台、智慧教学录播终端（含终端管理软件）22台、智能AI分析主机（含智能课堂行为分析软件）1台、多媒体教室计算机云终端（管理端云桌面授权）15台、云桌面软件7套、高清云台摄像机44台、智慧扩声主机22台、壁挂式音箱44个、专业拾音麦22台、数字麦克风22套、教师讲桌21台、8口入室POE交换机22台、电源时序器22台、核心交换机1台、汇聚交换机1台、万兆光模块8套、机柜1个、磁盘阵列1套、图文工作站1台、高清显示器4台、桌椅60套、前墙吸音板21间、驻场运维服务1项、52平教室配件线材及系统集成1为2项、60-74平教室配件线材及系统集成2为11项、80-120平教室配件线材及系统集成3为8项、8617</w:t>
      </w:r>
      <w:r>
        <w:rPr>
          <w:rFonts w:hint="eastAsia" w:ascii="Times New Roman" w:hAnsi="Times New Roman" w:eastAsia="仿宋_GB2312" w:cs="Times New Roman"/>
          <w:color w:val="auto"/>
          <w:sz w:val="28"/>
          <w:szCs w:val="28"/>
          <w:lang w:val="en-US" w:eastAsia="zh-CN"/>
        </w:rPr>
        <w:t>（门牌号）</w:t>
      </w:r>
      <w:r>
        <w:rPr>
          <w:rFonts w:hint="default" w:ascii="Times New Roman" w:hAnsi="Times New Roman" w:eastAsia="仿宋_GB2312" w:cs="Times New Roman"/>
          <w:color w:val="auto"/>
          <w:sz w:val="28"/>
          <w:szCs w:val="28"/>
          <w:lang w:val="en-US" w:eastAsia="zh-CN"/>
        </w:rPr>
        <w:t>教室配件线材及系统集成4为1项、综合布线1套，含施工以及安装、调试、验收、质保期内服务、与货物相关的运输和保险及其它伴随服务等。</w:t>
      </w:r>
    </w:p>
    <w:p w14:paraId="0C60DBCF">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（2）交货期：合同签订后45个日历日内完成本项目的供货、安装及调试。</w:t>
      </w:r>
    </w:p>
    <w:p w14:paraId="49051AE3">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（3）交货地点：郑州铁路职业技术学院（河南省郑州市郑东新区通惠路298号）</w:t>
      </w:r>
      <w:r>
        <w:rPr>
          <w:rFonts w:hint="eastAsia" w:ascii="Times New Roman" w:hAnsi="Times New Roman" w:eastAsia="仿宋_GB2312" w:cs="Times New Roman"/>
          <w:color w:val="auto"/>
          <w:sz w:val="28"/>
          <w:szCs w:val="28"/>
          <w:lang w:val="en-US" w:eastAsia="zh-CN"/>
        </w:rPr>
        <w:t>。</w:t>
      </w:r>
    </w:p>
    <w:p w14:paraId="73D246DE">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（4）质量标准：合格</w:t>
      </w:r>
      <w:r>
        <w:rPr>
          <w:rFonts w:hint="eastAsia" w:ascii="Times New Roman" w:hAnsi="Times New Roman" w:eastAsia="仿宋_GB2312" w:cs="Times New Roman"/>
          <w:color w:val="auto"/>
          <w:sz w:val="28"/>
          <w:szCs w:val="28"/>
          <w:lang w:val="en-US" w:eastAsia="zh-CN"/>
        </w:rPr>
        <w:t>。</w:t>
      </w:r>
    </w:p>
    <w:p w14:paraId="07520B8D">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（5）质量保证期：</w:t>
      </w:r>
      <w:r>
        <w:rPr>
          <w:rFonts w:hint="default" w:ascii="Times New Roman" w:hAnsi="Times New Roman" w:eastAsia="仿宋" w:cs="Times New Roman"/>
          <w:color w:val="auto"/>
          <w:sz w:val="28"/>
          <w:szCs w:val="28"/>
          <w:lang w:val="en-US" w:eastAsia="zh-CN"/>
        </w:rPr>
        <w:t>3年，从验收合格之日起开始计算</w:t>
      </w:r>
      <w:r>
        <w:rPr>
          <w:rFonts w:hint="eastAsia" w:ascii="Times New Roman" w:hAnsi="Times New Roman" w:eastAsia="仿宋" w:cs="Times New Roman"/>
          <w:color w:val="auto"/>
          <w:sz w:val="28"/>
          <w:szCs w:val="28"/>
          <w:lang w:val="en-US" w:eastAsia="zh-CN"/>
        </w:rPr>
        <w:t>。</w:t>
      </w:r>
    </w:p>
    <w:p w14:paraId="4B1675CF">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6、合同履行期限：同交货期</w:t>
      </w:r>
    </w:p>
    <w:p w14:paraId="5845F7E1">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7、本项目是否接受联合体投标：否</w:t>
      </w:r>
    </w:p>
    <w:p w14:paraId="77304C4C">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8、是否接受进口产品：否</w:t>
      </w:r>
    </w:p>
    <w:p w14:paraId="05E30472">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9、是否专门面向中小企业：否</w:t>
      </w:r>
    </w:p>
    <w:p w14:paraId="51609598">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二、申请人资格要求：</w:t>
      </w:r>
    </w:p>
    <w:p w14:paraId="4A22AEED">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1、满足《中华人民共和国政府采购法》第二十二条规定；</w:t>
      </w:r>
    </w:p>
    <w:p w14:paraId="6DFE0598">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2、落实政府采购政策满足的资格要求：</w:t>
      </w:r>
    </w:p>
    <w:p w14:paraId="21D3C521">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无</w:t>
      </w:r>
    </w:p>
    <w:p w14:paraId="33D0EBEE">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3、本项目的特定资格要求</w:t>
      </w:r>
    </w:p>
    <w:p w14:paraId="212105D4">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无</w:t>
      </w:r>
    </w:p>
    <w:p w14:paraId="0C3ACBDB">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三、获取采购文件</w:t>
      </w:r>
    </w:p>
    <w:p w14:paraId="16492E60">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1.时间：2026年</w:t>
      </w:r>
      <w:r>
        <w:rPr>
          <w:rFonts w:hint="eastAsia"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val="en-US" w:eastAsia="zh-CN"/>
        </w:rPr>
        <w:t>月</w:t>
      </w:r>
      <w:r>
        <w:rPr>
          <w:rFonts w:hint="eastAsia" w:ascii="Times New Roman" w:hAnsi="Times New Roman" w:eastAsia="仿宋_GB2312" w:cs="Times New Roman"/>
          <w:color w:val="auto"/>
          <w:sz w:val="28"/>
          <w:szCs w:val="28"/>
          <w:u w:val="none"/>
          <w:lang w:val="en-US" w:eastAsia="zh-CN"/>
        </w:rPr>
        <w:t>24</w:t>
      </w:r>
      <w:r>
        <w:rPr>
          <w:rFonts w:hint="default" w:ascii="Times New Roman" w:hAnsi="Times New Roman" w:eastAsia="仿宋_GB2312" w:cs="Times New Roman"/>
          <w:color w:val="auto"/>
          <w:sz w:val="28"/>
          <w:szCs w:val="28"/>
          <w:lang w:val="en-US" w:eastAsia="zh-CN"/>
        </w:rPr>
        <w:t>日至 2026年</w:t>
      </w:r>
      <w:r>
        <w:rPr>
          <w:rFonts w:hint="eastAsia" w:ascii="Times New Roman" w:hAnsi="Times New Roman" w:eastAsia="仿宋_GB2312" w:cs="Times New Roman"/>
          <w:color w:val="auto"/>
          <w:sz w:val="28"/>
          <w:szCs w:val="28"/>
          <w:lang w:val="en-US" w:eastAsia="zh-CN"/>
        </w:rPr>
        <w:t>10</w:t>
      </w:r>
      <w:r>
        <w:rPr>
          <w:rFonts w:hint="default" w:ascii="Times New Roman" w:hAnsi="Times New Roman" w:eastAsia="仿宋_GB2312" w:cs="Times New Roman"/>
          <w:color w:val="auto"/>
          <w:sz w:val="28"/>
          <w:szCs w:val="28"/>
          <w:lang w:val="en-US" w:eastAsia="zh-CN"/>
        </w:rPr>
        <w:t>月</w:t>
      </w:r>
      <w:r>
        <w:rPr>
          <w:rFonts w:hint="eastAsia" w:ascii="Times New Roman" w:hAnsi="Times New Roman" w:eastAsia="仿宋_GB2312" w:cs="Times New Roman"/>
          <w:color w:val="auto"/>
          <w:sz w:val="28"/>
          <w:szCs w:val="28"/>
          <w:u w:val="none"/>
          <w:lang w:val="en-US" w:eastAsia="zh-CN"/>
        </w:rPr>
        <w:t>9</w:t>
      </w:r>
      <w:r>
        <w:rPr>
          <w:rFonts w:hint="default" w:ascii="Times New Roman" w:hAnsi="Times New Roman" w:eastAsia="仿宋_GB2312" w:cs="Times New Roman"/>
          <w:color w:val="auto"/>
          <w:sz w:val="28"/>
          <w:szCs w:val="28"/>
          <w:lang w:val="en-US" w:eastAsia="zh-CN"/>
        </w:rPr>
        <w:t>日，每天上午00：00至12：00，下午12：00至23：59（北京时间，法定节假日除外。）</w:t>
      </w:r>
    </w:p>
    <w:p w14:paraId="155E0C44">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2.地点：河南省公共资源交易中心网站（hnsggzyjy.henan.gov.cn）</w:t>
      </w:r>
    </w:p>
    <w:p w14:paraId="45BCCCDF">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3.方式：供应商</w:t>
      </w:r>
      <w:r>
        <w:rPr>
          <w:rFonts w:hint="default" w:ascii="Times New Roman" w:hAnsi="Times New Roman" w:eastAsia="仿宋" w:cs="Times New Roman"/>
          <w:color w:val="auto"/>
          <w:sz w:val="28"/>
          <w:szCs w:val="28"/>
          <w:lang w:eastAsia="zh-CN"/>
        </w:rPr>
        <w:t>使用CA数字证书登录“河南省公共资源交易中心网</w:t>
      </w:r>
      <w:r>
        <w:rPr>
          <w:rFonts w:hint="default" w:ascii="Times New Roman" w:hAnsi="Times New Roman" w:eastAsia="仿宋" w:cs="Times New Roman"/>
          <w:color w:val="auto"/>
          <w:sz w:val="28"/>
          <w:szCs w:val="28"/>
          <w:lang w:val="en-US" w:eastAsia="zh-CN"/>
        </w:rPr>
        <w:t>站</w:t>
      </w:r>
      <w:r>
        <w:rPr>
          <w:rFonts w:hint="default" w:ascii="Times New Roman" w:hAnsi="Times New Roman" w:eastAsia="仿宋" w:cs="Times New Roman"/>
          <w:color w:val="auto"/>
          <w:sz w:val="28"/>
          <w:szCs w:val="28"/>
          <w:lang w:eastAsia="zh-CN"/>
        </w:rPr>
        <w:t>（hnsggzyjy.henan.gov.cn）”，并按网上提示下载采购项目所含格式(.hnzf)的</w:t>
      </w:r>
      <w:r>
        <w:rPr>
          <w:rFonts w:hint="default" w:ascii="Times New Roman" w:hAnsi="Times New Roman" w:eastAsia="仿宋" w:cs="Times New Roman"/>
          <w:color w:val="auto"/>
          <w:sz w:val="28"/>
          <w:szCs w:val="28"/>
          <w:lang w:val="en" w:eastAsia="zh-CN"/>
        </w:rPr>
        <w:t>竞争性磋商文件</w:t>
      </w:r>
      <w:r>
        <w:rPr>
          <w:rFonts w:hint="default" w:ascii="Times New Roman" w:hAnsi="Times New Roman" w:eastAsia="仿宋" w:cs="Times New Roman"/>
          <w:color w:val="auto"/>
          <w:sz w:val="28"/>
          <w:szCs w:val="28"/>
          <w:lang w:eastAsia="zh-CN"/>
        </w:rPr>
        <w:t>及资料。注册、登录、下载等</w:t>
      </w:r>
      <w:r>
        <w:rPr>
          <w:rFonts w:hint="default" w:ascii="Times New Roman" w:hAnsi="Times New Roman" w:eastAsia="仿宋" w:cs="Times New Roman"/>
          <w:color w:val="auto"/>
          <w:sz w:val="28"/>
          <w:szCs w:val="28"/>
          <w:lang w:val="en-US" w:eastAsia="zh-CN"/>
        </w:rPr>
        <w:t>具体事宜请查阅河南省公共资源交易中心网站“公共服务”→“办事指南”。</w:t>
      </w:r>
    </w:p>
    <w:p w14:paraId="617683C7">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4.售价：0元</w:t>
      </w:r>
    </w:p>
    <w:p w14:paraId="3E5FD440">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四、响应文件提交</w:t>
      </w:r>
    </w:p>
    <w:p w14:paraId="6FB333D2">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1.时间：2026年</w:t>
      </w:r>
      <w:r>
        <w:rPr>
          <w:rFonts w:hint="eastAsia" w:ascii="Times New Roman" w:hAnsi="Times New Roman" w:eastAsia="仿宋_GB2312" w:cs="Times New Roman"/>
          <w:color w:val="auto"/>
          <w:sz w:val="28"/>
          <w:szCs w:val="28"/>
          <w:u w:val="none"/>
          <w:lang w:val="en-US" w:eastAsia="zh-CN"/>
        </w:rPr>
        <w:t>10</w:t>
      </w:r>
      <w:r>
        <w:rPr>
          <w:rFonts w:hint="default" w:ascii="Times New Roman" w:hAnsi="Times New Roman" w:eastAsia="仿宋_GB2312" w:cs="Times New Roman"/>
          <w:color w:val="auto"/>
          <w:sz w:val="28"/>
          <w:szCs w:val="28"/>
          <w:lang w:val="en-US" w:eastAsia="zh-CN"/>
        </w:rPr>
        <w:t>月</w:t>
      </w:r>
      <w:r>
        <w:rPr>
          <w:rFonts w:hint="eastAsia" w:ascii="Times New Roman" w:hAnsi="Times New Roman" w:eastAsia="仿宋_GB2312" w:cs="Times New Roman"/>
          <w:color w:val="auto"/>
          <w:sz w:val="28"/>
          <w:szCs w:val="28"/>
          <w:u w:val="none"/>
          <w:lang w:val="en-US" w:eastAsia="zh-CN"/>
        </w:rPr>
        <w:t>14</w:t>
      </w:r>
      <w:r>
        <w:rPr>
          <w:rFonts w:hint="default" w:ascii="Times New Roman" w:hAnsi="Times New Roman" w:eastAsia="仿宋_GB2312" w:cs="Times New Roman"/>
          <w:color w:val="auto"/>
          <w:sz w:val="28"/>
          <w:szCs w:val="28"/>
          <w:lang w:val="en-US" w:eastAsia="zh-CN"/>
        </w:rPr>
        <w:t>日09时00分（北京时间）</w:t>
      </w:r>
    </w:p>
    <w:p w14:paraId="739C4B8A">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2.地点：河南省公共资源交易中心网站（hnsggzyjy.henan.gov.cn）</w:t>
      </w:r>
    </w:p>
    <w:p w14:paraId="11B7B781">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五、响应文件开启</w:t>
      </w:r>
    </w:p>
    <w:p w14:paraId="7BCB6526">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1.时间：2026年</w:t>
      </w:r>
      <w:r>
        <w:rPr>
          <w:rFonts w:hint="eastAsia" w:ascii="Times New Roman" w:hAnsi="Times New Roman" w:eastAsia="仿宋_GB2312" w:cs="Times New Roman"/>
          <w:color w:val="auto"/>
          <w:sz w:val="28"/>
          <w:szCs w:val="28"/>
          <w:u w:val="none"/>
          <w:lang w:val="en-US" w:eastAsia="zh-CN"/>
        </w:rPr>
        <w:t>10</w:t>
      </w:r>
      <w:r>
        <w:rPr>
          <w:rFonts w:hint="default" w:ascii="Times New Roman" w:hAnsi="Times New Roman" w:eastAsia="仿宋_GB2312" w:cs="Times New Roman"/>
          <w:color w:val="auto"/>
          <w:sz w:val="28"/>
          <w:szCs w:val="28"/>
          <w:lang w:val="en-US" w:eastAsia="zh-CN"/>
        </w:rPr>
        <w:t>月</w:t>
      </w:r>
      <w:r>
        <w:rPr>
          <w:rFonts w:hint="eastAsia" w:ascii="Times New Roman" w:hAnsi="Times New Roman" w:eastAsia="仿宋_GB2312" w:cs="Times New Roman"/>
          <w:color w:val="auto"/>
          <w:sz w:val="28"/>
          <w:szCs w:val="28"/>
          <w:u w:val="none"/>
          <w:lang w:val="en-US" w:eastAsia="zh-CN"/>
        </w:rPr>
        <w:t>14</w:t>
      </w:r>
      <w:r>
        <w:rPr>
          <w:rFonts w:hint="default" w:ascii="Times New Roman" w:hAnsi="Times New Roman" w:eastAsia="仿宋_GB2312" w:cs="Times New Roman"/>
          <w:color w:val="auto"/>
          <w:sz w:val="28"/>
          <w:szCs w:val="28"/>
          <w:lang w:val="en-US" w:eastAsia="zh-CN"/>
        </w:rPr>
        <w:t>日09时00分（北京时间）</w:t>
      </w:r>
    </w:p>
    <w:p w14:paraId="65A02701">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2.地点：河南省公共资源交易中心远程开标室；“河南省公共资源交易中心”网站（hnsggzyjy.henan.gov.cn）。</w:t>
      </w:r>
    </w:p>
    <w:p w14:paraId="0D162DBA">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六、发布公告的媒介及招标公告期限</w:t>
      </w:r>
    </w:p>
    <w:p w14:paraId="6392F90E">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本次招标公告在《河南省政府采购网》《河南省公共资源交易中心网》上发布，招标公告期限为三个工作日 。</w:t>
      </w:r>
    </w:p>
    <w:p w14:paraId="0FA81E0D">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七、其他补充事宜</w:t>
      </w:r>
    </w:p>
    <w:p w14:paraId="0A3E37CB">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本项目落实节约能源、保护环境、促进中小企业发展等政府采购政策。</w:t>
      </w:r>
    </w:p>
    <w:p w14:paraId="0B47DD55">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八、凡对本次招标提出询问，请按照以下方式联系</w:t>
      </w:r>
    </w:p>
    <w:p w14:paraId="60200F46">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1.采购人信息</w:t>
      </w:r>
    </w:p>
    <w:p w14:paraId="20343DA4">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名称：郑州铁路职业技术学院 </w:t>
      </w:r>
    </w:p>
    <w:p w14:paraId="15368493">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地址：河南省郑州市郑东新区通惠路298号</w:t>
      </w:r>
    </w:p>
    <w:p w14:paraId="55C8B694">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联系人：王老师</w:t>
      </w:r>
    </w:p>
    <w:p w14:paraId="7AFCA188">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联系方式：</w:t>
      </w:r>
      <w:bookmarkStart w:id="9" w:name="OLE_LINK6"/>
      <w:bookmarkStart w:id="10" w:name="OLE_LINK5"/>
      <w:r>
        <w:rPr>
          <w:rFonts w:hint="default" w:ascii="Times New Roman" w:hAnsi="Times New Roman" w:eastAsia="仿宋_GB2312" w:cs="Times New Roman"/>
          <w:color w:val="auto"/>
          <w:sz w:val="28"/>
          <w:szCs w:val="28"/>
          <w:lang w:val="en-US" w:eastAsia="zh-CN"/>
        </w:rPr>
        <w:t>0371-60867917</w:t>
      </w:r>
      <w:bookmarkEnd w:id="9"/>
      <w:bookmarkEnd w:id="10"/>
    </w:p>
    <w:p w14:paraId="11C5D5CD">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2.采购代理机构信息（如有）</w:t>
      </w:r>
    </w:p>
    <w:p w14:paraId="032E1589">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名称：河南省公共资源交易中心</w:t>
      </w:r>
    </w:p>
    <w:p w14:paraId="6EA3ADB1">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地址：郑州市经二路12号</w:t>
      </w:r>
    </w:p>
    <w:p w14:paraId="134305EF">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联系人：郭老师 余老师 沈老师</w:t>
      </w:r>
    </w:p>
    <w:p w14:paraId="2E00C404">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联系方式：0371-65915560</w:t>
      </w:r>
    </w:p>
    <w:p w14:paraId="0B6FFE00">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3.项目联系方式</w:t>
      </w:r>
    </w:p>
    <w:p w14:paraId="5A9CAB8E">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联系人：刘江玮</w:t>
      </w:r>
    </w:p>
    <w:p w14:paraId="52FE1E37">
      <w:pPr>
        <w:spacing w:line="500" w:lineRule="exact"/>
        <w:ind w:firstLine="560" w:firstLineChars="200"/>
        <w:rPr>
          <w:rFonts w:hint="default" w:ascii="Times New Roman" w:hAnsi="Times New Roman" w:eastAsia="仿宋_GB2312" w:cs="Times New Roman"/>
          <w:color w:val="auto"/>
          <w:sz w:val="28"/>
          <w:szCs w:val="28"/>
          <w:lang w:val="en-US" w:eastAsia="zh-CN"/>
        </w:rPr>
        <w:sectPr>
          <w:footerReference r:id="rId4" w:type="default"/>
          <w:pgSz w:w="11900" w:h="16840"/>
          <w:pgMar w:top="1440" w:right="1797" w:bottom="1440" w:left="1797" w:header="851" w:footer="992" w:gutter="0"/>
          <w:pgNumType w:start="1"/>
          <w:cols w:space="720" w:num="1"/>
        </w:sectPr>
      </w:pPr>
      <w:r>
        <w:rPr>
          <w:rFonts w:hint="default" w:ascii="Times New Roman" w:hAnsi="Times New Roman" w:eastAsia="仿宋_GB2312" w:cs="Times New Roman"/>
          <w:color w:val="auto"/>
          <w:sz w:val="28"/>
          <w:szCs w:val="28"/>
          <w:lang w:val="en-US" w:eastAsia="zh-CN"/>
        </w:rPr>
        <w:t>联系方式：0371-608</w:t>
      </w:r>
      <w:r>
        <w:rPr>
          <w:rFonts w:hint="eastAsia"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7390</w:t>
      </w:r>
    </w:p>
    <w:bookmarkEnd w:id="5"/>
    <w:bookmarkEnd w:id="6"/>
    <w:bookmarkEnd w:id="7"/>
    <w:bookmarkEnd w:id="8"/>
    <w:p w14:paraId="15150A63">
      <w:pPr>
        <w:spacing w:line="500" w:lineRule="exact"/>
        <w:jc w:val="center"/>
        <w:outlineLvl w:val="0"/>
        <w:rPr>
          <w:rFonts w:hint="default" w:ascii="Times New Roman" w:hAnsi="Times New Roman" w:eastAsia="宋体" w:cs="Times New Roman"/>
          <w:b/>
          <w:bCs/>
          <w:color w:val="auto"/>
          <w:sz w:val="36"/>
          <w:szCs w:val="36"/>
          <w:lang w:eastAsia="zh-CN"/>
        </w:rPr>
      </w:pPr>
      <w:bookmarkStart w:id="11" w:name="_Toc711856750"/>
      <w:bookmarkStart w:id="12" w:name="_Toc31156"/>
      <w:bookmarkStart w:id="13" w:name="_Toc8664905"/>
      <w:bookmarkStart w:id="14" w:name="_Toc237350522_WPSOffice_Level1"/>
      <w:bookmarkStart w:id="15" w:name="_Toc300363790"/>
      <w:bookmarkStart w:id="16" w:name="_Toc308141697"/>
      <w:bookmarkStart w:id="17" w:name="_Toc1415346380_WPSOffice_Level1"/>
      <w:bookmarkStart w:id="18" w:name="_Toc63558279_WPSOffice_Level1"/>
      <w:bookmarkStart w:id="19" w:name="_Toc1644299675"/>
      <w:bookmarkStart w:id="20" w:name="_Toc2100027940"/>
      <w:bookmarkStart w:id="21" w:name="_Toc764191523_WPSOffice_Level1"/>
      <w:bookmarkStart w:id="22" w:name="_Toc839610870"/>
      <w:bookmarkStart w:id="23" w:name="_Toc140667688"/>
      <w:bookmarkStart w:id="24" w:name="_Toc310774132_WPSOffice_Level1"/>
      <w:bookmarkStart w:id="25" w:name="_Toc1340807913"/>
      <w:bookmarkStart w:id="26" w:name="_Toc335147862_WPSOffice_Level1"/>
      <w:bookmarkStart w:id="27" w:name="_Toc1839196008_WPSOffice_Level1"/>
      <w:bookmarkStart w:id="28" w:name="_Toc2024009066"/>
      <w:bookmarkStart w:id="29" w:name="_Toc71178543"/>
      <w:bookmarkStart w:id="30" w:name="_Toc1224265812"/>
      <w:r>
        <w:rPr>
          <w:rFonts w:hint="default" w:ascii="Times New Roman" w:hAnsi="Times New Roman" w:eastAsia="宋体" w:cs="Times New Roman"/>
          <w:b/>
          <w:bCs/>
          <w:color w:val="auto"/>
          <w:sz w:val="36"/>
          <w:szCs w:val="36"/>
          <w:lang w:eastAsia="zh-CN"/>
        </w:rPr>
        <w:t>第二章 供应商须知前附表</w:t>
      </w:r>
      <w:bookmarkEnd w:id="11"/>
      <w:bookmarkEnd w:id="12"/>
      <w:bookmarkEnd w:id="13"/>
    </w:p>
    <w:p w14:paraId="00B28D54">
      <w:pPr>
        <w:spacing w:line="360" w:lineRule="auto"/>
        <w:ind w:firstLine="36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本表是对供应商须知的具体补充和修改。</w:t>
      </w:r>
    </w:p>
    <w:tbl>
      <w:tblPr>
        <w:tblStyle w:val="52"/>
        <w:tblW w:w="8703" w:type="dxa"/>
        <w:tblInd w:w="1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952"/>
        <w:gridCol w:w="7751"/>
      </w:tblGrid>
      <w:tr w14:paraId="30307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60" w:hRule="atLeast"/>
          <w:tblHeader/>
        </w:trPr>
        <w:tc>
          <w:tcPr>
            <w:tcW w:w="952" w:type="dxa"/>
            <w:vAlign w:val="center"/>
          </w:tcPr>
          <w:p w14:paraId="70B9A620">
            <w:pPr>
              <w:spacing w:line="500" w:lineRule="exact"/>
              <w:jc w:val="center"/>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rPr>
              <w:t>条款号</w:t>
            </w:r>
          </w:p>
        </w:tc>
        <w:tc>
          <w:tcPr>
            <w:tcW w:w="7751" w:type="dxa"/>
            <w:vAlign w:val="center"/>
          </w:tcPr>
          <w:p w14:paraId="77A7E304">
            <w:pPr>
              <w:spacing w:line="500" w:lineRule="exact"/>
              <w:jc w:val="center"/>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rPr>
              <w:t>内      容</w:t>
            </w:r>
          </w:p>
        </w:tc>
      </w:tr>
      <w:tr w14:paraId="78C0A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80" w:hRule="atLeast"/>
        </w:trPr>
        <w:tc>
          <w:tcPr>
            <w:tcW w:w="952" w:type="dxa"/>
            <w:vAlign w:val="center"/>
          </w:tcPr>
          <w:p w14:paraId="7E4C6E7D">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1.2</w:t>
            </w:r>
          </w:p>
        </w:tc>
        <w:tc>
          <w:tcPr>
            <w:tcW w:w="7751" w:type="dxa"/>
            <w:vAlign w:val="center"/>
          </w:tcPr>
          <w:p w14:paraId="0AC8621C">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 w:eastAsia="zh-CN"/>
              </w:rPr>
              <w:t>项目名称</w:t>
            </w:r>
            <w:r>
              <w:rPr>
                <w:rFonts w:hint="default"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郑州铁路职业技术学院智慧教学环境更新与提升项目（二期)项目</w:t>
            </w:r>
          </w:p>
        </w:tc>
      </w:tr>
      <w:tr w14:paraId="5CDA8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10" w:hRule="atLeast"/>
        </w:trPr>
        <w:tc>
          <w:tcPr>
            <w:tcW w:w="952" w:type="dxa"/>
            <w:vAlign w:val="center"/>
          </w:tcPr>
          <w:p w14:paraId="1BEFFC28">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1.3</w:t>
            </w:r>
          </w:p>
        </w:tc>
        <w:tc>
          <w:tcPr>
            <w:tcW w:w="7751" w:type="dxa"/>
            <w:vAlign w:val="center"/>
          </w:tcPr>
          <w:p w14:paraId="252C37C7">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项目编号：</w:t>
            </w:r>
            <w:r>
              <w:rPr>
                <w:rFonts w:hint="eastAsia" w:ascii="Times New Roman" w:hAnsi="Times New Roman" w:eastAsia="仿宋_GB2312" w:cs="Times New Roman"/>
                <w:color w:val="auto"/>
                <w:sz w:val="28"/>
                <w:szCs w:val="28"/>
                <w:lang w:val="en-US" w:eastAsia="zh-CN"/>
              </w:rPr>
              <w:t>豫财磋商采购-2026-889</w:t>
            </w:r>
            <w:r>
              <w:rPr>
                <w:rFonts w:hint="default" w:ascii="Times New Roman" w:hAnsi="Times New Roman" w:eastAsia="仿宋_GB2312" w:cs="Times New Roman"/>
                <w:color w:val="auto"/>
                <w:sz w:val="28"/>
                <w:szCs w:val="28"/>
                <w:lang w:val="en-US" w:eastAsia="zh-CN"/>
              </w:rPr>
              <w:t xml:space="preserve"> </w:t>
            </w:r>
          </w:p>
        </w:tc>
      </w:tr>
      <w:tr w14:paraId="15A5F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303600C4">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1.4</w:t>
            </w:r>
          </w:p>
        </w:tc>
        <w:tc>
          <w:tcPr>
            <w:tcW w:w="7751" w:type="dxa"/>
            <w:vAlign w:val="center"/>
          </w:tcPr>
          <w:p w14:paraId="54CFF490">
            <w:pPr>
              <w:spacing w:line="500" w:lineRule="exact"/>
              <w:rPr>
                <w:rFonts w:hint="default" w:ascii="Times New Roman" w:hAnsi="Times New Roman" w:cs="Times New Roman"/>
                <w:color w:val="auto"/>
                <w:lang w:eastAsia="zh-CN"/>
              </w:rPr>
            </w:pPr>
            <w:r>
              <w:rPr>
                <w:rFonts w:hint="default" w:ascii="Times New Roman" w:hAnsi="Times New Roman" w:eastAsia="仿宋_GB2312" w:cs="Times New Roman"/>
                <w:color w:val="auto"/>
                <w:sz w:val="28"/>
                <w:szCs w:val="28"/>
                <w:lang w:eastAsia="zh-CN"/>
              </w:rPr>
              <w:t>采购项目简要说明：同第一章</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竞争性磋商邀请</w:t>
            </w:r>
          </w:p>
        </w:tc>
      </w:tr>
      <w:tr w14:paraId="0C35D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10AE7433">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2.2</w:t>
            </w:r>
          </w:p>
        </w:tc>
        <w:tc>
          <w:tcPr>
            <w:tcW w:w="7751" w:type="dxa"/>
            <w:vAlign w:val="center"/>
          </w:tcPr>
          <w:p w14:paraId="39D50059">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val="en-US" w:eastAsia="zh-CN"/>
              </w:rPr>
              <w:t>郑州铁路职业技术学院</w:t>
            </w:r>
            <w:r>
              <w:rPr>
                <w:rFonts w:hint="default" w:ascii="Times New Roman" w:hAnsi="Times New Roman" w:eastAsia="仿宋_GB2312" w:cs="Times New Roman"/>
                <w:color w:val="auto"/>
                <w:sz w:val="28"/>
                <w:szCs w:val="28"/>
                <w:lang w:eastAsia="zh-CN"/>
              </w:rPr>
              <w:t xml:space="preserve"> </w:t>
            </w:r>
          </w:p>
          <w:p w14:paraId="02CDA2D7">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地址：</w:t>
            </w:r>
            <w:r>
              <w:rPr>
                <w:rFonts w:hint="default" w:ascii="Times New Roman" w:hAnsi="Times New Roman" w:eastAsia="仿宋_GB2312" w:cs="Times New Roman"/>
                <w:color w:val="auto"/>
                <w:sz w:val="28"/>
                <w:szCs w:val="28"/>
                <w:lang w:val="en-US" w:eastAsia="zh-CN"/>
              </w:rPr>
              <w:t>河南省郑州市郑东新区通惠路298号</w:t>
            </w:r>
          </w:p>
          <w:p w14:paraId="63C2BA15">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联系人：</w:t>
            </w:r>
            <w:r>
              <w:rPr>
                <w:rFonts w:hint="default" w:ascii="Times New Roman" w:hAnsi="Times New Roman" w:eastAsia="仿宋_GB2312" w:cs="Times New Roman"/>
                <w:color w:val="auto"/>
                <w:sz w:val="28"/>
                <w:szCs w:val="28"/>
                <w:lang w:val="en-US" w:eastAsia="zh-CN"/>
              </w:rPr>
              <w:t>王老师</w:t>
            </w:r>
          </w:p>
          <w:p w14:paraId="65798AED">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联系方式：</w:t>
            </w:r>
            <w:r>
              <w:rPr>
                <w:rFonts w:hint="default" w:ascii="Times New Roman" w:hAnsi="Times New Roman" w:eastAsia="仿宋_GB2312" w:cs="Times New Roman"/>
                <w:color w:val="auto"/>
                <w:sz w:val="28"/>
                <w:szCs w:val="28"/>
                <w:lang w:val="en-US" w:eastAsia="zh-CN"/>
              </w:rPr>
              <w:t>0371-60867917</w:t>
            </w:r>
          </w:p>
          <w:p w14:paraId="5B86CBDF">
            <w:pPr>
              <w:spacing w:line="500" w:lineRule="exact"/>
              <w:jc w:val="left"/>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邮箱：</w:t>
            </w:r>
            <w:r>
              <w:rPr>
                <w:rFonts w:hint="default" w:ascii="Times New Roman" w:hAnsi="Times New Roman" w:eastAsia="仿宋_GB2312" w:cs="Times New Roman"/>
                <w:color w:val="auto"/>
                <w:sz w:val="28"/>
                <w:szCs w:val="28"/>
                <w:lang w:val="en-US"/>
              </w:rPr>
              <w:t>ztzy_zb@163.com</w:t>
            </w:r>
          </w:p>
        </w:tc>
      </w:tr>
      <w:tr w14:paraId="10072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934" w:hRule="atLeast"/>
        </w:trPr>
        <w:tc>
          <w:tcPr>
            <w:tcW w:w="952" w:type="dxa"/>
            <w:vAlign w:val="center"/>
          </w:tcPr>
          <w:p w14:paraId="4DC106C2">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2.3</w:t>
            </w:r>
          </w:p>
        </w:tc>
        <w:tc>
          <w:tcPr>
            <w:tcW w:w="7751" w:type="dxa"/>
            <w:vAlign w:val="center"/>
          </w:tcPr>
          <w:p w14:paraId="55A00BC7">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集中采购机构：河南省公共资源交易中心</w:t>
            </w:r>
          </w:p>
          <w:p w14:paraId="261F8B1A">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地址：郑州市经二路12号</w:t>
            </w:r>
          </w:p>
          <w:p w14:paraId="099FE7A8">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联系人：郭老师 余老师 沈老师</w:t>
            </w:r>
          </w:p>
          <w:p w14:paraId="2AC1B10A">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联系方式：0371-65915560</w:t>
            </w:r>
          </w:p>
          <w:p w14:paraId="22BE669A">
            <w:pPr>
              <w:spacing w:line="500" w:lineRule="exact"/>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邮箱：</w:t>
            </w:r>
            <w:r>
              <w:rPr>
                <w:rFonts w:hint="default" w:ascii="Times New Roman" w:hAnsi="Times New Roman" w:cs="Times New Roman"/>
              </w:rPr>
              <w:fldChar w:fldCharType="begin"/>
            </w:r>
            <w:r>
              <w:rPr>
                <w:rFonts w:hint="default" w:ascii="Times New Roman" w:hAnsi="Times New Roman" w:cs="Times New Roman"/>
                <w:lang w:val="en-US"/>
              </w:rPr>
              <w:instrText xml:space="preserve">HYPERLINK "mailto:hnggzyzfcg@163.com"</w:instrText>
            </w:r>
            <w:r>
              <w:rPr>
                <w:rFonts w:hint="default" w:ascii="Times New Roman" w:hAnsi="Times New Roman" w:cs="Times New Roman"/>
              </w:rPr>
              <w:fldChar w:fldCharType="separate"/>
            </w:r>
            <w:r>
              <w:rPr>
                <w:rFonts w:hint="default" w:ascii="Times New Roman" w:hAnsi="Times New Roman" w:eastAsia="仿宋_GB2312" w:cs="Times New Roman"/>
                <w:color w:val="auto"/>
                <w:sz w:val="28"/>
                <w:szCs w:val="28"/>
                <w:lang w:val="en-US" w:eastAsia="zh-CN"/>
              </w:rPr>
              <w:t>hnggzyzfcg@163.com</w:t>
            </w:r>
            <w:r>
              <w:rPr>
                <w:rFonts w:hint="default" w:ascii="Times New Roman" w:hAnsi="Times New Roman" w:cs="Times New Roman"/>
              </w:rPr>
              <w:fldChar w:fldCharType="end"/>
            </w:r>
          </w:p>
        </w:tc>
      </w:tr>
      <w:tr w14:paraId="75262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10" w:hRule="atLeast"/>
        </w:trPr>
        <w:tc>
          <w:tcPr>
            <w:tcW w:w="952" w:type="dxa"/>
            <w:vAlign w:val="center"/>
          </w:tcPr>
          <w:p w14:paraId="1738D28E">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2.5.2</w:t>
            </w:r>
          </w:p>
        </w:tc>
        <w:tc>
          <w:tcPr>
            <w:tcW w:w="7751" w:type="dxa"/>
            <w:vAlign w:val="center"/>
          </w:tcPr>
          <w:p w14:paraId="561221E4">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是否接受采购进口产品：</w:t>
            </w:r>
            <w:r>
              <w:rPr>
                <w:rFonts w:hint="default" w:ascii="Times New Roman" w:hAnsi="Times New Roman" w:eastAsia="仿宋_GB2312" w:cs="Times New Roman"/>
                <w:b/>
                <w:bCs/>
                <w:color w:val="auto"/>
                <w:sz w:val="28"/>
                <w:szCs w:val="28"/>
                <w:lang w:val="en" w:eastAsia="zh-CN"/>
              </w:rPr>
              <w:t>□</w:t>
            </w:r>
            <w:r>
              <w:rPr>
                <w:rFonts w:hint="default" w:ascii="Times New Roman" w:hAnsi="Times New Roman" w:eastAsia="仿宋_GB2312" w:cs="Times New Roman"/>
                <w:b/>
                <w:bCs/>
                <w:color w:val="auto"/>
                <w:sz w:val="28"/>
                <w:szCs w:val="28"/>
                <w:lang w:val="en-US" w:eastAsia="zh-CN"/>
              </w:rPr>
              <w:t xml:space="preserve">是  </w:t>
            </w:r>
            <w:r>
              <w:rPr>
                <w:rFonts w:hint="default" w:ascii="Times New Roman" w:hAnsi="Times New Roman" w:eastAsia="仿宋_GB2312" w:cs="Times New Roman"/>
                <w:b/>
                <w:bCs/>
                <w:color w:val="auto"/>
                <w:sz w:val="28"/>
                <w:szCs w:val="28"/>
                <w:lang w:val="en" w:eastAsia="zh-CN"/>
              </w:rPr>
              <w:t>☑</w:t>
            </w:r>
            <w:r>
              <w:rPr>
                <w:rFonts w:hint="default" w:ascii="Times New Roman" w:hAnsi="Times New Roman" w:eastAsia="仿宋_GB2312" w:cs="Times New Roman"/>
                <w:b/>
                <w:bCs/>
                <w:color w:val="auto"/>
                <w:sz w:val="28"/>
                <w:szCs w:val="28"/>
                <w:lang w:val="en-US" w:eastAsia="zh-CN"/>
              </w:rPr>
              <w:t>否</w:t>
            </w:r>
          </w:p>
        </w:tc>
      </w:tr>
      <w:tr w14:paraId="26A86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723" w:hRule="atLeast"/>
        </w:trPr>
        <w:tc>
          <w:tcPr>
            <w:tcW w:w="952" w:type="dxa"/>
            <w:vAlign w:val="center"/>
          </w:tcPr>
          <w:p w14:paraId="3683E456">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4.1</w:t>
            </w:r>
          </w:p>
        </w:tc>
        <w:tc>
          <w:tcPr>
            <w:tcW w:w="7751" w:type="dxa"/>
            <w:vAlign w:val="center"/>
          </w:tcPr>
          <w:p w14:paraId="563BCDD3">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踏勘现场：</w:t>
            </w:r>
          </w:p>
          <w:p w14:paraId="220A853E">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color w:val="auto"/>
                <w:sz w:val="28"/>
                <w:szCs w:val="28"/>
              </w:rPr>
              <w:fldChar w:fldCharType="begin"/>
            </w:r>
            <w:r>
              <w:rPr>
                <w:rFonts w:hint="default" w:ascii="Times New Roman" w:hAnsi="Times New Roman" w:eastAsia="仿宋_GB2312" w:cs="Times New Roman"/>
                <w:b/>
                <w:bCs/>
                <w:color w:val="auto"/>
                <w:sz w:val="28"/>
                <w:szCs w:val="28"/>
                <w:lang w:eastAsia="zh-CN"/>
              </w:rPr>
              <w:instrText xml:space="preserve"> eq \o\ac(□,</w:instrText>
            </w:r>
            <w:r>
              <w:rPr>
                <w:rFonts w:hint="default" w:ascii="Times New Roman" w:hAnsi="Times New Roman" w:eastAsia="仿宋_GB2312" w:cs="Times New Roman"/>
                <w:b/>
                <w:bCs/>
                <w:color w:val="auto"/>
                <w:position w:val="3"/>
                <w:sz w:val="19"/>
                <w:szCs w:val="28"/>
                <w:lang w:eastAsia="zh-CN"/>
              </w:rPr>
              <w:instrText xml:space="preserve">√</w:instrText>
            </w:r>
            <w:r>
              <w:rPr>
                <w:rFonts w:hint="default" w:ascii="Times New Roman" w:hAnsi="Times New Roman" w:eastAsia="仿宋_GB2312" w:cs="Times New Roman"/>
                <w:b/>
                <w:bCs/>
                <w:color w:val="auto"/>
                <w:sz w:val="28"/>
                <w:szCs w:val="28"/>
                <w:lang w:eastAsia="zh-CN"/>
              </w:rPr>
              <w:instrText xml:space="preserve">)</w:instrText>
            </w:r>
            <w:r>
              <w:rPr>
                <w:rFonts w:hint="default" w:ascii="Times New Roman" w:hAnsi="Times New Roman" w:eastAsia="仿宋_GB2312" w:cs="Times New Roman"/>
                <w:b/>
                <w:bCs/>
                <w:color w:val="auto"/>
                <w:sz w:val="28"/>
                <w:szCs w:val="28"/>
              </w:rPr>
              <w:fldChar w:fldCharType="end"/>
            </w:r>
            <w:r>
              <w:rPr>
                <w:rFonts w:hint="default" w:ascii="Times New Roman" w:hAnsi="Times New Roman" w:eastAsia="仿宋_GB2312" w:cs="Times New Roman"/>
                <w:b/>
                <w:bCs/>
                <w:color w:val="auto"/>
                <w:sz w:val="28"/>
                <w:szCs w:val="28"/>
                <w:lang w:eastAsia="zh-CN"/>
              </w:rPr>
              <w:t>不组织</w:t>
            </w:r>
            <w:r>
              <w:rPr>
                <w:rFonts w:hint="default" w:ascii="Times New Roman" w:hAnsi="Times New Roman" w:eastAsia="仿宋_GB2312" w:cs="Times New Roman"/>
                <w:color w:val="auto"/>
                <w:sz w:val="28"/>
                <w:szCs w:val="28"/>
                <w:lang w:eastAsia="zh-CN"/>
              </w:rPr>
              <w:t>，供应商可自行对项目现场和周围环境进行踏勘，踏勘现场所发生的费用由供应商自己承担。出现事故，责任由供应商自行承担。</w:t>
            </w:r>
          </w:p>
          <w:p w14:paraId="0EF07C01">
            <w:pPr>
              <w:spacing w:line="500" w:lineRule="exact"/>
              <w:rPr>
                <w:rFonts w:hint="default" w:ascii="Times New Roman" w:hAnsi="Times New Roman" w:eastAsia="仿宋_GB2312" w:cs="Times New Roman"/>
                <w:color w:val="auto"/>
                <w:sz w:val="28"/>
                <w:szCs w:val="28"/>
                <w:u w:val="single"/>
                <w:lang w:eastAsia="zh-CN"/>
              </w:rPr>
            </w:pPr>
            <w:r>
              <w:rPr>
                <w:rFonts w:hint="default" w:ascii="Times New Roman" w:hAnsi="Times New Roman" w:eastAsia="仿宋_GB2312" w:cs="Times New Roman"/>
                <w:b/>
                <w:bCs/>
                <w:color w:val="auto"/>
                <w:sz w:val="28"/>
                <w:szCs w:val="28"/>
                <w:lang w:eastAsia="zh-CN"/>
              </w:rPr>
              <w:t>□组织</w:t>
            </w:r>
            <w:r>
              <w:rPr>
                <w:rFonts w:hint="default" w:ascii="Times New Roman" w:hAnsi="Times New Roman" w:eastAsia="仿宋_GB2312" w:cs="Times New Roman"/>
                <w:color w:val="auto"/>
                <w:sz w:val="28"/>
                <w:szCs w:val="28"/>
                <w:lang w:eastAsia="zh-CN"/>
              </w:rPr>
              <w:t>，踏勘时间：</w:t>
            </w:r>
            <w:r>
              <w:rPr>
                <w:rFonts w:hint="default" w:ascii="Times New Roman" w:hAnsi="Times New Roman" w:eastAsia="仿宋_GB2312" w:cs="Times New Roman"/>
                <w:color w:val="auto"/>
                <w:sz w:val="28"/>
                <w:szCs w:val="28"/>
                <w:u w:val="single"/>
                <w:lang w:eastAsia="zh-CN"/>
              </w:rPr>
              <w:t xml:space="preserve">  /  </w:t>
            </w:r>
          </w:p>
          <w:p w14:paraId="09836D5C">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 xml:space="preserve">        踏勘集中地点：</w:t>
            </w:r>
            <w:r>
              <w:rPr>
                <w:rFonts w:hint="default" w:ascii="Times New Roman" w:hAnsi="Times New Roman" w:eastAsia="仿宋_GB2312" w:cs="Times New Roman"/>
                <w:color w:val="auto"/>
                <w:sz w:val="28"/>
                <w:szCs w:val="28"/>
                <w:u w:val="single"/>
                <w:lang w:eastAsia="zh-CN"/>
              </w:rPr>
              <w:t xml:space="preserve">  /  </w:t>
            </w:r>
          </w:p>
        </w:tc>
      </w:tr>
      <w:tr w14:paraId="5739C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84" w:hRule="atLeast"/>
        </w:trPr>
        <w:tc>
          <w:tcPr>
            <w:tcW w:w="952" w:type="dxa"/>
            <w:vAlign w:val="center"/>
          </w:tcPr>
          <w:p w14:paraId="00299398">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6.3</w:t>
            </w:r>
          </w:p>
        </w:tc>
        <w:tc>
          <w:tcPr>
            <w:tcW w:w="7751" w:type="dxa"/>
            <w:vAlign w:val="center"/>
          </w:tcPr>
          <w:p w14:paraId="2AFB5C16">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联合体的其他资格要求：/</w:t>
            </w:r>
          </w:p>
        </w:tc>
      </w:tr>
      <w:tr w14:paraId="3F519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35" w:hRule="atLeast"/>
        </w:trPr>
        <w:tc>
          <w:tcPr>
            <w:tcW w:w="952" w:type="dxa"/>
            <w:vAlign w:val="center"/>
          </w:tcPr>
          <w:p w14:paraId="0D0A7AF8">
            <w:pPr>
              <w:spacing w:line="500" w:lineRule="exact"/>
              <w:jc w:val="center"/>
              <w:rPr>
                <w:rFonts w:hint="default" w:ascii="Times New Roman" w:hAnsi="Times New Roman" w:eastAsia="仿宋_GB2312" w:cs="Times New Roman"/>
                <w:color w:val="auto"/>
                <w:sz w:val="28"/>
                <w:szCs w:val="28"/>
                <w:lang w:val="en" w:eastAsia="zh-CN"/>
              </w:rPr>
            </w:pPr>
            <w:r>
              <w:rPr>
                <w:rFonts w:hint="default" w:ascii="Times New Roman" w:hAnsi="Times New Roman" w:eastAsia="仿宋_GB2312" w:cs="Times New Roman"/>
                <w:color w:val="auto"/>
                <w:sz w:val="28"/>
                <w:szCs w:val="28"/>
                <w:lang w:val="en" w:eastAsia="zh-CN"/>
              </w:rPr>
              <w:t>6.6</w:t>
            </w:r>
          </w:p>
        </w:tc>
        <w:tc>
          <w:tcPr>
            <w:tcW w:w="7751" w:type="dxa"/>
            <w:vAlign w:val="center"/>
          </w:tcPr>
          <w:p w14:paraId="294C7A2C">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是否接受联合体磋商响应：</w:t>
            </w:r>
            <w:r>
              <w:rPr>
                <w:rFonts w:hint="default" w:ascii="Times New Roman" w:hAnsi="Times New Roman" w:eastAsia="仿宋_GB2312" w:cs="Times New Roman"/>
                <w:b/>
                <w:bCs/>
                <w:color w:val="auto"/>
                <w:sz w:val="28"/>
                <w:szCs w:val="28"/>
                <w:lang w:val="en" w:eastAsia="zh-CN"/>
              </w:rPr>
              <w:t>□</w:t>
            </w:r>
            <w:r>
              <w:rPr>
                <w:rFonts w:hint="default" w:ascii="Times New Roman" w:hAnsi="Times New Roman" w:eastAsia="仿宋_GB2312" w:cs="Times New Roman"/>
                <w:b/>
                <w:bCs/>
                <w:color w:val="auto"/>
                <w:sz w:val="28"/>
                <w:szCs w:val="28"/>
                <w:lang w:val="en-US" w:eastAsia="zh-CN"/>
              </w:rPr>
              <w:t xml:space="preserve">是  </w:t>
            </w:r>
            <w:r>
              <w:rPr>
                <w:rFonts w:hint="default" w:ascii="Times New Roman" w:hAnsi="Times New Roman" w:eastAsia="仿宋_GB2312" w:cs="Times New Roman"/>
                <w:b/>
                <w:bCs/>
                <w:color w:val="auto"/>
                <w:sz w:val="28"/>
                <w:szCs w:val="28"/>
                <w:lang w:val="en" w:eastAsia="zh-CN"/>
              </w:rPr>
              <w:t>☑</w:t>
            </w:r>
            <w:r>
              <w:rPr>
                <w:rFonts w:hint="default" w:ascii="Times New Roman" w:hAnsi="Times New Roman" w:eastAsia="仿宋_GB2312" w:cs="Times New Roman"/>
                <w:b/>
                <w:bCs/>
                <w:color w:val="auto"/>
                <w:sz w:val="28"/>
                <w:szCs w:val="28"/>
                <w:lang w:val="en-US" w:eastAsia="zh-CN"/>
              </w:rPr>
              <w:t>否</w:t>
            </w:r>
          </w:p>
        </w:tc>
      </w:tr>
      <w:tr w14:paraId="23BDF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0" w:hRule="atLeast"/>
        </w:trPr>
        <w:tc>
          <w:tcPr>
            <w:tcW w:w="952" w:type="dxa"/>
            <w:vAlign w:val="center"/>
          </w:tcPr>
          <w:p w14:paraId="08B6C440">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18.2</w:t>
            </w:r>
          </w:p>
        </w:tc>
        <w:tc>
          <w:tcPr>
            <w:tcW w:w="7751" w:type="dxa"/>
            <w:vAlign w:val="center"/>
          </w:tcPr>
          <w:p w14:paraId="72FABBC8">
            <w:pPr>
              <w:spacing w:line="500" w:lineRule="exact"/>
              <w:rPr>
                <w:rFonts w:hint="default" w:ascii="Times New Roman" w:hAnsi="Times New Roman" w:eastAsia="仿宋_GB2312" w:cs="Times New Roman"/>
                <w:b/>
                <w:bCs/>
                <w:color w:val="auto"/>
                <w:kern w:val="0"/>
                <w:sz w:val="28"/>
                <w:szCs w:val="28"/>
                <w:lang w:val="en-US" w:eastAsia="zh-CN"/>
              </w:rPr>
            </w:pPr>
            <w:r>
              <w:rPr>
                <w:rFonts w:hint="default" w:ascii="Times New Roman" w:hAnsi="Times New Roman" w:eastAsia="仿宋_GB2312" w:cs="Times New Roman"/>
                <w:b/>
                <w:bCs/>
                <w:color w:val="auto"/>
                <w:kern w:val="0"/>
                <w:sz w:val="28"/>
                <w:szCs w:val="28"/>
                <w:lang w:val="en-US" w:eastAsia="zh-CN"/>
              </w:rPr>
              <w:t>报价次数：二次。</w:t>
            </w:r>
          </w:p>
          <w:p w14:paraId="284167A1">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kern w:val="0"/>
                <w:sz w:val="28"/>
                <w:szCs w:val="28"/>
                <w:lang w:val="en-US" w:eastAsia="zh-CN"/>
              </w:rPr>
              <w:t>供应商登录远程采购项目，在评审过程中收到远程报价通知时，即可远程在线报价，即二次报价。</w:t>
            </w:r>
          </w:p>
        </w:tc>
      </w:tr>
      <w:tr w14:paraId="34227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7F4AAB35">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18.3</w:t>
            </w:r>
          </w:p>
        </w:tc>
        <w:tc>
          <w:tcPr>
            <w:tcW w:w="7751" w:type="dxa"/>
            <w:vAlign w:val="center"/>
          </w:tcPr>
          <w:p w14:paraId="7112892D">
            <w:pPr>
              <w:pStyle w:val="70"/>
              <w:numPr>
                <w:ilvl w:val="0"/>
                <w:numId w:val="1"/>
              </w:numPr>
              <w:spacing w:line="500" w:lineRule="exact"/>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磋商响应报价：</w:t>
            </w:r>
          </w:p>
          <w:p w14:paraId="6604C5E5">
            <w:pPr>
              <w:pStyle w:val="70"/>
              <w:spacing w:line="500" w:lineRule="exact"/>
              <w:rPr>
                <w:rFonts w:hint="default" w:ascii="Times New Roman" w:hAnsi="Times New Roman" w:eastAsia="仿宋_GB2312" w:cs="Times New Roman"/>
                <w:color w:val="auto"/>
                <w:u w:val="single"/>
              </w:rPr>
            </w:pPr>
            <w:r>
              <w:rPr>
                <w:rFonts w:hint="default" w:ascii="Times New Roman" w:hAnsi="Times New Roman" w:eastAsia="仿宋_GB2312" w:cs="Times New Roman"/>
                <w:color w:val="auto"/>
                <w:sz w:val="28"/>
                <w:szCs w:val="28"/>
              </w:rPr>
              <w:t>包含货物的采购、安装、调试、验收、培训、质保期内外服务、与货物有关的运输和保险及其他伴随服务等。</w:t>
            </w:r>
          </w:p>
          <w:p w14:paraId="6D91E86D">
            <w:pPr>
              <w:spacing w:line="500" w:lineRule="exact"/>
              <w:jc w:val="left"/>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bCs/>
                <w:color w:val="auto"/>
                <w:sz w:val="28"/>
                <w:szCs w:val="28"/>
                <w:lang w:eastAsia="zh-CN"/>
              </w:rPr>
              <w:t>磋商响应报价超过</w:t>
            </w:r>
            <w:r>
              <w:rPr>
                <w:rFonts w:hint="default" w:ascii="Times New Roman" w:hAnsi="Times New Roman" w:eastAsia="仿宋_GB2312" w:cs="Times New Roman"/>
                <w:bCs/>
                <w:color w:val="auto"/>
                <w:kern w:val="0"/>
                <w:sz w:val="28"/>
                <w:szCs w:val="28"/>
                <w:lang w:eastAsia="zh-CN"/>
              </w:rPr>
              <w:t>最高限价</w:t>
            </w:r>
            <w:r>
              <w:rPr>
                <w:rFonts w:hint="default" w:ascii="Times New Roman" w:hAnsi="Times New Roman" w:eastAsia="仿宋_GB2312" w:cs="Times New Roman"/>
                <w:bCs/>
                <w:color w:val="auto"/>
                <w:sz w:val="28"/>
                <w:szCs w:val="28"/>
                <w:lang w:eastAsia="zh-CN"/>
              </w:rPr>
              <w:t>的，其磋商响应无效。</w:t>
            </w:r>
          </w:p>
        </w:tc>
      </w:tr>
      <w:tr w14:paraId="0CDA4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035" w:hRule="atLeast"/>
        </w:trPr>
        <w:tc>
          <w:tcPr>
            <w:tcW w:w="952" w:type="dxa"/>
            <w:vAlign w:val="center"/>
          </w:tcPr>
          <w:p w14:paraId="64F34BDB">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napToGrid w:val="0"/>
                <w:color w:val="auto"/>
                <w:sz w:val="28"/>
                <w:szCs w:val="28"/>
              </w:rPr>
              <w:t>19</w:t>
            </w:r>
          </w:p>
        </w:tc>
        <w:tc>
          <w:tcPr>
            <w:tcW w:w="7751" w:type="dxa"/>
            <w:vAlign w:val="center"/>
          </w:tcPr>
          <w:p w14:paraId="7862B30F">
            <w:pPr>
              <w:spacing w:line="500" w:lineRule="exact"/>
              <w:rPr>
                <w:rFonts w:hint="default" w:ascii="Times New Roman" w:hAnsi="Times New Roman" w:eastAsia="仿宋_GB2312" w:cs="Times New Roman"/>
                <w:color w:val="auto"/>
                <w:sz w:val="28"/>
                <w:szCs w:val="28"/>
                <w:u w:val="single"/>
                <w:lang w:eastAsia="zh-CN"/>
              </w:rPr>
            </w:pPr>
            <w:r>
              <w:rPr>
                <w:rFonts w:hint="default" w:ascii="Times New Roman" w:hAnsi="Times New Roman" w:eastAsia="仿宋_GB2312" w:cs="Times New Roman"/>
                <w:color w:val="auto"/>
                <w:sz w:val="28"/>
                <w:szCs w:val="28"/>
                <w:lang w:eastAsia="zh-CN"/>
              </w:rPr>
              <w:t>磋商响应货币：人民币。</w:t>
            </w:r>
          </w:p>
        </w:tc>
      </w:tr>
      <w:tr w14:paraId="21024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64" w:hRule="atLeast"/>
        </w:trPr>
        <w:tc>
          <w:tcPr>
            <w:tcW w:w="952" w:type="dxa"/>
            <w:vAlign w:val="center"/>
          </w:tcPr>
          <w:p w14:paraId="15A6B8BC">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rPr>
              <w:t>.1</w:t>
            </w:r>
          </w:p>
        </w:tc>
        <w:tc>
          <w:tcPr>
            <w:tcW w:w="7751" w:type="dxa"/>
            <w:vAlign w:val="center"/>
          </w:tcPr>
          <w:p w14:paraId="35A9A3CA">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color w:val="auto"/>
                <w:sz w:val="28"/>
                <w:szCs w:val="28"/>
                <w:lang w:eastAsia="zh-CN"/>
              </w:rPr>
              <w:t>磋商响应文件有效期</w:t>
            </w:r>
            <w:r>
              <w:rPr>
                <w:rFonts w:hint="default" w:ascii="Times New Roman" w:hAnsi="Times New Roman" w:eastAsia="仿宋_GB2312" w:cs="Times New Roman"/>
                <w:color w:val="auto"/>
                <w:sz w:val="28"/>
                <w:szCs w:val="28"/>
                <w:lang w:eastAsia="zh-CN"/>
              </w:rPr>
              <w:t>：从提交首次磋商响应文件截止之日起60天</w:t>
            </w:r>
          </w:p>
        </w:tc>
      </w:tr>
      <w:tr w14:paraId="2B7E3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025300D5">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rPr>
              <w:t>.1</w:t>
            </w:r>
          </w:p>
        </w:tc>
        <w:tc>
          <w:tcPr>
            <w:tcW w:w="7751" w:type="dxa"/>
            <w:vAlign w:val="center"/>
          </w:tcPr>
          <w:p w14:paraId="0314CB06">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加密电子</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的上传：加密电子</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须在</w:t>
            </w:r>
            <w:r>
              <w:rPr>
                <w:rFonts w:hint="default" w:ascii="Times New Roman" w:hAnsi="Times New Roman" w:eastAsia="仿宋_GB2312" w:cs="Times New Roman"/>
                <w:color w:val="auto"/>
                <w:sz w:val="28"/>
                <w:szCs w:val="28"/>
                <w:lang w:val="en" w:eastAsia="zh-CN"/>
              </w:rPr>
              <w:t>提交首次磋商响应文件截止时</w:t>
            </w:r>
            <w:r>
              <w:rPr>
                <w:rFonts w:hint="default" w:ascii="Times New Roman" w:hAnsi="Times New Roman" w:eastAsia="仿宋_GB2312" w:cs="Times New Roman"/>
                <w:color w:val="auto"/>
                <w:sz w:val="28"/>
                <w:szCs w:val="28"/>
                <w:lang w:eastAsia="zh-CN"/>
              </w:rPr>
              <w:t>间前通过河南省公共资源交易中心网（</w:t>
            </w:r>
            <w:r>
              <w:rPr>
                <w:rFonts w:hint="default" w:ascii="Times New Roman" w:hAnsi="Times New Roman" w:eastAsia="仿宋_GB2312" w:cs="Times New Roman"/>
                <w:color w:val="auto"/>
                <w:sz w:val="30"/>
                <w:szCs w:val="30"/>
                <w:lang w:eastAsia="zh-CN"/>
              </w:rPr>
              <w:t>hnsggzyjy.henan.gov.cn</w:t>
            </w:r>
            <w:r>
              <w:rPr>
                <w:rFonts w:hint="default" w:ascii="Times New Roman" w:hAnsi="Times New Roman" w:eastAsia="仿宋_GB2312" w:cs="Times New Roman"/>
                <w:color w:val="auto"/>
                <w:sz w:val="28"/>
                <w:szCs w:val="28"/>
                <w:lang w:eastAsia="zh-CN"/>
              </w:rPr>
              <w:t>）加密上传。</w:t>
            </w:r>
            <w:r>
              <w:rPr>
                <w:rFonts w:hint="default" w:ascii="Times New Roman" w:hAnsi="Times New Roman" w:eastAsia="仿宋_GB2312" w:cs="Times New Roman"/>
                <w:color w:val="auto"/>
                <w:sz w:val="28"/>
                <w:szCs w:val="28"/>
                <w:lang w:val="en-US" w:eastAsia="zh-CN"/>
              </w:rPr>
              <w:t>供应商在提交首次磋商响应文件截止时间后上传的</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val="en-US" w:eastAsia="zh-CN"/>
              </w:rPr>
              <w:t>将被拒绝。</w:t>
            </w:r>
          </w:p>
        </w:tc>
      </w:tr>
      <w:tr w14:paraId="1F248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1914FFB3">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30</w:t>
            </w:r>
            <w:r>
              <w:rPr>
                <w:rFonts w:hint="default" w:ascii="Times New Roman" w:hAnsi="Times New Roman" w:eastAsia="仿宋_GB2312" w:cs="Times New Roman"/>
                <w:color w:val="auto"/>
                <w:sz w:val="28"/>
                <w:szCs w:val="28"/>
              </w:rPr>
              <w:t>.1</w:t>
            </w:r>
          </w:p>
        </w:tc>
        <w:tc>
          <w:tcPr>
            <w:tcW w:w="7751" w:type="dxa"/>
            <w:vAlign w:val="center"/>
          </w:tcPr>
          <w:p w14:paraId="76D6A501">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开启及解密方式：“远程不见面”开启方式，供应商无需到河南省公共资源交易中心现场参加开启会议。在</w:t>
            </w:r>
            <w:r>
              <w:rPr>
                <w:rFonts w:hint="default" w:ascii="Times New Roman" w:hAnsi="Times New Roman" w:eastAsia="仿宋_GB2312" w:cs="Times New Roman"/>
                <w:color w:val="auto"/>
                <w:sz w:val="28"/>
                <w:szCs w:val="28"/>
                <w:lang w:val="en-US" w:eastAsia="zh-CN"/>
              </w:rPr>
              <w:t>提交首次磋商响应文件</w:t>
            </w:r>
            <w:r>
              <w:rPr>
                <w:rFonts w:hint="default" w:ascii="Times New Roman" w:hAnsi="Times New Roman" w:eastAsia="仿宋_GB2312" w:cs="Times New Roman"/>
                <w:color w:val="auto"/>
                <w:sz w:val="28"/>
                <w:szCs w:val="28"/>
                <w:lang w:eastAsia="zh-CN"/>
              </w:rPr>
              <w:t>截止时间前，供应商登陆不见面开标大厅，在线准时参加开启活动并进行文件解密。未在规定时间内解密</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的供应商，其</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不予接受并退回。</w:t>
            </w:r>
          </w:p>
        </w:tc>
      </w:tr>
      <w:tr w14:paraId="0F429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670FAF29">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30</w:t>
            </w:r>
            <w:r>
              <w:rPr>
                <w:rFonts w:hint="default" w:ascii="Times New Roman" w:hAnsi="Times New Roman" w:eastAsia="仿宋_GB2312" w:cs="Times New Roman"/>
                <w:color w:val="auto"/>
                <w:sz w:val="28"/>
                <w:szCs w:val="28"/>
              </w:rPr>
              <w:t>.2</w:t>
            </w:r>
          </w:p>
        </w:tc>
        <w:tc>
          <w:tcPr>
            <w:tcW w:w="7751" w:type="dxa"/>
            <w:vAlign w:val="center"/>
          </w:tcPr>
          <w:p w14:paraId="7FCF4A8D">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远程开标大厅网址：河南省公共资源交易中心网 （</w:t>
            </w:r>
            <w:r>
              <w:rPr>
                <w:rFonts w:hint="default" w:ascii="Times New Roman" w:hAnsi="Times New Roman" w:eastAsia="仿宋_GB2312" w:cs="Times New Roman"/>
                <w:color w:val="auto"/>
                <w:sz w:val="30"/>
                <w:szCs w:val="30"/>
                <w:lang w:eastAsia="zh-CN"/>
              </w:rPr>
              <w:t>hnsggzyjy.henan.gov.cn</w:t>
            </w:r>
            <w:r>
              <w:rPr>
                <w:rFonts w:hint="default" w:ascii="Times New Roman" w:hAnsi="Times New Roman" w:eastAsia="仿宋_GB2312" w:cs="Times New Roman"/>
                <w:color w:val="auto"/>
                <w:sz w:val="28"/>
                <w:szCs w:val="28"/>
                <w:lang w:eastAsia="zh-CN"/>
              </w:rPr>
              <w:t>）——不见面开标大厅。</w:t>
            </w:r>
          </w:p>
        </w:tc>
      </w:tr>
      <w:tr w14:paraId="7A90D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52" w:type="dxa"/>
            <w:vAlign w:val="center"/>
          </w:tcPr>
          <w:p w14:paraId="71B23070">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r>
              <w:rPr>
                <w:rFonts w:hint="default" w:ascii="Times New Roman" w:hAnsi="Times New Roman" w:eastAsia="仿宋_GB2312" w:cs="Times New Roman"/>
                <w:color w:val="auto"/>
                <w:sz w:val="28"/>
                <w:szCs w:val="28"/>
                <w:lang w:val="en-US" w:eastAsia="zh-CN"/>
              </w:rPr>
              <w:t>1</w:t>
            </w:r>
          </w:p>
        </w:tc>
        <w:tc>
          <w:tcPr>
            <w:tcW w:w="7751" w:type="dxa"/>
            <w:vAlign w:val="center"/>
          </w:tcPr>
          <w:p w14:paraId="3E9F97CE">
            <w:pPr>
              <w:spacing w:line="500" w:lineRule="exac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 xml:space="preserve">信用查询时间： </w:t>
            </w:r>
          </w:p>
          <w:p w14:paraId="5131581F">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开启结束后,采购人</w:t>
            </w:r>
            <w:r>
              <w:rPr>
                <w:rFonts w:hint="default" w:ascii="Times New Roman" w:hAnsi="Times New Roman" w:eastAsia="仿宋_GB2312" w:cs="Times New Roman"/>
                <w:color w:val="auto"/>
                <w:sz w:val="28"/>
                <w:szCs w:val="28"/>
                <w:lang w:val="en-US" w:eastAsia="zh-CN"/>
              </w:rPr>
              <w:t>根据《关于在政府采购活动中查询及使用信用记录有关问题的通知》(财库〔2016〕125号)的要求，</w:t>
            </w:r>
            <w:r>
              <w:rPr>
                <w:rFonts w:hint="default" w:ascii="Times New Roman" w:hAnsi="Times New Roman" w:eastAsia="仿宋_GB2312" w:cs="Times New Roman"/>
                <w:color w:val="auto"/>
                <w:sz w:val="28"/>
                <w:szCs w:val="28"/>
                <w:lang w:eastAsia="zh-CN"/>
              </w:rPr>
              <w:t>通过“信用中国”网站(www.creditchina.gov.cn)、“中国政府采购网”网站(www.ccgp.gov.cn)等渠道查询供应商在提交首次响应文件截止时间后当天的信用记录，拒绝列入失信被执行人名单、重大税收违法案件当事人名单(重大税收违法失信主体)、政府采购严重违法失信行为记录名单的供应商参加本项目的采购活动。</w:t>
            </w:r>
          </w:p>
          <w:p w14:paraId="0DCC2B7A">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组成联合体参加政府采购活动的,将对所有联合体成员进行信用记录查询,联合体成员存在不良信用记录的,视同联合体存在不良信用记录。</w:t>
            </w:r>
          </w:p>
          <w:p w14:paraId="6600271F">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color w:val="auto"/>
                <w:sz w:val="28"/>
                <w:szCs w:val="28"/>
                <w:lang w:val="en-US" w:eastAsia="zh-CN"/>
              </w:rPr>
              <w:t>查询及记录方式：</w:t>
            </w:r>
            <w:r>
              <w:rPr>
                <w:rFonts w:hint="default" w:ascii="Times New Roman" w:hAnsi="Times New Roman" w:eastAsia="仿宋_GB2312" w:cs="Times New Roman"/>
                <w:color w:val="auto"/>
                <w:sz w:val="28"/>
                <w:szCs w:val="28"/>
                <w:lang w:val="en-US" w:eastAsia="zh-CN"/>
              </w:rPr>
              <w:t>采购人将查询网页打印、存档备查。供应商不良信用记录以采购人查询结果为准，采购人查询之后，网站信息发生的任何变更均不再作为评审依据，供应商自行提供的与网站信息不一致的其他证明材料亦不作为评审依据。</w:t>
            </w:r>
          </w:p>
        </w:tc>
      </w:tr>
      <w:tr w14:paraId="4691C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52" w:type="dxa"/>
            <w:vAlign w:val="center"/>
          </w:tcPr>
          <w:p w14:paraId="6A8061F0">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rPr>
              <w:t>.1</w:t>
            </w:r>
          </w:p>
        </w:tc>
        <w:tc>
          <w:tcPr>
            <w:tcW w:w="7751" w:type="dxa"/>
            <w:vAlign w:val="center"/>
          </w:tcPr>
          <w:p w14:paraId="031FC4EB">
            <w:pPr>
              <w:spacing w:line="500" w:lineRule="exact"/>
              <w:rPr>
                <w:rFonts w:hint="default" w:ascii="Times New Roman" w:hAnsi="Times New Roman" w:eastAsia="仿宋_GB2312" w:cs="Times New Roman"/>
                <w:b/>
                <w:color w:val="auto"/>
                <w:sz w:val="28"/>
                <w:szCs w:val="28"/>
                <w:lang w:eastAsia="zh-CN"/>
              </w:rPr>
            </w:pPr>
            <w:r>
              <w:rPr>
                <w:rFonts w:hint="default" w:ascii="Times New Roman" w:hAnsi="Times New Roman" w:eastAsia="仿宋_GB2312" w:cs="Times New Roman"/>
                <w:color w:val="auto"/>
                <w:sz w:val="28"/>
                <w:szCs w:val="28"/>
                <w:lang w:eastAsia="zh-CN"/>
              </w:rPr>
              <w:t>竞争性磋商小组负责具体评审事务。竞争性磋商小组由采购人代表和评审专家组成，成员人数应当为</w:t>
            </w:r>
            <w:r>
              <w:rPr>
                <w:rFonts w:hint="default" w:ascii="Times New Roman" w:hAnsi="Times New Roman" w:eastAsia="仿宋_GB2312" w:cs="Times New Roman"/>
                <w:color w:val="auto"/>
                <w:sz w:val="28"/>
                <w:szCs w:val="28"/>
                <w:u w:val="single"/>
                <w:lang w:val="en-US" w:eastAsia="zh-CN"/>
              </w:rPr>
              <w:t xml:space="preserve"> 3 </w:t>
            </w:r>
            <w:r>
              <w:rPr>
                <w:rFonts w:hint="default" w:ascii="Times New Roman" w:hAnsi="Times New Roman" w:eastAsia="仿宋_GB2312" w:cs="Times New Roman"/>
                <w:color w:val="auto"/>
                <w:sz w:val="28"/>
                <w:szCs w:val="28"/>
                <w:lang w:eastAsia="zh-CN"/>
              </w:rPr>
              <w:t>人，其中评审专家不得少于成员总数的三分之二。</w:t>
            </w:r>
          </w:p>
        </w:tc>
      </w:tr>
      <w:tr w14:paraId="1B1AB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52" w:type="dxa"/>
            <w:vAlign w:val="center"/>
          </w:tcPr>
          <w:p w14:paraId="6F55598E">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35.4</w:t>
            </w:r>
          </w:p>
        </w:tc>
        <w:tc>
          <w:tcPr>
            <w:tcW w:w="7751" w:type="dxa"/>
            <w:vAlign w:val="center"/>
          </w:tcPr>
          <w:p w14:paraId="008BD5F8">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节能环保政策</w:t>
            </w:r>
          </w:p>
          <w:p w14:paraId="1750BF6A">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（1）本项目若含有节能产品政府采购品目清单内政府强制采购产品，供应商须选用国家确定的认证机构认证的处于有效期之内的政府强制采购节能产品。</w:t>
            </w:r>
          </w:p>
          <w:p w14:paraId="7E97886F">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本项目若含有节能产品、环境标志产品政府采购品目清单内政府优先采购产品，对选用国家确定的认证机构认证的处于有效期之内的政府优先采购节能产品（政府强制采购产品除外）、环境标志产品的，在评审时予以优先采购。</w:t>
            </w:r>
          </w:p>
          <w:p w14:paraId="173BD641">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（3）供应商应提供国家确定的认证机构出具的处于有效期之内的节能产品、环境标志产品认证证书。</w:t>
            </w:r>
          </w:p>
        </w:tc>
      </w:tr>
      <w:tr w14:paraId="5BA04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52" w:type="dxa"/>
            <w:vAlign w:val="center"/>
          </w:tcPr>
          <w:p w14:paraId="2CDCE074">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35.6</w:t>
            </w:r>
          </w:p>
        </w:tc>
        <w:tc>
          <w:tcPr>
            <w:tcW w:w="7751" w:type="dxa"/>
            <w:vAlign w:val="center"/>
          </w:tcPr>
          <w:p w14:paraId="073205CE">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供应商承诺商品包装符合《快递暂行条例》《商品包装政府采购需求标准（试行）》，快递包装符合《快递暂行条例》《快递包装政府采购需求标准（试行）》的，在评审时优先采购。</w:t>
            </w:r>
          </w:p>
        </w:tc>
      </w:tr>
      <w:tr w14:paraId="7488A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23EB0A6F">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rPr>
              <w:t>.1</w:t>
            </w:r>
          </w:p>
        </w:tc>
        <w:tc>
          <w:tcPr>
            <w:tcW w:w="7751" w:type="dxa"/>
            <w:vAlign w:val="center"/>
          </w:tcPr>
          <w:p w14:paraId="32A73566">
            <w:pPr>
              <w:spacing w:line="500" w:lineRule="exac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中小企业扶持：</w:t>
            </w:r>
          </w:p>
          <w:p w14:paraId="6683CB0E">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lang w:eastAsia="zh-CN"/>
              </w:rPr>
              <w:t>□</w:t>
            </w:r>
            <w:r>
              <w:rPr>
                <w:rFonts w:hint="default" w:ascii="Times New Roman" w:hAnsi="Times New Roman" w:eastAsia="仿宋_GB2312" w:cs="Times New Roman"/>
                <w:b/>
                <w:bCs/>
                <w:color w:val="auto"/>
                <w:sz w:val="28"/>
                <w:szCs w:val="28"/>
                <w:lang w:val="en-US" w:eastAsia="zh-CN"/>
              </w:rPr>
              <w:t>本项目专门面向中小企业采购，</w:t>
            </w:r>
            <w:r>
              <w:rPr>
                <w:rFonts w:hint="default" w:ascii="Times New Roman" w:hAnsi="Times New Roman" w:eastAsia="仿宋_GB2312" w:cs="Times New Roman"/>
                <w:color w:val="auto"/>
                <w:sz w:val="28"/>
                <w:szCs w:val="28"/>
                <w:lang w:val="en-US" w:eastAsia="zh-CN"/>
              </w:rPr>
              <w:t>采购预留金额</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val="en-US" w:eastAsia="zh-CN"/>
              </w:rPr>
              <w:t>元；</w:t>
            </w:r>
          </w:p>
          <w:p w14:paraId="67F5A636">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lang w:eastAsia="zh-CN"/>
              </w:rPr>
              <w:t>□</w:t>
            </w:r>
            <w:r>
              <w:rPr>
                <w:rFonts w:hint="default" w:ascii="Times New Roman" w:hAnsi="Times New Roman" w:eastAsia="仿宋_GB2312" w:cs="Times New Roman"/>
                <w:b/>
                <w:bCs/>
                <w:color w:val="auto"/>
                <w:sz w:val="28"/>
                <w:szCs w:val="28"/>
                <w:lang w:val="en-US" w:eastAsia="zh-CN"/>
              </w:rPr>
              <w:t>本项目专门面向小微企业采购，</w:t>
            </w:r>
            <w:r>
              <w:rPr>
                <w:rFonts w:hint="default" w:ascii="Times New Roman" w:hAnsi="Times New Roman" w:eastAsia="仿宋_GB2312" w:cs="Times New Roman"/>
                <w:color w:val="auto"/>
                <w:sz w:val="28"/>
                <w:szCs w:val="28"/>
                <w:lang w:val="en-US" w:eastAsia="zh-CN"/>
              </w:rPr>
              <w:t>小微企业预留金额</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val="en-US" w:eastAsia="zh-CN"/>
              </w:rPr>
              <w:t>元。</w:t>
            </w:r>
          </w:p>
          <w:p w14:paraId="55821E6A">
            <w:pPr>
              <w:spacing w:line="500" w:lineRule="exact"/>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lang w:eastAsia="zh-CN"/>
              </w:rPr>
              <w:t>☑</w:t>
            </w:r>
            <w:r>
              <w:rPr>
                <w:rFonts w:hint="default" w:ascii="Times New Roman" w:hAnsi="Times New Roman" w:eastAsia="仿宋_GB2312" w:cs="Times New Roman"/>
                <w:b/>
                <w:bCs/>
                <w:color w:val="auto"/>
                <w:sz w:val="28"/>
                <w:szCs w:val="28"/>
                <w:lang w:val="en-US" w:eastAsia="zh-CN"/>
              </w:rPr>
              <w:t>本项目非专门面向中小企业采购。</w:t>
            </w:r>
            <w:r>
              <w:rPr>
                <w:rFonts w:hint="default" w:ascii="Times New Roman" w:hAnsi="Times New Roman" w:eastAsia="仿宋_GB2312" w:cs="Times New Roman"/>
                <w:color w:val="auto"/>
                <w:sz w:val="28"/>
                <w:szCs w:val="28"/>
                <w:lang w:eastAsia="zh-CN"/>
              </w:rPr>
              <w:t>对</w:t>
            </w:r>
            <w:r>
              <w:rPr>
                <w:rFonts w:hint="default" w:ascii="Times New Roman" w:hAnsi="Times New Roman" w:eastAsia="仿宋_GB2312" w:cs="Times New Roman"/>
                <w:color w:val="auto"/>
                <w:sz w:val="28"/>
                <w:szCs w:val="28"/>
                <w:lang w:val="en-US" w:eastAsia="zh-CN"/>
              </w:rPr>
              <w:t>货物制造商全部为小型或微型企业的</w:t>
            </w:r>
            <w:r>
              <w:rPr>
                <w:rFonts w:hint="default" w:ascii="Times New Roman" w:hAnsi="Times New Roman" w:eastAsia="仿宋_GB2312" w:cs="Times New Roman"/>
                <w:color w:val="auto"/>
                <w:sz w:val="28"/>
                <w:szCs w:val="28"/>
                <w:lang w:eastAsia="zh-CN"/>
              </w:rPr>
              <w:t>供应商报价给予</w:t>
            </w:r>
            <w:r>
              <w:rPr>
                <w:rFonts w:hint="default" w:ascii="Times New Roman" w:hAnsi="Times New Roman" w:eastAsia="仿宋_GB2312" w:cs="Times New Roman"/>
                <w:color w:val="auto"/>
                <w:sz w:val="28"/>
                <w:szCs w:val="28"/>
                <w:u w:val="single"/>
                <w:lang w:val="en-US" w:eastAsia="zh-CN"/>
              </w:rPr>
              <w:t xml:space="preserve"> 10  </w:t>
            </w:r>
            <w:r>
              <w:rPr>
                <w:rFonts w:hint="default" w:ascii="Times New Roman" w:hAnsi="Times New Roman" w:eastAsia="仿宋_GB2312" w:cs="Times New Roman"/>
                <w:color w:val="auto"/>
                <w:sz w:val="28"/>
                <w:szCs w:val="28"/>
                <w:lang w:eastAsia="zh-CN"/>
              </w:rPr>
              <w:t>%的扣除，用扣除后的价格参与评审。</w:t>
            </w:r>
          </w:p>
          <w:p w14:paraId="0498FFA4">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小型和微型企业的认定根据供应商提供的《中小企业声明函》（第四章 竞争性磋商文件响应格式）进行。供应商提供的货物既有中小企业制造货物，也有大型企业制造货物的，不享受中小企业扶持政策。</w:t>
            </w:r>
          </w:p>
          <w:p w14:paraId="68B91A06">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监狱企业视同小型、微型企业，供应商应提供省级及以上监狱管理局、戒毒管理局（含新疆生产建设兵团）出具的属于监狱企业的证明文件。</w:t>
            </w:r>
          </w:p>
          <w:p w14:paraId="02038A76">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残疾人福利性单位视同小型、微型企业，残疾人福利性单位须符合《财政部民政部中国残疾人联合会关于促进残疾人就业政府采购政策的通知》（财库〔2017〕141 号）要求，提供《残疾人福利性单位声明函》。</w:t>
            </w:r>
          </w:p>
          <w:p w14:paraId="3D38F1D5">
            <w:pPr>
              <w:spacing w:line="500" w:lineRule="exact"/>
              <w:jc w:val="left"/>
              <w:rPr>
                <w:rFonts w:hint="default" w:ascii="Times New Roman" w:hAnsi="Times New Roman" w:cs="Times New Roman"/>
                <w:color w:val="auto"/>
                <w:lang w:val="en-US" w:eastAsia="zh-CN"/>
              </w:rPr>
            </w:pPr>
            <w:r>
              <w:rPr>
                <w:rFonts w:hint="default" w:ascii="Times New Roman" w:hAnsi="Times New Roman" w:eastAsia="仿宋_GB2312" w:cs="Times New Roman"/>
                <w:b/>
                <w:bCs/>
                <w:color w:val="auto"/>
                <w:sz w:val="28"/>
                <w:szCs w:val="28"/>
                <w:lang w:val="en-US" w:eastAsia="zh-CN"/>
              </w:rPr>
              <w:t>本采购项目所属行业：见第五章 项目需求及技术要求</w:t>
            </w:r>
          </w:p>
        </w:tc>
      </w:tr>
      <w:tr w14:paraId="0407E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642F9B4B">
            <w:pPr>
              <w:spacing w:line="46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36.2</w:t>
            </w:r>
          </w:p>
        </w:tc>
        <w:tc>
          <w:tcPr>
            <w:tcW w:w="7751" w:type="dxa"/>
            <w:vAlign w:val="center"/>
          </w:tcPr>
          <w:p w14:paraId="6B0517DE">
            <w:pPr>
              <w:spacing w:line="4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lang w:val="en-US" w:eastAsia="zh-CN"/>
              </w:rPr>
              <w:sym w:font="Wingdings 2" w:char="0052"/>
            </w:r>
            <w:r>
              <w:rPr>
                <w:rFonts w:hint="default" w:ascii="Times New Roman" w:hAnsi="Times New Roman" w:eastAsia="仿宋_GB2312" w:cs="Times New Roman"/>
                <w:b/>
                <w:bCs/>
                <w:color w:val="auto"/>
                <w:sz w:val="28"/>
                <w:szCs w:val="28"/>
                <w:lang w:val="en-US" w:eastAsia="zh-CN"/>
              </w:rPr>
              <w:t>适用</w:t>
            </w:r>
            <w:r>
              <w:rPr>
                <w:rFonts w:hint="default" w:ascii="Times New Roman" w:hAnsi="Times New Roman" w:eastAsia="仿宋_GB2312" w:cs="Times New Roman"/>
                <w:color w:val="auto"/>
                <w:sz w:val="28"/>
                <w:szCs w:val="28"/>
                <w:lang w:val="en-US" w:eastAsia="zh-CN"/>
              </w:rPr>
              <w:t>，本国产品标准适用于货物，包括政府采购货物项目和服务项目中涉及的货物。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供应商对其提供的产品出具《关于符合本国产品标准的声明函》（格式详见第四章 竞争性磋商响应文件格式）或财政部会同有关部门规定的有关证明文件，《关于符合本国产品标准的声明函》或有关证明文件符合要求的，该产品视为本国产品。</w:t>
            </w:r>
          </w:p>
          <w:p w14:paraId="2F6BB390">
            <w:pPr>
              <w:spacing w:line="460" w:lineRule="exact"/>
              <w:jc w:val="lef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□不适用</w:t>
            </w:r>
          </w:p>
        </w:tc>
      </w:tr>
      <w:tr w14:paraId="5E616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94" w:hRule="atLeast"/>
        </w:trPr>
        <w:tc>
          <w:tcPr>
            <w:tcW w:w="952" w:type="dxa"/>
            <w:vAlign w:val="center"/>
          </w:tcPr>
          <w:p w14:paraId="7FB5096A">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rPr>
              <w:t>.</w:t>
            </w:r>
            <w:r>
              <w:rPr>
                <w:rFonts w:hint="default" w:ascii="Times New Roman" w:hAnsi="Times New Roman" w:eastAsia="仿宋_GB2312" w:cs="Times New Roman"/>
                <w:color w:val="auto"/>
                <w:sz w:val="28"/>
                <w:szCs w:val="28"/>
                <w:lang w:val="en-US" w:eastAsia="zh-CN"/>
              </w:rPr>
              <w:t>1</w:t>
            </w:r>
          </w:p>
        </w:tc>
        <w:tc>
          <w:tcPr>
            <w:tcW w:w="7751" w:type="dxa"/>
            <w:vAlign w:val="center"/>
          </w:tcPr>
          <w:p w14:paraId="48E8C804">
            <w:pPr>
              <w:spacing w:line="500" w:lineRule="exact"/>
              <w:jc w:val="lef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磋商方法：综合评分法。</w:t>
            </w:r>
          </w:p>
          <w:p w14:paraId="78CF1E2F">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磋商小组成员按照客观、公正、审慎的原则，根据磋商文件规定的评审程序、评审方法和评审标准进行独立评审。未实质性响应磋商文件的响应文件按无效响应处理。磋商小组要求所有实质性响应的供应商在规定时间内提交最后报价。</w:t>
            </w:r>
          </w:p>
          <w:p w14:paraId="3BE23DB1">
            <w:pPr>
              <w:spacing w:line="500" w:lineRule="exact"/>
              <w:ind w:firstLine="560" w:firstLineChars="2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竞争性磋商小组对满足</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全部实质性要求的竞争性磋商响应文件，按照竞争性磋商文件规定的评审因素的量化指标进行评审打分，以综合评审得分由高到低顺序推荐成交候选供应商。</w:t>
            </w:r>
            <w:r>
              <w:rPr>
                <w:rFonts w:hint="default" w:ascii="Times New Roman" w:hAnsi="Times New Roman" w:eastAsia="仿宋_GB2312" w:cs="Times New Roman"/>
                <w:color w:val="auto"/>
                <w:sz w:val="28"/>
                <w:szCs w:val="28"/>
                <w:lang w:eastAsia="zh-CN"/>
              </w:rPr>
              <w:t>（如综合评审得分相同的，按最后报价由低到高的顺序推荐；评审得分且最后报价相同的，按技术指标优劣顺序推荐。</w:t>
            </w:r>
            <w:r>
              <w:rPr>
                <w:rFonts w:hint="default" w:ascii="Times New Roman" w:hAnsi="Times New Roman" w:eastAsia="仿宋_GB2312" w:cs="Times New Roman"/>
                <w:color w:val="auto"/>
                <w:sz w:val="28"/>
                <w:szCs w:val="28"/>
              </w:rPr>
              <w:t>）</w:t>
            </w:r>
          </w:p>
        </w:tc>
      </w:tr>
      <w:tr w14:paraId="4AD8A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94" w:hRule="atLeast"/>
        </w:trPr>
        <w:tc>
          <w:tcPr>
            <w:tcW w:w="952" w:type="dxa"/>
            <w:vAlign w:val="center"/>
          </w:tcPr>
          <w:p w14:paraId="6C0F1805">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38</w:t>
            </w:r>
          </w:p>
        </w:tc>
        <w:tc>
          <w:tcPr>
            <w:tcW w:w="7751" w:type="dxa"/>
            <w:vAlign w:val="center"/>
          </w:tcPr>
          <w:p w14:paraId="6BB32589">
            <w:pPr>
              <w:pStyle w:val="50"/>
              <w:widowControl/>
              <w:tabs>
                <w:tab w:val="left" w:pos="567"/>
              </w:tabs>
              <w:spacing w:line="500" w:lineRule="exact"/>
              <w:ind w:firstLine="0"/>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推荐成交候选供应商的数量：3名（特殊情况除外）</w:t>
            </w:r>
          </w:p>
          <w:p w14:paraId="0FD81F71">
            <w:pPr>
              <w:pStyle w:val="51"/>
              <w:widowControl/>
              <w:spacing w:line="500" w:lineRule="exact"/>
              <w:ind w:left="0" w:leftChars="0" w:firstLine="0" w:firstLineChars="0"/>
              <w:rPr>
                <w:rFonts w:hint="default" w:ascii="Times New Roman" w:hAnsi="Times New Roman" w:cs="Times New Roman"/>
                <w:lang w:val="en"/>
              </w:rPr>
            </w:pPr>
            <w:r>
              <w:rPr>
                <w:rFonts w:hint="default" w:ascii="Times New Roman" w:hAnsi="Times New Roman" w:eastAsia="仿宋_GB2312" w:cs="Times New Roman"/>
                <w:b/>
                <w:bCs/>
                <w:sz w:val="28"/>
                <w:szCs w:val="28"/>
                <w:lang w:val="en"/>
              </w:rPr>
              <w:t>□</w:t>
            </w:r>
            <w:r>
              <w:rPr>
                <w:rFonts w:hint="default" w:ascii="Times New Roman" w:hAnsi="Times New Roman" w:eastAsia="仿宋_GB2312" w:cs="Times New Roman"/>
                <w:b/>
                <w:bCs/>
                <w:sz w:val="28"/>
                <w:szCs w:val="28"/>
              </w:rPr>
              <w:t>兼投兼中</w:t>
            </w:r>
            <w:r>
              <w:rPr>
                <w:rFonts w:hint="default" w:ascii="Times New Roman" w:hAnsi="Times New Roman" w:eastAsia="仿宋_GB2312" w:cs="Times New Roman"/>
                <w:b/>
                <w:bCs/>
                <w:sz w:val="28"/>
                <w:szCs w:val="28"/>
                <w:lang w:val="en"/>
              </w:rPr>
              <w:t>。</w:t>
            </w:r>
            <w:r>
              <w:rPr>
                <w:rFonts w:hint="default" w:ascii="Times New Roman" w:hAnsi="Times New Roman" w:eastAsia="仿宋_GB2312" w:cs="Times New Roman"/>
                <w:sz w:val="28"/>
                <w:szCs w:val="28"/>
              </w:rPr>
              <w:t>供应商可对多个分包进行磋商响应，</w:t>
            </w:r>
            <w:r>
              <w:rPr>
                <w:rFonts w:hint="default" w:ascii="Times New Roman" w:hAnsi="Times New Roman" w:eastAsia="仿宋_GB2312" w:cs="Times New Roman"/>
                <w:sz w:val="28"/>
                <w:szCs w:val="28"/>
                <w:lang w:val="en"/>
              </w:rPr>
              <w:t>并</w:t>
            </w:r>
            <w:r>
              <w:rPr>
                <w:rFonts w:hint="default" w:ascii="Times New Roman" w:hAnsi="Times New Roman" w:eastAsia="仿宋_GB2312" w:cs="Times New Roman"/>
                <w:sz w:val="28"/>
                <w:szCs w:val="28"/>
              </w:rPr>
              <w:t>可成交</w:t>
            </w:r>
            <w:r>
              <w:rPr>
                <w:rFonts w:hint="default" w:ascii="Times New Roman" w:hAnsi="Times New Roman" w:eastAsia="仿宋_GB2312" w:cs="Times New Roman"/>
                <w:sz w:val="28"/>
                <w:szCs w:val="28"/>
                <w:lang w:val="en"/>
              </w:rPr>
              <w:t>所有</w:t>
            </w:r>
            <w:r>
              <w:rPr>
                <w:rFonts w:hint="default" w:ascii="Times New Roman" w:hAnsi="Times New Roman" w:eastAsia="仿宋_GB2312" w:cs="Times New Roman"/>
                <w:sz w:val="28"/>
                <w:szCs w:val="28"/>
              </w:rPr>
              <w:t>包</w:t>
            </w:r>
            <w:r>
              <w:rPr>
                <w:rFonts w:hint="default" w:ascii="Times New Roman" w:hAnsi="Times New Roman" w:eastAsia="仿宋_GB2312" w:cs="Times New Roman"/>
                <w:sz w:val="28"/>
                <w:szCs w:val="28"/>
                <w:lang w:val="en"/>
              </w:rPr>
              <w:t>。</w:t>
            </w:r>
          </w:p>
          <w:p w14:paraId="00ACDAE2">
            <w:pPr>
              <w:spacing w:line="500" w:lineRule="exact"/>
              <w:jc w:val="lef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 w:eastAsia="zh-CN"/>
              </w:rPr>
              <w:t>□</w:t>
            </w:r>
            <w:r>
              <w:rPr>
                <w:rFonts w:hint="default" w:ascii="Times New Roman" w:hAnsi="Times New Roman" w:eastAsia="仿宋_GB2312" w:cs="Times New Roman"/>
                <w:b/>
                <w:bCs/>
                <w:color w:val="auto"/>
                <w:sz w:val="28"/>
                <w:szCs w:val="28"/>
                <w:lang w:eastAsia="zh-CN"/>
              </w:rPr>
              <w:t>兼投不兼中</w:t>
            </w:r>
            <w:r>
              <w:rPr>
                <w:rFonts w:hint="default" w:ascii="Times New Roman" w:hAnsi="Times New Roman" w:eastAsia="仿宋_GB2312" w:cs="Times New Roman"/>
                <w:b/>
                <w:bCs/>
                <w:color w:val="auto"/>
                <w:sz w:val="28"/>
                <w:szCs w:val="28"/>
                <w:lang w:val="en-US" w:eastAsia="zh-CN"/>
              </w:rPr>
              <w:t>。</w:t>
            </w:r>
            <w:r>
              <w:rPr>
                <w:rFonts w:hint="default" w:ascii="Times New Roman" w:hAnsi="Times New Roman" w:eastAsia="仿宋_GB2312" w:cs="Times New Roman"/>
                <w:color w:val="auto"/>
                <w:sz w:val="28"/>
                <w:szCs w:val="28"/>
                <w:lang w:val="en-US" w:eastAsia="zh-CN"/>
              </w:rPr>
              <w:t>供应商可对多个分包进行磋商响应，按照分包先后顺序可以成交一个包，即</w:t>
            </w:r>
            <w:r>
              <w:rPr>
                <w:rFonts w:hint="default" w:ascii="Times New Roman" w:hAnsi="Times New Roman" w:eastAsia="仿宋_GB2312" w:cs="Times New Roman"/>
                <w:color w:val="auto"/>
                <w:sz w:val="28"/>
                <w:szCs w:val="28"/>
                <w:lang w:eastAsia="zh-CN"/>
              </w:rPr>
              <w:t>包1排名第一的成交候选供应商不再被推荐为包2的成交候选供应商（以此类推）。</w:t>
            </w:r>
          </w:p>
        </w:tc>
      </w:tr>
      <w:tr w14:paraId="3BCFF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1BCCF052">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41.1</w:t>
            </w:r>
          </w:p>
        </w:tc>
        <w:tc>
          <w:tcPr>
            <w:tcW w:w="7751" w:type="dxa"/>
            <w:vAlign w:val="center"/>
          </w:tcPr>
          <w:p w14:paraId="1224D503">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成交结果公告媒介：</w:t>
            </w:r>
          </w:p>
          <w:p w14:paraId="57CF0672">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《河南省政府采购网》《河南省公共资源交易中心网》</w:t>
            </w:r>
          </w:p>
        </w:tc>
      </w:tr>
      <w:tr w14:paraId="5A46C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6" w:hRule="atLeast"/>
        </w:trPr>
        <w:tc>
          <w:tcPr>
            <w:tcW w:w="952" w:type="dxa"/>
            <w:vAlign w:val="center"/>
          </w:tcPr>
          <w:p w14:paraId="21FA4F00">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4</w:t>
            </w:r>
            <w:r>
              <w:rPr>
                <w:rFonts w:hint="default" w:ascii="Times New Roman" w:hAnsi="Times New Roman" w:eastAsia="仿宋_GB2312" w:cs="Times New Roman"/>
                <w:color w:val="auto"/>
                <w:sz w:val="28"/>
                <w:szCs w:val="28"/>
                <w:lang w:val="en-US" w:eastAsia="zh-CN"/>
              </w:rPr>
              <w:t>4</w:t>
            </w:r>
          </w:p>
        </w:tc>
        <w:tc>
          <w:tcPr>
            <w:tcW w:w="7751" w:type="dxa"/>
            <w:vAlign w:val="center"/>
          </w:tcPr>
          <w:p w14:paraId="414DF154">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数量</w:t>
            </w:r>
            <w:r>
              <w:rPr>
                <w:rFonts w:hint="default" w:ascii="Times New Roman" w:hAnsi="Times New Roman" w:eastAsia="仿宋_GB2312" w:cs="Times New Roman"/>
                <w:color w:val="auto"/>
                <w:sz w:val="28"/>
                <w:szCs w:val="28"/>
                <w:lang w:val="en-US" w:eastAsia="zh-CN"/>
              </w:rPr>
              <w:t>追加</w:t>
            </w:r>
            <w:r>
              <w:rPr>
                <w:rFonts w:hint="default" w:ascii="Times New Roman" w:hAnsi="Times New Roman" w:eastAsia="仿宋_GB2312" w:cs="Times New Roman"/>
                <w:color w:val="auto"/>
                <w:sz w:val="28"/>
                <w:szCs w:val="28"/>
                <w:lang w:eastAsia="zh-CN"/>
              </w:rPr>
              <w:t>范围：采购人需追加与合同标的相同的</w:t>
            </w:r>
            <w:r>
              <w:rPr>
                <w:rFonts w:hint="default" w:ascii="Times New Roman" w:hAnsi="Times New Roman" w:eastAsia="仿宋_GB2312" w:cs="Times New Roman"/>
                <w:color w:val="auto"/>
                <w:sz w:val="28"/>
                <w:szCs w:val="28"/>
                <w:lang w:val="en" w:eastAsia="zh-CN"/>
              </w:rPr>
              <w:t>货物</w:t>
            </w:r>
            <w:r>
              <w:rPr>
                <w:rFonts w:hint="default" w:ascii="Times New Roman" w:hAnsi="Times New Roman" w:eastAsia="仿宋_GB2312" w:cs="Times New Roman"/>
                <w:color w:val="auto"/>
                <w:sz w:val="28"/>
                <w:szCs w:val="28"/>
                <w:lang w:eastAsia="zh-CN"/>
              </w:rPr>
              <w:t>的，在不改变合同其它条款的前提下，可以与供应商签订补充合同，但所有补充合同的采购金额不得超过原合同金额的百分之十。</w:t>
            </w:r>
          </w:p>
        </w:tc>
      </w:tr>
      <w:tr w14:paraId="76C71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6" w:hRule="atLeast"/>
        </w:trPr>
        <w:tc>
          <w:tcPr>
            <w:tcW w:w="952" w:type="dxa"/>
            <w:vAlign w:val="center"/>
          </w:tcPr>
          <w:p w14:paraId="425A9951">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46</w:t>
            </w:r>
          </w:p>
        </w:tc>
        <w:tc>
          <w:tcPr>
            <w:tcW w:w="7751" w:type="dxa"/>
            <w:vAlign w:val="center"/>
          </w:tcPr>
          <w:p w14:paraId="790C4931">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履约保证金：</w:t>
            </w:r>
            <w:r>
              <w:rPr>
                <w:rFonts w:hint="default" w:ascii="Times New Roman" w:hAnsi="Times New Roman" w:eastAsia="仿宋_GB2312" w:cs="Times New Roman"/>
                <w:b/>
                <w:bCs/>
                <w:color w:val="auto"/>
                <w:sz w:val="28"/>
                <w:szCs w:val="28"/>
                <w:lang w:val="en" w:eastAsia="zh-CN"/>
              </w:rPr>
              <w:t>□</w:t>
            </w:r>
            <w:r>
              <w:rPr>
                <w:rFonts w:hint="default" w:ascii="Times New Roman" w:hAnsi="Times New Roman" w:eastAsia="仿宋_GB2312" w:cs="Times New Roman"/>
                <w:b/>
                <w:bCs/>
                <w:color w:val="auto"/>
                <w:sz w:val="28"/>
                <w:szCs w:val="28"/>
                <w:lang w:val="en-US" w:eastAsia="zh-CN"/>
              </w:rPr>
              <w:t xml:space="preserve">无  </w:t>
            </w:r>
            <w:r>
              <w:rPr>
                <w:rFonts w:hint="default" w:ascii="Times New Roman" w:hAnsi="Times New Roman" w:eastAsia="仿宋_GB2312" w:cs="Times New Roman"/>
                <w:b/>
                <w:bCs/>
                <w:color w:val="FF0000"/>
                <w:sz w:val="28"/>
                <w:szCs w:val="28"/>
                <w:lang w:val="en-US" w:eastAsia="zh-CN"/>
              </w:rPr>
              <w:t xml:space="preserve"> </w:t>
            </w:r>
            <w:r>
              <w:rPr>
                <w:rFonts w:hint="default" w:ascii="Times New Roman" w:hAnsi="Times New Roman" w:eastAsia="仿宋_GB2312" w:cs="Times New Roman"/>
                <w:b/>
                <w:bCs/>
                <w:color w:val="auto"/>
                <w:sz w:val="28"/>
                <w:szCs w:val="28"/>
                <w:lang w:val="en" w:eastAsia="zh-CN"/>
              </w:rPr>
              <w:t>☑</w:t>
            </w:r>
            <w:r>
              <w:rPr>
                <w:rFonts w:hint="default" w:ascii="Times New Roman" w:hAnsi="Times New Roman" w:eastAsia="仿宋_GB2312" w:cs="Times New Roman"/>
                <w:b/>
                <w:bCs/>
                <w:color w:val="auto"/>
                <w:sz w:val="28"/>
                <w:szCs w:val="28"/>
                <w:lang w:val="en-US" w:eastAsia="zh-CN"/>
              </w:rPr>
              <w:t>有</w:t>
            </w:r>
            <w:r>
              <w:rPr>
                <w:rFonts w:hint="default" w:ascii="Times New Roman" w:hAnsi="Times New Roman" w:eastAsia="仿宋_GB2312" w:cs="Times New Roman"/>
                <w:color w:val="auto"/>
                <w:sz w:val="28"/>
                <w:szCs w:val="28"/>
                <w:lang w:val="en" w:eastAsia="zh-CN"/>
              </w:rPr>
              <w:t>，合同金额的</w:t>
            </w:r>
            <w:r>
              <w:rPr>
                <w:rFonts w:hint="default" w:ascii="Times New Roman" w:hAnsi="Times New Roman" w:eastAsia="仿宋_GB2312" w:cs="Times New Roman"/>
                <w:b/>
                <w:bCs/>
                <w:color w:val="auto"/>
                <w:sz w:val="28"/>
                <w:szCs w:val="28"/>
                <w:u w:val="single"/>
                <w:lang w:val="en-US" w:eastAsia="zh-CN"/>
              </w:rPr>
              <w:t>5</w:t>
            </w:r>
            <w:r>
              <w:rPr>
                <w:rFonts w:hint="default" w:ascii="Times New Roman" w:hAnsi="Times New Roman" w:eastAsia="仿宋_GB2312" w:cs="Times New Roman"/>
                <w:color w:val="auto"/>
                <w:sz w:val="28"/>
                <w:szCs w:val="28"/>
                <w:lang w:val="en-US" w:eastAsia="zh-CN"/>
              </w:rPr>
              <w:t>%</w:t>
            </w:r>
          </w:p>
        </w:tc>
      </w:tr>
      <w:tr w14:paraId="10905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6" w:hRule="atLeast"/>
        </w:trPr>
        <w:tc>
          <w:tcPr>
            <w:tcW w:w="952" w:type="dxa"/>
            <w:vAlign w:val="center"/>
          </w:tcPr>
          <w:p w14:paraId="5B5E3565">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48</w:t>
            </w:r>
          </w:p>
        </w:tc>
        <w:tc>
          <w:tcPr>
            <w:tcW w:w="7751" w:type="dxa"/>
            <w:vAlign w:val="center"/>
          </w:tcPr>
          <w:p w14:paraId="3DFD18A8">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招标代理费</w:t>
            </w:r>
            <w:r>
              <w:rPr>
                <w:rFonts w:hint="default" w:ascii="Times New Roman" w:hAnsi="Times New Roman" w:eastAsia="仿宋_GB2312" w:cs="Times New Roman"/>
                <w:color w:val="auto"/>
                <w:sz w:val="28"/>
                <w:szCs w:val="28"/>
              </w:rPr>
              <w:t>：免费。</w:t>
            </w:r>
          </w:p>
        </w:tc>
      </w:tr>
      <w:tr w14:paraId="5D543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6" w:hRule="atLeast"/>
        </w:trPr>
        <w:tc>
          <w:tcPr>
            <w:tcW w:w="952" w:type="dxa"/>
            <w:vAlign w:val="center"/>
          </w:tcPr>
          <w:p w14:paraId="2B2DC865">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49.2</w:t>
            </w:r>
          </w:p>
        </w:tc>
        <w:tc>
          <w:tcPr>
            <w:tcW w:w="7751" w:type="dxa"/>
            <w:vAlign w:val="center"/>
          </w:tcPr>
          <w:p w14:paraId="64C1DC24">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供应商应在法定质疑期内针对同一采购程序环节的质疑次数：</w:t>
            </w:r>
          </w:p>
          <w:p w14:paraId="73CEBF36">
            <w:pPr>
              <w:spacing w:line="500" w:lineRule="exact"/>
              <w:jc w:val="left"/>
              <w:rPr>
                <w:rFonts w:hint="default" w:ascii="Times New Roman" w:hAnsi="Times New Roman" w:cs="Times New Roman"/>
                <w:color w:val="auto"/>
              </w:rPr>
            </w:pPr>
            <w:r>
              <w:rPr>
                <w:rFonts w:hint="default" w:ascii="Times New Roman" w:hAnsi="Times New Roman" w:eastAsia="仿宋_GB2312" w:cs="Times New Roman"/>
                <w:b/>
                <w:bCs/>
                <w:color w:val="auto"/>
                <w:sz w:val="28"/>
                <w:szCs w:val="28"/>
                <w:lang w:val="en-US" w:eastAsia="zh-CN"/>
              </w:rPr>
              <w:t>一次性提出</w:t>
            </w:r>
            <w:r>
              <w:rPr>
                <w:rFonts w:hint="default" w:ascii="Times New Roman" w:hAnsi="Times New Roman" w:eastAsia="仿宋_GB2312" w:cs="Times New Roman"/>
                <w:color w:val="auto"/>
                <w:sz w:val="28"/>
                <w:szCs w:val="28"/>
                <w:lang w:val="en-US" w:eastAsia="zh-CN"/>
              </w:rPr>
              <w:t xml:space="preserve">  </w:t>
            </w:r>
          </w:p>
        </w:tc>
      </w:tr>
      <w:tr w14:paraId="7FE49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6" w:hRule="atLeast"/>
        </w:trPr>
        <w:tc>
          <w:tcPr>
            <w:tcW w:w="952" w:type="dxa"/>
            <w:vAlign w:val="center"/>
          </w:tcPr>
          <w:p w14:paraId="47871A82">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51</w:t>
            </w:r>
          </w:p>
        </w:tc>
        <w:tc>
          <w:tcPr>
            <w:tcW w:w="7751" w:type="dxa"/>
            <w:vAlign w:val="center"/>
          </w:tcPr>
          <w:p w14:paraId="49CB8638">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需要补充的其他内容</w:t>
            </w:r>
          </w:p>
        </w:tc>
      </w:tr>
      <w:tr w14:paraId="777AC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203" w:hRule="atLeast"/>
        </w:trPr>
        <w:tc>
          <w:tcPr>
            <w:tcW w:w="952" w:type="dxa"/>
            <w:vAlign w:val="center"/>
          </w:tcPr>
          <w:p w14:paraId="3AD779CC">
            <w:pPr>
              <w:spacing w:line="500" w:lineRule="exact"/>
              <w:jc w:val="center"/>
              <w:rPr>
                <w:rFonts w:hint="default" w:ascii="Times New Roman" w:hAnsi="Times New Roman" w:eastAsia="仿宋_GB2312" w:cs="Times New Roman"/>
                <w:color w:val="auto"/>
                <w:sz w:val="28"/>
                <w:szCs w:val="28"/>
                <w:lang w:val="en" w:eastAsia="zh-CN"/>
              </w:rPr>
            </w:pPr>
            <w:r>
              <w:rPr>
                <w:rFonts w:hint="default" w:ascii="Times New Roman" w:hAnsi="Times New Roman" w:eastAsia="仿宋_GB2312" w:cs="Times New Roman"/>
                <w:color w:val="auto"/>
                <w:sz w:val="28"/>
                <w:szCs w:val="28"/>
                <w:lang w:val="en-US" w:eastAsia="zh-CN"/>
              </w:rPr>
              <w:t>51</w:t>
            </w:r>
            <w:r>
              <w:rPr>
                <w:rFonts w:hint="default" w:ascii="Times New Roman" w:hAnsi="Times New Roman" w:eastAsia="仿宋_GB2312" w:cs="Times New Roman"/>
                <w:color w:val="auto"/>
                <w:sz w:val="28"/>
                <w:szCs w:val="28"/>
                <w:lang w:val="en" w:eastAsia="zh-CN"/>
              </w:rPr>
              <w:t>.2</w:t>
            </w:r>
          </w:p>
        </w:tc>
        <w:tc>
          <w:tcPr>
            <w:tcW w:w="7751" w:type="dxa"/>
            <w:vAlign w:val="center"/>
          </w:tcPr>
          <w:p w14:paraId="4F8FFBB0">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rPr>
              <w:fldChar w:fldCharType="begin"/>
            </w:r>
            <w:r>
              <w:rPr>
                <w:rFonts w:hint="default" w:ascii="Times New Roman" w:hAnsi="Times New Roman" w:eastAsia="仿宋_GB2312" w:cs="Times New Roman"/>
                <w:b/>
                <w:bCs/>
                <w:color w:val="auto"/>
                <w:sz w:val="28"/>
                <w:szCs w:val="28"/>
                <w:lang w:eastAsia="zh-CN"/>
              </w:rPr>
              <w:instrText xml:space="preserve"> eq \o\ac(</w:instrText>
            </w:r>
            <w:r>
              <w:rPr>
                <w:rFonts w:hint="default" w:ascii="Times New Roman" w:hAnsi="Times New Roman" w:eastAsia="仿宋_GB2312" w:cs="Times New Roman"/>
                <w:b/>
                <w:bCs/>
                <w:color w:val="auto"/>
                <w:position w:val="-5"/>
                <w:sz w:val="42"/>
                <w:szCs w:val="28"/>
                <w:lang w:eastAsia="zh-CN"/>
              </w:rPr>
              <w:instrText xml:space="preserve">□</w:instrText>
            </w:r>
            <w:r>
              <w:rPr>
                <w:rFonts w:hint="default" w:ascii="Times New Roman" w:hAnsi="Times New Roman" w:eastAsia="仿宋_GB2312" w:cs="Times New Roman"/>
                <w:b/>
                <w:bCs/>
                <w:color w:val="auto"/>
                <w:sz w:val="28"/>
                <w:szCs w:val="28"/>
                <w:lang w:eastAsia="zh-CN"/>
              </w:rPr>
              <w:instrText xml:space="preserve">)</w:instrText>
            </w:r>
            <w:r>
              <w:rPr>
                <w:rFonts w:hint="default" w:ascii="Times New Roman" w:hAnsi="Times New Roman" w:eastAsia="仿宋_GB2312" w:cs="Times New Roman"/>
                <w:b/>
                <w:bCs/>
                <w:color w:val="auto"/>
                <w:sz w:val="28"/>
                <w:szCs w:val="28"/>
              </w:rPr>
              <w:fldChar w:fldCharType="end"/>
            </w:r>
            <w:r>
              <w:rPr>
                <w:rFonts w:hint="default" w:ascii="Times New Roman" w:hAnsi="Times New Roman" w:eastAsia="仿宋_GB2312" w:cs="Times New Roman"/>
                <w:color w:val="auto"/>
                <w:sz w:val="28"/>
                <w:szCs w:val="28"/>
                <w:lang w:val="en-US" w:eastAsia="zh-CN"/>
              </w:rPr>
              <w:t>（1）如果为单一产品采购项目，提供相同品牌产品且通过初步审查的不同供应商参加同一合同项下磋商响应的，按一家供应商计算，评审后得分最高的同品牌供应商获得成交供应商推荐资格；评审得分相同的，报价得分最高的获得成交供应商推荐资格，其他同品牌供应商不作为成交候选供应商。</w:t>
            </w:r>
          </w:p>
          <w:p w14:paraId="3EFBA0FA">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rPr>
              <w:fldChar w:fldCharType="begin"/>
            </w:r>
            <w:r>
              <w:rPr>
                <w:rFonts w:hint="default" w:ascii="Times New Roman" w:hAnsi="Times New Roman" w:eastAsia="仿宋_GB2312" w:cs="Times New Roman"/>
                <w:b/>
                <w:bCs/>
                <w:color w:val="auto"/>
                <w:sz w:val="28"/>
                <w:szCs w:val="28"/>
                <w:lang w:eastAsia="zh-CN"/>
              </w:rPr>
              <w:instrText xml:space="preserve"> eq \o\ac(</w:instrText>
            </w:r>
            <w:r>
              <w:rPr>
                <w:rFonts w:hint="default" w:ascii="Times New Roman" w:hAnsi="Times New Roman" w:eastAsia="仿宋_GB2312" w:cs="Times New Roman"/>
                <w:b/>
                <w:bCs/>
                <w:color w:val="auto"/>
                <w:position w:val="-5"/>
                <w:sz w:val="42"/>
                <w:szCs w:val="28"/>
                <w:lang w:eastAsia="zh-CN"/>
              </w:rPr>
              <w:instrText xml:space="preserve">□,</w:instrText>
            </w:r>
            <w:r>
              <w:rPr>
                <w:rFonts w:hint="default" w:ascii="Times New Roman" w:hAnsi="Times New Roman" w:eastAsia="仿宋_GB2312" w:cs="Times New Roman"/>
                <w:b/>
                <w:bCs/>
                <w:color w:val="auto"/>
                <w:sz w:val="29"/>
                <w:szCs w:val="28"/>
                <w:lang w:eastAsia="zh-CN"/>
              </w:rPr>
              <w:instrText xml:space="preserve">√</w:instrText>
            </w:r>
            <w:r>
              <w:rPr>
                <w:rFonts w:hint="default" w:ascii="Times New Roman" w:hAnsi="Times New Roman" w:eastAsia="仿宋_GB2312" w:cs="Times New Roman"/>
                <w:b/>
                <w:bCs/>
                <w:color w:val="auto"/>
                <w:sz w:val="28"/>
                <w:szCs w:val="28"/>
                <w:lang w:eastAsia="zh-CN"/>
              </w:rPr>
              <w:instrText xml:space="preserve">)</w:instrText>
            </w:r>
            <w:r>
              <w:rPr>
                <w:rFonts w:hint="default" w:ascii="Times New Roman" w:hAnsi="Times New Roman" w:eastAsia="仿宋_GB2312" w:cs="Times New Roman"/>
                <w:b/>
                <w:bCs/>
                <w:color w:val="auto"/>
                <w:sz w:val="28"/>
                <w:szCs w:val="28"/>
              </w:rPr>
              <w:fldChar w:fldCharType="end"/>
            </w:r>
            <w:r>
              <w:rPr>
                <w:rFonts w:hint="default" w:ascii="Times New Roman" w:hAnsi="Times New Roman" w:eastAsia="仿宋_GB2312" w:cs="Times New Roman"/>
                <w:color w:val="auto"/>
                <w:sz w:val="28"/>
                <w:szCs w:val="28"/>
                <w:lang w:val="en-US" w:eastAsia="zh-CN"/>
              </w:rPr>
              <w:t>（2）非单一产品采购项目，将在</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中载明核心产品。多家供应商提供的核心产品品牌相同的，按（1）“单一产品采购项目”规定处理。</w:t>
            </w:r>
          </w:p>
          <w:p w14:paraId="70392ECB">
            <w:pPr>
              <w:spacing w:line="500" w:lineRule="exact"/>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lang w:val="en-US" w:eastAsia="zh-CN"/>
              </w:rPr>
              <w:t>核心产品：</w:t>
            </w:r>
            <w:r>
              <w:rPr>
                <w:rFonts w:hint="default" w:ascii="Times New Roman" w:hAnsi="Times New Roman" w:eastAsia="仿宋_GB2312" w:cs="Times New Roman"/>
                <w:b/>
                <w:bCs/>
                <w:color w:val="auto"/>
                <w:sz w:val="28"/>
                <w:szCs w:val="28"/>
                <w:u w:val="single"/>
                <w:lang w:val="en-US" w:eastAsia="zh-CN"/>
              </w:rPr>
              <w:t>多媒体教室计算机云终端（管理端云桌面授权）</w:t>
            </w:r>
          </w:p>
        </w:tc>
      </w:tr>
      <w:tr w14:paraId="33015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6" w:hRule="atLeast"/>
        </w:trPr>
        <w:tc>
          <w:tcPr>
            <w:tcW w:w="952" w:type="dxa"/>
            <w:vAlign w:val="center"/>
          </w:tcPr>
          <w:p w14:paraId="3B5710BD">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51.3</w:t>
            </w:r>
          </w:p>
        </w:tc>
        <w:tc>
          <w:tcPr>
            <w:tcW w:w="7751" w:type="dxa"/>
            <w:vAlign w:val="center"/>
          </w:tcPr>
          <w:p w14:paraId="28325DD0">
            <w:pPr>
              <w:spacing w:line="500" w:lineRule="exact"/>
              <w:jc w:val="lef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kern w:val="0"/>
                <w:sz w:val="28"/>
                <w:szCs w:val="28"/>
                <w:lang w:val="en-US" w:eastAsia="zh-CN" w:bidi="ar"/>
              </w:rPr>
              <w:t>“</w:t>
            </w:r>
            <w:r>
              <w:rPr>
                <w:rFonts w:hint="default" w:ascii="Times New Roman" w:hAnsi="Times New Roman" w:eastAsia="仿宋_GB2312" w:cs="Times New Roman"/>
                <w:b/>
                <w:bCs/>
                <w:color w:val="auto"/>
                <w:sz w:val="28"/>
                <w:szCs w:val="28"/>
                <w:lang w:val="en-US" w:eastAsia="zh-CN"/>
              </w:rPr>
              <w:t>一号咨询”服务：</w:t>
            </w:r>
            <w:r>
              <w:rPr>
                <w:rFonts w:hint="default" w:ascii="Times New Roman" w:hAnsi="Times New Roman" w:eastAsia="仿宋_GB2312" w:cs="Times New Roman"/>
                <w:color w:val="auto"/>
                <w:kern w:val="0"/>
                <w:sz w:val="28"/>
                <w:szCs w:val="28"/>
                <w:lang w:val="en-US" w:eastAsia="zh-CN" w:bidi="ar"/>
              </w:rPr>
              <w:t>市场主体拨打0371-61335566即可咨询河南省公共资源交易中心业务的相关问题。</w:t>
            </w:r>
          </w:p>
        </w:tc>
      </w:tr>
    </w:tbl>
    <w:p w14:paraId="33CB5F52">
      <w:pPr>
        <w:spacing w:line="500" w:lineRule="exact"/>
        <w:jc w:val="left"/>
        <w:rPr>
          <w:rFonts w:hint="default" w:ascii="Times New Roman" w:hAnsi="Times New Roman" w:eastAsia="宋体" w:cs="Times New Roman"/>
          <w:color w:val="auto"/>
          <w:sz w:val="24"/>
          <w:szCs w:val="24"/>
          <w:lang w:eastAsia="zh-CN"/>
        </w:rPr>
      </w:pPr>
    </w:p>
    <w:p w14:paraId="113C050C">
      <w:pPr>
        <w:spacing w:line="520" w:lineRule="exact"/>
        <w:ind w:left="1077" w:hanging="539"/>
        <w:rPr>
          <w:rFonts w:hint="default" w:ascii="Times New Roman" w:hAnsi="Times New Roman" w:eastAsia="宋体" w:cs="Times New Roman"/>
          <w:color w:val="auto"/>
          <w:lang w:eastAsia="zh-CN"/>
        </w:rPr>
        <w:sectPr>
          <w:pgSz w:w="11900" w:h="16840"/>
          <w:pgMar w:top="1440" w:right="1797" w:bottom="1440" w:left="1797" w:header="851" w:footer="992" w:gutter="0"/>
          <w:cols w:space="720" w:num="1"/>
        </w:sectPr>
      </w:pPr>
    </w:p>
    <w:p w14:paraId="0C53E5BF">
      <w:pPr>
        <w:pStyle w:val="2"/>
        <w:spacing w:before="0" w:after="0" w:line="360" w:lineRule="auto"/>
        <w:jc w:val="center"/>
        <w:rPr>
          <w:rFonts w:hint="default" w:ascii="Times New Roman" w:hAnsi="Times New Roman" w:eastAsia="宋体" w:cs="Times New Roman"/>
          <w:color w:val="auto"/>
          <w:sz w:val="36"/>
          <w:szCs w:val="36"/>
          <w:lang w:val="en-US" w:eastAsia="zh-CN"/>
        </w:rPr>
      </w:pPr>
      <w:bookmarkStart w:id="31" w:name="_Toc766970566"/>
      <w:bookmarkStart w:id="32" w:name="_Toc4600"/>
      <w:bookmarkStart w:id="33" w:name="_Toc1667831845"/>
      <w:r>
        <w:rPr>
          <w:rFonts w:hint="default" w:ascii="Times New Roman" w:hAnsi="Times New Roman" w:eastAsia="宋体" w:cs="Times New Roman"/>
          <w:color w:val="auto"/>
          <w:sz w:val="36"/>
          <w:szCs w:val="36"/>
          <w:lang w:val="en-US" w:eastAsia="zh-CN"/>
        </w:rPr>
        <w:t xml:space="preserve">第三章 </w:t>
      </w:r>
      <w:r>
        <w:rPr>
          <w:rFonts w:hint="default" w:ascii="Times New Roman" w:hAnsi="Times New Roman" w:eastAsia="宋体" w:cs="Times New Roman"/>
          <w:color w:val="auto"/>
          <w:sz w:val="36"/>
          <w:szCs w:val="36"/>
          <w:lang w:eastAsia="zh-CN"/>
        </w:rPr>
        <w:t>供应商须知</w:t>
      </w:r>
      <w:bookmarkEnd w:id="31"/>
      <w:bookmarkEnd w:id="32"/>
      <w:bookmarkEnd w:id="33"/>
    </w:p>
    <w:p w14:paraId="11FD0C55">
      <w:pPr>
        <w:keepNext/>
        <w:keepLines/>
        <w:widowControl w:val="0"/>
        <w:autoSpaceDE w:val="0"/>
        <w:autoSpaceDN w:val="0"/>
        <w:adjustRightInd w:val="0"/>
        <w:spacing w:line="560" w:lineRule="exact"/>
        <w:jc w:val="center"/>
        <w:outlineLvl w:val="1"/>
        <w:rPr>
          <w:rFonts w:hint="default" w:ascii="Times New Roman" w:hAnsi="Times New Roman" w:eastAsia="方正小标宋_GBK" w:cs="Times New Roman"/>
          <w:bCs/>
          <w:color w:val="auto"/>
          <w:kern w:val="0"/>
          <w:sz w:val="30"/>
          <w:szCs w:val="30"/>
          <w:lang w:val="en-US" w:eastAsia="zh-CN"/>
        </w:rPr>
      </w:pPr>
      <w:bookmarkStart w:id="34" w:name="_Toc2082146484"/>
      <w:bookmarkStart w:id="35" w:name="_Toc1609149915"/>
      <w:r>
        <w:rPr>
          <w:rFonts w:hint="default" w:ascii="Times New Roman" w:hAnsi="Times New Roman" w:eastAsia="方正小标宋_GBK" w:cs="Times New Roman"/>
          <w:bCs/>
          <w:color w:val="auto"/>
          <w:kern w:val="0"/>
          <w:sz w:val="30"/>
          <w:szCs w:val="30"/>
          <w:lang w:val="en-US" w:eastAsia="zh-CN"/>
        </w:rPr>
        <w:t>一   说  明</w:t>
      </w:r>
      <w:bookmarkEnd w:id="34"/>
      <w:bookmarkEnd w:id="35"/>
    </w:p>
    <w:p w14:paraId="0A998B4D">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1</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适用范围</w:t>
      </w:r>
    </w:p>
    <w:p w14:paraId="27553270">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1.1本</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仅适用于本次</w:t>
      </w:r>
      <w:r>
        <w:rPr>
          <w:rFonts w:hint="default" w:ascii="Times New Roman" w:hAnsi="Times New Roman" w:eastAsia="仿宋_GB2312" w:cs="Times New Roman"/>
          <w:color w:val="auto"/>
          <w:sz w:val="28"/>
          <w:szCs w:val="28"/>
          <w:lang w:val="en" w:eastAsia="zh-CN"/>
        </w:rPr>
        <w:t>竞争性磋商</w:t>
      </w:r>
      <w:r>
        <w:rPr>
          <w:rFonts w:hint="default" w:ascii="Times New Roman" w:hAnsi="Times New Roman" w:eastAsia="仿宋_GB2312" w:cs="Times New Roman"/>
          <w:color w:val="auto"/>
          <w:sz w:val="28"/>
          <w:szCs w:val="28"/>
          <w:lang w:eastAsia="zh-CN"/>
        </w:rPr>
        <w:t>所述的货物。</w:t>
      </w:r>
    </w:p>
    <w:p w14:paraId="48808E76">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1.2</w:t>
      </w:r>
      <w:r>
        <w:rPr>
          <w:rFonts w:hint="default" w:ascii="Times New Roman" w:hAnsi="Times New Roman" w:eastAsia="仿宋_GB2312" w:cs="Times New Roman"/>
          <w:color w:val="auto"/>
          <w:sz w:val="28"/>
          <w:szCs w:val="28"/>
          <w:lang w:val="en" w:eastAsia="zh-CN"/>
        </w:rPr>
        <w:t>采购项目</w:t>
      </w:r>
      <w:r>
        <w:rPr>
          <w:rFonts w:hint="default" w:ascii="Times New Roman" w:hAnsi="Times New Roman" w:eastAsia="仿宋_GB2312" w:cs="Times New Roman"/>
          <w:color w:val="auto"/>
          <w:sz w:val="28"/>
          <w:szCs w:val="28"/>
          <w:lang w:eastAsia="zh-CN"/>
        </w:rPr>
        <w:t>：见“供应商须知前附表”。</w:t>
      </w:r>
    </w:p>
    <w:p w14:paraId="78EB4392">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1.3项目编号：见“供应商须知前附表”。</w:t>
      </w:r>
    </w:p>
    <w:p w14:paraId="62619423">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1.4采购项目简要说明：见“供应商须知前附表”。</w:t>
      </w:r>
    </w:p>
    <w:p w14:paraId="17A8A329">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2</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定义</w:t>
      </w:r>
    </w:p>
    <w:p w14:paraId="76040A75">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2.1政府采购监督管理部门：河南省财政厅。</w:t>
      </w:r>
    </w:p>
    <w:p w14:paraId="64B8B207">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2.2采购人：</w:t>
      </w:r>
      <w:r>
        <w:rPr>
          <w:rFonts w:hint="default" w:ascii="Times New Roman" w:hAnsi="Times New Roman" w:eastAsia="仿宋_GB2312" w:cs="Times New Roman"/>
          <w:color w:val="auto"/>
          <w:sz w:val="28"/>
          <w:szCs w:val="28"/>
          <w:lang w:val="en-US" w:eastAsia="zh-CN"/>
        </w:rPr>
        <w:t>是指依法进行政府采购的国家机关、事业单位、团体组织。本项目的采购人见供应商须知前附表。</w:t>
      </w:r>
    </w:p>
    <w:p w14:paraId="622DD166">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2.3集中采购机构：“供应商须知前附表”中所述的受采购人委托组织集中采购的代理机构。</w:t>
      </w:r>
    </w:p>
    <w:p w14:paraId="45CB5242">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2.4集中采购：是指政府集中采购目录及限额标准规定的集中采购项目的采购活动。</w:t>
      </w:r>
    </w:p>
    <w:p w14:paraId="28049FE3">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2.5供应商：是指参加政府采购活动，向采购人提供货物、工程或者服务的法人、其他组织或者自然人。</w:t>
      </w:r>
    </w:p>
    <w:p w14:paraId="20D08668">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2.5.1若供应商须知前附表中写明专门面向中小企业采购的，如供应商为非中小企业，其磋商响应无效。</w:t>
      </w:r>
    </w:p>
    <w:p w14:paraId="66A08577">
      <w:pPr>
        <w:spacing w:line="560" w:lineRule="exact"/>
        <w:rPr>
          <w:rFonts w:hint="default" w:ascii="Times New Roman" w:hAnsi="Times New Roman" w:cs="Times New Roman"/>
          <w:color w:val="auto"/>
          <w:lang w:val="en-US" w:eastAsia="zh-CN"/>
        </w:rPr>
      </w:pPr>
      <w:r>
        <w:rPr>
          <w:rFonts w:hint="default" w:ascii="Times New Roman" w:hAnsi="Times New Roman" w:eastAsia="仿宋_GB2312" w:cs="Times New Roman"/>
          <w:color w:val="auto"/>
          <w:sz w:val="28"/>
          <w:szCs w:val="28"/>
          <w:lang w:val="en-US" w:eastAsia="zh-CN"/>
        </w:rPr>
        <w:t>2.5.2</w:t>
      </w:r>
      <w:r>
        <w:rPr>
          <w:rFonts w:hint="default" w:ascii="Times New Roman" w:hAnsi="Times New Roman" w:eastAsia="仿宋_GB2312" w:cs="Times New Roman"/>
          <w:color w:val="auto"/>
          <w:sz w:val="28"/>
          <w:szCs w:val="28"/>
          <w:lang w:eastAsia="zh-CN"/>
        </w:rPr>
        <w:t>若供应商须知前附表中写明允许采购进口产品，但不限制满足</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要求的国内产品参与采购活动，供应商应保证所投产品可履行合法报通关手续进入中国关境内。若供应商须知前附表中未写明允许采购进口产品，如供应商提供产品为进口产品，其</w:t>
      </w:r>
      <w:r>
        <w:rPr>
          <w:rFonts w:hint="default" w:ascii="Times New Roman" w:hAnsi="Times New Roman" w:eastAsia="仿宋_GB2312" w:cs="Times New Roman"/>
          <w:color w:val="auto"/>
          <w:sz w:val="28"/>
          <w:szCs w:val="28"/>
          <w:lang w:val="en" w:eastAsia="zh-CN"/>
        </w:rPr>
        <w:t>磋商响应</w:t>
      </w:r>
      <w:r>
        <w:rPr>
          <w:rFonts w:hint="default" w:ascii="Times New Roman" w:hAnsi="Times New Roman" w:eastAsia="仿宋_GB2312" w:cs="Times New Roman"/>
          <w:color w:val="auto"/>
          <w:sz w:val="28"/>
          <w:szCs w:val="28"/>
          <w:lang w:eastAsia="zh-CN"/>
        </w:rPr>
        <w:t>无效。</w:t>
      </w:r>
    </w:p>
    <w:p w14:paraId="6A62BCEC">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2.6</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：指供应商根据</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提交的所有文件。</w:t>
      </w:r>
    </w:p>
    <w:p w14:paraId="71244546">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2.7货物及相关服务：按项目需求及有关要求提供的全部货物及相关服务。</w:t>
      </w:r>
    </w:p>
    <w:p w14:paraId="6F702BEE">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3</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磋商响应费用</w:t>
      </w:r>
    </w:p>
    <w:p w14:paraId="55760F93">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供应商须自行承担所有与参加磋商响应有关的费用，无论磋商响应的结果如何，采购人和集中采购机构在任何情况下均无义务和责任承担这些费用。</w:t>
      </w:r>
    </w:p>
    <w:p w14:paraId="7780134F">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4</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踏勘现场</w:t>
      </w:r>
    </w:p>
    <w:p w14:paraId="4F16B55D">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4.1 “供应商须知前附表”规定组织踏勘现场的，采购人按“供应商须知前附表”规定的时间、地点组织供应商踏勘项目现场。</w:t>
      </w:r>
    </w:p>
    <w:p w14:paraId="367DA015">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4.2 供应商踏勘现场发生的费用自理。</w:t>
      </w:r>
    </w:p>
    <w:p w14:paraId="5B3568AE">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4.3 除采购人的原因外，供应商自行负责在踏勘现场中所发生的人员伤亡和财产损失。</w:t>
      </w:r>
    </w:p>
    <w:p w14:paraId="07EF6403">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4.4 采购人在踏勘现场中介绍的项目现场和相关的周边环境情况，供供应商在编制</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时参考，采购人不对供应商据此作出的判断和决策负责。</w:t>
      </w:r>
    </w:p>
    <w:p w14:paraId="49DBACF2">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5.</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知识产权</w:t>
      </w:r>
    </w:p>
    <w:p w14:paraId="3B916269">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GB" w:eastAsia="zh-CN"/>
        </w:rPr>
        <w:t>所有涉及知识产权的成果，</w:t>
      </w:r>
      <w:r>
        <w:rPr>
          <w:rFonts w:hint="default" w:ascii="Times New Roman" w:hAnsi="Times New Roman" w:eastAsia="仿宋_GB2312" w:cs="Times New Roman"/>
          <w:color w:val="auto"/>
          <w:sz w:val="28"/>
          <w:szCs w:val="28"/>
          <w:lang w:eastAsia="zh-CN"/>
        </w:rPr>
        <w:t>供应商</w:t>
      </w:r>
      <w:r>
        <w:rPr>
          <w:rFonts w:hint="default" w:ascii="Times New Roman" w:hAnsi="Times New Roman" w:eastAsia="仿宋_GB2312" w:cs="Times New Roman"/>
          <w:color w:val="auto"/>
          <w:sz w:val="28"/>
          <w:szCs w:val="28"/>
          <w:lang w:val="en-GB" w:eastAsia="zh-CN"/>
        </w:rPr>
        <w:t>必须确保采购人拥有其合法的、不受限制的无偿使用权，并免受任何侵权诉讼或索偿，否则，由此产生的一切经济损失和法律责任由</w:t>
      </w:r>
      <w:r>
        <w:rPr>
          <w:rFonts w:hint="default" w:ascii="Times New Roman" w:hAnsi="Times New Roman" w:eastAsia="仿宋_GB2312" w:cs="Times New Roman"/>
          <w:color w:val="auto"/>
          <w:sz w:val="28"/>
          <w:szCs w:val="28"/>
          <w:lang w:eastAsia="zh-CN"/>
        </w:rPr>
        <w:t>供应商</w:t>
      </w:r>
      <w:r>
        <w:rPr>
          <w:rFonts w:hint="default" w:ascii="Times New Roman" w:hAnsi="Times New Roman" w:eastAsia="仿宋_GB2312" w:cs="Times New Roman"/>
          <w:color w:val="auto"/>
          <w:sz w:val="28"/>
          <w:szCs w:val="28"/>
          <w:lang w:val="en-GB" w:eastAsia="zh-CN"/>
        </w:rPr>
        <w:t>承担。</w:t>
      </w:r>
    </w:p>
    <w:p w14:paraId="09AC4639">
      <w:pPr>
        <w:numPr>
          <w:ilvl w:val="0"/>
          <w:numId w:val="2"/>
        </w:numPr>
        <w:spacing w:line="560" w:lineRule="exact"/>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rPr>
        <w:t>联合体</w:t>
      </w:r>
      <w:r>
        <w:rPr>
          <w:rFonts w:hint="default" w:ascii="Times New Roman" w:hAnsi="Times New Roman" w:eastAsia="仿宋_GB2312" w:cs="Times New Roman"/>
          <w:b/>
          <w:bCs/>
          <w:color w:val="auto"/>
          <w:sz w:val="28"/>
          <w:szCs w:val="28"/>
          <w:lang w:eastAsia="zh-CN"/>
        </w:rPr>
        <w:t>磋商</w:t>
      </w:r>
    </w:p>
    <w:p w14:paraId="5020AA13">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6.1除非本项目明确要求不接受联合体形式磋商外，两个或两个以上供应商可以组成一个联合体，以一个供应商的身份共同参加磋商。</w:t>
      </w:r>
    </w:p>
    <w:p w14:paraId="131B2ED3">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6.2以联合体形式参加磋商的，联合体各方均应当符合《政府采购法》第二十二条第规定的条件，并应当向采购人提交联合协议，载明联合体各方承担的工作和义务。</w:t>
      </w:r>
    </w:p>
    <w:p w14:paraId="2830EF6D">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6.3联合体中有同类资质的供应商按照联合体分工承担相同工作的，应当按照资质等级较低的供应商确定资质等级。联合体各方按照联合体协议分工承担不同工作的，应具备其所承担的工作相应资质（资格）条件。</w:t>
      </w:r>
    </w:p>
    <w:p w14:paraId="5C6F7227">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6.4联合体磋商响应的，可以由联合体中的牵头人或者共同提交承诺函，以牵头人名义提交承诺函的，对联合体各方均具有约束力。</w:t>
      </w:r>
    </w:p>
    <w:p w14:paraId="3C1B1B60">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6.5以联合体形式参加政府采购活动的，联合体各方不得再单独参加或者与其他供应商另外组成联合体参加同一合同项下的政府采购活动。</w:t>
      </w:r>
    </w:p>
    <w:p w14:paraId="498237A3">
      <w:pPr>
        <w:pStyle w:val="16"/>
        <w:spacing w:line="560" w:lineRule="exact"/>
        <w:rPr>
          <w:rFonts w:hint="default" w:ascii="Times New Roman" w:hAnsi="Times New Roman" w:cs="Times New Roman"/>
          <w:lang w:val="en"/>
        </w:rPr>
      </w:pPr>
      <w:r>
        <w:rPr>
          <w:rFonts w:hint="default" w:ascii="Times New Roman" w:hAnsi="Times New Roman" w:eastAsia="仿宋_GB2312" w:cs="Times New Roman"/>
          <w:sz w:val="28"/>
          <w:szCs w:val="28"/>
          <w:lang w:val="en"/>
        </w:rPr>
        <w:t>6.6</w:t>
      </w:r>
      <w:r>
        <w:rPr>
          <w:rFonts w:hint="default" w:ascii="Times New Roman" w:hAnsi="Times New Roman" w:eastAsia="仿宋_GB2312" w:cs="Times New Roman"/>
          <w:sz w:val="28"/>
          <w:szCs w:val="28"/>
        </w:rPr>
        <w:t>是否允许联合体磋商见供应商须知前附表。</w:t>
      </w:r>
    </w:p>
    <w:p w14:paraId="1CA9FE6F">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7. 保密</w:t>
      </w:r>
    </w:p>
    <w:p w14:paraId="61F45081">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参与</w:t>
      </w:r>
      <w:r>
        <w:rPr>
          <w:rFonts w:hint="default" w:ascii="Times New Roman" w:hAnsi="Times New Roman" w:eastAsia="仿宋_GB2312" w:cs="Times New Roman"/>
          <w:color w:val="auto"/>
          <w:sz w:val="28"/>
          <w:szCs w:val="28"/>
          <w:lang w:val="en-US" w:eastAsia="zh-CN"/>
        </w:rPr>
        <w:t>竞争性磋商</w:t>
      </w:r>
      <w:r>
        <w:rPr>
          <w:rFonts w:hint="default" w:ascii="Times New Roman" w:hAnsi="Times New Roman" w:eastAsia="仿宋_GB2312" w:cs="Times New Roman"/>
          <w:color w:val="auto"/>
          <w:sz w:val="28"/>
          <w:szCs w:val="28"/>
          <w:lang w:eastAsia="zh-CN"/>
        </w:rPr>
        <w:t>活动的各方应对</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和</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中的商业和技术等秘密保密，违者应对由此造成的后果承担法律责任。</w:t>
      </w:r>
    </w:p>
    <w:p w14:paraId="6F085959">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8. 市场主体信息库</w:t>
      </w:r>
    </w:p>
    <w:p w14:paraId="7EA7E21B">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（1）供应商应及时对入库信息进行补充、更新，若供应商提供虚假信息或未及时对入库信息进行补充、更新，由供应商承担全部责任。</w:t>
      </w:r>
    </w:p>
    <w:p w14:paraId="16E2E8E8">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（2）供应商可将本项目评审涉及到的资质、业绩、人员、获奖、证书、纳税、社保等信息补充到其市场主体信息库中。</w:t>
      </w:r>
    </w:p>
    <w:p w14:paraId="37D25CB9">
      <w:pPr>
        <w:pStyle w:val="70"/>
        <w:spacing w:line="560" w:lineRule="exact"/>
        <w:rPr>
          <w:rFonts w:hint="default" w:ascii="Times New Roman" w:hAnsi="Times New Roman" w:eastAsia="仿宋_GB2312" w:cs="Times New Roman"/>
          <w:color w:val="auto"/>
          <w:kern w:val="2"/>
          <w:sz w:val="28"/>
          <w:szCs w:val="28"/>
          <w:lang w:val="zh-TW"/>
        </w:rPr>
      </w:pPr>
      <w:r>
        <w:rPr>
          <w:rFonts w:hint="default" w:ascii="Times New Roman" w:hAnsi="Times New Roman" w:eastAsia="仿宋_GB2312" w:cs="Times New Roman"/>
          <w:color w:val="auto"/>
          <w:kern w:val="2"/>
          <w:sz w:val="28"/>
          <w:szCs w:val="28"/>
          <w:lang w:val="zh-TW"/>
        </w:rPr>
        <w:t>（</w:t>
      </w:r>
      <w:r>
        <w:rPr>
          <w:rFonts w:hint="default" w:ascii="Times New Roman" w:hAnsi="Times New Roman" w:eastAsia="仿宋_GB2312" w:cs="Times New Roman"/>
          <w:color w:val="auto"/>
          <w:kern w:val="2"/>
          <w:sz w:val="28"/>
          <w:szCs w:val="28"/>
        </w:rPr>
        <w:t>3</w:t>
      </w:r>
      <w:r>
        <w:rPr>
          <w:rFonts w:hint="default" w:ascii="Times New Roman" w:hAnsi="Times New Roman" w:eastAsia="仿宋_GB2312" w:cs="Times New Roman"/>
          <w:color w:val="auto"/>
          <w:kern w:val="2"/>
          <w:sz w:val="28"/>
          <w:szCs w:val="28"/>
          <w:lang w:val="zh-TW"/>
        </w:rPr>
        <w:t>）供应商应当按照磋商文件的要求编制响应文件，并予以提交。供应商的入库信息不作为评审的依据。</w:t>
      </w:r>
    </w:p>
    <w:p w14:paraId="2F54A9B5">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9.</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采购信息的发布</w:t>
      </w:r>
    </w:p>
    <w:p w14:paraId="69E8FE1E">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与本次采购活动相关的信息，在《河南省政府采购网》《河南省公共资源交易中心网》上及时发布。</w:t>
      </w:r>
    </w:p>
    <w:p w14:paraId="74B48A3A">
      <w:pPr>
        <w:spacing w:line="560" w:lineRule="exact"/>
        <w:rPr>
          <w:rFonts w:hint="default" w:ascii="Times New Roman" w:hAnsi="Times New Roman" w:eastAsia="仿宋_GB2312" w:cs="Times New Roman"/>
          <w:color w:val="auto"/>
          <w:sz w:val="28"/>
          <w:szCs w:val="28"/>
          <w:lang w:eastAsia="zh-CN"/>
        </w:rPr>
      </w:pPr>
    </w:p>
    <w:p w14:paraId="7EDE85FD">
      <w:pPr>
        <w:keepNext/>
        <w:keepLines/>
        <w:widowControl w:val="0"/>
        <w:autoSpaceDE w:val="0"/>
        <w:autoSpaceDN w:val="0"/>
        <w:adjustRightInd w:val="0"/>
        <w:spacing w:line="560" w:lineRule="exact"/>
        <w:jc w:val="center"/>
        <w:outlineLvl w:val="1"/>
        <w:rPr>
          <w:rFonts w:hint="default" w:ascii="Times New Roman" w:hAnsi="Times New Roman" w:eastAsia="方正小标宋_GBK" w:cs="Times New Roman"/>
          <w:bCs/>
          <w:color w:val="auto"/>
          <w:kern w:val="0"/>
          <w:sz w:val="30"/>
          <w:szCs w:val="30"/>
          <w:lang w:val="en" w:eastAsia="zh-CN"/>
        </w:rPr>
      </w:pPr>
      <w:bookmarkStart w:id="36" w:name="_Toc881034186"/>
      <w:bookmarkStart w:id="37" w:name="_Toc1427974302"/>
      <w:r>
        <w:rPr>
          <w:rFonts w:hint="default" w:ascii="Times New Roman" w:hAnsi="Times New Roman" w:eastAsia="方正小标宋_GBK" w:cs="Times New Roman"/>
          <w:bCs/>
          <w:color w:val="auto"/>
          <w:kern w:val="0"/>
          <w:sz w:val="30"/>
          <w:szCs w:val="30"/>
          <w:lang w:val="en-US" w:eastAsia="zh-CN"/>
        </w:rPr>
        <w:t>二、</w:t>
      </w:r>
      <w:r>
        <w:rPr>
          <w:rFonts w:hint="default" w:ascii="Times New Roman" w:hAnsi="Times New Roman" w:eastAsia="方正小标宋_GBK" w:cs="Times New Roman"/>
          <w:bCs/>
          <w:color w:val="auto"/>
          <w:kern w:val="0"/>
          <w:sz w:val="30"/>
          <w:szCs w:val="30"/>
          <w:lang w:val="en" w:eastAsia="zh-CN"/>
        </w:rPr>
        <w:t>竞争性磋商文件</w:t>
      </w:r>
      <w:bookmarkEnd w:id="36"/>
      <w:bookmarkEnd w:id="37"/>
    </w:p>
    <w:p w14:paraId="47F14A85">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 xml:space="preserve">10. </w:t>
      </w:r>
      <w:r>
        <w:rPr>
          <w:rFonts w:hint="default" w:ascii="Times New Roman" w:hAnsi="Times New Roman" w:eastAsia="仿宋_GB2312" w:cs="Times New Roman"/>
          <w:b/>
          <w:bCs/>
          <w:color w:val="auto"/>
          <w:sz w:val="28"/>
          <w:szCs w:val="28"/>
          <w:lang w:val="en" w:eastAsia="zh-CN"/>
        </w:rPr>
        <w:t>竞争性磋商文件</w:t>
      </w:r>
      <w:r>
        <w:rPr>
          <w:rFonts w:hint="default" w:ascii="Times New Roman" w:hAnsi="Times New Roman" w:eastAsia="仿宋_GB2312" w:cs="Times New Roman"/>
          <w:b/>
          <w:bCs/>
          <w:color w:val="auto"/>
          <w:sz w:val="28"/>
          <w:szCs w:val="28"/>
          <w:lang w:eastAsia="zh-CN"/>
        </w:rPr>
        <w:t>的组成</w:t>
      </w:r>
    </w:p>
    <w:p w14:paraId="5D1DDC92">
      <w:pPr>
        <w:widowControl w:val="0"/>
        <w:spacing w:line="560" w:lineRule="exact"/>
        <w:ind w:left="1050" w:hanging="1050" w:hangingChars="375"/>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10.1   </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共</w:t>
      </w:r>
      <w:r>
        <w:rPr>
          <w:rFonts w:hint="default" w:ascii="Times New Roman" w:hAnsi="Times New Roman" w:eastAsia="仿宋_GB2312" w:cs="Times New Roman"/>
          <w:color w:val="auto"/>
          <w:sz w:val="28"/>
          <w:szCs w:val="28"/>
          <w:lang w:val="en" w:eastAsia="zh-CN"/>
        </w:rPr>
        <w:t>七</w:t>
      </w:r>
      <w:r>
        <w:rPr>
          <w:rFonts w:hint="default" w:ascii="Times New Roman" w:hAnsi="Times New Roman" w:eastAsia="仿宋_GB2312" w:cs="Times New Roman"/>
          <w:color w:val="auto"/>
          <w:sz w:val="28"/>
          <w:szCs w:val="28"/>
          <w:lang w:val="en-US" w:eastAsia="zh-CN"/>
        </w:rPr>
        <w:t>章，构成如下：</w:t>
      </w:r>
    </w:p>
    <w:p w14:paraId="60415178">
      <w:pPr>
        <w:widowControl w:val="0"/>
        <w:numPr>
          <w:ilvl w:val="0"/>
          <w:numId w:val="3"/>
        </w:numPr>
        <w:spacing w:line="560" w:lineRule="exact"/>
        <w:ind w:left="901" w:leftChars="42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竞争性磋商邀请</w:t>
      </w:r>
    </w:p>
    <w:p w14:paraId="3044F143">
      <w:pPr>
        <w:widowControl w:val="0"/>
        <w:spacing w:line="560" w:lineRule="exact"/>
        <w:ind w:left="901" w:leftChars="42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第二章  供应商须知前附表</w:t>
      </w:r>
    </w:p>
    <w:p w14:paraId="75C5BA56">
      <w:pPr>
        <w:widowControl w:val="0"/>
        <w:spacing w:line="560" w:lineRule="exact"/>
        <w:ind w:left="901" w:leftChars="42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第三章  供应商须知</w:t>
      </w:r>
    </w:p>
    <w:p w14:paraId="66128E20">
      <w:pPr>
        <w:widowControl w:val="0"/>
        <w:spacing w:line="560" w:lineRule="exact"/>
        <w:ind w:left="901" w:leftChars="42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第四章  </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val="en-US" w:eastAsia="zh-CN"/>
        </w:rPr>
        <w:t>格式</w:t>
      </w:r>
    </w:p>
    <w:p w14:paraId="0B809FA1">
      <w:pPr>
        <w:widowControl w:val="0"/>
        <w:spacing w:line="560" w:lineRule="exact"/>
        <w:ind w:left="901" w:leftChars="42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第</w:t>
      </w:r>
      <w:r>
        <w:rPr>
          <w:rFonts w:hint="default" w:ascii="Times New Roman" w:hAnsi="Times New Roman" w:eastAsia="仿宋_GB2312" w:cs="Times New Roman"/>
          <w:color w:val="auto"/>
          <w:sz w:val="28"/>
          <w:szCs w:val="28"/>
          <w:lang w:val="en" w:eastAsia="zh-CN"/>
        </w:rPr>
        <w:t>五</w:t>
      </w:r>
      <w:r>
        <w:rPr>
          <w:rFonts w:hint="default" w:ascii="Times New Roman" w:hAnsi="Times New Roman" w:eastAsia="仿宋_GB2312" w:cs="Times New Roman"/>
          <w:color w:val="auto"/>
          <w:sz w:val="28"/>
          <w:szCs w:val="28"/>
          <w:lang w:val="en-US" w:eastAsia="zh-CN"/>
        </w:rPr>
        <w:t>章  项目需求及技术要求</w:t>
      </w:r>
    </w:p>
    <w:p w14:paraId="23FB8980">
      <w:pPr>
        <w:widowControl w:val="0"/>
        <w:spacing w:line="560" w:lineRule="exact"/>
        <w:ind w:left="901" w:leftChars="42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第</w:t>
      </w:r>
      <w:r>
        <w:rPr>
          <w:rFonts w:hint="default" w:ascii="Times New Roman" w:hAnsi="Times New Roman" w:eastAsia="仿宋_GB2312" w:cs="Times New Roman"/>
          <w:color w:val="auto"/>
          <w:sz w:val="28"/>
          <w:szCs w:val="28"/>
          <w:lang w:val="en" w:eastAsia="zh-CN"/>
        </w:rPr>
        <w:t>六</w:t>
      </w:r>
      <w:r>
        <w:rPr>
          <w:rFonts w:hint="default" w:ascii="Times New Roman" w:hAnsi="Times New Roman" w:eastAsia="仿宋_GB2312" w:cs="Times New Roman"/>
          <w:color w:val="auto"/>
          <w:sz w:val="28"/>
          <w:szCs w:val="28"/>
          <w:lang w:val="en-US" w:eastAsia="zh-CN"/>
        </w:rPr>
        <w:t>章  磋商方法和标准</w:t>
      </w:r>
    </w:p>
    <w:p w14:paraId="7760A21A">
      <w:pPr>
        <w:widowControl w:val="0"/>
        <w:spacing w:line="560" w:lineRule="exact"/>
        <w:ind w:left="901" w:leftChars="42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第</w:t>
      </w:r>
      <w:r>
        <w:rPr>
          <w:rFonts w:hint="default" w:ascii="Times New Roman" w:hAnsi="Times New Roman" w:eastAsia="仿宋_GB2312" w:cs="Times New Roman"/>
          <w:color w:val="auto"/>
          <w:sz w:val="28"/>
          <w:szCs w:val="28"/>
          <w:lang w:val="en" w:eastAsia="zh-CN"/>
        </w:rPr>
        <w:t>七</w:t>
      </w:r>
      <w:r>
        <w:rPr>
          <w:rFonts w:hint="default" w:ascii="Times New Roman" w:hAnsi="Times New Roman" w:eastAsia="仿宋_GB2312" w:cs="Times New Roman"/>
          <w:color w:val="auto"/>
          <w:sz w:val="28"/>
          <w:szCs w:val="28"/>
          <w:lang w:val="en-US" w:eastAsia="zh-CN"/>
        </w:rPr>
        <w:t>章  政府采购合同</w:t>
      </w:r>
    </w:p>
    <w:p w14:paraId="266E4540">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10.2</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中有不一致的，有澄清的部分以最终的澄清更正内容为准；未澄清的，以供应商须知前附表为准；供应商须知前附表不涉及的内容，以编排在后的描述为准。</w:t>
      </w:r>
    </w:p>
    <w:p w14:paraId="659427A1">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10.3  供应商应认真阅读</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所有的事项、格式、条款和技术规范等。如供应商没有按照</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要求提交全部资料，或者</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val="en-US" w:eastAsia="zh-CN"/>
        </w:rPr>
        <w:t>没有对</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的实质性要求做出响应，其磋商响应被认定为响应无效。</w:t>
      </w:r>
    </w:p>
    <w:p w14:paraId="60B89CD3">
      <w:pPr>
        <w:numPr>
          <w:ilvl w:val="0"/>
          <w:numId w:val="4"/>
        </w:num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val="en" w:eastAsia="zh-CN"/>
        </w:rPr>
        <w:t>竞争性磋商文件</w:t>
      </w:r>
      <w:r>
        <w:rPr>
          <w:rFonts w:hint="default" w:ascii="Times New Roman" w:hAnsi="Times New Roman" w:eastAsia="仿宋_GB2312" w:cs="Times New Roman"/>
          <w:b/>
          <w:bCs/>
          <w:color w:val="auto"/>
          <w:sz w:val="28"/>
          <w:szCs w:val="28"/>
          <w:lang w:eastAsia="zh-CN"/>
        </w:rPr>
        <w:t>的澄清</w:t>
      </w:r>
      <w:r>
        <w:rPr>
          <w:rFonts w:hint="default" w:ascii="Times New Roman" w:hAnsi="Times New Roman" w:eastAsia="仿宋_GB2312" w:cs="Times New Roman"/>
          <w:b/>
          <w:bCs/>
          <w:color w:val="auto"/>
          <w:sz w:val="28"/>
          <w:szCs w:val="28"/>
          <w:lang w:val="en-US" w:eastAsia="zh-CN"/>
        </w:rPr>
        <w:t>与修改</w:t>
      </w:r>
    </w:p>
    <w:p w14:paraId="45840751">
      <w:pPr>
        <w:numPr>
          <w:ilvl w:val="1"/>
          <w:numId w:val="4"/>
        </w:num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供应商应仔细阅读和检查</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的全部内容。如有疑问，应及时向采购人或</w:t>
      </w:r>
      <w:r>
        <w:rPr>
          <w:rFonts w:hint="default" w:ascii="Times New Roman" w:hAnsi="Times New Roman" w:eastAsia="仿宋_GB2312" w:cs="Times New Roman"/>
          <w:color w:val="auto"/>
          <w:sz w:val="28"/>
          <w:szCs w:val="28"/>
          <w:lang w:val="en" w:eastAsia="zh-CN"/>
        </w:rPr>
        <w:t>集中采购机构</w:t>
      </w:r>
      <w:r>
        <w:rPr>
          <w:rFonts w:hint="default" w:ascii="Times New Roman" w:hAnsi="Times New Roman" w:eastAsia="仿宋_GB2312" w:cs="Times New Roman"/>
          <w:color w:val="auto"/>
          <w:sz w:val="28"/>
          <w:szCs w:val="28"/>
          <w:lang w:val="en-US" w:eastAsia="zh-CN"/>
        </w:rPr>
        <w:t>提出。</w:t>
      </w:r>
    </w:p>
    <w:p w14:paraId="6E0D996B">
      <w:pPr>
        <w:numPr>
          <w:ilvl w:val="1"/>
          <w:numId w:val="4"/>
        </w:num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采购人或</w:t>
      </w:r>
      <w:r>
        <w:rPr>
          <w:rFonts w:hint="default" w:ascii="Times New Roman" w:hAnsi="Times New Roman" w:eastAsia="仿宋_GB2312" w:cs="Times New Roman"/>
          <w:color w:val="auto"/>
          <w:sz w:val="28"/>
          <w:szCs w:val="28"/>
          <w:lang w:val="en" w:eastAsia="zh-CN"/>
        </w:rPr>
        <w:t>集中采购机构</w:t>
      </w:r>
      <w:r>
        <w:rPr>
          <w:rFonts w:hint="default" w:ascii="Times New Roman" w:hAnsi="Times New Roman" w:eastAsia="仿宋_GB2312" w:cs="Times New Roman"/>
          <w:color w:val="auto"/>
          <w:sz w:val="28"/>
          <w:szCs w:val="28"/>
          <w:lang w:val="en-US" w:eastAsia="zh-CN"/>
        </w:rPr>
        <w:t>可主动地或在解答供应商提出的澄清问题时对</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进行澄清（更正）或修改。将以发布澄清（更正）公告的方式，澄清（更正）或修改</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，澄清（更正）或修改的内容作为</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的组成部分。澄清（更正）或者修改的内容可能影响竞争性磋商响应文件编制的，将在原公告发布媒体上发布变更（更正）公告（或澄清公告）。</w:t>
      </w:r>
    </w:p>
    <w:p w14:paraId="39E26370">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11.3  </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的澄清（更正）或修改在交易平台上公布给供应商，但不指明澄清问题的来源。</w:t>
      </w:r>
    </w:p>
    <w:p w14:paraId="3F0FF30F">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11.4  对已发出的</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进行的澄清、更正或修改，澄清、更正或修改的内容将作为</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的组成部分。通过</w:t>
      </w:r>
      <w:r>
        <w:rPr>
          <w:rFonts w:hint="default" w:ascii="Times New Roman" w:hAnsi="Times New Roman" w:cs="Times New Roman"/>
        </w:rPr>
        <w:fldChar w:fldCharType="begin"/>
      </w:r>
      <w:r>
        <w:rPr>
          <w:rFonts w:hint="default" w:ascii="Times New Roman" w:hAnsi="Times New Roman" w:cs="Times New Roman"/>
        </w:rPr>
        <w:instrText xml:space="preserve"> HYPERLINK "http://www.ccgp-henan.gov.cn)和河南省政府采购网河南省公共资源交易网" </w:instrText>
      </w:r>
      <w:r>
        <w:rPr>
          <w:rFonts w:hint="default" w:ascii="Times New Roman" w:hAnsi="Times New Roman" w:cs="Times New Roman"/>
        </w:rPr>
        <w:fldChar w:fldCharType="separate"/>
      </w:r>
      <w:r>
        <w:rPr>
          <w:rFonts w:hint="default" w:ascii="Times New Roman" w:hAnsi="Times New Roman" w:eastAsia="仿宋_GB2312" w:cs="Times New Roman"/>
          <w:color w:val="auto"/>
          <w:sz w:val="28"/>
          <w:szCs w:val="28"/>
          <w:lang w:val="en-US" w:eastAsia="zh-CN"/>
        </w:rPr>
        <w:t>河南省政府采购网（zfcg.henan.gov.cn）、河南省公共资源交易网</w:t>
      </w:r>
      <w:r>
        <w:rPr>
          <w:rFonts w:hint="default" w:ascii="Times New Roman" w:hAnsi="Times New Roman" w:eastAsia="仿宋_GB2312" w:cs="Times New Roman"/>
          <w:color w:val="auto"/>
          <w:sz w:val="28"/>
          <w:szCs w:val="28"/>
          <w:lang w:val="en-US" w:eastAsia="zh-CN"/>
        </w:rPr>
        <w:fldChar w:fldCharType="end"/>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30"/>
          <w:szCs w:val="30"/>
          <w:lang w:eastAsia="zh-CN"/>
        </w:rPr>
        <w:t>hnsggzyjy.henan.gov.cn</w:t>
      </w:r>
      <w:r>
        <w:rPr>
          <w:rFonts w:hint="default" w:ascii="Times New Roman" w:hAnsi="Times New Roman" w:eastAsia="仿宋_GB2312" w:cs="Times New Roman"/>
          <w:color w:val="auto"/>
          <w:sz w:val="28"/>
          <w:szCs w:val="28"/>
          <w:lang w:val="en-US" w:eastAsia="zh-CN"/>
        </w:rPr>
        <w:t>）“变更（澄清或更正）公告”和系统内部“答疑文件”告知供应商，各供应商重新下载最新的答疑、变更（澄清或更正）文件，以此编制</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val="en-US" w:eastAsia="zh-CN"/>
        </w:rPr>
        <w:t>。</w:t>
      </w:r>
    </w:p>
    <w:p w14:paraId="45B00D42">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11.5  河南省公共资源交易中心交易平台内供应商信息在提交首次磋商响应文件截止时间前具有保密性，供应商应当及时查看项目进展、答疑、变更（澄清或更正）通知、澄清及回复。</w:t>
      </w:r>
    </w:p>
    <w:p w14:paraId="0339D6F5">
      <w:pPr>
        <w:spacing w:line="560" w:lineRule="exact"/>
        <w:jc w:val="lef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eastAsia="zh-CN"/>
        </w:rPr>
        <w:t>12.</w:t>
      </w:r>
      <w:r>
        <w:rPr>
          <w:rFonts w:hint="default" w:ascii="Times New Roman" w:hAnsi="Times New Roman" w:eastAsia="仿宋_GB2312" w:cs="Times New Roman"/>
          <w:b/>
          <w:bCs/>
          <w:color w:val="auto"/>
          <w:sz w:val="28"/>
          <w:szCs w:val="28"/>
          <w:lang w:val="en-US" w:eastAsia="zh-CN"/>
        </w:rPr>
        <w:t xml:space="preserve"> 提交首次磋商响应文件截止时间的顺延                                  </w:t>
      </w:r>
    </w:p>
    <w:p w14:paraId="7E164F1D">
      <w:pPr>
        <w:spacing w:line="560" w:lineRule="exact"/>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为使供应商有足够的时间对</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的澄清或者修改部分进行研究而准备磋商响应或因其他原因，采购人将依法决定是否顺延磋商首次响应截止时间。</w:t>
      </w:r>
      <w:bookmarkStart w:id="38" w:name="_Toc1336083946"/>
      <w:bookmarkStart w:id="39" w:name="_Toc2009692045"/>
    </w:p>
    <w:p w14:paraId="09FDD23A">
      <w:pPr>
        <w:spacing w:line="560" w:lineRule="exact"/>
        <w:jc w:val="left"/>
        <w:rPr>
          <w:rFonts w:hint="default" w:ascii="Times New Roman" w:hAnsi="Times New Roman" w:eastAsia="方正小标宋_GBK" w:cs="Times New Roman"/>
          <w:bCs/>
          <w:color w:val="auto"/>
          <w:kern w:val="0"/>
          <w:sz w:val="30"/>
          <w:szCs w:val="30"/>
          <w:lang w:val="en-US" w:eastAsia="zh-CN"/>
        </w:rPr>
      </w:pPr>
    </w:p>
    <w:p w14:paraId="09E84A4A">
      <w:pPr>
        <w:spacing w:line="560" w:lineRule="exact"/>
        <w:jc w:val="center"/>
        <w:outlineLvl w:val="1"/>
        <w:rPr>
          <w:rFonts w:hint="default" w:ascii="Times New Roman" w:hAnsi="Times New Roman" w:eastAsia="方正小标宋_GBK" w:cs="Times New Roman"/>
          <w:bCs/>
          <w:color w:val="auto"/>
          <w:kern w:val="0"/>
          <w:sz w:val="30"/>
          <w:szCs w:val="30"/>
          <w:lang w:val="en-US" w:eastAsia="zh-CN"/>
        </w:rPr>
      </w:pPr>
      <w:r>
        <w:rPr>
          <w:rFonts w:hint="default" w:ascii="Times New Roman" w:hAnsi="Times New Roman" w:eastAsia="方正小标宋_GBK" w:cs="Times New Roman"/>
          <w:bCs/>
          <w:color w:val="auto"/>
          <w:kern w:val="0"/>
          <w:sz w:val="30"/>
          <w:szCs w:val="30"/>
          <w:lang w:val="en-US" w:eastAsia="zh-CN"/>
        </w:rPr>
        <w:t>三、</w:t>
      </w:r>
      <w:r>
        <w:rPr>
          <w:rFonts w:hint="default" w:ascii="Times New Roman" w:hAnsi="Times New Roman" w:eastAsia="方正小标宋_GBK" w:cs="Times New Roman"/>
          <w:bCs/>
          <w:color w:val="auto"/>
          <w:kern w:val="0"/>
          <w:sz w:val="30"/>
          <w:szCs w:val="30"/>
          <w:lang w:val="en" w:eastAsia="zh-CN"/>
        </w:rPr>
        <w:t>竞争性磋商响应文件</w:t>
      </w:r>
      <w:r>
        <w:rPr>
          <w:rFonts w:hint="default" w:ascii="Times New Roman" w:hAnsi="Times New Roman" w:eastAsia="方正小标宋_GBK" w:cs="Times New Roman"/>
          <w:bCs/>
          <w:color w:val="auto"/>
          <w:kern w:val="0"/>
          <w:sz w:val="30"/>
          <w:szCs w:val="30"/>
          <w:lang w:val="en-US" w:eastAsia="zh-CN"/>
        </w:rPr>
        <w:t>的编制</w:t>
      </w:r>
      <w:bookmarkEnd w:id="38"/>
      <w:bookmarkEnd w:id="39"/>
    </w:p>
    <w:p w14:paraId="26338C07">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13.</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磋商响应语言</w:t>
      </w:r>
    </w:p>
    <w:p w14:paraId="4285BF50">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以及供应商所有与采购人及集中采购机构就磋商响应来往的函电均使用中文。供应商提供的外文资料应附有相应的中文译本，并以中文译本为准。没有提供中文译本的，视为没有提供相应的材料。</w:t>
      </w:r>
    </w:p>
    <w:p w14:paraId="4A59AF66">
      <w:pPr>
        <w:numPr>
          <w:ilvl w:val="0"/>
          <w:numId w:val="5"/>
        </w:num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 w:eastAsia="zh-CN"/>
        </w:rPr>
        <w:t>竞争性磋商响应文件</w:t>
      </w:r>
      <w:r>
        <w:rPr>
          <w:rFonts w:hint="default" w:ascii="Times New Roman" w:hAnsi="Times New Roman" w:eastAsia="仿宋_GB2312" w:cs="Times New Roman"/>
          <w:b/>
          <w:bCs/>
          <w:color w:val="auto"/>
          <w:sz w:val="28"/>
          <w:szCs w:val="28"/>
          <w:lang w:eastAsia="zh-CN"/>
        </w:rPr>
        <w:t>计量单位</w:t>
      </w:r>
    </w:p>
    <w:p w14:paraId="09D042ED">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除</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中有特殊要求外，</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val="en-US" w:eastAsia="zh-CN"/>
        </w:rPr>
        <w:t>中所使用的计量单位，应采用中华人民共和国法定计量单位。</w:t>
      </w:r>
    </w:p>
    <w:p w14:paraId="4B3D9F24">
      <w:pPr>
        <w:numPr>
          <w:ilvl w:val="0"/>
          <w:numId w:val="5"/>
        </w:num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 w:eastAsia="zh-CN"/>
        </w:rPr>
        <w:t>竞争性磋商响应文件</w:t>
      </w:r>
      <w:r>
        <w:rPr>
          <w:rFonts w:hint="default" w:ascii="Times New Roman" w:hAnsi="Times New Roman" w:eastAsia="仿宋_GB2312" w:cs="Times New Roman"/>
          <w:b/>
          <w:bCs/>
          <w:color w:val="auto"/>
          <w:sz w:val="28"/>
          <w:szCs w:val="28"/>
          <w:lang w:eastAsia="zh-CN"/>
        </w:rPr>
        <w:t>的组成</w:t>
      </w:r>
    </w:p>
    <w:p w14:paraId="0AFB64D0">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供应商应完整地按照</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提供的</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val="en-US" w:eastAsia="zh-CN"/>
        </w:rPr>
        <w:t>格式及要求编写</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val="en-US" w:eastAsia="zh-CN"/>
        </w:rPr>
        <w:t>，并对其提交的响应文件的真实性、合法性承担法律责任。</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val="en-US" w:eastAsia="zh-CN"/>
        </w:rPr>
        <w:t>中初步审查涉及的事项不满足</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要求的，其磋商响应无效。</w:t>
      </w:r>
    </w:p>
    <w:p w14:paraId="6912B6C5">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color w:val="auto"/>
          <w:sz w:val="28"/>
          <w:szCs w:val="28"/>
          <w:lang w:val="en-US" w:eastAsia="zh-CN"/>
        </w:rPr>
        <w:t xml:space="preserve">16. </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中的每个分包，是项目</w:t>
      </w:r>
      <w:r>
        <w:rPr>
          <w:rFonts w:hint="default" w:ascii="Times New Roman" w:hAnsi="Times New Roman" w:eastAsia="仿宋_GB2312" w:cs="Times New Roman"/>
          <w:color w:val="auto"/>
          <w:sz w:val="28"/>
          <w:szCs w:val="28"/>
          <w:lang w:val="en-US" w:eastAsia="zh-CN"/>
        </w:rPr>
        <w:t>竞争性磋商</w:t>
      </w:r>
      <w:r>
        <w:rPr>
          <w:rFonts w:hint="default" w:ascii="Times New Roman" w:hAnsi="Times New Roman" w:eastAsia="仿宋_GB2312" w:cs="Times New Roman"/>
          <w:color w:val="auto"/>
          <w:sz w:val="28"/>
          <w:szCs w:val="28"/>
          <w:lang w:eastAsia="zh-CN"/>
        </w:rPr>
        <w:t>不可拆分的最小磋商响应单元。供应商必须按各包分别编制各包的</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，并按各包分</w:t>
      </w:r>
      <w:r>
        <w:rPr>
          <w:rFonts w:hint="default" w:ascii="Times New Roman" w:hAnsi="Times New Roman" w:eastAsia="仿宋_GB2312" w:cs="Times New Roman"/>
          <w:color w:val="auto"/>
          <w:sz w:val="28"/>
          <w:szCs w:val="28"/>
          <w:lang w:val="en-US" w:eastAsia="zh-CN"/>
        </w:rPr>
        <w:t>别提交相应的文件资料，拆包磋商响应将视为漏项或非实质性响应，其磋商响应无效。</w:t>
      </w:r>
    </w:p>
    <w:p w14:paraId="3F164B4E">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17.</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val="en" w:eastAsia="zh-CN"/>
        </w:rPr>
        <w:t>竞争性磋商响应文件</w:t>
      </w:r>
      <w:r>
        <w:rPr>
          <w:rFonts w:hint="default" w:ascii="Times New Roman" w:hAnsi="Times New Roman" w:eastAsia="仿宋_GB2312" w:cs="Times New Roman"/>
          <w:b/>
          <w:bCs/>
          <w:color w:val="auto"/>
          <w:sz w:val="28"/>
          <w:szCs w:val="28"/>
          <w:lang w:eastAsia="zh-CN"/>
        </w:rPr>
        <w:t>编制</w:t>
      </w:r>
    </w:p>
    <w:p w14:paraId="50C73961">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 w:eastAsia="zh-CN"/>
        </w:rPr>
        <w:t>供应商</w:t>
      </w:r>
      <w:r>
        <w:rPr>
          <w:rFonts w:hint="default" w:ascii="Times New Roman" w:hAnsi="Times New Roman" w:eastAsia="仿宋_GB2312" w:cs="Times New Roman"/>
          <w:color w:val="auto"/>
          <w:sz w:val="28"/>
          <w:szCs w:val="28"/>
          <w:lang w:eastAsia="zh-CN"/>
        </w:rPr>
        <w:t>应按</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要求的内容编制</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，应当对</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提出的资格条件、实质性要求和条件做出响应。</w:t>
      </w:r>
    </w:p>
    <w:p w14:paraId="6030C418">
      <w:pPr>
        <w:numPr>
          <w:ilvl w:val="0"/>
          <w:numId w:val="6"/>
        </w:numPr>
        <w:spacing w:line="560" w:lineRule="exact"/>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lang w:eastAsia="zh-CN"/>
        </w:rPr>
        <w:t>响应</w:t>
      </w:r>
      <w:r>
        <w:rPr>
          <w:rFonts w:hint="default" w:ascii="Times New Roman" w:hAnsi="Times New Roman" w:eastAsia="仿宋_GB2312" w:cs="Times New Roman"/>
          <w:b/>
          <w:bCs/>
          <w:color w:val="auto"/>
          <w:sz w:val="28"/>
          <w:szCs w:val="28"/>
        </w:rPr>
        <w:t>报价</w:t>
      </w:r>
    </w:p>
    <w:p w14:paraId="046B472E">
      <w:pPr>
        <w:pStyle w:val="70"/>
        <w:spacing w:line="560" w:lineRule="exact"/>
        <w:rPr>
          <w:rFonts w:hint="default" w:ascii="Times New Roman" w:hAnsi="Times New Roman" w:eastAsia="仿宋_GB2312" w:cs="Times New Roman"/>
          <w:color w:val="auto"/>
          <w:kern w:val="2"/>
          <w:sz w:val="28"/>
          <w:szCs w:val="28"/>
          <w:lang w:val="zh-TW"/>
        </w:rPr>
      </w:pPr>
      <w:r>
        <w:rPr>
          <w:rFonts w:hint="default" w:ascii="Times New Roman" w:hAnsi="Times New Roman" w:eastAsia="仿宋_GB2312" w:cs="Times New Roman"/>
          <w:color w:val="auto"/>
          <w:sz w:val="28"/>
          <w:szCs w:val="28"/>
        </w:rPr>
        <w:t>18.1</w:t>
      </w:r>
      <w:r>
        <w:rPr>
          <w:rFonts w:hint="default" w:ascii="Times New Roman" w:hAnsi="Times New Roman" w:eastAsia="仿宋_GB2312" w:cs="Times New Roman"/>
          <w:color w:val="auto"/>
          <w:sz w:val="28"/>
          <w:szCs w:val="28"/>
          <w:lang w:val="en"/>
        </w:rPr>
        <w:t xml:space="preserve">  </w:t>
      </w:r>
      <w:r>
        <w:rPr>
          <w:rFonts w:hint="default" w:ascii="Times New Roman" w:hAnsi="Times New Roman" w:eastAsia="仿宋_GB2312" w:cs="Times New Roman"/>
          <w:color w:val="auto"/>
          <w:kern w:val="2"/>
          <w:sz w:val="28"/>
          <w:szCs w:val="28"/>
          <w:lang w:val="zh-TW"/>
        </w:rPr>
        <w:t>供应商报价超过</w:t>
      </w:r>
      <w:r>
        <w:rPr>
          <w:rFonts w:hint="default" w:ascii="Times New Roman" w:hAnsi="Times New Roman" w:eastAsia="仿宋_GB2312" w:cs="Times New Roman"/>
          <w:color w:val="auto"/>
          <w:kern w:val="2"/>
          <w:sz w:val="28"/>
          <w:szCs w:val="28"/>
          <w:lang w:val="en"/>
        </w:rPr>
        <w:t>竞争性磋商文件</w:t>
      </w:r>
      <w:r>
        <w:rPr>
          <w:rFonts w:hint="default" w:ascii="Times New Roman" w:hAnsi="Times New Roman" w:eastAsia="仿宋_GB2312" w:cs="Times New Roman"/>
          <w:color w:val="auto"/>
          <w:kern w:val="2"/>
          <w:sz w:val="28"/>
          <w:szCs w:val="28"/>
          <w:lang w:val="zh-TW"/>
        </w:rPr>
        <w:t>规定的预算金额或者分项、分包最高限价的，</w:t>
      </w:r>
      <w:r>
        <w:rPr>
          <w:rFonts w:hint="default" w:ascii="Times New Roman" w:hAnsi="Times New Roman" w:eastAsia="仿宋_GB2312" w:cs="Times New Roman"/>
          <w:color w:val="auto"/>
          <w:sz w:val="28"/>
          <w:szCs w:val="28"/>
        </w:rPr>
        <w:t>其磋商响应无效。</w:t>
      </w:r>
    </w:p>
    <w:p w14:paraId="5C172115">
      <w:pPr>
        <w:spacing w:line="560" w:lineRule="exact"/>
        <w:rPr>
          <w:rFonts w:hint="default" w:ascii="Times New Roman" w:hAnsi="Times New Roman" w:eastAsia="仿宋_GB2312" w:cs="Times New Roman"/>
          <w:color w:val="auto"/>
          <w:kern w:val="1"/>
          <w:sz w:val="28"/>
          <w:szCs w:val="28"/>
          <w:lang w:eastAsia="zh-CN"/>
        </w:rPr>
      </w:pPr>
      <w:r>
        <w:rPr>
          <w:rFonts w:hint="default" w:ascii="Times New Roman" w:hAnsi="Times New Roman" w:eastAsia="仿宋_GB2312" w:cs="Times New Roman"/>
          <w:color w:val="auto"/>
          <w:sz w:val="28"/>
          <w:szCs w:val="28"/>
          <w:lang w:eastAsia="zh-CN"/>
        </w:rPr>
        <w:t>1</w:t>
      </w:r>
      <w:r>
        <w:rPr>
          <w:rFonts w:hint="default" w:ascii="Times New Roman" w:hAnsi="Times New Roman" w:eastAsia="仿宋_GB2312" w:cs="Times New Roman"/>
          <w:color w:val="auto"/>
          <w:sz w:val="28"/>
          <w:szCs w:val="28"/>
          <w:lang w:val="en" w:eastAsia="zh-CN"/>
        </w:rPr>
        <w:t>8</w:t>
      </w: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eastAsia="zh-CN"/>
        </w:rPr>
        <w:tab/>
      </w:r>
      <w:r>
        <w:rPr>
          <w:rFonts w:hint="default" w:ascii="Times New Roman" w:hAnsi="Times New Roman" w:eastAsia="仿宋_GB2312" w:cs="Times New Roman"/>
          <w:color w:val="auto"/>
          <w:kern w:val="1"/>
          <w:sz w:val="28"/>
          <w:szCs w:val="28"/>
          <w:lang w:eastAsia="zh-CN"/>
        </w:rPr>
        <w:t>报价次数：见“供应商须知前附表”，最后一次报价为最后报价。</w:t>
      </w:r>
    </w:p>
    <w:p w14:paraId="2C4E2BE5">
      <w:pPr>
        <w:spacing w:line="560" w:lineRule="exact"/>
        <w:rPr>
          <w:rFonts w:hint="default" w:ascii="Times New Roman" w:hAnsi="Times New Roman" w:eastAsia="仿宋_GB2312" w:cs="Times New Roman"/>
          <w:color w:val="auto"/>
          <w:kern w:val="1"/>
          <w:sz w:val="28"/>
          <w:szCs w:val="28"/>
          <w:lang w:eastAsia="zh-CN"/>
        </w:rPr>
      </w:pPr>
      <w:r>
        <w:rPr>
          <w:rFonts w:hint="default" w:ascii="Times New Roman" w:hAnsi="Times New Roman" w:eastAsia="仿宋_GB2312" w:cs="Times New Roman"/>
          <w:color w:val="auto"/>
          <w:kern w:val="1"/>
          <w:sz w:val="28"/>
          <w:szCs w:val="28"/>
          <w:lang w:eastAsia="zh-CN"/>
        </w:rPr>
        <w:t>1</w:t>
      </w:r>
      <w:r>
        <w:rPr>
          <w:rFonts w:hint="default" w:ascii="Times New Roman" w:hAnsi="Times New Roman" w:eastAsia="仿宋_GB2312" w:cs="Times New Roman"/>
          <w:color w:val="auto"/>
          <w:kern w:val="1"/>
          <w:sz w:val="28"/>
          <w:szCs w:val="28"/>
          <w:lang w:val="en-US" w:eastAsia="zh-CN"/>
        </w:rPr>
        <w:t>8</w:t>
      </w:r>
      <w:r>
        <w:rPr>
          <w:rFonts w:hint="default" w:ascii="Times New Roman" w:hAnsi="Times New Roman" w:eastAsia="仿宋_GB2312" w:cs="Times New Roman"/>
          <w:color w:val="auto"/>
          <w:kern w:val="1"/>
          <w:sz w:val="28"/>
          <w:szCs w:val="28"/>
          <w:lang w:eastAsia="zh-CN"/>
        </w:rPr>
        <w:t>.3</w:t>
      </w:r>
      <w:r>
        <w:rPr>
          <w:rFonts w:hint="default" w:ascii="Times New Roman" w:hAnsi="Times New Roman" w:eastAsia="仿宋_GB2312" w:cs="Times New Roman"/>
          <w:color w:val="auto"/>
          <w:kern w:val="1"/>
          <w:sz w:val="28"/>
          <w:szCs w:val="28"/>
          <w:lang w:val="en-US" w:eastAsia="zh-CN"/>
        </w:rPr>
        <w:t xml:space="preserve">  </w:t>
      </w:r>
      <w:r>
        <w:rPr>
          <w:rFonts w:hint="default" w:ascii="Times New Roman" w:hAnsi="Times New Roman" w:eastAsia="仿宋_GB2312" w:cs="Times New Roman"/>
          <w:color w:val="auto"/>
          <w:kern w:val="1"/>
          <w:sz w:val="28"/>
          <w:szCs w:val="28"/>
          <w:lang w:eastAsia="zh-CN"/>
        </w:rPr>
        <w:t>除非“供应商须知前附表”明确规定允许多方案报价外，初次竞争性磋商响应只允许有一个方案报价，多方案报价的磋商响应文件</w:t>
      </w:r>
      <w:r>
        <w:rPr>
          <w:rFonts w:hint="default" w:ascii="Times New Roman" w:hAnsi="Times New Roman" w:eastAsia="仿宋_GB2312" w:cs="Times New Roman"/>
          <w:color w:val="auto"/>
          <w:sz w:val="28"/>
          <w:szCs w:val="28"/>
          <w:lang w:val="en-US" w:eastAsia="zh-CN"/>
        </w:rPr>
        <w:t>其磋商响应无效。</w:t>
      </w:r>
    </w:p>
    <w:p w14:paraId="126A629E">
      <w:pPr>
        <w:spacing w:line="560" w:lineRule="exact"/>
        <w:rPr>
          <w:rFonts w:hint="default" w:ascii="Times New Roman" w:hAnsi="Times New Roman" w:eastAsia="仿宋_GB2312" w:cs="Times New Roman"/>
          <w:color w:val="auto"/>
          <w:kern w:val="1"/>
          <w:sz w:val="28"/>
          <w:szCs w:val="28"/>
          <w:lang w:eastAsia="zh-CN"/>
        </w:rPr>
      </w:pPr>
      <w:r>
        <w:rPr>
          <w:rFonts w:hint="default" w:ascii="Times New Roman" w:hAnsi="Times New Roman" w:eastAsia="仿宋_GB2312" w:cs="Times New Roman"/>
          <w:color w:val="auto"/>
          <w:kern w:val="1"/>
          <w:sz w:val="28"/>
          <w:szCs w:val="28"/>
          <w:lang w:eastAsia="zh-CN"/>
        </w:rPr>
        <w:t>1</w:t>
      </w:r>
      <w:r>
        <w:rPr>
          <w:rFonts w:hint="default" w:ascii="Times New Roman" w:hAnsi="Times New Roman" w:eastAsia="仿宋_GB2312" w:cs="Times New Roman"/>
          <w:color w:val="auto"/>
          <w:kern w:val="1"/>
          <w:sz w:val="28"/>
          <w:szCs w:val="28"/>
          <w:lang w:val="en-US" w:eastAsia="zh-CN"/>
        </w:rPr>
        <w:t>8</w:t>
      </w:r>
      <w:r>
        <w:rPr>
          <w:rFonts w:hint="default" w:ascii="Times New Roman" w:hAnsi="Times New Roman" w:eastAsia="仿宋_GB2312" w:cs="Times New Roman"/>
          <w:color w:val="auto"/>
          <w:kern w:val="1"/>
          <w:sz w:val="28"/>
          <w:szCs w:val="28"/>
          <w:lang w:eastAsia="zh-CN"/>
        </w:rPr>
        <w:t>.</w:t>
      </w:r>
      <w:r>
        <w:rPr>
          <w:rFonts w:hint="default" w:ascii="Times New Roman" w:hAnsi="Times New Roman" w:eastAsia="仿宋_GB2312" w:cs="Times New Roman"/>
          <w:color w:val="auto"/>
          <w:kern w:val="1"/>
          <w:sz w:val="28"/>
          <w:szCs w:val="28"/>
          <w:lang w:val="en-US" w:eastAsia="zh-CN"/>
        </w:rPr>
        <w:t xml:space="preserve">4   </w:t>
      </w:r>
      <w:r>
        <w:rPr>
          <w:rFonts w:hint="default" w:ascii="Times New Roman" w:hAnsi="Times New Roman" w:eastAsia="仿宋_GB2312" w:cs="Times New Roman"/>
          <w:color w:val="auto"/>
          <w:kern w:val="1"/>
          <w:sz w:val="28"/>
          <w:szCs w:val="28"/>
          <w:lang w:eastAsia="zh-CN"/>
        </w:rPr>
        <w:t>供应商各轮次总报价均不能超过最高限价，否则其磋商响应无效。</w:t>
      </w:r>
    </w:p>
    <w:p w14:paraId="2A90D5FD">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 xml:space="preserve">19  </w:t>
      </w:r>
      <w:r>
        <w:rPr>
          <w:rFonts w:hint="default" w:ascii="Times New Roman" w:hAnsi="Times New Roman" w:eastAsia="仿宋_GB2312" w:cs="Times New Roman"/>
          <w:b/>
          <w:bCs/>
          <w:color w:val="auto"/>
          <w:sz w:val="28"/>
          <w:szCs w:val="28"/>
          <w:lang w:eastAsia="zh-CN"/>
        </w:rPr>
        <w:t>磋商响应货币</w:t>
      </w:r>
    </w:p>
    <w:p w14:paraId="79E0F5F0">
      <w:pPr>
        <w:spacing w:line="58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除非“供应商须知前附表”另有规定，供应商提供的所有货物及相关服务用人民币报价。</w:t>
      </w:r>
    </w:p>
    <w:p w14:paraId="079C8FD4">
      <w:pPr>
        <w:spacing w:line="58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 xml:space="preserve">20  </w:t>
      </w:r>
      <w:r>
        <w:rPr>
          <w:rFonts w:hint="default" w:ascii="Times New Roman" w:hAnsi="Times New Roman" w:eastAsia="仿宋_GB2312" w:cs="Times New Roman"/>
          <w:b/>
          <w:bCs/>
          <w:color w:val="auto"/>
          <w:sz w:val="28"/>
          <w:szCs w:val="28"/>
          <w:lang w:eastAsia="zh-CN"/>
        </w:rPr>
        <w:t>供应商</w:t>
      </w:r>
      <w:r>
        <w:rPr>
          <w:rFonts w:hint="default" w:ascii="Times New Roman" w:hAnsi="Times New Roman" w:eastAsia="仿宋_GB2312" w:cs="Times New Roman"/>
          <w:b/>
          <w:bCs/>
          <w:color w:val="auto"/>
          <w:sz w:val="28"/>
          <w:szCs w:val="28"/>
          <w:lang w:val="en-US" w:eastAsia="zh-CN"/>
        </w:rPr>
        <w:t>商务</w:t>
      </w:r>
      <w:r>
        <w:rPr>
          <w:rFonts w:hint="default" w:ascii="Times New Roman" w:hAnsi="Times New Roman" w:eastAsia="仿宋_GB2312" w:cs="Times New Roman"/>
          <w:b/>
          <w:bCs/>
          <w:color w:val="auto"/>
          <w:sz w:val="28"/>
          <w:szCs w:val="28"/>
          <w:lang w:eastAsia="zh-CN"/>
        </w:rPr>
        <w:t>证明文件</w:t>
      </w:r>
    </w:p>
    <w:p w14:paraId="381D591C">
      <w:pPr>
        <w:spacing w:line="58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0</w:t>
      </w:r>
      <w:r>
        <w:rPr>
          <w:rFonts w:hint="default" w:ascii="Times New Roman" w:hAnsi="Times New Roman" w:eastAsia="仿宋_GB2312" w:cs="Times New Roman"/>
          <w:color w:val="auto"/>
          <w:sz w:val="28"/>
          <w:szCs w:val="28"/>
          <w:lang w:eastAsia="zh-CN"/>
        </w:rPr>
        <w:t>.1</w:t>
      </w:r>
      <w:r>
        <w:rPr>
          <w:rFonts w:hint="default" w:ascii="Times New Roman" w:hAnsi="Times New Roman" w:eastAsia="仿宋_GB2312" w:cs="Times New Roman"/>
          <w:color w:val="auto"/>
          <w:sz w:val="28"/>
          <w:szCs w:val="28"/>
          <w:lang w:val="en-US" w:eastAsia="zh-CN"/>
        </w:rPr>
        <w:t xml:space="preserve">  供应商应按</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要求提交证明文件，证明其响应标的符合</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规定。</w:t>
      </w:r>
    </w:p>
    <w:p w14:paraId="266B0FB0">
      <w:pPr>
        <w:spacing w:line="58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20.2</w:t>
      </w:r>
      <w:r>
        <w:rPr>
          <w:rFonts w:hint="default" w:ascii="Times New Roman" w:hAnsi="Times New Roman" w:eastAsia="仿宋_GB2312" w:cs="Times New Roman"/>
          <w:color w:val="auto"/>
          <w:sz w:val="28"/>
          <w:szCs w:val="28"/>
          <w:lang w:val="en-US" w:eastAsia="zh-CN"/>
        </w:rPr>
        <w:tab/>
      </w:r>
      <w:r>
        <w:rPr>
          <w:rFonts w:hint="default" w:ascii="Times New Roman" w:hAnsi="Times New Roman" w:eastAsia="仿宋_GB2312" w:cs="Times New Roman"/>
          <w:color w:val="auto"/>
          <w:sz w:val="28"/>
          <w:szCs w:val="28"/>
          <w:lang w:val="en-US" w:eastAsia="zh-CN"/>
        </w:rPr>
        <w:t>上款所述的证明文件，可以是文字资料、图纸和数据。</w:t>
      </w:r>
    </w:p>
    <w:p w14:paraId="3AF5F3AF">
      <w:pPr>
        <w:spacing w:line="58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21</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 xml:space="preserve"> 供应商技术证明文件</w:t>
      </w:r>
    </w:p>
    <w:p w14:paraId="13533DAA">
      <w:pPr>
        <w:spacing w:line="58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21.1</w:t>
      </w:r>
      <w:r>
        <w:rPr>
          <w:rFonts w:hint="default" w:ascii="Times New Roman" w:hAnsi="Times New Roman" w:eastAsia="仿宋_GB2312" w:cs="Times New Roman"/>
          <w:color w:val="auto"/>
          <w:sz w:val="28"/>
          <w:szCs w:val="28"/>
          <w:lang w:val="en-US" w:eastAsia="zh-CN"/>
        </w:rPr>
        <w:t xml:space="preserve">  供应商应按</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要求提交证明文件，证明其响应标的符合</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规定。</w:t>
      </w:r>
    </w:p>
    <w:p w14:paraId="58D6F5AF">
      <w:pPr>
        <w:spacing w:line="58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21.2</w:t>
      </w:r>
      <w:r>
        <w:rPr>
          <w:rFonts w:hint="default" w:ascii="Times New Roman" w:hAnsi="Times New Roman" w:eastAsia="仿宋_GB2312" w:cs="Times New Roman"/>
          <w:color w:val="auto"/>
          <w:sz w:val="28"/>
          <w:szCs w:val="28"/>
          <w:lang w:val="en-US" w:eastAsia="zh-CN"/>
        </w:rPr>
        <w:tab/>
      </w:r>
      <w:r>
        <w:rPr>
          <w:rFonts w:hint="default" w:ascii="Times New Roman" w:hAnsi="Times New Roman" w:eastAsia="仿宋_GB2312" w:cs="Times New Roman"/>
          <w:color w:val="auto"/>
          <w:sz w:val="28"/>
          <w:szCs w:val="28"/>
          <w:lang w:val="en-US" w:eastAsia="zh-CN"/>
        </w:rPr>
        <w:t>上款所述的证明文件，可以是文字资料、图纸和数据。</w:t>
      </w:r>
    </w:p>
    <w:p w14:paraId="44DBC0B6">
      <w:pPr>
        <w:spacing w:line="58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color w:val="auto"/>
          <w:sz w:val="28"/>
          <w:szCs w:val="28"/>
          <w:lang w:eastAsia="zh-CN"/>
        </w:rPr>
        <w:t>22</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下列任何情况发生时，按国家有关法律法规进行处理并按磋商响应函的约定向采购人支付违约赔偿金：</w:t>
      </w:r>
    </w:p>
    <w:p w14:paraId="5C3B4F0A">
      <w:pPr>
        <w:spacing w:line="58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）供应商在</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规定的磋商有效期内实质上修改或撤回其磋商响应；</w:t>
      </w:r>
    </w:p>
    <w:p w14:paraId="3D6AEFC2">
      <w:pPr>
        <w:spacing w:line="58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）在</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中有意提供虚假材料；</w:t>
      </w:r>
    </w:p>
    <w:p w14:paraId="3BAE18F5">
      <w:pPr>
        <w:spacing w:line="58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）成交供应商拒绝在成交通知书规定的时间内签订合同。</w:t>
      </w:r>
    </w:p>
    <w:p w14:paraId="5F1A6339">
      <w:pPr>
        <w:keepNext/>
        <w:keepLines/>
        <w:widowControl w:val="0"/>
        <w:autoSpaceDE w:val="0"/>
        <w:autoSpaceDN w:val="0"/>
        <w:adjustRightInd w:val="0"/>
        <w:spacing w:line="580" w:lineRule="exact"/>
        <w:jc w:val="left"/>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bCs/>
          <w:color w:val="auto"/>
          <w:sz w:val="28"/>
          <w:szCs w:val="28"/>
          <w:lang w:eastAsia="zh-CN"/>
        </w:rPr>
        <w:t>23</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color w:val="auto"/>
          <w:kern w:val="0"/>
          <w:sz w:val="28"/>
          <w:szCs w:val="28"/>
          <w:lang w:val="en-US" w:eastAsia="zh-CN"/>
        </w:rPr>
        <w:t>磋商保证金</w:t>
      </w:r>
    </w:p>
    <w:p w14:paraId="3E8F3EF0">
      <w:pPr>
        <w:spacing w:line="580" w:lineRule="exac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本项目供应商无需提交磋商保证金。</w:t>
      </w:r>
    </w:p>
    <w:p w14:paraId="10B224DA">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 xml:space="preserve">24  </w:t>
      </w:r>
      <w:r>
        <w:rPr>
          <w:rFonts w:hint="default" w:ascii="Times New Roman" w:hAnsi="Times New Roman" w:eastAsia="仿宋_GB2312" w:cs="Times New Roman"/>
          <w:b/>
          <w:bCs/>
          <w:color w:val="auto"/>
          <w:sz w:val="28"/>
          <w:szCs w:val="28"/>
          <w:lang w:eastAsia="zh-CN"/>
        </w:rPr>
        <w:t>磋商响应文件有效期</w:t>
      </w:r>
    </w:p>
    <w:p w14:paraId="07166758">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.1</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应自</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规定的</w:t>
      </w:r>
      <w:r>
        <w:rPr>
          <w:rFonts w:hint="default" w:ascii="Times New Roman" w:hAnsi="Times New Roman" w:eastAsia="仿宋_GB2312" w:cs="Times New Roman"/>
          <w:color w:val="auto"/>
          <w:sz w:val="28"/>
          <w:szCs w:val="28"/>
          <w:lang w:val="en-US" w:eastAsia="zh-CN"/>
        </w:rPr>
        <w:t>提交首次磋商响应文件</w:t>
      </w:r>
      <w:r>
        <w:rPr>
          <w:rFonts w:hint="default" w:ascii="Times New Roman" w:hAnsi="Times New Roman" w:eastAsia="仿宋_GB2312" w:cs="Times New Roman"/>
          <w:color w:val="auto"/>
          <w:sz w:val="28"/>
          <w:szCs w:val="28"/>
          <w:lang w:eastAsia="zh-CN"/>
        </w:rPr>
        <w:t>截止日起，在“供应商须知前附表”规定的时间内保持有效。磋商有效期不足的，其磋商响应无效。</w:t>
      </w:r>
    </w:p>
    <w:p w14:paraId="50A57C9F">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.2在特殊情况下，采购人可征求供应商同意延长</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的有效期。这种要求与答复均应以书面形式提交。供应商可以拒绝这种要求，原有效期到期后</w:t>
      </w:r>
      <w:r>
        <w:rPr>
          <w:rFonts w:hint="default" w:ascii="Times New Roman" w:hAnsi="Times New Roman" w:eastAsia="仿宋_GB2312" w:cs="Times New Roman"/>
          <w:color w:val="auto"/>
          <w:sz w:val="28"/>
          <w:szCs w:val="28"/>
          <w:lang w:val="zh-CN" w:eastAsia="zh-CN"/>
        </w:rPr>
        <w:t>其</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val="zh-CN" w:eastAsia="zh-CN"/>
        </w:rPr>
        <w:t>失效</w:t>
      </w:r>
      <w:r>
        <w:rPr>
          <w:rFonts w:hint="default" w:ascii="Times New Roman" w:hAnsi="Times New Roman" w:eastAsia="仿宋_GB2312" w:cs="Times New Roman"/>
          <w:color w:val="auto"/>
          <w:sz w:val="28"/>
          <w:szCs w:val="28"/>
          <w:lang w:eastAsia="zh-CN"/>
        </w:rPr>
        <w:t>。同意延期的供应商将不会被要求也不允许修改其</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zh-CN" w:eastAsia="zh-CN"/>
        </w:rPr>
        <w:t>其</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相应延长到新的有效期。</w:t>
      </w:r>
    </w:p>
    <w:p w14:paraId="21BA8E72">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 xml:space="preserve">25  </w:t>
      </w:r>
      <w:r>
        <w:rPr>
          <w:rFonts w:hint="default" w:ascii="Times New Roman" w:hAnsi="Times New Roman" w:eastAsia="仿宋_GB2312" w:cs="Times New Roman"/>
          <w:b/>
          <w:bCs/>
          <w:color w:val="auto"/>
          <w:sz w:val="28"/>
          <w:szCs w:val="28"/>
          <w:lang w:val="en" w:eastAsia="zh-CN"/>
        </w:rPr>
        <w:t>竞争性磋商响应文件</w:t>
      </w:r>
      <w:r>
        <w:rPr>
          <w:rFonts w:hint="default" w:ascii="Times New Roman" w:hAnsi="Times New Roman" w:eastAsia="仿宋_GB2312" w:cs="Times New Roman"/>
          <w:b/>
          <w:bCs/>
          <w:color w:val="auto"/>
          <w:sz w:val="28"/>
          <w:szCs w:val="28"/>
          <w:lang w:eastAsia="zh-CN"/>
        </w:rPr>
        <w:t>形式和签署</w:t>
      </w:r>
    </w:p>
    <w:p w14:paraId="3C82EC87">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.1供应商须在</w:t>
      </w:r>
      <w:r>
        <w:rPr>
          <w:rFonts w:hint="default" w:ascii="Times New Roman" w:hAnsi="Times New Roman" w:eastAsia="仿宋_GB2312" w:cs="Times New Roman"/>
          <w:color w:val="auto"/>
          <w:sz w:val="28"/>
          <w:szCs w:val="28"/>
          <w:lang w:val="en-US" w:eastAsia="zh-CN"/>
        </w:rPr>
        <w:t>提交首次磋商响应文件</w:t>
      </w:r>
      <w:r>
        <w:rPr>
          <w:rFonts w:hint="default" w:ascii="Times New Roman" w:hAnsi="Times New Roman" w:eastAsia="仿宋_GB2312" w:cs="Times New Roman"/>
          <w:color w:val="auto"/>
          <w:sz w:val="28"/>
          <w:szCs w:val="28"/>
          <w:lang w:eastAsia="zh-CN"/>
        </w:rPr>
        <w:t>截止时间前制作并提交加密的电子</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w:t>
      </w:r>
    </w:p>
    <w:p w14:paraId="7B8DEEDA">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供应商可登录河南省公共资源交易中心网（</w:t>
      </w:r>
      <w:r>
        <w:rPr>
          <w:rFonts w:hint="default" w:ascii="Times New Roman" w:hAnsi="Times New Roman" w:eastAsia="仿宋_GB2312" w:cs="Times New Roman"/>
          <w:color w:val="auto"/>
          <w:sz w:val="30"/>
          <w:szCs w:val="30"/>
          <w:lang w:eastAsia="zh-CN"/>
        </w:rPr>
        <w:t>hnsggzyjy.henan.gov.cn</w:t>
      </w:r>
      <w:r>
        <w:rPr>
          <w:rFonts w:hint="default" w:ascii="Times New Roman" w:hAnsi="Times New Roman" w:eastAsia="仿宋_GB2312" w:cs="Times New Roman"/>
          <w:color w:val="auto"/>
          <w:sz w:val="28"/>
          <w:szCs w:val="28"/>
          <w:lang w:eastAsia="zh-CN"/>
        </w:rPr>
        <w:t>）查看公共服务—办事指南—</w:t>
      </w:r>
      <w:r>
        <w:rPr>
          <w:rFonts w:hint="default" w:ascii="Times New Roman" w:hAnsi="Times New Roman" w:eastAsia="仿宋_GB2312" w:cs="Times New Roman"/>
          <w:color w:val="auto"/>
          <w:sz w:val="28"/>
          <w:szCs w:val="28"/>
          <w:lang w:val="en-US" w:eastAsia="zh-CN"/>
        </w:rPr>
        <w:t>新交易平台使用手册（培训资料）</w:t>
      </w:r>
      <w:r>
        <w:rPr>
          <w:rFonts w:hint="default" w:ascii="Times New Roman" w:hAnsi="Times New Roman" w:eastAsia="仿宋_GB2312" w:cs="Times New Roman"/>
          <w:color w:val="auto"/>
          <w:sz w:val="28"/>
          <w:szCs w:val="28"/>
          <w:lang w:eastAsia="zh-CN"/>
        </w:rPr>
        <w:t>。</w:t>
      </w:r>
    </w:p>
    <w:p w14:paraId="4177861C">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zh-CN" w:eastAsia="zh-CN"/>
        </w:rPr>
        <w:t>供应商在制作电子</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val="zh-CN" w:eastAsia="zh-CN"/>
        </w:rPr>
        <w:t>时，按格式内容要求进行电子签章（包括企业电子签章、个人电子签章）</w:t>
      </w:r>
      <w:r>
        <w:rPr>
          <w:rFonts w:hint="default" w:ascii="Times New Roman" w:hAnsi="Times New Roman" w:eastAsia="仿宋_GB2312" w:cs="Times New Roman"/>
          <w:color w:val="auto"/>
          <w:sz w:val="28"/>
          <w:szCs w:val="28"/>
          <w:lang w:eastAsia="zh-CN"/>
        </w:rPr>
        <w:t>。</w:t>
      </w:r>
    </w:p>
    <w:p w14:paraId="217DAD7D">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以外的任何资料采购人和集中采购机构将拒收。</w:t>
      </w:r>
    </w:p>
    <w:p w14:paraId="6BB7626D">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其他形式的</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一律不接受。</w:t>
      </w:r>
    </w:p>
    <w:p w14:paraId="6F84C4E8">
      <w:pPr>
        <w:spacing w:line="560" w:lineRule="exact"/>
        <w:rPr>
          <w:rFonts w:hint="default" w:ascii="Times New Roman" w:hAnsi="Times New Roman" w:eastAsia="仿宋_GB2312" w:cs="Times New Roman"/>
          <w:color w:val="auto"/>
          <w:sz w:val="28"/>
          <w:szCs w:val="28"/>
          <w:lang w:eastAsia="zh-CN"/>
        </w:rPr>
      </w:pPr>
    </w:p>
    <w:p w14:paraId="0C21B26F">
      <w:pPr>
        <w:keepNext/>
        <w:keepLines/>
        <w:widowControl w:val="0"/>
        <w:autoSpaceDE w:val="0"/>
        <w:autoSpaceDN w:val="0"/>
        <w:adjustRightInd w:val="0"/>
        <w:spacing w:line="560" w:lineRule="exact"/>
        <w:jc w:val="center"/>
        <w:outlineLvl w:val="1"/>
        <w:rPr>
          <w:rFonts w:hint="default" w:ascii="Times New Roman" w:hAnsi="Times New Roman" w:eastAsia="方正小标宋_GBK" w:cs="Times New Roman"/>
          <w:bCs/>
          <w:color w:val="auto"/>
          <w:kern w:val="0"/>
          <w:sz w:val="30"/>
          <w:szCs w:val="30"/>
          <w:lang w:val="en-US" w:eastAsia="zh-CN"/>
        </w:rPr>
      </w:pPr>
      <w:bookmarkStart w:id="40" w:name="_Toc1989290887"/>
      <w:bookmarkStart w:id="41" w:name="_Toc821847507"/>
      <w:r>
        <w:rPr>
          <w:rFonts w:hint="default" w:ascii="Times New Roman" w:hAnsi="Times New Roman" w:eastAsia="方正小标宋_GBK" w:cs="Times New Roman"/>
          <w:bCs/>
          <w:color w:val="auto"/>
          <w:kern w:val="0"/>
          <w:sz w:val="30"/>
          <w:szCs w:val="30"/>
          <w:lang w:val="en-US" w:eastAsia="zh-CN"/>
        </w:rPr>
        <w:t>四、</w:t>
      </w:r>
      <w:r>
        <w:rPr>
          <w:rFonts w:hint="default" w:ascii="Times New Roman" w:hAnsi="Times New Roman" w:eastAsia="方正小标宋_GBK" w:cs="Times New Roman"/>
          <w:bCs/>
          <w:color w:val="auto"/>
          <w:kern w:val="0"/>
          <w:sz w:val="30"/>
          <w:szCs w:val="30"/>
          <w:lang w:val="en" w:eastAsia="zh-CN"/>
        </w:rPr>
        <w:t>竞争性磋商响应文件</w:t>
      </w:r>
      <w:r>
        <w:rPr>
          <w:rFonts w:hint="default" w:ascii="Times New Roman" w:hAnsi="Times New Roman" w:eastAsia="方正小标宋_GBK" w:cs="Times New Roman"/>
          <w:bCs/>
          <w:color w:val="auto"/>
          <w:kern w:val="0"/>
          <w:sz w:val="30"/>
          <w:szCs w:val="30"/>
          <w:lang w:val="en-US" w:eastAsia="zh-CN"/>
        </w:rPr>
        <w:t>的上传</w:t>
      </w:r>
      <w:bookmarkEnd w:id="40"/>
      <w:bookmarkEnd w:id="41"/>
    </w:p>
    <w:p w14:paraId="2BE31B8D">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2</w:t>
      </w:r>
      <w:r>
        <w:rPr>
          <w:rFonts w:hint="default" w:ascii="Times New Roman" w:hAnsi="Times New Roman" w:eastAsia="仿宋_GB2312" w:cs="Times New Roman"/>
          <w:b/>
          <w:bCs/>
          <w:color w:val="auto"/>
          <w:sz w:val="28"/>
          <w:szCs w:val="28"/>
          <w:lang w:val="en-US" w:eastAsia="zh-CN"/>
        </w:rPr>
        <w:t>6</w:t>
      </w:r>
      <w:r>
        <w:rPr>
          <w:rFonts w:hint="default" w:ascii="Times New Roman" w:hAnsi="Times New Roman" w:eastAsia="仿宋_GB2312" w:cs="Times New Roman"/>
          <w:b/>
          <w:bCs/>
          <w:color w:val="auto"/>
          <w:sz w:val="28"/>
          <w:szCs w:val="28"/>
          <w:lang w:eastAsia="zh-CN"/>
        </w:rPr>
        <w:t>.</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val="en" w:eastAsia="zh-CN"/>
        </w:rPr>
        <w:t>竞争性磋商响应文件</w:t>
      </w:r>
      <w:r>
        <w:rPr>
          <w:rFonts w:hint="default" w:ascii="Times New Roman" w:hAnsi="Times New Roman" w:eastAsia="仿宋_GB2312" w:cs="Times New Roman"/>
          <w:b/>
          <w:bCs/>
          <w:color w:val="auto"/>
          <w:sz w:val="28"/>
          <w:szCs w:val="28"/>
          <w:lang w:eastAsia="zh-CN"/>
        </w:rPr>
        <w:t>的上传</w:t>
      </w:r>
    </w:p>
    <w:p w14:paraId="55424175">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eastAsia="zh-CN"/>
        </w:rPr>
        <w:t>.1加密电子</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的上传：见“供应商须知前附表”。</w:t>
      </w:r>
    </w:p>
    <w:p w14:paraId="4C05D3ED">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eastAsia="zh-CN"/>
        </w:rPr>
        <w:t>.2供应商在上传时认真检查上传</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是否完整、正确。供应商因交易中心投标系统问题无法上传电子</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 xml:space="preserve">时，请在工作时间与河南省公共资源交易中心联系，联系电话：0371-65915501。  </w:t>
      </w:r>
    </w:p>
    <w:p w14:paraId="5EAC4E57">
      <w:pPr>
        <w:numPr>
          <w:ilvl w:val="0"/>
          <w:numId w:val="7"/>
        </w:num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提交首次磋商响应文件</w:t>
      </w:r>
      <w:r>
        <w:rPr>
          <w:rFonts w:hint="default" w:ascii="Times New Roman" w:hAnsi="Times New Roman" w:eastAsia="仿宋_GB2312" w:cs="Times New Roman"/>
          <w:b/>
          <w:bCs/>
          <w:color w:val="auto"/>
          <w:sz w:val="28"/>
          <w:szCs w:val="28"/>
          <w:lang w:eastAsia="zh-CN"/>
        </w:rPr>
        <w:t>截止时间</w:t>
      </w:r>
    </w:p>
    <w:p w14:paraId="0090CD72">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eastAsia="zh-CN"/>
        </w:rPr>
        <w:t>.1供应商应在</w:t>
      </w:r>
      <w:r>
        <w:rPr>
          <w:rFonts w:hint="default" w:ascii="Times New Roman" w:hAnsi="Times New Roman" w:eastAsia="仿宋_GB2312" w:cs="Times New Roman"/>
          <w:color w:val="auto"/>
          <w:sz w:val="28"/>
          <w:szCs w:val="28"/>
          <w:lang w:val="en-US" w:eastAsia="zh-CN"/>
        </w:rPr>
        <w:t>提交首次磋商响应文件</w:t>
      </w:r>
      <w:r>
        <w:rPr>
          <w:rFonts w:hint="default" w:ascii="Times New Roman" w:hAnsi="Times New Roman" w:eastAsia="仿宋_GB2312" w:cs="Times New Roman"/>
          <w:color w:val="auto"/>
          <w:sz w:val="28"/>
          <w:szCs w:val="28"/>
          <w:lang w:eastAsia="zh-CN"/>
        </w:rPr>
        <w:t>截止时间前上传</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w:t>
      </w:r>
    </w:p>
    <w:p w14:paraId="2E4D5EA6">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eastAsia="zh-CN"/>
        </w:rPr>
        <w:t>.2采购人和集中采购机构可以按本章第12条规定，通过修改</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自行决定酌情延长</w:t>
      </w:r>
      <w:r>
        <w:rPr>
          <w:rFonts w:hint="default" w:ascii="Times New Roman" w:hAnsi="Times New Roman" w:eastAsia="仿宋_GB2312" w:cs="Times New Roman"/>
          <w:color w:val="auto"/>
          <w:sz w:val="28"/>
          <w:szCs w:val="28"/>
          <w:lang w:val="en-US" w:eastAsia="zh-CN"/>
        </w:rPr>
        <w:t>提交首次磋商响应文件</w:t>
      </w:r>
      <w:r>
        <w:rPr>
          <w:rFonts w:hint="default" w:ascii="Times New Roman" w:hAnsi="Times New Roman" w:eastAsia="仿宋_GB2312" w:cs="Times New Roman"/>
          <w:color w:val="auto"/>
          <w:sz w:val="28"/>
          <w:szCs w:val="28"/>
          <w:lang w:eastAsia="zh-CN"/>
        </w:rPr>
        <w:t>截止期限。</w:t>
      </w:r>
    </w:p>
    <w:p w14:paraId="63D673B3">
      <w:pPr>
        <w:numPr>
          <w:ilvl w:val="0"/>
          <w:numId w:val="8"/>
        </w:num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迟交的</w:t>
      </w:r>
      <w:r>
        <w:rPr>
          <w:rFonts w:hint="default" w:ascii="Times New Roman" w:hAnsi="Times New Roman" w:eastAsia="仿宋_GB2312" w:cs="Times New Roman"/>
          <w:b/>
          <w:bCs/>
          <w:color w:val="auto"/>
          <w:sz w:val="28"/>
          <w:szCs w:val="28"/>
          <w:lang w:val="en" w:eastAsia="zh-CN"/>
        </w:rPr>
        <w:t>竞争性磋商响应文件</w:t>
      </w:r>
    </w:p>
    <w:p w14:paraId="7485DB63">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供应商在提交首次磋商响应文件截止时间后上传的磋商响应文件将被拒绝。</w:t>
      </w:r>
    </w:p>
    <w:p w14:paraId="660B75B4">
      <w:pPr>
        <w:numPr>
          <w:ilvl w:val="0"/>
          <w:numId w:val="8"/>
        </w:num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 w:eastAsia="zh-CN"/>
        </w:rPr>
        <w:t>竞争性磋商响应文件</w:t>
      </w:r>
      <w:r>
        <w:rPr>
          <w:rFonts w:hint="default" w:ascii="Times New Roman" w:hAnsi="Times New Roman" w:eastAsia="仿宋_GB2312" w:cs="Times New Roman"/>
          <w:b/>
          <w:bCs/>
          <w:color w:val="auto"/>
          <w:sz w:val="28"/>
          <w:szCs w:val="28"/>
          <w:lang w:eastAsia="zh-CN"/>
        </w:rPr>
        <w:t>的修改和撤回</w:t>
      </w:r>
    </w:p>
    <w:p w14:paraId="4B080EC7">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.1在</w:t>
      </w:r>
      <w:r>
        <w:rPr>
          <w:rFonts w:hint="default" w:ascii="Times New Roman" w:hAnsi="Times New Roman" w:eastAsia="仿宋_GB2312" w:cs="Times New Roman"/>
          <w:color w:val="auto"/>
          <w:sz w:val="28"/>
          <w:szCs w:val="28"/>
          <w:lang w:val="en-US" w:eastAsia="zh-CN"/>
        </w:rPr>
        <w:t>提交首次磋商响应文件</w:t>
      </w:r>
      <w:r>
        <w:rPr>
          <w:rFonts w:hint="default" w:ascii="Times New Roman" w:hAnsi="Times New Roman" w:eastAsia="仿宋_GB2312" w:cs="Times New Roman"/>
          <w:color w:val="auto"/>
          <w:sz w:val="28"/>
          <w:szCs w:val="28"/>
          <w:lang w:eastAsia="zh-CN"/>
        </w:rPr>
        <w:t>截止时间前，供应商可以修改或撤回已上传的</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w:t>
      </w:r>
    </w:p>
    <w:p w14:paraId="24F2DAF1">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.2在</w:t>
      </w:r>
      <w:r>
        <w:rPr>
          <w:rFonts w:hint="default" w:ascii="Times New Roman" w:hAnsi="Times New Roman" w:eastAsia="仿宋_GB2312" w:cs="Times New Roman"/>
          <w:color w:val="auto"/>
          <w:sz w:val="28"/>
          <w:szCs w:val="28"/>
          <w:lang w:val="en-US" w:eastAsia="zh-CN"/>
        </w:rPr>
        <w:t>提交首次磋商响应文件</w:t>
      </w:r>
      <w:r>
        <w:rPr>
          <w:rFonts w:hint="default" w:ascii="Times New Roman" w:hAnsi="Times New Roman" w:eastAsia="仿宋_GB2312" w:cs="Times New Roman"/>
          <w:color w:val="auto"/>
          <w:sz w:val="28"/>
          <w:szCs w:val="28"/>
          <w:lang w:eastAsia="zh-CN"/>
        </w:rPr>
        <w:t>截止时间后，供应商不得修改或撤回其</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w:t>
      </w:r>
    </w:p>
    <w:p w14:paraId="78725D13">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.3在</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规定的磋商有效期内，供应商不得实质上修改或撤回其磋商响应文件。</w:t>
      </w:r>
    </w:p>
    <w:p w14:paraId="0B905DC4">
      <w:pPr>
        <w:spacing w:line="560" w:lineRule="exact"/>
        <w:rPr>
          <w:rFonts w:hint="default" w:ascii="Times New Roman" w:hAnsi="Times New Roman" w:eastAsia="仿宋_GB2312" w:cs="Times New Roman"/>
          <w:color w:val="auto"/>
          <w:sz w:val="28"/>
          <w:szCs w:val="28"/>
          <w:lang w:eastAsia="zh-CN"/>
        </w:rPr>
      </w:pPr>
    </w:p>
    <w:p w14:paraId="781358B9">
      <w:pPr>
        <w:keepNext/>
        <w:keepLines/>
        <w:widowControl w:val="0"/>
        <w:autoSpaceDE w:val="0"/>
        <w:autoSpaceDN w:val="0"/>
        <w:adjustRightInd w:val="0"/>
        <w:spacing w:line="560" w:lineRule="exact"/>
        <w:jc w:val="center"/>
        <w:outlineLvl w:val="1"/>
        <w:rPr>
          <w:rFonts w:hint="default" w:ascii="Times New Roman" w:hAnsi="Times New Roman" w:eastAsia="方正小标宋_GBK" w:cs="Times New Roman"/>
          <w:bCs/>
          <w:color w:val="auto"/>
          <w:kern w:val="0"/>
          <w:sz w:val="30"/>
          <w:szCs w:val="30"/>
          <w:lang w:val="en-US" w:eastAsia="zh-CN"/>
        </w:rPr>
      </w:pPr>
      <w:bookmarkStart w:id="42" w:name="_Toc67310302"/>
      <w:bookmarkStart w:id="43" w:name="_Toc323030652"/>
      <w:r>
        <w:rPr>
          <w:rFonts w:hint="default" w:ascii="Times New Roman" w:hAnsi="Times New Roman" w:eastAsia="方正小标宋_GBK" w:cs="Times New Roman"/>
          <w:bCs/>
          <w:color w:val="auto"/>
          <w:kern w:val="0"/>
          <w:sz w:val="30"/>
          <w:szCs w:val="30"/>
          <w:lang w:val="en-US" w:eastAsia="zh-CN"/>
        </w:rPr>
        <w:t>五、开启与评审</w:t>
      </w:r>
      <w:bookmarkEnd w:id="42"/>
      <w:bookmarkEnd w:id="43"/>
    </w:p>
    <w:p w14:paraId="6BA43EE3">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30</w:t>
      </w:r>
      <w:r>
        <w:rPr>
          <w:rFonts w:hint="default" w:ascii="Times New Roman" w:hAnsi="Times New Roman" w:eastAsia="仿宋_GB2312" w:cs="Times New Roman"/>
          <w:b/>
          <w:bCs/>
          <w:color w:val="auto"/>
          <w:sz w:val="28"/>
          <w:szCs w:val="28"/>
          <w:lang w:eastAsia="zh-CN"/>
        </w:rPr>
        <w:t>.</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开启</w:t>
      </w:r>
    </w:p>
    <w:p w14:paraId="6CC4DF7E">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30</w:t>
      </w:r>
      <w:r>
        <w:rPr>
          <w:rFonts w:hint="default" w:ascii="Times New Roman" w:hAnsi="Times New Roman" w:eastAsia="仿宋_GB2312" w:cs="Times New Roman"/>
          <w:color w:val="auto"/>
          <w:sz w:val="28"/>
          <w:szCs w:val="28"/>
          <w:lang w:eastAsia="zh-CN"/>
        </w:rPr>
        <w:t>.1开启及解密方式：见“供应商须知前附表”。</w:t>
      </w:r>
    </w:p>
    <w:p w14:paraId="02FE1ABA">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30</w:t>
      </w:r>
      <w:r>
        <w:rPr>
          <w:rFonts w:hint="default" w:ascii="Times New Roman" w:hAnsi="Times New Roman" w:eastAsia="仿宋_GB2312" w:cs="Times New Roman"/>
          <w:color w:val="auto"/>
          <w:sz w:val="28"/>
          <w:szCs w:val="28"/>
          <w:lang w:eastAsia="zh-CN"/>
        </w:rPr>
        <w:t>.2不见面开标大厅网址：见“供应商须知前附表”。</w:t>
      </w:r>
    </w:p>
    <w:p w14:paraId="4EBEA4CF">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30</w:t>
      </w:r>
      <w:r>
        <w:rPr>
          <w:rFonts w:hint="default" w:ascii="Times New Roman" w:hAnsi="Times New Roman" w:eastAsia="仿宋_GB2312" w:cs="Times New Roman"/>
          <w:color w:val="auto"/>
          <w:sz w:val="28"/>
          <w:szCs w:val="28"/>
          <w:lang w:eastAsia="zh-CN"/>
        </w:rPr>
        <w:t>.3开启时，集中采购机构将通过网上开标系统公布供应商名称。</w:t>
      </w:r>
    </w:p>
    <w:p w14:paraId="67F3AADB">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 xml:space="preserve">31.  </w:t>
      </w:r>
      <w:r>
        <w:rPr>
          <w:rFonts w:hint="default" w:ascii="Times New Roman" w:hAnsi="Times New Roman" w:eastAsia="仿宋_GB2312" w:cs="Times New Roman"/>
          <w:b/>
          <w:bCs/>
          <w:color w:val="auto"/>
          <w:sz w:val="28"/>
          <w:szCs w:val="28"/>
          <w:lang w:eastAsia="zh-CN"/>
        </w:rPr>
        <w:t>信用查询</w:t>
      </w:r>
    </w:p>
    <w:p w14:paraId="4E8EF9A4">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信用记录的查询方法：见“供应商须知前附表”。</w:t>
      </w:r>
    </w:p>
    <w:p w14:paraId="2AEDE810">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3</w:t>
      </w:r>
      <w:r>
        <w:rPr>
          <w:rFonts w:hint="default" w:ascii="Times New Roman" w:hAnsi="Times New Roman" w:eastAsia="仿宋_GB2312" w:cs="Times New Roman"/>
          <w:b/>
          <w:bCs/>
          <w:color w:val="auto"/>
          <w:sz w:val="28"/>
          <w:szCs w:val="28"/>
          <w:lang w:val="en-US" w:eastAsia="zh-CN"/>
        </w:rPr>
        <w:t>2</w:t>
      </w:r>
      <w:r>
        <w:rPr>
          <w:rFonts w:hint="default" w:ascii="Times New Roman" w:hAnsi="Times New Roman" w:eastAsia="仿宋_GB2312" w:cs="Times New Roman"/>
          <w:b/>
          <w:bCs/>
          <w:color w:val="auto"/>
          <w:sz w:val="28"/>
          <w:szCs w:val="28"/>
          <w:lang w:eastAsia="zh-CN"/>
        </w:rPr>
        <w:t>.</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竞争性磋商小组</w:t>
      </w:r>
    </w:p>
    <w:p w14:paraId="1F0F7670">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1评审由竞争性磋商小组负责，竞争性磋商小组由采购人代表和有关技术、经济等方面的专家组成，成员人数见“供应商须知前附表”。其中技术、经济等方面的专家不少于成员总数的三分之二。评审专家由采购人从河南省财政厅政府采购专家库中</w:t>
      </w:r>
      <w:r>
        <w:rPr>
          <w:rFonts w:hint="default" w:ascii="Times New Roman" w:hAnsi="Times New Roman" w:eastAsia="仿宋_GB2312" w:cs="Times New Roman"/>
          <w:color w:val="auto"/>
          <w:sz w:val="28"/>
          <w:szCs w:val="28"/>
          <w:lang w:val="en-US" w:eastAsia="zh-CN"/>
        </w:rPr>
        <w:t>提交</w:t>
      </w:r>
      <w:r>
        <w:rPr>
          <w:rFonts w:hint="default" w:ascii="Times New Roman" w:hAnsi="Times New Roman" w:eastAsia="仿宋_GB2312" w:cs="Times New Roman"/>
          <w:color w:val="auto"/>
          <w:sz w:val="28"/>
          <w:szCs w:val="28"/>
          <w:lang w:eastAsia="zh-CN"/>
        </w:rPr>
        <w:t>抽取</w:t>
      </w:r>
      <w:r>
        <w:rPr>
          <w:rFonts w:hint="default" w:ascii="Times New Roman" w:hAnsi="Times New Roman" w:eastAsia="仿宋_GB2312" w:cs="Times New Roman"/>
          <w:color w:val="auto"/>
          <w:sz w:val="28"/>
          <w:szCs w:val="28"/>
          <w:lang w:val="en-US" w:eastAsia="zh-CN"/>
        </w:rPr>
        <w:t>申请</w:t>
      </w:r>
      <w:r>
        <w:rPr>
          <w:rFonts w:hint="default" w:ascii="Times New Roman" w:hAnsi="Times New Roman" w:eastAsia="仿宋_GB2312" w:cs="Times New Roman"/>
          <w:color w:val="auto"/>
          <w:sz w:val="28"/>
          <w:szCs w:val="28"/>
          <w:lang w:eastAsia="zh-CN"/>
        </w:rPr>
        <w:t>，有关人员对竞争性磋商小组成员名单须严格保密。</w:t>
      </w:r>
    </w:p>
    <w:p w14:paraId="7735ECA3">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.2与供应商有利害关系的人员不得进入竞争性磋商小组。</w:t>
      </w:r>
    </w:p>
    <w:p w14:paraId="553A1442">
      <w:pPr>
        <w:numPr>
          <w:ilvl w:val="0"/>
          <w:numId w:val="9"/>
        </w:num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 w:eastAsia="zh-CN"/>
        </w:rPr>
        <w:t>竞争性磋商响应文件</w:t>
      </w:r>
      <w:r>
        <w:rPr>
          <w:rFonts w:hint="default" w:ascii="Times New Roman" w:hAnsi="Times New Roman" w:eastAsia="仿宋_GB2312" w:cs="Times New Roman"/>
          <w:b/>
          <w:bCs/>
          <w:color w:val="auto"/>
          <w:sz w:val="28"/>
          <w:szCs w:val="28"/>
          <w:lang w:eastAsia="zh-CN"/>
        </w:rPr>
        <w:t>的澄清</w:t>
      </w:r>
    </w:p>
    <w:p w14:paraId="69E64474">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.1为了有助于对</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进行审查、评估和比较，竞争性磋商小组有权向供应商</w:t>
      </w:r>
      <w:r>
        <w:rPr>
          <w:rFonts w:hint="default" w:ascii="Times New Roman" w:hAnsi="Times New Roman" w:eastAsia="仿宋_GB2312" w:cs="Times New Roman"/>
          <w:color w:val="auto"/>
          <w:sz w:val="28"/>
          <w:szCs w:val="28"/>
          <w:lang w:val="en-US" w:eastAsia="zh-CN"/>
        </w:rPr>
        <w:t>提出澄清</w:t>
      </w:r>
      <w:r>
        <w:rPr>
          <w:rFonts w:hint="default" w:ascii="Times New Roman" w:hAnsi="Times New Roman" w:eastAsia="仿宋_GB2312" w:cs="Times New Roman"/>
          <w:color w:val="auto"/>
          <w:sz w:val="28"/>
          <w:szCs w:val="28"/>
          <w:lang w:eastAsia="zh-CN"/>
        </w:rPr>
        <w:t>，请供应商澄清其磋商响应内容。</w:t>
      </w:r>
    </w:p>
    <w:p w14:paraId="7AD3785C">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.2澄清的答复应加盖供应商公章（或企业电子签章）或由法定代表人（或其委托代理人）签字或签章（或个人电子签章）。</w:t>
      </w:r>
    </w:p>
    <w:p w14:paraId="39BC355C">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.3供应商的澄清文件是</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的组成部分。</w:t>
      </w:r>
    </w:p>
    <w:p w14:paraId="28258DF6">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.4</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的澄清不得对磋商响应内容进行实质性修改。</w:t>
      </w:r>
    </w:p>
    <w:p w14:paraId="2BB8A986">
      <w:pPr>
        <w:numPr>
          <w:ilvl w:val="0"/>
          <w:numId w:val="9"/>
        </w:num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 w:eastAsia="zh-CN"/>
        </w:rPr>
        <w:t>竞争性磋商响应文件</w:t>
      </w:r>
      <w:r>
        <w:rPr>
          <w:rFonts w:hint="default" w:ascii="Times New Roman" w:hAnsi="Times New Roman" w:eastAsia="仿宋_GB2312" w:cs="Times New Roman"/>
          <w:b/>
          <w:bCs/>
          <w:color w:val="auto"/>
          <w:sz w:val="28"/>
          <w:szCs w:val="28"/>
          <w:lang w:eastAsia="zh-CN"/>
        </w:rPr>
        <w:t>的初步审查</w:t>
      </w:r>
    </w:p>
    <w:p w14:paraId="5BA60D35">
      <w:pPr>
        <w:spacing w:line="540" w:lineRule="exac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.1竞争性磋商小组对各供应商的竞争性磋商响应文件进行初步审查，以确定其是否满足</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的实质性要求。</w:t>
      </w:r>
      <w:r>
        <w:rPr>
          <w:rFonts w:hint="default" w:ascii="Times New Roman" w:hAnsi="Times New Roman" w:eastAsia="仿宋_GB2312" w:cs="Times New Roman"/>
          <w:color w:val="auto"/>
          <w:sz w:val="28"/>
          <w:szCs w:val="28"/>
          <w:lang w:val="en-US" w:eastAsia="zh-CN"/>
        </w:rPr>
        <w:t>初步审查包括三个部分：标书雷同性分析、资格性审查、实质性审查。</w:t>
      </w:r>
    </w:p>
    <w:p w14:paraId="1994921F">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.2允许修正</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中不构成重大偏离的、微小的、非正规的、不一致或不规则的地方。</w:t>
      </w:r>
    </w:p>
    <w:p w14:paraId="4247A13D">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.3在对</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进行详细评</w:t>
      </w:r>
      <w:r>
        <w:rPr>
          <w:rFonts w:hint="default" w:ascii="Times New Roman" w:hAnsi="Times New Roman" w:eastAsia="仿宋_GB2312" w:cs="Times New Roman"/>
          <w:color w:val="auto"/>
          <w:sz w:val="28"/>
          <w:szCs w:val="28"/>
          <w:lang w:val="en-US" w:eastAsia="zh-CN"/>
        </w:rPr>
        <w:t>审</w:t>
      </w:r>
      <w:r>
        <w:rPr>
          <w:rFonts w:hint="default" w:ascii="Times New Roman" w:hAnsi="Times New Roman" w:eastAsia="仿宋_GB2312" w:cs="Times New Roman"/>
          <w:color w:val="auto"/>
          <w:sz w:val="28"/>
          <w:szCs w:val="28"/>
          <w:lang w:eastAsia="zh-CN"/>
        </w:rPr>
        <w:t>之前，竞争性磋商小组将确定</w:t>
      </w:r>
      <w:r>
        <w:rPr>
          <w:rFonts w:hint="default" w:ascii="Times New Roman" w:hAnsi="Times New Roman" w:eastAsia="仿宋_GB2312" w:cs="Times New Roman"/>
          <w:color w:val="auto"/>
          <w:sz w:val="28"/>
          <w:szCs w:val="28"/>
          <w:lang w:val="en-US" w:eastAsia="zh-CN"/>
        </w:rPr>
        <w:t>竞争性磋商响应文件</w:t>
      </w:r>
      <w:r>
        <w:rPr>
          <w:rFonts w:hint="default" w:ascii="Times New Roman" w:hAnsi="Times New Roman" w:eastAsia="仿宋_GB2312" w:cs="Times New Roman"/>
          <w:color w:val="auto"/>
          <w:sz w:val="28"/>
          <w:szCs w:val="28"/>
          <w:lang w:eastAsia="zh-CN"/>
        </w:rPr>
        <w:t>是否对</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的要求做出了实质性的响应，而没有重大偏离。实质性响应是指</w:t>
      </w:r>
      <w:r>
        <w:rPr>
          <w:rFonts w:hint="default" w:ascii="Times New Roman" w:hAnsi="Times New Roman" w:eastAsia="仿宋_GB2312" w:cs="Times New Roman"/>
          <w:color w:val="auto"/>
          <w:sz w:val="28"/>
          <w:szCs w:val="28"/>
          <w:lang w:val="en-US" w:eastAsia="zh-CN"/>
        </w:rPr>
        <w:t>提交磋商响应文件</w:t>
      </w:r>
      <w:r>
        <w:rPr>
          <w:rFonts w:hint="default" w:ascii="Times New Roman" w:hAnsi="Times New Roman" w:eastAsia="仿宋_GB2312" w:cs="Times New Roman"/>
          <w:color w:val="auto"/>
          <w:sz w:val="28"/>
          <w:szCs w:val="28"/>
          <w:lang w:eastAsia="zh-CN"/>
        </w:rPr>
        <w:t>符合</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的实质性条款、条件和规定且没有重大偏离和保留。重大偏离和保留是指对</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规定的采购需求、交货期、质量保证期、磋商有效期、付款方式等产生重大或不可接受的偏差，或限制了集中采购机构、采购人的权利和供应商的义务的规定，而纠正这些偏离将影响到其它提交实质性磋商响应文件的供应商的公平竞争地位。</w:t>
      </w:r>
    </w:p>
    <w:p w14:paraId="1667CFF4">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.4竞争性磋商小组判断竞争性磋商响应文件的有效响应仅基于竞争性磋商响应文件本身内容而不靠外部证据。</w:t>
      </w:r>
    </w:p>
    <w:p w14:paraId="043D2EE5">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.5实质上没有响应</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要求的磋商响应将被视为无效响应，供应商不得通过修正或撤消不符之处而使其磋商响应成为实质上响应。</w:t>
      </w:r>
    </w:p>
    <w:p w14:paraId="071883A2">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.6</w:t>
      </w:r>
      <w:r>
        <w:rPr>
          <w:rFonts w:hint="default" w:ascii="Times New Roman" w:hAnsi="Times New Roman" w:eastAsia="仿宋_GB2312" w:cs="Times New Roman"/>
          <w:color w:val="auto"/>
          <w:sz w:val="28"/>
          <w:szCs w:val="28"/>
          <w:lang w:val="en-US" w:eastAsia="zh-CN"/>
        </w:rPr>
        <w:t xml:space="preserve">  参与同一个标段（包）的供应商存在下列情形之一的，其磋商响应文件无效：</w:t>
      </w:r>
    </w:p>
    <w:p w14:paraId="66DDB423">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（1）不同供应商的电子磋商响应文件上传计算机的网卡MAC地址、CPU序列号和硬盘序列号等硬件信息相同的；</w:t>
      </w:r>
    </w:p>
    <w:p w14:paraId="3E1E8E1C">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（2）不同供应商的磋商响应文件由同一电子设备编制、加密或者上传；</w:t>
      </w:r>
    </w:p>
    <w:p w14:paraId="04955605">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（3）不同供应商的磋商响应文件由同一人送达或者分发，或者不同供应商联系人为同一人或不同联系人的联系电话一致的；</w:t>
      </w:r>
    </w:p>
    <w:p w14:paraId="59C35CA0">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（4）不同供应商的磋商响应文件的内容存在两处以上专有细节错误一致；</w:t>
      </w:r>
    </w:p>
    <w:p w14:paraId="3EE7275E">
      <w:pPr>
        <w:spacing w:line="560" w:lineRule="exact"/>
        <w:ind w:firstLine="560"/>
        <w:rPr>
          <w:rFonts w:hint="default" w:ascii="Times New Roman" w:hAnsi="Times New Roman" w:eastAsia="仿宋_GB2312" w:cs="Times New Roman"/>
          <w:color w:val="auto"/>
          <w:sz w:val="28"/>
          <w:szCs w:val="28"/>
          <w:lang w:val="en-US"/>
        </w:rPr>
      </w:pPr>
      <w:r>
        <w:rPr>
          <w:rFonts w:hint="default" w:ascii="Times New Roman" w:hAnsi="Times New Roman" w:eastAsia="仿宋_GB2312" w:cs="Times New Roman"/>
          <w:color w:val="auto"/>
          <w:sz w:val="28"/>
          <w:szCs w:val="28"/>
          <w:lang w:val="en-US"/>
        </w:rPr>
        <w:t>（5）其它涉嫌串通的情形。</w:t>
      </w:r>
    </w:p>
    <w:p w14:paraId="17CC0064">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34.7 有下列情形之一的，视为供应商串通磋商响应，其磋商响应无效：</w:t>
      </w:r>
    </w:p>
    <w:p w14:paraId="0D6F08CF">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（1）不同供应商的竞争性磋商响应文件由同一单位或者个人编制；</w:t>
      </w:r>
    </w:p>
    <w:p w14:paraId="193BA81D">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（2）不同供应商委托同一单位或者个人办理磋商响应事宜；</w:t>
      </w:r>
    </w:p>
    <w:p w14:paraId="269B1A05">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（3）不同供应商的竞争性磋商响应文件载明的项目管理成员或者联系人员为同一人；</w:t>
      </w:r>
    </w:p>
    <w:p w14:paraId="450C17BC">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（4）不同供应商的竞争性磋商响应文件异常一致或者磋商响应报价呈规律性差异；</w:t>
      </w:r>
    </w:p>
    <w:p w14:paraId="5098C5AD">
      <w:pPr>
        <w:spacing w:line="560" w:lineRule="exact"/>
        <w:ind w:firstLine="56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（5）不同供应商的竞争性磋商响应文件相互混装；</w:t>
      </w:r>
    </w:p>
    <w:p w14:paraId="11DE4C2B">
      <w:pPr>
        <w:spacing w:line="560" w:lineRule="exact"/>
        <w:ind w:firstLine="56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（6）不同供应商的磋商保证金从同一单位或者个人的账户转出。</w:t>
      </w:r>
    </w:p>
    <w:p w14:paraId="08D21421">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3</w:t>
      </w:r>
      <w:r>
        <w:rPr>
          <w:rFonts w:hint="default" w:ascii="Times New Roman" w:hAnsi="Times New Roman" w:eastAsia="仿宋_GB2312" w:cs="Times New Roman"/>
          <w:b/>
          <w:bCs/>
          <w:color w:val="auto"/>
          <w:sz w:val="28"/>
          <w:szCs w:val="28"/>
          <w:lang w:val="en-US" w:eastAsia="zh-CN"/>
        </w:rPr>
        <w:t>5</w:t>
      </w:r>
      <w:r>
        <w:rPr>
          <w:rFonts w:hint="default" w:ascii="Times New Roman" w:hAnsi="Times New Roman" w:eastAsia="仿宋_GB2312" w:cs="Times New Roman"/>
          <w:b/>
          <w:bCs/>
          <w:color w:val="auto"/>
          <w:sz w:val="28"/>
          <w:szCs w:val="28"/>
          <w:lang w:eastAsia="zh-CN"/>
        </w:rPr>
        <w:t>.</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磋商响应报价的评价</w:t>
      </w:r>
    </w:p>
    <w:p w14:paraId="44EF992E">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.1竞争性磋商响应文件报价出现前后不一致的，按照下列规定修正：</w:t>
      </w:r>
    </w:p>
    <w:p w14:paraId="17C6E239">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（1）大写金额和小写金额不一致的，以大写金额为准；</w:t>
      </w:r>
    </w:p>
    <w:p w14:paraId="593DD679">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）单价金额小数点或者百分比有明显错位的，以总价为准，并修改单价；</w:t>
      </w:r>
    </w:p>
    <w:p w14:paraId="6092F4FC">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）总价金额与按单价汇总金额不一致的，以单价金额计算结果为准。</w:t>
      </w:r>
    </w:p>
    <w:p w14:paraId="7C46702B">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同时出现两种以上不一致的，按照前款规定的顺序修正。修正后的报价经供应商确认后产生约束力，供应商不确认的，其磋商响应无效。</w:t>
      </w:r>
    </w:p>
    <w:p w14:paraId="078DBFEF">
      <w:pPr>
        <w:spacing w:line="560" w:lineRule="exact"/>
        <w:ind w:firstLine="560"/>
        <w:rPr>
          <w:rFonts w:hint="default" w:ascii="Times New Roman" w:hAnsi="Times New Roman" w:eastAsia="仿宋_GB2312" w:cs="Times New Roman"/>
          <w:color w:val="auto"/>
          <w:sz w:val="28"/>
          <w:szCs w:val="28"/>
          <w:lang w:val="en" w:eastAsia="zh-CN"/>
        </w:rPr>
      </w:pPr>
      <w:r>
        <w:rPr>
          <w:rFonts w:hint="default" w:ascii="Times New Roman" w:hAnsi="Times New Roman" w:eastAsia="仿宋_GB2312" w:cs="Times New Roman"/>
          <w:color w:val="auto"/>
          <w:sz w:val="28"/>
          <w:szCs w:val="28"/>
          <w:lang w:val="en-US" w:eastAsia="zh-CN"/>
        </w:rPr>
        <w:t>35.2</w:t>
      </w:r>
      <w:r>
        <w:rPr>
          <w:rFonts w:hint="default" w:ascii="Times New Roman" w:hAnsi="Times New Roman" w:eastAsia="仿宋_GB2312" w:cs="Times New Roman"/>
          <w:color w:val="auto"/>
          <w:sz w:val="28"/>
          <w:szCs w:val="28"/>
          <w:lang w:val="en" w:eastAsia="zh-CN"/>
        </w:rPr>
        <w:t>根据</w:t>
      </w:r>
      <w:r>
        <w:rPr>
          <w:rFonts w:hint="default" w:ascii="Times New Roman" w:hAnsi="Times New Roman" w:eastAsia="仿宋_GB2312" w:cs="Times New Roman"/>
          <w:color w:val="auto"/>
          <w:sz w:val="28"/>
          <w:szCs w:val="28"/>
          <w:lang w:val="en-US" w:eastAsia="zh-CN"/>
        </w:rPr>
        <w:t>《关于推动解决政府采购异常低价问题的通知》（财库〔2026〕2号）要求，</w:t>
      </w:r>
      <w:r>
        <w:rPr>
          <w:rFonts w:hint="default" w:ascii="Times New Roman" w:hAnsi="Times New Roman" w:eastAsia="仿宋_GB2312" w:cs="Times New Roman"/>
          <w:color w:val="auto"/>
          <w:sz w:val="28"/>
          <w:szCs w:val="28"/>
          <w:lang w:eastAsia="zh-CN"/>
        </w:rPr>
        <w:t>竞争性磋商小组</w:t>
      </w:r>
      <w:r>
        <w:rPr>
          <w:rFonts w:hint="default" w:ascii="Times New Roman" w:hAnsi="Times New Roman" w:eastAsia="仿宋_GB2312" w:cs="Times New Roman"/>
          <w:color w:val="auto"/>
          <w:sz w:val="28"/>
          <w:szCs w:val="28"/>
          <w:lang w:val="en-US" w:eastAsia="zh-CN"/>
        </w:rPr>
        <w:t>应对政府采购异常低价进行审查：</w:t>
      </w:r>
    </w:p>
    <w:p w14:paraId="32467FC9">
      <w:pPr>
        <w:spacing w:line="56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（1）评审中</w:t>
      </w:r>
      <w:r>
        <w:rPr>
          <w:rFonts w:hint="default" w:ascii="Times New Roman" w:hAnsi="Times New Roman" w:eastAsia="仿宋_GB2312" w:cs="Times New Roman"/>
          <w:b/>
          <w:bCs/>
          <w:color w:val="auto"/>
          <w:sz w:val="28"/>
          <w:szCs w:val="28"/>
          <w:lang w:val="en-US" w:eastAsia="zh-CN"/>
        </w:rPr>
        <w:t>最后报价</w:t>
      </w:r>
      <w:r>
        <w:rPr>
          <w:rFonts w:hint="default" w:ascii="Times New Roman" w:hAnsi="Times New Roman" w:eastAsia="仿宋_GB2312" w:cs="Times New Roman"/>
          <w:color w:val="auto"/>
          <w:sz w:val="28"/>
          <w:szCs w:val="28"/>
          <w:lang w:val="en-US" w:eastAsia="zh-CN"/>
        </w:rPr>
        <w:t>出现下列情形之一的，</w:t>
      </w:r>
      <w:r>
        <w:rPr>
          <w:rFonts w:hint="default" w:ascii="Times New Roman" w:hAnsi="Times New Roman" w:eastAsia="仿宋_GB2312" w:cs="Times New Roman"/>
          <w:color w:val="auto"/>
          <w:sz w:val="28"/>
          <w:szCs w:val="28"/>
          <w:lang w:eastAsia="zh-CN"/>
        </w:rPr>
        <w:t>竞争性磋商小组</w:t>
      </w:r>
      <w:r>
        <w:rPr>
          <w:rFonts w:hint="default" w:ascii="Times New Roman" w:hAnsi="Times New Roman" w:eastAsia="仿宋_GB2312" w:cs="Times New Roman"/>
          <w:color w:val="auto"/>
          <w:sz w:val="28"/>
          <w:szCs w:val="28"/>
          <w:lang w:val="en-US" w:eastAsia="zh-CN"/>
        </w:rPr>
        <w:t>应当启动异常低价投标（响应）审查程序：</w:t>
      </w:r>
    </w:p>
    <w:p w14:paraId="51C4778E">
      <w:pPr>
        <w:spacing w:line="56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汉仪书宋二S" w:cs="Times New Roman"/>
          <w:color w:val="auto"/>
          <w:sz w:val="28"/>
          <w:szCs w:val="28"/>
          <w:lang w:val="en-US" w:eastAsia="zh-CN"/>
        </w:rPr>
        <w:t>①</w:t>
      </w:r>
      <w:r>
        <w:rPr>
          <w:rFonts w:hint="default" w:ascii="Times New Roman" w:hAnsi="Times New Roman" w:eastAsia="仿宋_GB2312" w:cs="Times New Roman"/>
          <w:color w:val="auto"/>
          <w:sz w:val="28"/>
          <w:szCs w:val="28"/>
          <w:lang w:val="en-US" w:eastAsia="zh-CN"/>
        </w:rPr>
        <w:t>投标（响应）报价低于全部通过符合性审查供应商投标（响应）报价平均值65%的，即投标（响应）报价&lt;全部通过符合性审查供应商投标（响应）报价平均值×65%；</w:t>
      </w:r>
    </w:p>
    <w:p w14:paraId="5EDC8877">
      <w:pPr>
        <w:spacing w:line="56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汉仪书宋二S" w:cs="Times New Roman"/>
          <w:color w:val="auto"/>
          <w:sz w:val="28"/>
          <w:szCs w:val="28"/>
          <w:lang w:val="en-US" w:eastAsia="zh-CN"/>
        </w:rPr>
        <w:t>②</w:t>
      </w:r>
      <w:r>
        <w:rPr>
          <w:rFonts w:hint="default" w:ascii="Times New Roman" w:hAnsi="Times New Roman" w:eastAsia="仿宋_GB2312" w:cs="Times New Roman"/>
          <w:color w:val="auto"/>
          <w:sz w:val="28"/>
          <w:szCs w:val="28"/>
          <w:lang w:val="en-US" w:eastAsia="zh-CN"/>
        </w:rPr>
        <w:t>投标（响应）报价低于通过符合性审查的次低报价供应商投标（响应）报价65%的，即投标（响应）报价&lt;通过符合性审查的次低报价供应商投标（响应）报价×65%；</w:t>
      </w:r>
    </w:p>
    <w:p w14:paraId="09F88B80">
      <w:pPr>
        <w:spacing w:line="56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汉仪书宋二S" w:cs="Times New Roman"/>
          <w:color w:val="auto"/>
          <w:sz w:val="28"/>
          <w:szCs w:val="28"/>
          <w:lang w:val="en-US" w:eastAsia="zh-CN"/>
        </w:rPr>
        <w:t>③</w:t>
      </w:r>
      <w:r>
        <w:rPr>
          <w:rFonts w:hint="default" w:ascii="Times New Roman" w:hAnsi="Times New Roman" w:eastAsia="仿宋_GB2312" w:cs="Times New Roman"/>
          <w:color w:val="auto"/>
          <w:sz w:val="28"/>
          <w:szCs w:val="28"/>
          <w:lang w:val="en-US" w:eastAsia="zh-CN"/>
        </w:rPr>
        <w:t>投标（响应）报价低于采购项目最高限价65%的，即投标（响应）报价&lt;采购项目最高限价×65%；</w:t>
      </w:r>
    </w:p>
    <w:p w14:paraId="112A9E26">
      <w:pPr>
        <w:spacing w:line="56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汉仪书宋二S" w:cs="Times New Roman"/>
          <w:color w:val="auto"/>
          <w:sz w:val="28"/>
          <w:szCs w:val="28"/>
          <w:lang w:val="en-US" w:eastAsia="zh-CN"/>
        </w:rPr>
        <w:t>④</w:t>
      </w:r>
      <w:r>
        <w:rPr>
          <w:rFonts w:hint="default" w:ascii="Times New Roman" w:hAnsi="Times New Roman" w:eastAsia="仿宋_GB2312" w:cs="Times New Roman"/>
          <w:color w:val="auto"/>
          <w:sz w:val="28"/>
          <w:szCs w:val="28"/>
          <w:lang w:eastAsia="zh-CN"/>
        </w:rPr>
        <w:t>竞争性磋商小组</w:t>
      </w:r>
      <w:r>
        <w:rPr>
          <w:rFonts w:hint="default" w:ascii="Times New Roman" w:hAnsi="Times New Roman" w:eastAsia="仿宋_GB2312" w:cs="Times New Roman"/>
          <w:color w:val="auto"/>
          <w:sz w:val="28"/>
          <w:szCs w:val="28"/>
          <w:lang w:val="en-US" w:eastAsia="zh-CN"/>
        </w:rPr>
        <w:t>基于专业判断，认为供应商报价过低，有可能影响产品质量或者不能诚信履约的其他情形。</w:t>
      </w:r>
    </w:p>
    <w:p w14:paraId="0DBDC31E">
      <w:pPr>
        <w:spacing w:line="56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采购人可以结合具体项目实际情况，提高上述第1项至第3项中启动异常低价投标（响应）审查的数值标准，但是最高不得超过65%。</w:t>
      </w:r>
    </w:p>
    <w:p w14:paraId="5A44EC20">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相关法律法规对供应商报价有规定的，从其规定。</w:t>
      </w:r>
    </w:p>
    <w:p w14:paraId="20F6BA1C">
      <w:pPr>
        <w:spacing w:line="56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竞争性磋商小组</w:t>
      </w:r>
      <w:r>
        <w:rPr>
          <w:rFonts w:hint="default" w:ascii="Times New Roman" w:hAnsi="Times New Roman" w:eastAsia="仿宋_GB2312" w:cs="Times New Roman"/>
          <w:color w:val="auto"/>
          <w:sz w:val="28"/>
          <w:szCs w:val="28"/>
          <w:lang w:val="en-US" w:eastAsia="zh-CN"/>
        </w:rPr>
        <w:t>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F9EABC6">
      <w:pPr>
        <w:spacing w:line="560" w:lineRule="exact"/>
        <w:ind w:firstLine="56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竞争性磋商小组</w:t>
      </w:r>
      <w:r>
        <w:rPr>
          <w:rFonts w:hint="default" w:ascii="Times New Roman" w:hAnsi="Times New Roman" w:eastAsia="仿宋_GB2312" w:cs="Times New Roman"/>
          <w:color w:val="auto"/>
          <w:sz w:val="28"/>
          <w:szCs w:val="28"/>
          <w:lang w:val="en-US" w:eastAsia="zh-CN"/>
        </w:rPr>
        <w:t>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hint="default" w:ascii="Times New Roman" w:hAnsi="Times New Roman" w:eastAsia="仿宋_GB2312" w:cs="Times New Roman"/>
          <w:color w:val="auto"/>
          <w:sz w:val="28"/>
          <w:szCs w:val="28"/>
          <w:lang w:eastAsia="zh-CN"/>
        </w:rPr>
        <w:t>竞争性磋商小组</w:t>
      </w:r>
      <w:r>
        <w:rPr>
          <w:rFonts w:hint="default" w:ascii="Times New Roman" w:hAnsi="Times New Roman" w:eastAsia="仿宋_GB2312" w:cs="Times New Roman"/>
          <w:color w:val="auto"/>
          <w:sz w:val="28"/>
          <w:szCs w:val="28"/>
          <w:lang w:val="en-US" w:eastAsia="zh-CN"/>
        </w:rPr>
        <w:t>应当将其作为无效投标（响应）处理。</w:t>
      </w:r>
    </w:p>
    <w:p w14:paraId="6346C4FA">
      <w:pPr>
        <w:spacing w:line="560" w:lineRule="exact"/>
        <w:ind w:firstLine="560"/>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异常低价投标（响应）审查的启动原因、审查意见和审查结果应当在评审报告中记录。</w:t>
      </w:r>
    </w:p>
    <w:p w14:paraId="6CECB276">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.3竞争性磋商小组只对已判定为实质性响应的竞争性磋商响应文件进行评价和比较。</w:t>
      </w:r>
    </w:p>
    <w:p w14:paraId="1BA20DBF">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.4节能环保政策</w:t>
      </w:r>
    </w:p>
    <w:p w14:paraId="30BBC047">
      <w:pPr>
        <w:spacing w:line="560" w:lineRule="exact"/>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（1）本项目若含有节能产品政府采购品目清单内政府强制采购产品，供应商须选用国家确定的认证机构认证的处于有效期之内的政府强制采购节能产品。</w:t>
      </w:r>
    </w:p>
    <w:p w14:paraId="2248954D">
      <w:pPr>
        <w:spacing w:line="560" w:lineRule="exact"/>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2）本项目若含有节能产品、环境标志产品政府采购品目清单内政府优先采购产品，对选用国家公布的认证机构认证的处于有效期之内的政府优先采购节能产品（政府强制采购产品除外）、环境标志产品的，在评审时予以优先采购。</w:t>
      </w:r>
    </w:p>
    <w:p w14:paraId="1CEE31CC">
      <w:pPr>
        <w:spacing w:line="560" w:lineRule="exact"/>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（3）供应商应提供国家确定的认证机构出具的处于有效期之内的节能产品、环境标志产品认证证书。</w:t>
      </w:r>
    </w:p>
    <w:p w14:paraId="2C11665E">
      <w:pPr>
        <w:spacing w:line="560" w:lineRule="exact"/>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4）强制采购的节能产品：台式计算机，便携式计算机，平板式微型计算机，激光打印机，针式打印机，液晶显示器，制冷压缩机，空调机组，专用制冷、空调设备，镇流器，空调机，电热水器，普通照明用双端荧光灯，电视设备，视频设备，便器，水嘴等品目为政府强制采购的节能产品。</w:t>
      </w:r>
    </w:p>
    <w:p w14:paraId="23C81478">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35.5 </w:t>
      </w:r>
      <w:r>
        <w:rPr>
          <w:rFonts w:hint="default" w:ascii="Times New Roman" w:hAnsi="Times New Roman" w:eastAsia="仿宋_GB2312" w:cs="Times New Roman"/>
          <w:color w:val="auto"/>
          <w:sz w:val="28"/>
          <w:szCs w:val="28"/>
          <w:lang w:eastAsia="zh-CN"/>
        </w:rPr>
        <w:t>正版软件的要求</w:t>
      </w:r>
    </w:p>
    <w:p w14:paraId="54037744">
      <w:pPr>
        <w:spacing w:line="560" w:lineRule="exact"/>
        <w:ind w:firstLine="548" w:firstLineChars="196"/>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供应商需承诺投报的计算机产品预装正版操作系统，投报的硬件产品内的预装软件为正版软件。本项目如需落实正版软件要求，将在“供应商须知前附表”中载明。</w:t>
      </w:r>
    </w:p>
    <w:p w14:paraId="620070C0">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35.6 </w:t>
      </w:r>
      <w:r>
        <w:rPr>
          <w:rFonts w:hint="default" w:ascii="Times New Roman" w:hAnsi="Times New Roman" w:eastAsia="仿宋_GB2312" w:cs="Times New Roman"/>
          <w:color w:val="auto"/>
          <w:sz w:val="28"/>
          <w:szCs w:val="28"/>
          <w:lang w:eastAsia="zh-CN"/>
        </w:rPr>
        <w:t>商品包装和快递包装要求</w:t>
      </w:r>
    </w:p>
    <w:p w14:paraId="2E7B8DCD">
      <w:pPr>
        <w:spacing w:line="54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文件列出商品包装和快递包装要求的，供应商应填写商品包装和快递包装承诺书，承诺商品包装符合《快递暂行条例》《商品包装政府采购需求标准（试行）》，快递包装符合《快递暂行条例》《快递包装政府采购需求标准（试行）》。本项目如需落实商品包装和快递包装要求，将在“供应商须知前附表”中载明。</w:t>
      </w:r>
    </w:p>
    <w:p w14:paraId="15782949">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3</w:t>
      </w:r>
      <w:r>
        <w:rPr>
          <w:rFonts w:hint="default" w:ascii="Times New Roman" w:hAnsi="Times New Roman" w:eastAsia="仿宋_GB2312" w:cs="Times New Roman"/>
          <w:b/>
          <w:bCs/>
          <w:color w:val="auto"/>
          <w:sz w:val="28"/>
          <w:szCs w:val="28"/>
          <w:lang w:val="en-US" w:eastAsia="zh-CN"/>
        </w:rPr>
        <w:t>6</w:t>
      </w:r>
      <w:r>
        <w:rPr>
          <w:rFonts w:hint="default" w:ascii="Times New Roman" w:hAnsi="Times New Roman" w:eastAsia="仿宋_GB2312" w:cs="Times New Roman"/>
          <w:b/>
          <w:bCs/>
          <w:color w:val="auto"/>
          <w:sz w:val="28"/>
          <w:szCs w:val="28"/>
          <w:lang w:eastAsia="zh-CN"/>
        </w:rPr>
        <w:t>.</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评审价的确定</w:t>
      </w:r>
    </w:p>
    <w:p w14:paraId="3432A021">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eastAsia="zh-CN"/>
        </w:rPr>
        <w:t>.1 根据</w:t>
      </w:r>
      <w:r>
        <w:rPr>
          <w:rFonts w:hint="default" w:ascii="Times New Roman" w:hAnsi="Times New Roman" w:eastAsia="仿宋_GB2312" w:cs="Times New Roman"/>
          <w:color w:val="auto"/>
          <w:sz w:val="28"/>
          <w:szCs w:val="28"/>
          <w:lang w:val="en-US" w:eastAsia="zh-CN"/>
        </w:rPr>
        <w:t>《政府采购促进中小企业发展管理办法》（财库〔2020〕46号）《关于进一步加大政府采购支持中小企业力度的通知》（财库〔2022〕19号）</w:t>
      </w:r>
      <w:r>
        <w:rPr>
          <w:rFonts w:hint="default" w:ascii="Times New Roman" w:hAnsi="Times New Roman" w:eastAsia="仿宋_GB2312" w:cs="Times New Roman"/>
          <w:color w:val="auto"/>
          <w:sz w:val="28"/>
          <w:szCs w:val="28"/>
          <w:lang w:eastAsia="zh-CN"/>
        </w:rPr>
        <w:t>的规定，采购人在政府采购活动中支持中小企业发展：</w:t>
      </w:r>
    </w:p>
    <w:p w14:paraId="3018393E">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（1）采购项目或采购包预留采购份额专门面向中小企业采购；</w:t>
      </w:r>
    </w:p>
    <w:p w14:paraId="78C6EDA9">
      <w:pPr>
        <w:spacing w:line="560" w:lineRule="exact"/>
        <w:ind w:firstLine="56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（2）未预留份额专门面向中小企业采购的采购项目，以及预留份额项目中的非预留部分采购包，对小微企业报价给予</w:t>
      </w:r>
      <w:r>
        <w:rPr>
          <w:rFonts w:hint="default" w:ascii="Times New Roman" w:hAnsi="Times New Roman" w:eastAsia="仿宋_GB2312" w:cs="Times New Roman"/>
          <w:color w:val="auto"/>
          <w:sz w:val="28"/>
          <w:szCs w:val="28"/>
          <w:lang w:val="en-US" w:eastAsia="zh-CN"/>
        </w:rPr>
        <w:t>10</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0%的扣除，用扣除后的价格参加评审。中小企业扶持政策：见“供应商须知前附表”。</w:t>
      </w:r>
    </w:p>
    <w:p w14:paraId="2F70FE13">
      <w:pPr>
        <w:spacing w:line="560" w:lineRule="exact"/>
        <w:ind w:firstLine="56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中小企业划分标准见《关于印发中小企业划型标准规定的通知》（工信部联企业〔2011〕300号）。成交供应商享受《政府采购促进中小企业发展管理办法》（财库〔2020〕46号）《关于进一步加大政府采购支持中小企业力度的通知》（财库〔2022〕19号）规定的中小企业扶持政策的，随成交结果公开成交供应商的《中小企业声明函》。供应商提供声明函内容不实的，属于提供虚假材料谋取成交，依照《中华人民共和国政府采购法》等国家有关规定追究相应责任。</w:t>
      </w:r>
    </w:p>
    <w:p w14:paraId="724D0354">
      <w:pPr>
        <w:spacing w:line="560" w:lineRule="exact"/>
        <w:ind w:firstLine="56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（4）监狱企业视同小型、微型企业，供应商应提供省级及以上监狱管理局、戒毒管理局（含新疆生产建设兵团）出具的属于监狱企业的证明文件。</w:t>
      </w:r>
    </w:p>
    <w:p w14:paraId="33C0D414">
      <w:pPr>
        <w:spacing w:line="560" w:lineRule="exact"/>
        <w:ind w:firstLine="56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（5）残疾人福利性单位视同小型、微型企业，残疾人福利性单位须符合《财政部民政部中国残疾人联合会关于促进残疾人就业政府采购政策的通知》（财库〔2017〕141 号）要求，提供《残疾人福利性单位声明函》，提供的《残疾人福利性单位声明函》与事实不符的，依照《政府采购法》第七十七条第一款的规定追究法律责任。成交供应商为残疾人福利性单位的，随成交结果同时公告其《残疾人福利性单位声明函》，接受社会监督。</w:t>
      </w:r>
    </w:p>
    <w:p w14:paraId="6E9D3D8C">
      <w:pPr>
        <w:spacing w:line="560" w:lineRule="exact"/>
        <w:ind w:firstLine="56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（6）以联合体形式参加政府采购活动，联合体各方均为中小企业的，联合体视同中小企业。其中，联合体各方均为小微企业的，联合体视同小微企业。</w:t>
      </w:r>
    </w:p>
    <w:p w14:paraId="2591933C">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36.2根据《国务院办公厅关于在政府采购中实施本国产品标准及相关政策的通知》（国办发〔2025〕34号）和《关于贯彻落实&lt;国务院办公厅关于在政府采购中实施本国产品标准及相关政策的通知&gt;的意见》（财库〔2025〕30号）要求，</w:t>
      </w:r>
      <w:r>
        <w:rPr>
          <w:rFonts w:hint="default" w:ascii="Times New Roman" w:hAnsi="Times New Roman" w:eastAsia="仿宋_GB2312" w:cs="Times New Roman"/>
          <w:color w:val="auto"/>
          <w:sz w:val="28"/>
          <w:szCs w:val="28"/>
          <w:lang w:eastAsia="zh-CN"/>
        </w:rPr>
        <w:t>采购人在政府采购活动中对本国产品予以支持：</w:t>
      </w:r>
    </w:p>
    <w:p w14:paraId="4C39FF91">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1）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6BAD69F">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2）供应商对其提供的产品出具《关于符合本国产品标准的声明函》或财政部会同有关部门规定的有关证明文件，《关于符合本国产品标准的声明函》或有关证明文件符合要求的，该产品视为本国产品。供应商提供虚假《关于符合本国产品标准的声明函》、虚假证明文件谋取中标、成交的，依照《中华人民共和国政府采购法》等法律法规规定追究相应责任。成交供应商享受对本国产品的支持政策，随中标、成交结果同时公告中标、成交供应商提供的《关于符合本国产品标准的声明函》或有关证明文件。</w:t>
      </w:r>
    </w:p>
    <w:p w14:paraId="7E0F1D28">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3）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C7CC46D">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36.3 </w:t>
      </w:r>
      <w:r>
        <w:rPr>
          <w:rFonts w:hint="default" w:ascii="Times New Roman" w:hAnsi="Times New Roman" w:eastAsia="仿宋_GB2312" w:cs="Times New Roman"/>
          <w:color w:val="auto"/>
          <w:sz w:val="28"/>
          <w:szCs w:val="28"/>
          <w:lang w:eastAsia="zh-CN"/>
        </w:rPr>
        <w:t>评审价不作为成交金额和合同签约价，成交金额和合同签约价仍以其磋商响应文件中的最后报价为准。</w:t>
      </w:r>
    </w:p>
    <w:p w14:paraId="491BD0FC">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3</w:t>
      </w:r>
      <w:r>
        <w:rPr>
          <w:rFonts w:hint="default" w:ascii="Times New Roman" w:hAnsi="Times New Roman" w:eastAsia="仿宋_GB2312" w:cs="Times New Roman"/>
          <w:b/>
          <w:bCs/>
          <w:color w:val="auto"/>
          <w:sz w:val="28"/>
          <w:szCs w:val="28"/>
          <w:lang w:val="en-US" w:eastAsia="zh-CN"/>
        </w:rPr>
        <w:t>7</w:t>
      </w:r>
      <w:r>
        <w:rPr>
          <w:rFonts w:hint="default" w:ascii="Times New Roman" w:hAnsi="Times New Roman" w:eastAsia="仿宋_GB2312" w:cs="Times New Roman"/>
          <w:b/>
          <w:bCs/>
          <w:color w:val="auto"/>
          <w:sz w:val="28"/>
          <w:szCs w:val="28"/>
          <w:lang w:eastAsia="zh-CN"/>
        </w:rPr>
        <w:t>.评审结果</w:t>
      </w:r>
    </w:p>
    <w:p w14:paraId="1EAD0BF8">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eastAsia="zh-CN"/>
        </w:rPr>
        <w:t>.1竞争性磋商小组按照</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中规定的磋商方法和标准，对初步审查合格的竞争性磋商响应文件进行商务和技术评</w:t>
      </w:r>
      <w:r>
        <w:rPr>
          <w:rFonts w:hint="default" w:ascii="Times New Roman" w:hAnsi="Times New Roman" w:eastAsia="仿宋_GB2312" w:cs="Times New Roman"/>
          <w:color w:val="auto"/>
          <w:sz w:val="28"/>
          <w:szCs w:val="28"/>
          <w:lang w:val="en-US" w:eastAsia="zh-CN"/>
        </w:rPr>
        <w:t>审</w:t>
      </w:r>
      <w:r>
        <w:rPr>
          <w:rFonts w:hint="default" w:ascii="Times New Roman" w:hAnsi="Times New Roman" w:eastAsia="仿宋_GB2312" w:cs="Times New Roman"/>
          <w:color w:val="auto"/>
          <w:sz w:val="28"/>
          <w:szCs w:val="28"/>
          <w:lang w:eastAsia="zh-CN"/>
        </w:rPr>
        <w:t>，综合比较与评价。</w:t>
      </w:r>
    </w:p>
    <w:p w14:paraId="3F483F6D">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eastAsia="zh-CN"/>
        </w:rPr>
        <w:t>.2供应商的评审得分为所有评委评审得分的算术平均值，评审得分取至小数点后两位（第三位四舍五入）。</w:t>
      </w:r>
    </w:p>
    <w:p w14:paraId="616F222D">
      <w:pPr>
        <w:pStyle w:val="70"/>
        <w:spacing w:line="560" w:lineRule="exact"/>
        <w:rPr>
          <w:rFonts w:hint="default" w:ascii="Times New Roman" w:hAnsi="Times New Roman" w:eastAsia="仿宋_GB2312" w:cs="Times New Roman"/>
          <w:color w:val="auto"/>
        </w:rPr>
      </w:pPr>
      <w:r>
        <w:rPr>
          <w:rFonts w:hint="default" w:ascii="Times New Roman" w:hAnsi="Times New Roman" w:eastAsia="仿宋_GB2312" w:cs="Times New Roman"/>
          <w:b/>
          <w:bCs/>
          <w:color w:val="auto"/>
          <w:sz w:val="28"/>
          <w:szCs w:val="28"/>
        </w:rPr>
        <w:t>38.</w:t>
      </w:r>
      <w:r>
        <w:rPr>
          <w:rFonts w:hint="default" w:ascii="Times New Roman" w:hAnsi="Times New Roman" w:eastAsia="仿宋_GB2312" w:cs="Times New Roman"/>
          <w:b/>
          <w:color w:val="auto"/>
          <w:sz w:val="28"/>
          <w:szCs w:val="28"/>
        </w:rPr>
        <w:t>成交候选供应商的确定原则及标准</w:t>
      </w:r>
    </w:p>
    <w:p w14:paraId="2D981003">
      <w:pPr>
        <w:widowControl w:val="0"/>
        <w:spacing w:line="560" w:lineRule="exact"/>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竞争性磋商小组按“供应商须知前附表”中规定数量推荐成交候选供应商。</w:t>
      </w:r>
    </w:p>
    <w:p w14:paraId="2157858F">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3</w:t>
      </w:r>
      <w:r>
        <w:rPr>
          <w:rFonts w:hint="default" w:ascii="Times New Roman" w:hAnsi="Times New Roman" w:eastAsia="仿宋_GB2312" w:cs="Times New Roman"/>
          <w:b/>
          <w:bCs/>
          <w:color w:val="auto"/>
          <w:sz w:val="28"/>
          <w:szCs w:val="28"/>
          <w:lang w:val="en-US" w:eastAsia="zh-CN"/>
        </w:rPr>
        <w:t>9</w:t>
      </w:r>
      <w:r>
        <w:rPr>
          <w:rFonts w:hint="default" w:ascii="Times New Roman" w:hAnsi="Times New Roman" w:eastAsia="仿宋_GB2312" w:cs="Times New Roman"/>
          <w:b/>
          <w:bCs/>
          <w:color w:val="auto"/>
          <w:sz w:val="28"/>
          <w:szCs w:val="28"/>
          <w:lang w:eastAsia="zh-CN"/>
        </w:rPr>
        <w:t>.保密及其它注意事项</w:t>
      </w:r>
    </w:p>
    <w:p w14:paraId="678B75BB">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.1评审是竞争性磋商工作的重要环节，评审工作在竞争性磋商小组内独立进行。</w:t>
      </w:r>
    </w:p>
    <w:p w14:paraId="63E50C97">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.2竞争性磋商小组将遵照规定的磋商方法，公正、平等地对待所有供应商。</w:t>
      </w:r>
    </w:p>
    <w:p w14:paraId="47B98692">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.3在评审期间，供应商不得向评委询问评审情况，不得进行旨在影响评审结果的活动。否则其磋商响应可能被拒绝。</w:t>
      </w:r>
    </w:p>
    <w:p w14:paraId="12FD4E9F">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.4为保证评审的公正性，开启后直至授予供应商合同，评委不得与供应商私下交换意见。</w:t>
      </w:r>
    </w:p>
    <w:p w14:paraId="103D935A">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.5在评审工作结束后，凡与评审情况有接触的任何人不得擅自将评审情况扩散出评审人员之外。</w:t>
      </w:r>
    </w:p>
    <w:p w14:paraId="71415632">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.6评审结束后，概不退还竞争性磋商响应文件。</w:t>
      </w:r>
    </w:p>
    <w:p w14:paraId="3CDAA905">
      <w:pPr>
        <w:rPr>
          <w:rFonts w:hint="default" w:ascii="Times New Roman" w:hAnsi="Times New Roman" w:eastAsia="方正小标宋_GBK" w:cs="Times New Roman"/>
          <w:bCs/>
          <w:color w:val="auto"/>
          <w:kern w:val="0"/>
          <w:sz w:val="30"/>
          <w:szCs w:val="30"/>
          <w:lang w:val="en-US" w:eastAsia="zh-CN"/>
        </w:rPr>
      </w:pPr>
      <w:bookmarkStart w:id="44" w:name="_Toc2036442243"/>
      <w:bookmarkStart w:id="45" w:name="_Toc676041239"/>
    </w:p>
    <w:p w14:paraId="42E5BEBC">
      <w:pPr>
        <w:keepNext/>
        <w:keepLines/>
        <w:widowControl w:val="0"/>
        <w:autoSpaceDE w:val="0"/>
        <w:autoSpaceDN w:val="0"/>
        <w:adjustRightInd w:val="0"/>
        <w:spacing w:line="560" w:lineRule="exact"/>
        <w:jc w:val="center"/>
        <w:outlineLvl w:val="1"/>
        <w:rPr>
          <w:rFonts w:hint="default" w:ascii="Times New Roman" w:hAnsi="Times New Roman" w:eastAsia="方正小标宋_GBK" w:cs="Times New Roman"/>
          <w:bCs/>
          <w:color w:val="auto"/>
          <w:kern w:val="0"/>
          <w:sz w:val="30"/>
          <w:szCs w:val="30"/>
          <w:lang w:val="en-US" w:eastAsia="zh-CN"/>
        </w:rPr>
      </w:pPr>
      <w:r>
        <w:rPr>
          <w:rFonts w:hint="default" w:ascii="Times New Roman" w:hAnsi="Times New Roman" w:eastAsia="方正小标宋_GBK" w:cs="Times New Roman"/>
          <w:bCs/>
          <w:color w:val="auto"/>
          <w:kern w:val="0"/>
          <w:sz w:val="30"/>
          <w:szCs w:val="30"/>
          <w:lang w:val="en-US" w:eastAsia="zh-CN"/>
        </w:rPr>
        <w:t>六、确定成交</w:t>
      </w:r>
      <w:bookmarkEnd w:id="44"/>
      <w:bookmarkEnd w:id="45"/>
    </w:p>
    <w:p w14:paraId="2AB1323F">
      <w:pPr>
        <w:keepNext/>
        <w:keepLines/>
        <w:widowControl w:val="0"/>
        <w:autoSpaceDE w:val="0"/>
        <w:autoSpaceDN w:val="0"/>
        <w:adjustRightInd w:val="0"/>
        <w:spacing w:line="560" w:lineRule="exact"/>
        <w:jc w:val="left"/>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bCs/>
          <w:color w:val="auto"/>
          <w:sz w:val="28"/>
          <w:szCs w:val="28"/>
          <w:lang w:val="en-US" w:eastAsia="zh-CN"/>
        </w:rPr>
        <w:t>40</w:t>
      </w:r>
      <w:r>
        <w:rPr>
          <w:rFonts w:hint="default" w:ascii="Times New Roman" w:hAnsi="Times New Roman" w:eastAsia="仿宋_GB2312" w:cs="Times New Roman"/>
          <w:b/>
          <w:bCs/>
          <w:color w:val="auto"/>
          <w:sz w:val="28"/>
          <w:szCs w:val="28"/>
          <w:lang w:val="en" w:eastAsia="zh-CN"/>
        </w:rPr>
        <w:t>.</w:t>
      </w:r>
      <w:r>
        <w:rPr>
          <w:rFonts w:hint="default" w:ascii="Times New Roman" w:hAnsi="Times New Roman" w:eastAsia="仿宋_GB2312" w:cs="Times New Roman"/>
          <w:b/>
          <w:color w:val="auto"/>
          <w:kern w:val="0"/>
          <w:sz w:val="28"/>
          <w:szCs w:val="28"/>
          <w:lang w:val="en-US" w:eastAsia="zh-CN"/>
        </w:rPr>
        <w:t>确定成交供应商</w:t>
      </w:r>
    </w:p>
    <w:p w14:paraId="3465C49A">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40</w:t>
      </w:r>
      <w:r>
        <w:rPr>
          <w:rFonts w:hint="default" w:ascii="Times New Roman" w:hAnsi="Times New Roman" w:eastAsia="仿宋_GB2312" w:cs="Times New Roman"/>
          <w:color w:val="auto"/>
          <w:sz w:val="28"/>
          <w:szCs w:val="28"/>
          <w:lang w:val="en" w:eastAsia="zh-CN"/>
        </w:rPr>
        <w:t>.</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采购人应当自收到磋商结果报告之日起５个工作日内，从磋商结果报告提出的成交候选供应商中，根据竞争性磋商小组推荐排名顺序的成交候选供应商中，选定第一成交候选供应商为成交供应商；也可以书面授权竞争性磋商小组直接确定成交供应商。</w:t>
      </w:r>
    </w:p>
    <w:p w14:paraId="4752E142">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40.2</w:t>
      </w:r>
      <w:r>
        <w:rPr>
          <w:rFonts w:hint="default" w:ascii="Times New Roman" w:hAnsi="Times New Roman" w:eastAsia="仿宋_GB2312" w:cs="Times New Roman"/>
          <w:color w:val="auto"/>
          <w:sz w:val="28"/>
          <w:szCs w:val="28"/>
          <w:lang w:eastAsia="zh-CN"/>
        </w:rPr>
        <w:t>采购人在收到磋商结果报告5个工作日内未按磋商结果报告推荐的成交候选供应商顺序确定成交供应商，又不能说明合法理由的，视同按磋商结果报告推荐的顺序确定排名第一的成交候选供应商为成交供应商。</w:t>
      </w:r>
    </w:p>
    <w:p w14:paraId="23576764">
      <w:pPr>
        <w:spacing w:line="560" w:lineRule="exact"/>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color w:val="auto"/>
          <w:kern w:val="0"/>
          <w:sz w:val="28"/>
          <w:szCs w:val="28"/>
          <w:lang w:val="en-US" w:eastAsia="zh-CN"/>
        </w:rPr>
        <w:t>41  发布成交结果公告及发出成交通知书</w:t>
      </w:r>
    </w:p>
    <w:p w14:paraId="350DF8BB">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41</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采购人按规定确定成交供应商后，</w:t>
      </w:r>
      <w:r>
        <w:rPr>
          <w:rFonts w:hint="default" w:ascii="Times New Roman" w:hAnsi="Times New Roman" w:eastAsia="仿宋_GB2312" w:cs="Times New Roman"/>
          <w:color w:val="auto"/>
          <w:sz w:val="28"/>
          <w:szCs w:val="28"/>
          <w:lang w:val="en-US" w:eastAsia="zh-CN"/>
        </w:rPr>
        <w:t>采购人或</w:t>
      </w:r>
      <w:r>
        <w:rPr>
          <w:rFonts w:hint="default" w:ascii="Times New Roman" w:hAnsi="Times New Roman" w:eastAsia="仿宋_GB2312" w:cs="Times New Roman"/>
          <w:color w:val="auto"/>
          <w:sz w:val="28"/>
          <w:szCs w:val="28"/>
          <w:lang w:eastAsia="zh-CN"/>
        </w:rPr>
        <w:t>集中采购机构应将成交结果在“供应商须知前附表”规定的媒介上予以公告，成交结果公告期限为1个工作日。</w:t>
      </w:r>
    </w:p>
    <w:p w14:paraId="1B4195C0">
      <w:pPr>
        <w:widowControl w:val="0"/>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41.2公告成交结果的同时向成交供应商发出成交通知书。</w:t>
      </w:r>
    </w:p>
    <w:p w14:paraId="3948CCD6">
      <w:pPr>
        <w:pStyle w:val="16"/>
        <w:spacing w:before="0" w:line="560" w:lineRule="exact"/>
        <w:rPr>
          <w:rFonts w:hint="default" w:ascii="Times New Roman" w:hAnsi="Times New Roman" w:cs="Times New Roman"/>
        </w:rPr>
      </w:pPr>
      <w:r>
        <w:rPr>
          <w:rFonts w:hint="default" w:ascii="Times New Roman" w:hAnsi="Times New Roman" w:eastAsia="仿宋_GB2312" w:cs="Times New Roman"/>
          <w:sz w:val="28"/>
          <w:szCs w:val="28"/>
        </w:rPr>
        <w:t>41.3</w:t>
      </w:r>
      <w:r>
        <w:rPr>
          <w:rFonts w:hint="default" w:ascii="Times New Roman" w:hAnsi="Times New Roman" w:eastAsia="仿宋_GB2312" w:cs="Times New Roman"/>
          <w:kern w:val="1"/>
          <w:sz w:val="28"/>
          <w:szCs w:val="28"/>
        </w:rPr>
        <w:t>成交通知书发出后，采购人不得违法改变成交结果，成交供应商无正当理由不得放弃成交。</w:t>
      </w:r>
    </w:p>
    <w:p w14:paraId="09515958">
      <w:pPr>
        <w:widowControl w:val="0"/>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4</w:t>
      </w:r>
      <w:r>
        <w:rPr>
          <w:rFonts w:hint="default" w:ascii="Times New Roman" w:hAnsi="Times New Roman" w:eastAsia="仿宋_GB2312" w:cs="Times New Roman"/>
          <w:b/>
          <w:bCs/>
          <w:color w:val="auto"/>
          <w:sz w:val="28"/>
          <w:szCs w:val="28"/>
          <w:lang w:val="en-US" w:eastAsia="zh-CN"/>
        </w:rPr>
        <w:t>2</w:t>
      </w:r>
      <w:r>
        <w:rPr>
          <w:rFonts w:hint="default" w:ascii="Times New Roman" w:hAnsi="Times New Roman" w:eastAsia="仿宋_GB2312" w:cs="Times New Roman"/>
          <w:b/>
          <w:bCs/>
          <w:color w:val="auto"/>
          <w:sz w:val="28"/>
          <w:szCs w:val="28"/>
          <w:lang w:eastAsia="zh-CN"/>
        </w:rPr>
        <w:t>.</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接受和拒绝任何或所有磋商响应的权利</w:t>
      </w:r>
    </w:p>
    <w:p w14:paraId="14E39A7F">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42.1采购人、采购代理机构在发布磋商公告或者发出磋商邀请书后，除因重大变故采购任务取消情况外，不得擅自终止磋商活动。终止磋商活动的，采购人或者采购代理机构应当及时在原公告发布媒体上发布终止公告，以书面形式通知已经获取磋商文件或者被邀请的潜在供应商，并将项目实施情况和采购任务取消原因报告本级财政部门。42.2</w:t>
      </w:r>
      <w:r>
        <w:rPr>
          <w:rFonts w:hint="default" w:ascii="Times New Roman" w:hAnsi="Times New Roman" w:eastAsia="仿宋_GB2312" w:cs="Times New Roman"/>
          <w:color w:val="auto"/>
          <w:sz w:val="28"/>
          <w:szCs w:val="28"/>
          <w:lang w:eastAsia="zh-CN"/>
        </w:rPr>
        <w:t>终止采购活动</w:t>
      </w:r>
    </w:p>
    <w:p w14:paraId="7A3150D0">
      <w:pPr>
        <w:widowControl w:val="0"/>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出现下列情形之一的,采购人或者代理机构应当终止竞争性磋商采购活动,发布项目终止公告并说明原因,重新开展采购活动：</w:t>
      </w:r>
    </w:p>
    <w:p w14:paraId="5764BAC1">
      <w:pPr>
        <w:widowControl w:val="0"/>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（1）因情况变化,不再符合规定的竞争性磋商采购方式适用情形的；</w:t>
      </w:r>
    </w:p>
    <w:p w14:paraId="6112444D">
      <w:pPr>
        <w:widowControl w:val="0"/>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（2）出现影响采购公正的违法、违规行为的；</w:t>
      </w:r>
    </w:p>
    <w:p w14:paraId="3DB2200C">
      <w:pPr>
        <w:pStyle w:val="46"/>
        <w:shd w:val="clear" w:color="auto" w:fill="FFFFFF"/>
        <w:spacing w:before="0" w:beforeAutospacing="0" w:after="0" w:afterAutospacing="0" w:line="560" w:lineRule="exact"/>
        <w:jc w:val="both"/>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rPr>
        <w:t xml:space="preserve">    （3）除政府购买服务项目(含政府和社会资本合作项目)、市场竞争不充分的科研项目、需要扶持的科技成果转化项目,提交最后报价的供应商可以为 2 家外,在采购过程中符合要求的供应商或者报价未超过采购预算的供应商不足 3 家的。</w:t>
      </w:r>
    </w:p>
    <w:p w14:paraId="7043A869">
      <w:pPr>
        <w:pStyle w:val="46"/>
        <w:shd w:val="clear" w:color="auto" w:fill="FFFFFF"/>
        <w:spacing w:before="0" w:beforeAutospacing="0" w:after="0" w:afterAutospacing="0" w:line="560" w:lineRule="exact"/>
        <w:ind w:firstLine="420"/>
        <w:jc w:val="both"/>
        <w:rPr>
          <w:rFonts w:hint="default" w:ascii="Times New Roman" w:hAnsi="Times New Roman" w:eastAsia="仿宋_GB2312" w:cs="Times New Roman"/>
          <w:kern w:val="2"/>
          <w:sz w:val="28"/>
          <w:szCs w:val="28"/>
        </w:rPr>
      </w:pPr>
    </w:p>
    <w:p w14:paraId="19362C26">
      <w:pPr>
        <w:keepNext/>
        <w:keepLines/>
        <w:widowControl w:val="0"/>
        <w:autoSpaceDE w:val="0"/>
        <w:autoSpaceDN w:val="0"/>
        <w:adjustRightInd w:val="0"/>
        <w:spacing w:line="560" w:lineRule="exact"/>
        <w:jc w:val="center"/>
        <w:outlineLvl w:val="1"/>
        <w:rPr>
          <w:rFonts w:hint="default" w:ascii="Times New Roman" w:hAnsi="Times New Roman" w:eastAsia="方正小标宋_GBK" w:cs="Times New Roman"/>
          <w:bCs/>
          <w:color w:val="auto"/>
          <w:kern w:val="0"/>
          <w:sz w:val="30"/>
          <w:szCs w:val="30"/>
          <w:lang w:val="en-US" w:eastAsia="zh-CN"/>
        </w:rPr>
      </w:pPr>
      <w:bookmarkStart w:id="46" w:name="_Toc1889101452"/>
      <w:bookmarkStart w:id="47" w:name="_Toc703900059"/>
      <w:r>
        <w:rPr>
          <w:rFonts w:hint="default" w:ascii="Times New Roman" w:hAnsi="Times New Roman" w:eastAsia="方正小标宋_GBK" w:cs="Times New Roman"/>
          <w:bCs/>
          <w:color w:val="auto"/>
          <w:kern w:val="0"/>
          <w:sz w:val="30"/>
          <w:szCs w:val="30"/>
          <w:lang w:val="en-US" w:eastAsia="zh-CN"/>
        </w:rPr>
        <w:t>七、授予合同</w:t>
      </w:r>
      <w:bookmarkEnd w:id="46"/>
      <w:bookmarkEnd w:id="47"/>
    </w:p>
    <w:p w14:paraId="5D02F990">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4</w:t>
      </w:r>
      <w:r>
        <w:rPr>
          <w:rFonts w:hint="default" w:ascii="Times New Roman" w:hAnsi="Times New Roman" w:eastAsia="仿宋_GB2312" w:cs="Times New Roman"/>
          <w:b/>
          <w:bCs/>
          <w:color w:val="auto"/>
          <w:sz w:val="28"/>
          <w:szCs w:val="28"/>
          <w:lang w:val="en-US" w:eastAsia="zh-CN"/>
        </w:rPr>
        <w:t>3</w:t>
      </w:r>
      <w:r>
        <w:rPr>
          <w:rFonts w:hint="default" w:ascii="Times New Roman" w:hAnsi="Times New Roman" w:eastAsia="仿宋_GB2312" w:cs="Times New Roman"/>
          <w:b/>
          <w:bCs/>
          <w:color w:val="auto"/>
          <w:sz w:val="28"/>
          <w:szCs w:val="28"/>
          <w:lang w:eastAsia="zh-CN"/>
        </w:rPr>
        <w:t>.合同授予标准</w:t>
      </w:r>
    </w:p>
    <w:p w14:paraId="13D44CF7">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除本章第4</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条、</w:t>
      </w:r>
      <w:r>
        <w:rPr>
          <w:rFonts w:hint="default" w:ascii="Times New Roman" w:hAnsi="Times New Roman" w:eastAsia="仿宋_GB2312" w:cs="Times New Roman"/>
          <w:color w:val="auto"/>
          <w:sz w:val="28"/>
          <w:szCs w:val="28"/>
          <w:lang w:val="en-US" w:eastAsia="zh-CN"/>
        </w:rPr>
        <w:t>47条</w:t>
      </w:r>
      <w:r>
        <w:rPr>
          <w:rFonts w:hint="default" w:ascii="Times New Roman" w:hAnsi="Times New Roman" w:eastAsia="仿宋_GB2312" w:cs="Times New Roman"/>
          <w:color w:val="auto"/>
          <w:sz w:val="28"/>
          <w:szCs w:val="28"/>
          <w:lang w:eastAsia="zh-CN"/>
        </w:rPr>
        <w:t>的规定之外，采购人将把合同授予被确定为实质上响应</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要求并有履行合同能力的评审后综合得分最高的供应商。</w:t>
      </w:r>
    </w:p>
    <w:p w14:paraId="7008E7BF">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4</w:t>
      </w:r>
      <w:r>
        <w:rPr>
          <w:rFonts w:hint="default" w:ascii="Times New Roman" w:hAnsi="Times New Roman" w:eastAsia="仿宋_GB2312" w:cs="Times New Roman"/>
          <w:b/>
          <w:bCs/>
          <w:color w:val="auto"/>
          <w:sz w:val="28"/>
          <w:szCs w:val="28"/>
          <w:lang w:val="en-US" w:eastAsia="zh-CN"/>
        </w:rPr>
        <w:t>4</w:t>
      </w:r>
      <w:r>
        <w:rPr>
          <w:rFonts w:hint="default" w:ascii="Times New Roman" w:hAnsi="Times New Roman" w:eastAsia="仿宋_GB2312" w:cs="Times New Roman"/>
          <w:b/>
          <w:bCs/>
          <w:color w:val="auto"/>
          <w:sz w:val="28"/>
          <w:szCs w:val="28"/>
          <w:lang w:eastAsia="zh-CN"/>
        </w:rPr>
        <w:t>.合同授予时</w:t>
      </w:r>
      <w:r>
        <w:rPr>
          <w:rFonts w:hint="default" w:ascii="Times New Roman" w:hAnsi="Times New Roman" w:eastAsia="仿宋_GB2312" w:cs="Times New Roman"/>
          <w:b/>
          <w:bCs/>
          <w:color w:val="auto"/>
          <w:sz w:val="28"/>
          <w:szCs w:val="28"/>
          <w:lang w:val="en-US" w:eastAsia="zh-CN"/>
        </w:rPr>
        <w:t>追加货物</w:t>
      </w:r>
      <w:r>
        <w:rPr>
          <w:rFonts w:hint="default" w:ascii="Times New Roman" w:hAnsi="Times New Roman" w:eastAsia="仿宋_GB2312" w:cs="Times New Roman"/>
          <w:b/>
          <w:bCs/>
          <w:color w:val="auto"/>
          <w:sz w:val="28"/>
          <w:szCs w:val="28"/>
          <w:lang w:eastAsia="zh-CN"/>
        </w:rPr>
        <w:t>数量的权利</w:t>
      </w:r>
    </w:p>
    <w:p w14:paraId="17008A36">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采购人在授予合同时有权在“供应商须知前附表”规定的范围内，对项目需求中规定的货物的数量予以调整，但不得对货物单价及伴随服务内容或其它实质性的条款和条件做任何改变。</w:t>
      </w:r>
    </w:p>
    <w:p w14:paraId="5DBA594C">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45.</w:t>
      </w:r>
      <w:r>
        <w:rPr>
          <w:rFonts w:hint="default" w:ascii="Times New Roman" w:hAnsi="Times New Roman" w:eastAsia="仿宋_GB2312" w:cs="Times New Roman"/>
          <w:b/>
          <w:bCs/>
          <w:color w:val="auto"/>
          <w:sz w:val="28"/>
          <w:szCs w:val="28"/>
          <w:lang w:eastAsia="zh-CN"/>
        </w:rPr>
        <w:t>签订合同</w:t>
      </w:r>
    </w:p>
    <w:p w14:paraId="5F50CAE2">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.1采购人应当自成交通知书发出之日起15日内，按照</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和成交供应商竞争性磋商响应文件的规定，与成交供应商签订书面合同。所签订的合同不得对</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确定的事项和成交供应商竞争性磋商响应文件作实质性修改。</w:t>
      </w:r>
    </w:p>
    <w:p w14:paraId="535711DF">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、成交供应商的竞争性磋商响应文件和澄清文件等，均应作为签约的合同文本的基础。</w:t>
      </w:r>
    </w:p>
    <w:p w14:paraId="67296564">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.3如采购人对成交供应商拒签合同，依照《中华人民共和国政府采购法》《中华人民共和国政府采购法实施条例》《政府采购竞争性磋商采购方式管理暂行办法》等规定承担相应的违约责任。</w:t>
      </w:r>
    </w:p>
    <w:p w14:paraId="1642F7BC">
      <w:pPr>
        <w:spacing w:line="560" w:lineRule="exac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46.</w:t>
      </w:r>
      <w:r>
        <w:rPr>
          <w:rFonts w:hint="default" w:ascii="Times New Roman" w:hAnsi="Times New Roman" w:eastAsia="仿宋_GB2312" w:cs="Times New Roman"/>
          <w:b/>
          <w:bCs/>
          <w:color w:val="auto"/>
          <w:sz w:val="28"/>
          <w:szCs w:val="28"/>
          <w:lang w:eastAsia="zh-CN"/>
        </w:rPr>
        <w:t>履约保证金</w:t>
      </w:r>
    </w:p>
    <w:p w14:paraId="36EDFF27">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46.1</w:t>
      </w:r>
      <w:r>
        <w:rPr>
          <w:rFonts w:hint="default" w:ascii="Times New Roman" w:hAnsi="Times New Roman" w:eastAsia="仿宋_GB2312" w:cs="Times New Roman"/>
          <w:color w:val="auto"/>
          <w:sz w:val="28"/>
          <w:szCs w:val="28"/>
          <w:lang w:eastAsia="zh-CN"/>
        </w:rPr>
        <w:t>成交供应商按</w:t>
      </w:r>
      <w:r>
        <w:rPr>
          <w:rFonts w:hint="default" w:ascii="Times New Roman" w:hAnsi="Times New Roman" w:eastAsia="仿宋_GB2312" w:cs="Times New Roman"/>
          <w:color w:val="auto"/>
          <w:sz w:val="28"/>
          <w:szCs w:val="28"/>
          <w:lang w:val="en-US" w:eastAsia="zh-CN"/>
        </w:rPr>
        <w:t>供应商须知前附表</w:t>
      </w:r>
      <w:r>
        <w:rPr>
          <w:rFonts w:hint="default" w:ascii="Times New Roman" w:hAnsi="Times New Roman" w:eastAsia="仿宋_GB2312" w:cs="Times New Roman"/>
          <w:color w:val="auto"/>
          <w:sz w:val="28"/>
          <w:szCs w:val="28"/>
          <w:lang w:eastAsia="zh-CN"/>
        </w:rPr>
        <w:t>的规定向采购人提交履约保证金，成交供应商应当以支票、汇票、本票或者金融机构、担保机构出具的保函等非现金形式提交。</w:t>
      </w:r>
    </w:p>
    <w:p w14:paraId="02BAB372">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46.2</w:t>
      </w:r>
      <w:r>
        <w:rPr>
          <w:rFonts w:hint="default" w:ascii="Times New Roman" w:hAnsi="Times New Roman" w:eastAsia="仿宋_GB2312" w:cs="Times New Roman"/>
          <w:color w:val="auto"/>
          <w:sz w:val="28"/>
          <w:szCs w:val="28"/>
          <w:lang w:eastAsia="zh-CN"/>
        </w:rPr>
        <w:t>采购人不得以成交供应商事先缴纳履约保证金作为签订合同的条件,并应在成交供应商履行完合同约定义务事项后及时退还。</w:t>
      </w:r>
    </w:p>
    <w:p w14:paraId="1C9FA8E6">
      <w:pPr>
        <w:spacing w:line="56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color w:val="auto"/>
          <w:sz w:val="28"/>
          <w:szCs w:val="28"/>
          <w:lang w:val="en-US" w:eastAsia="zh-CN"/>
        </w:rPr>
        <w:t>47.</w:t>
      </w:r>
      <w:r>
        <w:rPr>
          <w:rFonts w:hint="default" w:ascii="Times New Roman" w:hAnsi="Times New Roman" w:eastAsia="仿宋_GB2312" w:cs="Times New Roman"/>
          <w:color w:val="auto"/>
          <w:sz w:val="28"/>
          <w:szCs w:val="28"/>
          <w:lang w:eastAsia="zh-CN"/>
        </w:rPr>
        <w:t>如成交供应商不按本章第4</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条约定签订合同，依照《中华人民共和国政府采购法》《中华人民共和国政府采购法实施条例》《政府采购竞争性磋商采购方式管理暂行办法》等规定</w:t>
      </w:r>
      <w:r>
        <w:rPr>
          <w:rFonts w:hint="default" w:ascii="Times New Roman" w:hAnsi="Times New Roman" w:eastAsia="仿宋_GB2312" w:cs="Times New Roman"/>
          <w:color w:val="auto"/>
          <w:sz w:val="28"/>
          <w:szCs w:val="28"/>
          <w:lang w:val="en-US" w:eastAsia="zh-CN"/>
        </w:rPr>
        <w:t>承</w:t>
      </w:r>
      <w:r>
        <w:rPr>
          <w:rFonts w:hint="default" w:ascii="Times New Roman" w:hAnsi="Times New Roman" w:eastAsia="仿宋_GB2312" w:cs="Times New Roman"/>
          <w:color w:val="auto"/>
          <w:sz w:val="28"/>
          <w:szCs w:val="28"/>
          <w:lang w:eastAsia="zh-CN"/>
        </w:rPr>
        <w:t>担相应的违约责任。采购人可在按照磋商结果报告推荐的成交候选供应商名单排序，确定下一候选供应商为成交供应商，也可以重新开展政府采购活动。</w:t>
      </w:r>
    </w:p>
    <w:p w14:paraId="5D19B7BB">
      <w:pPr>
        <w:keepNext/>
        <w:keepLines/>
        <w:spacing w:line="560" w:lineRule="exact"/>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color w:val="auto"/>
          <w:kern w:val="0"/>
          <w:sz w:val="28"/>
          <w:szCs w:val="28"/>
          <w:lang w:val="en-US" w:eastAsia="zh-CN"/>
        </w:rPr>
        <w:t>48. 招标代理费</w:t>
      </w:r>
    </w:p>
    <w:p w14:paraId="62BF2543">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本项目是否由成交供应商向</w:t>
      </w:r>
      <w:r>
        <w:rPr>
          <w:rFonts w:hint="default" w:ascii="Times New Roman" w:hAnsi="Times New Roman" w:eastAsia="仿宋_GB2312" w:cs="Times New Roman"/>
          <w:color w:val="auto"/>
          <w:sz w:val="28"/>
          <w:szCs w:val="28"/>
          <w:lang w:val="en" w:eastAsia="zh-CN"/>
        </w:rPr>
        <w:t>集中采购机构</w:t>
      </w:r>
      <w:r>
        <w:rPr>
          <w:rFonts w:hint="default" w:ascii="Times New Roman" w:hAnsi="Times New Roman" w:eastAsia="仿宋_GB2312" w:cs="Times New Roman"/>
          <w:color w:val="auto"/>
          <w:sz w:val="28"/>
          <w:szCs w:val="28"/>
          <w:lang w:val="en-US" w:eastAsia="zh-CN"/>
        </w:rPr>
        <w:t>支付招标代理费，按照供应商须知前附表规定执行。</w:t>
      </w:r>
    </w:p>
    <w:p w14:paraId="0DB61E7C">
      <w:pPr>
        <w:keepNext/>
        <w:keepLines/>
        <w:spacing w:line="560" w:lineRule="exact"/>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color w:val="auto"/>
          <w:kern w:val="0"/>
          <w:sz w:val="28"/>
          <w:szCs w:val="28"/>
          <w:lang w:val="en-US" w:eastAsia="zh-CN"/>
        </w:rPr>
        <w:t>49. 质疑的提出与接收</w:t>
      </w:r>
    </w:p>
    <w:p w14:paraId="4CC80EE4">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49.1  供应商认为</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、竞争性磋商过程和成交结果使自己的权益受到损害的，可以根据《中华人民共和国政府采购法》《中华人民共和国政府采购法实施条例》《政府采购质疑和投诉办法》的有关规定，依法向采购人或其委托的</w:t>
      </w:r>
      <w:r>
        <w:rPr>
          <w:rFonts w:hint="default" w:ascii="Times New Roman" w:hAnsi="Times New Roman" w:eastAsia="仿宋_GB2312" w:cs="Times New Roman"/>
          <w:color w:val="auto"/>
          <w:sz w:val="28"/>
          <w:szCs w:val="28"/>
          <w:lang w:val="en" w:eastAsia="zh-CN"/>
        </w:rPr>
        <w:t>集中采购机构</w:t>
      </w:r>
      <w:r>
        <w:rPr>
          <w:rFonts w:hint="default" w:ascii="Times New Roman" w:hAnsi="Times New Roman" w:eastAsia="仿宋_GB2312" w:cs="Times New Roman"/>
          <w:color w:val="auto"/>
          <w:sz w:val="28"/>
          <w:szCs w:val="28"/>
          <w:lang w:val="en-US" w:eastAsia="zh-CN"/>
        </w:rPr>
        <w:t>提出书面质疑。</w:t>
      </w:r>
    </w:p>
    <w:p w14:paraId="19163634">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49.2  质疑供应商应按照《政府采购质疑和投诉办法》的要求，在法定质疑期内以书面形式提出质疑，针对同一采购程序环节的质疑次数应符合供应商须知前附表的规定。</w:t>
      </w:r>
    </w:p>
    <w:p w14:paraId="5D5ADA02">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49.3  质疑供应商对采购人、采购代理机构的答复不满意，或者采购人、采购代理机构未在规定时间内作出答复的，可以在答复期满后15个工作日内向省级财政部门提起投诉。投诉人投诉时，请按照《政府采购质疑和投诉办法》（财政部第94号令）的要求提交相关内容及材料。</w:t>
      </w:r>
    </w:p>
    <w:p w14:paraId="2DE6CDD6">
      <w:pPr>
        <w:pStyle w:val="70"/>
        <w:spacing w:line="560" w:lineRule="exact"/>
        <w:rPr>
          <w:rFonts w:hint="default" w:ascii="Times New Roman" w:hAnsi="Times New Roman" w:cs="Times New Roman"/>
          <w:color w:val="auto"/>
        </w:rPr>
      </w:pPr>
    </w:p>
    <w:p w14:paraId="3C2E15DE">
      <w:pPr>
        <w:keepNext/>
        <w:keepLines/>
        <w:widowControl w:val="0"/>
        <w:autoSpaceDE w:val="0"/>
        <w:autoSpaceDN w:val="0"/>
        <w:adjustRightInd w:val="0"/>
        <w:spacing w:line="560" w:lineRule="exact"/>
        <w:jc w:val="center"/>
        <w:outlineLvl w:val="1"/>
        <w:rPr>
          <w:rFonts w:hint="default" w:ascii="Times New Roman" w:hAnsi="Times New Roman" w:eastAsia="方正小标宋_GBK" w:cs="Times New Roman"/>
          <w:bCs/>
          <w:color w:val="auto"/>
          <w:kern w:val="0"/>
          <w:sz w:val="30"/>
          <w:szCs w:val="30"/>
          <w:lang w:val="en-US" w:eastAsia="zh-CN"/>
        </w:rPr>
      </w:pPr>
      <w:bookmarkStart w:id="48" w:name="_Toc791857401"/>
      <w:bookmarkStart w:id="49" w:name="_Toc56702021"/>
      <w:r>
        <w:rPr>
          <w:rFonts w:hint="default" w:ascii="Times New Roman" w:hAnsi="Times New Roman" w:eastAsia="方正小标宋_GBK" w:cs="Times New Roman"/>
          <w:bCs/>
          <w:color w:val="auto"/>
          <w:kern w:val="0"/>
          <w:sz w:val="30"/>
          <w:szCs w:val="30"/>
          <w:lang w:val="en-US" w:eastAsia="zh-CN"/>
        </w:rPr>
        <w:t>八、需要补充的其他内容</w:t>
      </w:r>
      <w:bookmarkEnd w:id="48"/>
      <w:bookmarkEnd w:id="49"/>
    </w:p>
    <w:p w14:paraId="7A9857FB">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50</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本文件所称的“以上”、“以下”、“内”、“以内”“不少于”，包括本数；所称的“不足”、“低于”、“超过”，不包括本数。</w:t>
      </w:r>
    </w:p>
    <w:p w14:paraId="28F02AFF">
      <w:pPr>
        <w:spacing w:line="5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51.</w:t>
      </w:r>
      <w:r>
        <w:rPr>
          <w:rFonts w:hint="default" w:ascii="Times New Roman" w:hAnsi="Times New Roman" w:eastAsia="仿宋_GB2312" w:cs="Times New Roman"/>
          <w:color w:val="auto"/>
          <w:sz w:val="28"/>
          <w:szCs w:val="28"/>
          <w:lang w:eastAsia="zh-CN"/>
        </w:rPr>
        <w:t>需要补充的其他内容：见“供应商须知前附表”。</w:t>
      </w:r>
    </w:p>
    <w:p w14:paraId="05BD1AEA">
      <w:pPr>
        <w:pStyle w:val="2"/>
        <w:jc w:val="center"/>
        <w:rPr>
          <w:rFonts w:hint="default" w:ascii="Times New Roman" w:hAnsi="Times New Roman" w:eastAsia="宋体" w:cs="Times New Roman"/>
          <w:color w:val="auto"/>
          <w:lang w:eastAsia="zh-CN"/>
        </w:rPr>
      </w:pPr>
      <w:r>
        <w:rPr>
          <w:rFonts w:hint="default" w:ascii="Times New Roman" w:hAnsi="Times New Roman" w:cs="Times New Roman"/>
          <w:color w:val="auto"/>
          <w:lang w:eastAsia="zh-CN"/>
        </w:rPr>
        <w:br w:type="page"/>
      </w:r>
      <w:bookmarkStart w:id="50" w:name="_Toc26582"/>
      <w:r>
        <w:rPr>
          <w:rFonts w:hint="default" w:ascii="Times New Roman" w:hAnsi="Times New Roman" w:eastAsia="宋体" w:cs="Times New Roman"/>
          <w:color w:val="auto"/>
          <w:sz w:val="36"/>
          <w:szCs w:val="36"/>
          <w:lang w:val="en-US" w:eastAsia="zh-CN"/>
        </w:rPr>
        <w:t xml:space="preserve">第四章 </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hint="default" w:ascii="Times New Roman" w:hAnsi="Times New Roman" w:eastAsia="宋体" w:cs="Times New Roman"/>
          <w:color w:val="auto"/>
          <w:sz w:val="36"/>
          <w:szCs w:val="36"/>
          <w:lang w:val="en-US" w:eastAsia="zh-CN"/>
        </w:rPr>
        <w:t>竞争性磋商响应文件格式</w:t>
      </w:r>
      <w:bookmarkEnd w:id="29"/>
      <w:bookmarkEnd w:id="30"/>
      <w:bookmarkEnd w:id="50"/>
    </w:p>
    <w:p w14:paraId="79380D29">
      <w:pPr>
        <w:tabs>
          <w:tab w:val="left" w:pos="1950"/>
        </w:tabs>
        <w:jc w:val="center"/>
        <w:rPr>
          <w:rFonts w:hint="default" w:ascii="Times New Roman" w:hAnsi="Times New Roman" w:eastAsia="宋体" w:cs="Times New Roman"/>
          <w:b/>
          <w:bCs/>
          <w:color w:val="auto"/>
          <w:sz w:val="52"/>
          <w:szCs w:val="52"/>
          <w:lang w:val="en" w:eastAsia="zh-CN"/>
        </w:rPr>
      </w:pPr>
      <w:r>
        <w:rPr>
          <w:rFonts w:hint="eastAsia" w:ascii="Times New Roman" w:hAnsi="Times New Roman" w:eastAsia="宋体" w:cs="Times New Roman"/>
          <w:b/>
          <w:bCs/>
          <w:color w:val="auto"/>
          <w:sz w:val="52"/>
          <w:szCs w:val="52"/>
          <w:lang w:val="en" w:eastAsia="zh-CN"/>
        </w:rPr>
        <w:t>郑州铁路职业技术学院智慧教学环境更新与提升项目（二期)项目</w:t>
      </w:r>
    </w:p>
    <w:p w14:paraId="20529E18">
      <w:pPr>
        <w:tabs>
          <w:tab w:val="left" w:pos="1950"/>
        </w:tabs>
        <w:jc w:val="center"/>
        <w:rPr>
          <w:rFonts w:hint="default" w:ascii="Times New Roman" w:hAnsi="Times New Roman" w:eastAsia="宋体" w:cs="Times New Roman"/>
          <w:b/>
          <w:color w:val="auto"/>
          <w:sz w:val="32"/>
          <w:szCs w:val="32"/>
          <w:lang w:val="en-US" w:eastAsia="zh-CN"/>
        </w:rPr>
      </w:pPr>
      <w:r>
        <w:rPr>
          <w:rFonts w:hint="default" w:ascii="Times New Roman" w:hAnsi="Times New Roman" w:eastAsia="宋体" w:cs="Times New Roman"/>
          <w:b/>
          <w:color w:val="auto"/>
          <w:sz w:val="56"/>
          <w:szCs w:val="56"/>
          <w:lang w:val="en-US" w:eastAsia="zh-CN"/>
        </w:rPr>
        <w:t xml:space="preserve"> </w:t>
      </w:r>
    </w:p>
    <w:p w14:paraId="22439EF7">
      <w:pPr>
        <w:tabs>
          <w:tab w:val="left" w:pos="1950"/>
        </w:tabs>
        <w:jc w:val="left"/>
        <w:rPr>
          <w:rFonts w:hint="default" w:ascii="Times New Roman" w:hAnsi="Times New Roman" w:eastAsia="宋体" w:cs="Times New Roman"/>
          <w:b/>
          <w:bCs/>
          <w:color w:val="auto"/>
          <w:lang w:val="en-US" w:eastAsia="zh-CN"/>
        </w:rPr>
      </w:pPr>
    </w:p>
    <w:p w14:paraId="7417225E">
      <w:pPr>
        <w:tabs>
          <w:tab w:val="left" w:pos="1950"/>
        </w:tabs>
        <w:jc w:val="left"/>
        <w:rPr>
          <w:rFonts w:hint="default" w:ascii="Times New Roman" w:hAnsi="Times New Roman" w:eastAsia="宋体" w:cs="Times New Roman"/>
          <w:b/>
          <w:bCs/>
          <w:color w:val="auto"/>
          <w:lang w:val="en-US" w:eastAsia="zh-CN"/>
        </w:rPr>
      </w:pPr>
    </w:p>
    <w:p w14:paraId="4D943C38">
      <w:pPr>
        <w:tabs>
          <w:tab w:val="left" w:pos="1950"/>
        </w:tabs>
        <w:jc w:val="left"/>
        <w:rPr>
          <w:rFonts w:hint="default" w:ascii="Times New Roman" w:hAnsi="Times New Roman" w:eastAsia="宋体" w:cs="Times New Roman"/>
          <w:b/>
          <w:bCs/>
          <w:color w:val="auto"/>
          <w:lang w:val="en-US" w:eastAsia="zh-CN"/>
        </w:rPr>
      </w:pPr>
    </w:p>
    <w:p w14:paraId="7A39CF41">
      <w:pPr>
        <w:tabs>
          <w:tab w:val="left" w:pos="1950"/>
        </w:tabs>
        <w:jc w:val="left"/>
        <w:rPr>
          <w:rFonts w:hint="default" w:ascii="Times New Roman" w:hAnsi="Times New Roman" w:eastAsia="宋体" w:cs="Times New Roman"/>
          <w:b/>
          <w:bCs/>
          <w:color w:val="auto"/>
          <w:lang w:val="en-US" w:eastAsia="zh-CN"/>
        </w:rPr>
      </w:pPr>
    </w:p>
    <w:p w14:paraId="50F21088">
      <w:pPr>
        <w:pStyle w:val="72"/>
        <w:ind w:firstLine="318"/>
        <w:rPr>
          <w:rFonts w:hint="default" w:ascii="Times New Roman" w:hAnsi="Times New Roman" w:cs="Times New Roman"/>
          <w:color w:val="auto"/>
          <w:lang w:val="en-US" w:eastAsia="zh-CN"/>
        </w:rPr>
      </w:pPr>
    </w:p>
    <w:p w14:paraId="25F45DF2">
      <w:pPr>
        <w:tabs>
          <w:tab w:val="left" w:pos="1950"/>
        </w:tabs>
        <w:jc w:val="left"/>
        <w:rPr>
          <w:rFonts w:hint="default" w:ascii="Times New Roman" w:hAnsi="Times New Roman" w:eastAsia="宋体" w:cs="Times New Roman"/>
          <w:b/>
          <w:bCs/>
          <w:color w:val="auto"/>
          <w:lang w:val="en-US" w:eastAsia="zh-CN"/>
        </w:rPr>
      </w:pPr>
    </w:p>
    <w:p w14:paraId="316884F0">
      <w:pPr>
        <w:tabs>
          <w:tab w:val="left" w:pos="1950"/>
        </w:tabs>
        <w:jc w:val="left"/>
        <w:rPr>
          <w:rFonts w:hint="default" w:ascii="Times New Roman" w:hAnsi="Times New Roman" w:eastAsia="宋体" w:cs="Times New Roman"/>
          <w:b/>
          <w:bCs/>
          <w:color w:val="auto"/>
          <w:lang w:val="en-US" w:eastAsia="zh-CN"/>
        </w:rPr>
      </w:pPr>
    </w:p>
    <w:p w14:paraId="181B0E63">
      <w:pPr>
        <w:jc w:val="center"/>
        <w:rPr>
          <w:rFonts w:hint="default" w:ascii="Times New Roman" w:hAnsi="Times New Roman" w:eastAsia="宋体" w:cs="Times New Roman"/>
          <w:b/>
          <w:bCs/>
          <w:color w:val="auto"/>
          <w:sz w:val="90"/>
          <w:szCs w:val="90"/>
          <w:lang w:eastAsia="zh-CN"/>
        </w:rPr>
      </w:pPr>
      <w:r>
        <w:rPr>
          <w:rFonts w:hint="default" w:ascii="Times New Roman" w:hAnsi="Times New Roman" w:eastAsia="宋体" w:cs="Times New Roman"/>
          <w:b/>
          <w:color w:val="auto"/>
          <w:sz w:val="90"/>
          <w:szCs w:val="90"/>
          <w:lang w:eastAsia="zh-CN"/>
        </w:rPr>
        <w:t>竞争性磋商响应文件</w:t>
      </w:r>
    </w:p>
    <w:p w14:paraId="4A989456">
      <w:pPr>
        <w:widowControl w:val="0"/>
        <w:tabs>
          <w:tab w:val="left" w:pos="1950"/>
        </w:tabs>
        <w:jc w:val="center"/>
        <w:rPr>
          <w:rFonts w:hint="default" w:ascii="Times New Roman" w:hAnsi="Times New Roman" w:eastAsia="宋体" w:cs="Times New Roman"/>
          <w:b/>
          <w:color w:val="auto"/>
          <w:sz w:val="36"/>
          <w:szCs w:val="36"/>
          <w:lang w:eastAsia="zh-CN"/>
        </w:rPr>
      </w:pPr>
    </w:p>
    <w:p w14:paraId="58753D8C">
      <w:pPr>
        <w:widowControl w:val="0"/>
        <w:tabs>
          <w:tab w:val="left" w:pos="1950"/>
        </w:tabs>
        <w:jc w:val="center"/>
        <w:rPr>
          <w:rFonts w:hint="default" w:ascii="Times New Roman" w:hAnsi="Times New Roman" w:eastAsia="宋体" w:cs="Times New Roman"/>
          <w:b/>
          <w:color w:val="auto"/>
          <w:spacing w:val="20"/>
          <w:w w:val="150"/>
          <w:sz w:val="36"/>
          <w:szCs w:val="52"/>
          <w:lang w:val="en-US" w:eastAsia="zh-CN"/>
        </w:rPr>
      </w:pPr>
      <w:r>
        <w:rPr>
          <w:rFonts w:hint="default" w:ascii="Times New Roman" w:hAnsi="Times New Roman" w:eastAsia="宋体" w:cs="Times New Roman"/>
          <w:b/>
          <w:color w:val="auto"/>
          <w:sz w:val="36"/>
          <w:szCs w:val="36"/>
          <w:lang w:eastAsia="zh-CN"/>
        </w:rPr>
        <w:t>采购编号：</w:t>
      </w:r>
      <w:r>
        <w:rPr>
          <w:rFonts w:hint="eastAsia" w:ascii="Times New Roman" w:hAnsi="Times New Roman" w:eastAsia="宋体" w:cs="Times New Roman"/>
          <w:b/>
          <w:color w:val="auto"/>
          <w:sz w:val="36"/>
          <w:szCs w:val="36"/>
          <w:lang w:val="en-US" w:eastAsia="zh-CN"/>
        </w:rPr>
        <w:t>豫财磋商采购-2026-889</w:t>
      </w:r>
    </w:p>
    <w:p w14:paraId="48013251">
      <w:pPr>
        <w:widowControl w:val="0"/>
        <w:spacing w:line="360" w:lineRule="auto"/>
        <w:ind w:left="1080" w:leftChars="257" w:hanging="540"/>
        <w:rPr>
          <w:rFonts w:hint="default" w:ascii="Times New Roman" w:hAnsi="Times New Roman" w:eastAsia="宋体" w:cs="Times New Roman"/>
          <w:b/>
          <w:color w:val="auto"/>
          <w:sz w:val="28"/>
          <w:szCs w:val="24"/>
          <w:lang w:val="en-US" w:eastAsia="zh-CN"/>
        </w:rPr>
      </w:pPr>
    </w:p>
    <w:p w14:paraId="6B2D655F">
      <w:pPr>
        <w:widowControl w:val="0"/>
        <w:spacing w:line="360" w:lineRule="auto"/>
        <w:rPr>
          <w:rFonts w:hint="default" w:ascii="Times New Roman" w:hAnsi="Times New Roman" w:eastAsia="宋体" w:cs="Times New Roman"/>
          <w:b/>
          <w:color w:val="auto"/>
          <w:sz w:val="52"/>
          <w:szCs w:val="24"/>
          <w:lang w:val="en-US" w:eastAsia="zh-CN"/>
        </w:rPr>
      </w:pPr>
    </w:p>
    <w:p w14:paraId="15E37131">
      <w:pPr>
        <w:pStyle w:val="70"/>
        <w:rPr>
          <w:rFonts w:hint="default" w:ascii="Times New Roman" w:hAnsi="Times New Roman" w:cs="Times New Roman"/>
          <w:color w:val="auto"/>
        </w:rPr>
      </w:pPr>
    </w:p>
    <w:p w14:paraId="2A6C9793">
      <w:pPr>
        <w:widowControl w:val="0"/>
        <w:autoSpaceDE w:val="0"/>
        <w:autoSpaceDN w:val="0"/>
        <w:adjustRightInd w:val="0"/>
        <w:ind w:firstLine="1084" w:firstLineChars="300"/>
        <w:rPr>
          <w:rFonts w:hint="default" w:ascii="Times New Roman" w:hAnsi="Times New Roman" w:eastAsia="宋体" w:cs="Times New Roman"/>
          <w:b/>
          <w:color w:val="auto"/>
          <w:sz w:val="36"/>
          <w:szCs w:val="36"/>
          <w:lang w:val="en-US" w:eastAsia="zh-CN"/>
        </w:rPr>
      </w:pPr>
      <w:r>
        <w:rPr>
          <w:rFonts w:hint="default" w:ascii="Times New Roman" w:hAnsi="Times New Roman" w:eastAsia="宋体" w:cs="Times New Roman"/>
          <w:b/>
          <w:color w:val="auto"/>
          <w:sz w:val="36"/>
          <w:szCs w:val="36"/>
          <w:lang w:val="en-US" w:eastAsia="zh-CN"/>
        </w:rPr>
        <w:t>供应商（企业电子签章）：</w:t>
      </w:r>
    </w:p>
    <w:p w14:paraId="45C8FA70">
      <w:pPr>
        <w:pStyle w:val="199"/>
        <w:ind w:firstLine="0"/>
        <w:rPr>
          <w:rFonts w:hint="default" w:ascii="Times New Roman" w:hAnsi="Times New Roman" w:eastAsia="宋体" w:cs="Times New Roman"/>
          <w:color w:val="auto"/>
          <w:sz w:val="36"/>
          <w:szCs w:val="36"/>
          <w:lang w:val="en-US" w:eastAsia="zh-CN"/>
        </w:rPr>
      </w:pPr>
    </w:p>
    <w:p w14:paraId="53658208">
      <w:pPr>
        <w:pStyle w:val="199"/>
        <w:ind w:firstLine="0"/>
        <w:rPr>
          <w:rFonts w:hint="default" w:ascii="Times New Roman" w:hAnsi="Times New Roman" w:eastAsia="宋体" w:cs="Times New Roman"/>
          <w:color w:val="auto"/>
          <w:lang w:eastAsia="zh-CN"/>
        </w:rPr>
      </w:pPr>
    </w:p>
    <w:p w14:paraId="44F6BCB8">
      <w:pPr>
        <w:pStyle w:val="168"/>
        <w:spacing w:line="360" w:lineRule="auto"/>
        <w:jc w:val="center"/>
        <w:rPr>
          <w:rFonts w:hint="default" w:ascii="Times New Roman" w:hAnsi="Times New Roman" w:eastAsia="仿宋_GB2312" w:cs="Times New Roman"/>
          <w:b/>
          <w:bCs/>
          <w:color w:val="auto"/>
          <w:sz w:val="44"/>
          <w:szCs w:val="44"/>
          <w:lang w:val="en"/>
        </w:rPr>
      </w:pPr>
      <w:r>
        <w:rPr>
          <w:rFonts w:hint="default" w:ascii="Times New Roman" w:hAnsi="Times New Roman" w:cs="Times New Roman"/>
          <w:color w:val="auto"/>
          <w:sz w:val="28"/>
          <w:szCs w:val="28"/>
        </w:rPr>
        <w:br w:type="page"/>
      </w:r>
      <w:r>
        <w:rPr>
          <w:rFonts w:hint="default" w:ascii="Times New Roman" w:hAnsi="Times New Roman" w:eastAsia="仿宋_GB2312" w:cs="Times New Roman"/>
          <w:b/>
          <w:bCs/>
          <w:color w:val="auto"/>
          <w:sz w:val="44"/>
          <w:szCs w:val="44"/>
          <w:lang w:val="en"/>
        </w:rPr>
        <w:t>目  录</w:t>
      </w:r>
    </w:p>
    <w:p w14:paraId="3FF933DD">
      <w:pPr>
        <w:tabs>
          <w:tab w:val="left" w:pos="5580"/>
        </w:tabs>
        <w:spacing w:line="440" w:lineRule="exact"/>
        <w:rPr>
          <w:rFonts w:hint="default" w:ascii="Times New Roman" w:hAnsi="Times New Roman" w:eastAsia="仿宋_GB2312" w:cs="Times New Roman"/>
          <w:color w:val="auto"/>
          <w:sz w:val="28"/>
          <w:szCs w:val="28"/>
          <w:lang w:val="en-US" w:eastAsia="zh-CN"/>
        </w:rPr>
      </w:pPr>
    </w:p>
    <w:p w14:paraId="20441AF5">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一、法人或者非法人组织的营业执照等证明文件或自然人的身份证明</w:t>
      </w:r>
      <w:bookmarkStart w:id="51" w:name="_Toc371659587_WPSOffice_Level3"/>
      <w:bookmarkStart w:id="52" w:name="_Toc835682095_WPSOffice_Level3"/>
    </w:p>
    <w:p w14:paraId="79B44003">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二、具有良好的商业信誉和健全的财务会计制度</w:t>
      </w:r>
      <w:bookmarkEnd w:id="51"/>
      <w:bookmarkEnd w:id="52"/>
    </w:p>
    <w:p w14:paraId="6F6E8AA9">
      <w:pPr>
        <w:spacing w:line="500" w:lineRule="exact"/>
        <w:ind w:firstLine="560" w:firstLineChars="200"/>
        <w:rPr>
          <w:rFonts w:hint="default" w:ascii="Times New Roman" w:hAnsi="Times New Roman" w:eastAsia="仿宋_GB2312" w:cs="Times New Roman"/>
          <w:color w:val="auto"/>
          <w:sz w:val="28"/>
          <w:szCs w:val="28"/>
          <w:lang w:val="en-US" w:eastAsia="zh-CN"/>
        </w:rPr>
      </w:pPr>
      <w:bookmarkStart w:id="53" w:name="_Toc1150235750_WPSOffice_Level3"/>
      <w:bookmarkStart w:id="54" w:name="_Toc1104501183_WPSOffice_Level3"/>
      <w:r>
        <w:rPr>
          <w:rFonts w:hint="default" w:ascii="Times New Roman" w:hAnsi="Times New Roman" w:eastAsia="仿宋_GB2312" w:cs="Times New Roman"/>
          <w:color w:val="auto"/>
          <w:sz w:val="28"/>
          <w:szCs w:val="28"/>
          <w:lang w:val="en-US" w:eastAsia="zh-CN"/>
        </w:rPr>
        <w:t>三、依法缴纳税收和社会保障资金的良好记录</w:t>
      </w:r>
      <w:bookmarkEnd w:id="53"/>
      <w:bookmarkEnd w:id="54"/>
    </w:p>
    <w:p w14:paraId="103CEDDA">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四、具有履行合同所必需的设备和专业技术能力</w:t>
      </w:r>
    </w:p>
    <w:p w14:paraId="33B85DC9">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五、参加政府采购活动前3年内在经营活动中没有重大违法记录的声明</w:t>
      </w:r>
    </w:p>
    <w:p w14:paraId="5E57B6CB">
      <w:pPr>
        <w:spacing w:line="500" w:lineRule="exact"/>
        <w:ind w:firstLine="560" w:firstLineChars="200"/>
        <w:rPr>
          <w:rFonts w:hint="default" w:ascii="Times New Roman" w:hAnsi="Times New Roman" w:eastAsia="仿宋_GB2312" w:cs="Times New Roman"/>
          <w:color w:val="auto"/>
          <w:sz w:val="28"/>
          <w:szCs w:val="28"/>
          <w:lang w:val="en-US" w:eastAsia="zh-CN"/>
        </w:rPr>
      </w:pPr>
      <w:bookmarkStart w:id="55" w:name="_Toc2005223374_WPSOffice_Level3"/>
      <w:bookmarkStart w:id="56" w:name="_Toc141596040_WPSOffice_Level3"/>
      <w:r>
        <w:rPr>
          <w:rFonts w:hint="default" w:ascii="Times New Roman" w:hAnsi="Times New Roman" w:eastAsia="仿宋_GB2312" w:cs="Times New Roman"/>
          <w:color w:val="auto"/>
          <w:sz w:val="28"/>
          <w:szCs w:val="28"/>
          <w:lang w:val="en-US" w:eastAsia="zh-CN"/>
        </w:rPr>
        <w:t>六、其他资格证明文件</w:t>
      </w:r>
      <w:bookmarkEnd w:id="55"/>
      <w:bookmarkEnd w:id="56"/>
    </w:p>
    <w:p w14:paraId="5FB0B697">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七、磋商响应函</w:t>
      </w:r>
    </w:p>
    <w:p w14:paraId="0CABE623">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八、法定代表人身份证明书</w:t>
      </w:r>
    </w:p>
    <w:p w14:paraId="33728956">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九、磋商响应报价表格</w:t>
      </w:r>
    </w:p>
    <w:p w14:paraId="0C584140">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磋商响应主要内容汇总表</w:t>
      </w:r>
    </w:p>
    <w:p w14:paraId="3045DF60">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val="en" w:eastAsia="zh-CN"/>
        </w:rPr>
        <w:t xml:space="preserve"> </w:t>
      </w:r>
      <w:r>
        <w:rPr>
          <w:rFonts w:hint="default" w:ascii="Times New Roman" w:hAnsi="Times New Roman" w:eastAsia="仿宋_GB2312" w:cs="Times New Roman"/>
          <w:color w:val="auto"/>
          <w:sz w:val="28"/>
          <w:szCs w:val="28"/>
          <w:lang w:eastAsia="zh-CN"/>
        </w:rPr>
        <w:t>磋商响应分项报价表</w:t>
      </w:r>
    </w:p>
    <w:p w14:paraId="2A2BCC0D">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十、商务条款偏离表</w:t>
      </w:r>
    </w:p>
    <w:p w14:paraId="0825CBD4">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十一、技术规格偏离表</w:t>
      </w:r>
    </w:p>
    <w:p w14:paraId="00761C1F">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十二、综合证明文件</w:t>
      </w:r>
    </w:p>
    <w:p w14:paraId="37D8E8A8">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十三、企业声明函</w:t>
      </w:r>
    </w:p>
    <w:p w14:paraId="1AAEE95B">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十四、</w:t>
      </w:r>
      <w:r>
        <w:rPr>
          <w:rFonts w:hint="default" w:ascii="Times New Roman" w:hAnsi="Times New Roman" w:eastAsia="仿宋_GB2312" w:cs="Times New Roman"/>
          <w:color w:val="auto"/>
          <w:sz w:val="28"/>
          <w:szCs w:val="28"/>
          <w:lang w:val="en-US" w:eastAsia="zh-CN"/>
        </w:rPr>
        <w:t>关联关系名单</w:t>
      </w:r>
    </w:p>
    <w:p w14:paraId="260EE2C9">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十五、</w:t>
      </w:r>
      <w:r>
        <w:rPr>
          <w:rFonts w:hint="default" w:ascii="Times New Roman" w:hAnsi="Times New Roman" w:eastAsia="仿宋_GB2312" w:cs="Times New Roman"/>
          <w:color w:val="auto"/>
          <w:sz w:val="28"/>
          <w:szCs w:val="28"/>
          <w:lang w:eastAsia="zh-CN"/>
        </w:rPr>
        <w:t>产品适用政府采购政策情况表（节能、环保）</w:t>
      </w:r>
    </w:p>
    <w:p w14:paraId="31F9AAB0">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十六、</w:t>
      </w:r>
      <w:r>
        <w:rPr>
          <w:rFonts w:hint="default" w:ascii="Times New Roman" w:hAnsi="Times New Roman" w:eastAsia="仿宋_GB2312" w:cs="Times New Roman"/>
          <w:color w:val="auto"/>
          <w:sz w:val="28"/>
          <w:szCs w:val="28"/>
          <w:lang w:eastAsia="zh-CN"/>
        </w:rPr>
        <w:t>其他文件</w:t>
      </w:r>
    </w:p>
    <w:p w14:paraId="0B427916">
      <w:pPr>
        <w:spacing w:line="500" w:lineRule="exact"/>
        <w:ind w:firstLine="560" w:firstLineChars="200"/>
        <w:rPr>
          <w:rFonts w:hint="default" w:ascii="Times New Roman" w:hAnsi="Times New Roman" w:eastAsia="仿宋_GB2312" w:cs="Times New Roman"/>
          <w:color w:val="auto"/>
          <w:sz w:val="28"/>
          <w:szCs w:val="28"/>
          <w:lang w:val="en-US" w:eastAsia="zh-CN"/>
        </w:rPr>
      </w:pPr>
    </w:p>
    <w:p w14:paraId="4E6ECFE1">
      <w:pPr>
        <w:spacing w:line="500" w:lineRule="exact"/>
        <w:ind w:firstLine="560" w:firstLineChars="200"/>
        <w:jc w:val="center"/>
        <w:outlineLvl w:val="1"/>
        <w:rPr>
          <w:rFonts w:hint="default" w:ascii="Times New Roman" w:hAnsi="Times New Roman" w:eastAsia="黑体" w:cs="Times New Roman"/>
          <w:color w:val="auto"/>
          <w:sz w:val="28"/>
          <w:szCs w:val="28"/>
          <w:lang w:eastAsia="zh-CN"/>
        </w:rPr>
      </w:pPr>
      <w:bookmarkStart w:id="57" w:name="_Toc1666758381"/>
      <w:bookmarkStart w:id="58" w:name="_Toc1892257381_WPSOffice_Level3"/>
      <w:bookmarkStart w:id="59" w:name="_Toc740001715"/>
      <w:bookmarkStart w:id="60" w:name="_Toc442868323"/>
      <w:r>
        <w:rPr>
          <w:rFonts w:hint="default" w:ascii="Times New Roman" w:hAnsi="Times New Roman" w:eastAsia="黑体" w:cs="Times New Roman"/>
          <w:color w:val="auto"/>
          <w:sz w:val="28"/>
          <w:szCs w:val="28"/>
          <w:lang w:eastAsia="zh-CN"/>
        </w:rPr>
        <w:br w:type="page"/>
      </w:r>
      <w:bookmarkEnd w:id="57"/>
      <w:bookmarkEnd w:id="58"/>
      <w:bookmarkEnd w:id="59"/>
      <w:bookmarkEnd w:id="60"/>
      <w:bookmarkStart w:id="61" w:name="_Toc1793820901_WPSOffice_Level3"/>
      <w:bookmarkStart w:id="62" w:name="_Toc1727898814"/>
      <w:bookmarkStart w:id="63" w:name="_Toc1541909372_WPSOffice_Level3"/>
      <w:bookmarkStart w:id="64" w:name="_Toc1480748811"/>
      <w:bookmarkStart w:id="65" w:name="_Toc262140077"/>
      <w:bookmarkStart w:id="66" w:name="_Toc1950934252"/>
      <w:bookmarkStart w:id="67" w:name="_Toc730361247"/>
      <w:bookmarkStart w:id="68" w:name="_Toc1876865389"/>
      <w:bookmarkStart w:id="69" w:name="_Toc1274130635"/>
      <w:bookmarkStart w:id="70" w:name="_Toc1970836454"/>
      <w:bookmarkStart w:id="71" w:name="_Toc831756679"/>
      <w:r>
        <w:rPr>
          <w:rFonts w:hint="default" w:ascii="Times New Roman" w:hAnsi="Times New Roman" w:eastAsia="方正小标宋_GBK" w:cs="Times New Roman"/>
          <w:bCs/>
          <w:color w:val="auto"/>
          <w:sz w:val="30"/>
          <w:szCs w:val="30"/>
          <w:lang w:val="en-US" w:eastAsia="zh-CN"/>
        </w:rPr>
        <w:t>一、法人或者非法人组织的营业执照等证明文件或自然人的身份证明</w:t>
      </w:r>
      <w:bookmarkEnd w:id="61"/>
      <w:bookmarkEnd w:id="62"/>
      <w:bookmarkEnd w:id="63"/>
      <w:bookmarkEnd w:id="64"/>
      <w:bookmarkEnd w:id="65"/>
      <w:bookmarkEnd w:id="66"/>
      <w:bookmarkEnd w:id="67"/>
      <w:bookmarkEnd w:id="68"/>
      <w:bookmarkEnd w:id="69"/>
      <w:bookmarkEnd w:id="70"/>
      <w:bookmarkEnd w:id="71"/>
    </w:p>
    <w:p w14:paraId="7B7DA3EF">
      <w:pPr>
        <w:rPr>
          <w:rFonts w:hint="default" w:ascii="Times New Roman" w:hAnsi="Times New Roman" w:cs="Times New Roman"/>
          <w:color w:val="auto"/>
          <w:lang w:eastAsia="zh-CN"/>
        </w:rPr>
      </w:pPr>
    </w:p>
    <w:p w14:paraId="6E519263">
      <w:pPr>
        <w:pStyle w:val="168"/>
        <w:tabs>
          <w:tab w:val="left" w:pos="5580"/>
        </w:tabs>
        <w:spacing w:line="360" w:lineRule="auto"/>
        <w:ind w:left="540" w:firstLine="480"/>
        <w:jc w:val="center"/>
        <w:rPr>
          <w:rFonts w:hint="default" w:ascii="Times New Roman" w:hAnsi="Times New Roman" w:cs="Times New Roman"/>
          <w:b/>
          <w:bCs/>
          <w:color w:val="auto"/>
          <w:sz w:val="24"/>
          <w:szCs w:val="24"/>
        </w:rPr>
      </w:pPr>
    </w:p>
    <w:p w14:paraId="267A27FC">
      <w:pPr>
        <w:pStyle w:val="168"/>
        <w:tabs>
          <w:tab w:val="left" w:pos="5580"/>
        </w:tabs>
        <w:spacing w:line="360" w:lineRule="auto"/>
        <w:ind w:left="540" w:firstLine="480"/>
        <w:rPr>
          <w:rFonts w:hint="default" w:ascii="Times New Roman" w:hAnsi="Times New Roman" w:cs="Times New Roman"/>
          <w:b/>
          <w:bCs/>
          <w:color w:val="auto"/>
          <w:sz w:val="24"/>
          <w:szCs w:val="24"/>
        </w:rPr>
      </w:pPr>
    </w:p>
    <w:p w14:paraId="00C12BA2">
      <w:pPr>
        <w:pStyle w:val="168"/>
        <w:tabs>
          <w:tab w:val="left" w:pos="5580"/>
        </w:tabs>
        <w:spacing w:line="360" w:lineRule="auto"/>
        <w:ind w:left="540" w:firstLine="480"/>
        <w:rPr>
          <w:rFonts w:hint="default" w:ascii="Times New Roman" w:hAnsi="Times New Roman" w:cs="Times New Roman"/>
          <w:b/>
          <w:bCs/>
          <w:color w:val="auto"/>
          <w:sz w:val="24"/>
          <w:szCs w:val="24"/>
        </w:rPr>
      </w:pPr>
    </w:p>
    <w:p w14:paraId="2E46ECC6">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说明：</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提供有效的营业执照等证明文件原件或复印件的扫描件。</w:t>
      </w:r>
    </w:p>
    <w:p w14:paraId="61286BFF">
      <w:pPr>
        <w:spacing w:line="500" w:lineRule="exact"/>
        <w:ind w:firstLine="560" w:firstLineChars="200"/>
        <w:rPr>
          <w:rFonts w:hint="default" w:ascii="Times New Roman" w:hAnsi="Times New Roman" w:eastAsia="仿宋_GB2312" w:cs="Times New Roman"/>
          <w:color w:val="auto"/>
          <w:sz w:val="28"/>
          <w:szCs w:val="28"/>
          <w:lang w:val="en-US" w:eastAsia="zh-CN"/>
        </w:rPr>
      </w:pPr>
      <w:bookmarkStart w:id="72" w:name="_Toc2081420463_WPSOffice_Level3"/>
      <w:bookmarkStart w:id="73" w:name="_Toc67715126_WPSOffice_Level3"/>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供应商为自然人的，应提供身份证明原件或复印件的扫描件。</w:t>
      </w:r>
      <w:bookmarkEnd w:id="72"/>
      <w:bookmarkEnd w:id="73"/>
    </w:p>
    <w:p w14:paraId="4D4168D4">
      <w:pPr>
        <w:spacing w:line="500" w:lineRule="exact"/>
        <w:ind w:firstLine="560" w:firstLineChars="200"/>
        <w:rPr>
          <w:rFonts w:hint="default" w:ascii="Times New Roman" w:hAnsi="Times New Roman" w:eastAsia="仿宋_GB2312" w:cs="Times New Roman"/>
          <w:color w:val="auto"/>
          <w:sz w:val="28"/>
          <w:szCs w:val="28"/>
          <w:lang w:val="en-US" w:eastAsia="zh-CN"/>
        </w:rPr>
      </w:pPr>
      <w:bookmarkStart w:id="74" w:name="_Toc781251951_WPSOffice_Level3"/>
      <w:bookmarkStart w:id="75" w:name="_Toc1215272460_WPSOffice_Level3"/>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联合体磋商应提供联合体各方满足以上要求的证明文件。</w:t>
      </w:r>
      <w:bookmarkEnd w:id="74"/>
      <w:bookmarkEnd w:id="75"/>
    </w:p>
    <w:p w14:paraId="228CFEDE">
      <w:pPr>
        <w:pStyle w:val="168"/>
        <w:tabs>
          <w:tab w:val="left" w:pos="5580"/>
        </w:tabs>
        <w:spacing w:line="360" w:lineRule="auto"/>
        <w:rPr>
          <w:rFonts w:hint="default" w:ascii="Times New Roman" w:hAnsi="Times New Roman" w:eastAsia="仿宋_GB2312" w:cs="Times New Roman"/>
          <w:color w:val="auto"/>
          <w:sz w:val="28"/>
          <w:szCs w:val="28"/>
        </w:rPr>
      </w:pPr>
    </w:p>
    <w:p w14:paraId="5DE55DEB">
      <w:pPr>
        <w:jc w:val="left"/>
        <w:rPr>
          <w:rFonts w:hint="default" w:ascii="Times New Roman" w:hAnsi="Times New Roman" w:eastAsia="宋体" w:cs="Times New Roman"/>
          <w:color w:val="auto"/>
          <w:sz w:val="28"/>
          <w:szCs w:val="28"/>
          <w:lang w:eastAsia="zh-CN"/>
        </w:rPr>
      </w:pPr>
      <w:r>
        <w:rPr>
          <w:rFonts w:hint="default" w:ascii="Times New Roman" w:hAnsi="Times New Roman" w:eastAsia="宋体" w:cs="Times New Roman"/>
          <w:color w:val="auto"/>
          <w:sz w:val="28"/>
          <w:szCs w:val="28"/>
          <w:lang w:eastAsia="zh-CN"/>
        </w:rPr>
        <w:br w:type="page"/>
      </w:r>
      <w:bookmarkStart w:id="76" w:name="_Toc1215314597"/>
      <w:bookmarkStart w:id="77" w:name="_Toc868984799"/>
      <w:bookmarkStart w:id="78" w:name="_Toc1557063548"/>
      <w:bookmarkStart w:id="79" w:name="_Toc456633459_WPSOffice_Level3"/>
      <w:bookmarkStart w:id="80" w:name="_Toc1319467764"/>
    </w:p>
    <w:p w14:paraId="5C02C614">
      <w:pPr>
        <w:spacing w:line="500" w:lineRule="exact"/>
        <w:ind w:firstLine="600" w:firstLineChars="200"/>
        <w:jc w:val="center"/>
        <w:outlineLvl w:val="1"/>
        <w:rPr>
          <w:rFonts w:hint="default" w:ascii="Times New Roman" w:hAnsi="Times New Roman" w:eastAsia="方正小标宋_GBK" w:cs="Times New Roman"/>
          <w:bCs/>
          <w:color w:val="auto"/>
          <w:sz w:val="30"/>
          <w:szCs w:val="30"/>
          <w:lang w:val="en-US" w:eastAsia="zh-CN"/>
        </w:rPr>
      </w:pPr>
      <w:bookmarkStart w:id="81" w:name="_Toc86417259"/>
      <w:bookmarkStart w:id="82" w:name="_Toc1521751422"/>
      <w:bookmarkStart w:id="83" w:name="_Toc574791252"/>
      <w:bookmarkStart w:id="84" w:name="_Toc937091873"/>
      <w:bookmarkStart w:id="85" w:name="_Toc1494493586"/>
      <w:r>
        <w:rPr>
          <w:rFonts w:hint="default" w:ascii="Times New Roman" w:hAnsi="Times New Roman" w:eastAsia="方正小标宋_GBK" w:cs="Times New Roman"/>
          <w:bCs/>
          <w:color w:val="auto"/>
          <w:sz w:val="30"/>
          <w:szCs w:val="30"/>
          <w:lang w:val="en-US" w:eastAsia="zh-CN"/>
        </w:rPr>
        <w:t>二、具有良好的商业信誉和健全的财务会计制度</w:t>
      </w:r>
      <w:bookmarkEnd w:id="76"/>
      <w:bookmarkEnd w:id="77"/>
      <w:bookmarkEnd w:id="78"/>
      <w:bookmarkEnd w:id="79"/>
      <w:bookmarkEnd w:id="80"/>
      <w:bookmarkEnd w:id="81"/>
      <w:bookmarkEnd w:id="82"/>
      <w:bookmarkEnd w:id="83"/>
      <w:bookmarkEnd w:id="84"/>
      <w:bookmarkEnd w:id="85"/>
    </w:p>
    <w:p w14:paraId="5E667EDB">
      <w:pPr>
        <w:spacing w:line="360" w:lineRule="auto"/>
        <w:jc w:val="center"/>
        <w:rPr>
          <w:rFonts w:hint="default" w:ascii="Times New Roman" w:hAnsi="Times New Roman" w:eastAsia="宋体" w:cs="Times New Roman"/>
          <w:color w:val="auto"/>
          <w:sz w:val="28"/>
          <w:szCs w:val="28"/>
          <w:lang w:eastAsia="zh-CN"/>
        </w:rPr>
      </w:pPr>
    </w:p>
    <w:p w14:paraId="73E1F968">
      <w:pPr>
        <w:rPr>
          <w:rFonts w:hint="default" w:ascii="Times New Roman" w:hAnsi="Times New Roman" w:cs="Times New Roman"/>
          <w:color w:val="auto"/>
          <w:lang w:eastAsia="zh-CN"/>
        </w:rPr>
      </w:pPr>
    </w:p>
    <w:p w14:paraId="723F5651">
      <w:pPr>
        <w:tabs>
          <w:tab w:val="left" w:pos="5580"/>
        </w:tabs>
        <w:spacing w:line="360" w:lineRule="auto"/>
        <w:ind w:left="1080" w:hanging="540"/>
        <w:jc w:val="center"/>
        <w:rPr>
          <w:rFonts w:hint="default" w:ascii="Times New Roman" w:hAnsi="Times New Roman" w:eastAsia="宋体" w:cs="Times New Roman"/>
          <w:b/>
          <w:bCs/>
          <w:color w:val="auto"/>
          <w:sz w:val="24"/>
          <w:szCs w:val="24"/>
          <w:lang w:val="en-US" w:eastAsia="zh-CN"/>
        </w:rPr>
      </w:pPr>
    </w:p>
    <w:p w14:paraId="6A098DC3">
      <w:pPr>
        <w:tabs>
          <w:tab w:val="left" w:pos="3060"/>
          <w:tab w:val="left" w:pos="5580"/>
        </w:tabs>
        <w:spacing w:line="360" w:lineRule="auto"/>
        <w:ind w:left="1080" w:hanging="540"/>
        <w:rPr>
          <w:rFonts w:hint="default" w:ascii="Times New Roman" w:hAnsi="Times New Roman" w:eastAsia="宋体" w:cs="Times New Roman"/>
          <w:b/>
          <w:bCs/>
          <w:color w:val="auto"/>
          <w:sz w:val="24"/>
          <w:szCs w:val="24"/>
          <w:lang w:val="en-US" w:eastAsia="zh-CN"/>
        </w:rPr>
      </w:pPr>
    </w:p>
    <w:p w14:paraId="68FEBF07">
      <w:pPr>
        <w:tabs>
          <w:tab w:val="left" w:pos="5580"/>
        </w:tabs>
        <w:spacing w:line="360" w:lineRule="auto"/>
        <w:ind w:left="1080" w:hanging="540"/>
        <w:jc w:val="center"/>
        <w:rPr>
          <w:rFonts w:hint="default" w:ascii="Times New Roman" w:hAnsi="Times New Roman" w:eastAsia="宋体" w:cs="Times New Roman"/>
          <w:b/>
          <w:bCs/>
          <w:color w:val="auto"/>
          <w:sz w:val="24"/>
          <w:szCs w:val="24"/>
          <w:lang w:val="en-US" w:eastAsia="zh-CN"/>
        </w:rPr>
      </w:pPr>
    </w:p>
    <w:p w14:paraId="649D0853">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说明：</w:t>
      </w:r>
    </w:p>
    <w:p w14:paraId="52AEF358">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1.提供供应商2025年度财务审计报告，要求注册会计师签字并加盖会计师印章；截止到响应文件开启时间，供应商成立时间不足1年的，可提供银行资信证明材料。</w:t>
      </w:r>
    </w:p>
    <w:p w14:paraId="5C0C22C1">
      <w:pPr>
        <w:spacing w:line="500" w:lineRule="exact"/>
        <w:ind w:firstLine="480" w:firstLineChars="200"/>
        <w:jc w:val="center"/>
        <w:outlineLvl w:val="1"/>
        <w:rPr>
          <w:rFonts w:hint="default" w:ascii="Times New Roman" w:hAnsi="Times New Roman" w:eastAsia="黑体" w:cs="Times New Roman"/>
          <w:color w:val="auto"/>
          <w:sz w:val="28"/>
          <w:szCs w:val="28"/>
          <w:lang w:val="en-US" w:eastAsia="zh-CN"/>
        </w:rPr>
      </w:pPr>
      <w:r>
        <w:rPr>
          <w:rFonts w:hint="default" w:ascii="Times New Roman" w:hAnsi="Times New Roman" w:cs="Times New Roman"/>
          <w:color w:val="auto"/>
          <w:sz w:val="24"/>
          <w:szCs w:val="24"/>
          <w:lang w:eastAsia="zh-CN"/>
        </w:rPr>
        <w:br w:type="page"/>
      </w:r>
      <w:bookmarkStart w:id="86" w:name="_Toc1968479748"/>
      <w:bookmarkStart w:id="87" w:name="_Toc1656782056"/>
      <w:bookmarkStart w:id="88" w:name="_Toc1125237527"/>
      <w:bookmarkStart w:id="89" w:name="_Toc2082821673"/>
      <w:bookmarkStart w:id="90" w:name="_Toc1079740645"/>
      <w:bookmarkStart w:id="91" w:name="_Toc840223094"/>
      <w:bookmarkStart w:id="92" w:name="_Toc1030212309"/>
      <w:bookmarkStart w:id="93" w:name="_Toc1998858666"/>
      <w:bookmarkStart w:id="94" w:name="_Toc942688044_WPSOffice_Level3"/>
      <w:bookmarkStart w:id="95" w:name="_Toc436443482"/>
      <w:bookmarkStart w:id="96" w:name="_Toc224741966"/>
      <w:r>
        <w:rPr>
          <w:rFonts w:hint="default" w:ascii="Times New Roman" w:hAnsi="Times New Roman" w:eastAsia="方正小标宋_GBK" w:cs="Times New Roman"/>
          <w:bCs/>
          <w:color w:val="auto"/>
          <w:sz w:val="30"/>
          <w:szCs w:val="30"/>
          <w:lang w:val="en-US" w:eastAsia="zh-CN"/>
        </w:rPr>
        <w:t>三、依法</w:t>
      </w:r>
      <w:bookmarkEnd w:id="86"/>
      <w:r>
        <w:rPr>
          <w:rFonts w:hint="default" w:ascii="Times New Roman" w:hAnsi="Times New Roman" w:eastAsia="方正小标宋_GBK" w:cs="Times New Roman"/>
          <w:bCs/>
          <w:color w:val="auto"/>
          <w:sz w:val="30"/>
          <w:szCs w:val="30"/>
          <w:lang w:val="en-US" w:eastAsia="zh-CN"/>
        </w:rPr>
        <w:t>缴纳税收和社会保障资金的良好记录</w:t>
      </w:r>
      <w:bookmarkEnd w:id="87"/>
      <w:bookmarkEnd w:id="88"/>
      <w:bookmarkEnd w:id="89"/>
      <w:bookmarkEnd w:id="90"/>
      <w:bookmarkEnd w:id="91"/>
      <w:bookmarkEnd w:id="92"/>
      <w:bookmarkEnd w:id="93"/>
      <w:bookmarkEnd w:id="94"/>
      <w:bookmarkEnd w:id="95"/>
      <w:bookmarkEnd w:id="96"/>
    </w:p>
    <w:p w14:paraId="3CB540F4">
      <w:pPr>
        <w:pStyle w:val="168"/>
        <w:tabs>
          <w:tab w:val="left" w:pos="5580"/>
        </w:tabs>
        <w:spacing w:line="360" w:lineRule="auto"/>
        <w:ind w:left="1080" w:hanging="540"/>
        <w:jc w:val="center"/>
        <w:rPr>
          <w:rFonts w:hint="default" w:ascii="Times New Roman" w:hAnsi="Times New Roman" w:cs="Times New Roman"/>
          <w:b/>
          <w:bCs/>
          <w:color w:val="auto"/>
          <w:sz w:val="24"/>
          <w:szCs w:val="24"/>
        </w:rPr>
      </w:pPr>
    </w:p>
    <w:p w14:paraId="43E5220D">
      <w:pPr>
        <w:pStyle w:val="168"/>
        <w:tabs>
          <w:tab w:val="left" w:pos="5580"/>
        </w:tabs>
        <w:spacing w:line="360" w:lineRule="auto"/>
        <w:ind w:left="840"/>
        <w:rPr>
          <w:rFonts w:hint="default" w:ascii="Times New Roman" w:hAnsi="Times New Roman" w:cs="Times New Roman"/>
          <w:b/>
          <w:bCs/>
          <w:color w:val="auto"/>
          <w:sz w:val="24"/>
          <w:szCs w:val="24"/>
        </w:rPr>
      </w:pPr>
    </w:p>
    <w:p w14:paraId="69728E26">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说明：</w:t>
      </w:r>
    </w:p>
    <w:p w14:paraId="7F2EB6DB">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1.供应商提供自2026年1月1日以来至少一个月的纳税证明和社保缴纳证明，依法免税或不需要缴纳社会保障资金的，应提供相应文件证明其依法免税或不需要缴纳。</w:t>
      </w:r>
    </w:p>
    <w:p w14:paraId="25F74879">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2.如果是联合体磋商，联合体各方均需提供相关材料。</w:t>
      </w:r>
    </w:p>
    <w:p w14:paraId="6FC7A49D">
      <w:pPr>
        <w:spacing w:line="360" w:lineRule="auto"/>
        <w:jc w:val="center"/>
        <w:rPr>
          <w:rFonts w:hint="default" w:ascii="Times New Roman" w:hAnsi="Times New Roman" w:eastAsia="方正小标宋_GBK" w:cs="Times New Roman"/>
          <w:color w:val="auto"/>
          <w:sz w:val="30"/>
          <w:szCs w:val="30"/>
          <w:lang w:val="en-US" w:eastAsia="zh-CN"/>
        </w:rPr>
      </w:pPr>
      <w:r>
        <w:rPr>
          <w:rFonts w:hint="default" w:ascii="Times New Roman" w:hAnsi="Times New Roman" w:eastAsia="方正小标宋_GBK" w:cs="Times New Roman"/>
          <w:color w:val="auto"/>
          <w:sz w:val="30"/>
          <w:szCs w:val="30"/>
          <w:lang w:val="en-US" w:eastAsia="zh-CN"/>
        </w:rPr>
        <w:br w:type="page"/>
      </w:r>
    </w:p>
    <w:p w14:paraId="78740B73">
      <w:pPr>
        <w:pStyle w:val="3"/>
        <w:spacing w:before="0" w:after="0" w:line="360" w:lineRule="auto"/>
        <w:jc w:val="center"/>
        <w:rPr>
          <w:rFonts w:hint="default" w:ascii="Times New Roman" w:hAnsi="Times New Roman" w:eastAsia="方正小标宋_GBK" w:cs="Times New Roman"/>
          <w:b w:val="0"/>
          <w:color w:val="auto"/>
          <w:sz w:val="30"/>
          <w:szCs w:val="30"/>
          <w:lang w:val="en-US" w:eastAsia="zh-CN"/>
        </w:rPr>
      </w:pPr>
      <w:r>
        <w:rPr>
          <w:rFonts w:hint="default" w:ascii="Times New Roman" w:hAnsi="Times New Roman" w:eastAsia="方正小标宋_GBK" w:cs="Times New Roman"/>
          <w:b w:val="0"/>
          <w:color w:val="auto"/>
          <w:sz w:val="30"/>
          <w:szCs w:val="30"/>
          <w:lang w:val="en-US" w:eastAsia="zh-CN"/>
        </w:rPr>
        <w:t>四、具有履行合同所必需的设备和专业技术能力</w:t>
      </w:r>
    </w:p>
    <w:p w14:paraId="564D1F9F">
      <w:pPr>
        <w:tabs>
          <w:tab w:val="left" w:pos="6300"/>
        </w:tabs>
        <w:snapToGrid w:val="0"/>
        <w:spacing w:line="360" w:lineRule="auto"/>
        <w:jc w:val="left"/>
        <w:rPr>
          <w:rFonts w:hint="default" w:ascii="Times New Roman" w:hAnsi="Times New Roman" w:eastAsia="仿宋_GB2312" w:cs="Times New Roman"/>
          <w:color w:val="auto"/>
          <w:sz w:val="28"/>
          <w:szCs w:val="28"/>
          <w:u w:val="single"/>
          <w:lang w:val="en-US" w:eastAsia="zh-CN"/>
        </w:rPr>
      </w:pPr>
      <w:r>
        <w:rPr>
          <w:rFonts w:hint="default" w:ascii="Times New Roman" w:hAnsi="Times New Roman" w:eastAsia="仿宋_GB2312" w:cs="Times New Roman"/>
          <w:color w:val="auto"/>
          <w:sz w:val="28"/>
          <w:szCs w:val="28"/>
          <w:lang w:val="en-US" w:eastAsia="zh-CN"/>
        </w:rPr>
        <w:t>致：</w:t>
      </w:r>
      <w:r>
        <w:rPr>
          <w:rFonts w:hint="default" w:ascii="Times New Roman" w:hAnsi="Times New Roman" w:eastAsia="仿宋_GB2312" w:cs="Times New Roman"/>
          <w:color w:val="auto"/>
          <w:sz w:val="28"/>
          <w:szCs w:val="28"/>
          <w:u w:val="single"/>
          <w:lang w:val="en" w:eastAsia="zh-CN"/>
        </w:rPr>
        <w:t>郑州铁路职业技术学院</w:t>
      </w:r>
      <w:r>
        <w:rPr>
          <w:rFonts w:hint="default" w:ascii="Times New Roman" w:hAnsi="Times New Roman" w:eastAsia="仿宋_GB2312" w:cs="Times New Roman"/>
          <w:color w:val="auto"/>
          <w:sz w:val="28"/>
          <w:szCs w:val="28"/>
          <w:u w:val="single"/>
          <w:lang w:val="en-US" w:eastAsia="zh-CN"/>
        </w:rPr>
        <w:t xml:space="preserve"> </w:t>
      </w:r>
    </w:p>
    <w:p w14:paraId="295762FF">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我（单位/本人，以下统称我单位）自愿参加采购项目编号为</w:t>
      </w:r>
      <w:r>
        <w:rPr>
          <w:rFonts w:hint="default" w:ascii="Times New Roman" w:hAnsi="Times New Roman" w:eastAsia="仿宋_GB2312" w:cs="Times New Roman"/>
          <w:color w:val="auto"/>
          <w:sz w:val="28"/>
          <w:szCs w:val="28"/>
          <w:u w:val="single"/>
          <w:lang w:val="en-US" w:eastAsia="zh-CN"/>
        </w:rPr>
        <w:t xml:space="preserve"> </w:t>
      </w:r>
      <w:r>
        <w:rPr>
          <w:rFonts w:hint="eastAsia" w:ascii="Times New Roman" w:hAnsi="Times New Roman" w:eastAsia="仿宋_GB2312" w:cs="Times New Roman"/>
          <w:color w:val="auto"/>
          <w:sz w:val="28"/>
          <w:szCs w:val="28"/>
          <w:u w:val="single"/>
          <w:lang w:val="en-US" w:eastAsia="zh-CN"/>
        </w:rPr>
        <w:t>豫财磋商采购-2026-889</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val="en-US" w:eastAsia="zh-CN"/>
        </w:rPr>
        <w:t>的</w:t>
      </w:r>
      <w:r>
        <w:rPr>
          <w:rFonts w:hint="eastAsia" w:ascii="Times New Roman" w:hAnsi="Times New Roman" w:eastAsia="仿宋_GB2312" w:cs="Times New Roman"/>
          <w:color w:val="auto"/>
          <w:sz w:val="28"/>
          <w:szCs w:val="28"/>
          <w:u w:val="single"/>
          <w:lang w:val="en" w:eastAsia="zh-CN"/>
        </w:rPr>
        <w:t>郑州铁路职业技术学院智慧教学环境更新与提升项目（二期)项目</w:t>
      </w:r>
      <w:r>
        <w:rPr>
          <w:rFonts w:hint="default" w:ascii="Times New Roman" w:hAnsi="Times New Roman" w:eastAsia="仿宋_GB2312" w:cs="Times New Roman"/>
          <w:color w:val="auto"/>
          <w:sz w:val="28"/>
          <w:szCs w:val="28"/>
          <w:lang w:val="en-US" w:eastAsia="zh-CN"/>
        </w:rPr>
        <w:t>的磋商响应,并做出如下承诺：</w:t>
      </w:r>
    </w:p>
    <w:p w14:paraId="29C1D122">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我方具有履行合同所必需的设备和专业技术能力。</w:t>
      </w:r>
    </w:p>
    <w:p w14:paraId="63E415EF">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我方保证上述信息的真实和准确，并愿意承担因我方就此弄虚作假所引起的一切法律后果。</w:t>
      </w:r>
    </w:p>
    <w:p w14:paraId="3A104C54">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特此声明！</w:t>
      </w:r>
    </w:p>
    <w:p w14:paraId="271AC410">
      <w:pPr>
        <w:spacing w:line="360" w:lineRule="exact"/>
        <w:ind w:firstLine="3640" w:firstLineChars="1300"/>
        <w:rPr>
          <w:rFonts w:hint="default" w:ascii="Times New Roman" w:hAnsi="Times New Roman" w:eastAsia="仿宋_GB2312" w:cs="Times New Roman"/>
          <w:color w:val="auto"/>
          <w:sz w:val="28"/>
          <w:szCs w:val="28"/>
          <w:lang w:eastAsia="zh-CN"/>
        </w:rPr>
      </w:pPr>
    </w:p>
    <w:p w14:paraId="180D9A7C">
      <w:pPr>
        <w:spacing w:line="500" w:lineRule="exact"/>
        <w:ind w:firstLine="2800" w:firstLineChars="10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供应商（企业电子签章）：</w:t>
      </w:r>
    </w:p>
    <w:p w14:paraId="32C4DF5C">
      <w:pPr>
        <w:spacing w:line="500" w:lineRule="exact"/>
        <w:ind w:firstLine="2800" w:firstLineChars="1000"/>
        <w:rPr>
          <w:rFonts w:hint="default" w:ascii="Times New Roman" w:hAnsi="Times New Roman" w:eastAsia="仿宋_GB2312" w:cs="Times New Roman"/>
          <w:color w:val="auto"/>
          <w:sz w:val="28"/>
          <w:szCs w:val="28"/>
          <w:lang w:val="en-US" w:eastAsia="zh-CN"/>
        </w:rPr>
      </w:pPr>
    </w:p>
    <w:p w14:paraId="33BB8F8A">
      <w:pPr>
        <w:spacing w:line="500" w:lineRule="exact"/>
        <w:ind w:firstLine="2800" w:firstLineChars="10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日期：</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val="en" w:eastAsia="zh-CN"/>
        </w:rPr>
        <w:t xml:space="preserve"> </w:t>
      </w:r>
      <w:r>
        <w:rPr>
          <w:rFonts w:hint="default" w:ascii="Times New Roman" w:hAnsi="Times New Roman" w:eastAsia="仿宋_GB2312" w:cs="Times New Roman"/>
          <w:color w:val="auto"/>
          <w:sz w:val="28"/>
          <w:szCs w:val="28"/>
          <w:lang w:val="en-US" w:eastAsia="zh-CN"/>
        </w:rPr>
        <w:t>年</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val="en-US" w:eastAsia="zh-CN"/>
        </w:rPr>
        <w:t>月</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val="en-US" w:eastAsia="zh-CN"/>
        </w:rPr>
        <w:t>日</w:t>
      </w:r>
    </w:p>
    <w:p w14:paraId="2E5FDC0D">
      <w:pPr>
        <w:jc w:val="center"/>
        <w:outlineLvl w:val="1"/>
        <w:rPr>
          <w:rFonts w:hint="default" w:ascii="Times New Roman" w:hAnsi="Times New Roman" w:eastAsia="黑体" w:cs="Times New Roman"/>
          <w:color w:val="auto"/>
          <w:sz w:val="28"/>
          <w:szCs w:val="28"/>
          <w:lang w:val="en-US" w:eastAsia="zh-CN"/>
        </w:rPr>
      </w:pPr>
      <w:r>
        <w:rPr>
          <w:rFonts w:hint="default" w:ascii="Times New Roman" w:hAnsi="Times New Roman" w:cs="Times New Roman"/>
          <w:color w:val="auto"/>
          <w:sz w:val="28"/>
          <w:szCs w:val="28"/>
          <w:lang w:eastAsia="zh-CN"/>
        </w:rPr>
        <w:br w:type="page"/>
      </w:r>
      <w:bookmarkStart w:id="97" w:name="_Toc2058865505"/>
      <w:bookmarkStart w:id="98" w:name="_Toc2139213640"/>
      <w:bookmarkStart w:id="99" w:name="_Toc897167010_WPSOffice_Level3"/>
      <w:bookmarkStart w:id="100" w:name="_Toc1835514155"/>
      <w:bookmarkStart w:id="101" w:name="_Toc1989881438"/>
      <w:bookmarkStart w:id="102" w:name="_Toc1625950936"/>
      <w:bookmarkStart w:id="103" w:name="_Toc1206650936"/>
      <w:bookmarkStart w:id="104" w:name="_Toc242026376"/>
      <w:bookmarkStart w:id="105" w:name="_Toc288533216"/>
      <w:bookmarkStart w:id="106" w:name="_Toc2070828746"/>
      <w:bookmarkStart w:id="107" w:name="_Toc289243999"/>
      <w:r>
        <w:rPr>
          <w:rFonts w:hint="default" w:ascii="Times New Roman" w:hAnsi="Times New Roman" w:eastAsia="方正小标宋_GBK" w:cs="Times New Roman"/>
          <w:color w:val="auto"/>
          <w:sz w:val="30"/>
          <w:szCs w:val="30"/>
          <w:lang w:val="en-US" w:eastAsia="zh-CN"/>
        </w:rPr>
        <w:t>五、参加政府采购活动前3年内在经营活动中没有重大违法记录的</w:t>
      </w:r>
      <w:bookmarkEnd w:id="97"/>
      <w:bookmarkEnd w:id="98"/>
      <w:bookmarkEnd w:id="99"/>
      <w:bookmarkEnd w:id="100"/>
      <w:bookmarkEnd w:id="101"/>
      <w:bookmarkEnd w:id="102"/>
      <w:r>
        <w:rPr>
          <w:rFonts w:hint="default" w:ascii="Times New Roman" w:hAnsi="Times New Roman" w:eastAsia="方正小标宋_GBK" w:cs="Times New Roman"/>
          <w:color w:val="auto"/>
          <w:sz w:val="30"/>
          <w:szCs w:val="30"/>
          <w:lang w:val="en-US" w:eastAsia="zh-CN"/>
        </w:rPr>
        <w:t>声明</w:t>
      </w:r>
      <w:bookmarkEnd w:id="103"/>
      <w:bookmarkEnd w:id="104"/>
      <w:bookmarkEnd w:id="105"/>
      <w:bookmarkEnd w:id="106"/>
      <w:bookmarkEnd w:id="107"/>
    </w:p>
    <w:p w14:paraId="61F9CADE">
      <w:pPr>
        <w:tabs>
          <w:tab w:val="left" w:pos="6300"/>
        </w:tabs>
        <w:snapToGrid w:val="0"/>
        <w:spacing w:line="360" w:lineRule="auto"/>
        <w:jc w:val="left"/>
        <w:rPr>
          <w:rFonts w:hint="default" w:ascii="Times New Roman" w:hAnsi="Times New Roman" w:eastAsia="仿宋_GB2312" w:cs="Times New Roman"/>
          <w:color w:val="auto"/>
          <w:sz w:val="28"/>
          <w:szCs w:val="28"/>
          <w:u w:val="single"/>
          <w:lang w:val="en-US" w:eastAsia="zh-CN"/>
        </w:rPr>
      </w:pPr>
      <w:bookmarkStart w:id="108" w:name="_Hlk103703179"/>
      <w:r>
        <w:rPr>
          <w:rFonts w:hint="default" w:ascii="Times New Roman" w:hAnsi="Times New Roman" w:eastAsia="仿宋_GB2312" w:cs="Times New Roman"/>
          <w:color w:val="auto"/>
          <w:sz w:val="28"/>
          <w:szCs w:val="28"/>
          <w:lang w:val="en-US" w:eastAsia="zh-CN"/>
        </w:rPr>
        <w:t>致：</w:t>
      </w:r>
      <w:r>
        <w:rPr>
          <w:rFonts w:hint="default" w:ascii="Times New Roman" w:hAnsi="Times New Roman" w:eastAsia="仿宋_GB2312" w:cs="Times New Roman"/>
          <w:color w:val="auto"/>
          <w:sz w:val="28"/>
          <w:szCs w:val="28"/>
          <w:u w:val="single"/>
          <w:lang w:val="en" w:eastAsia="zh-CN"/>
        </w:rPr>
        <w:t>郑州铁路职业技术学院</w:t>
      </w:r>
      <w:r>
        <w:rPr>
          <w:rFonts w:hint="default" w:ascii="Times New Roman" w:hAnsi="Times New Roman" w:eastAsia="仿宋_GB2312" w:cs="Times New Roman"/>
          <w:color w:val="auto"/>
          <w:sz w:val="28"/>
          <w:szCs w:val="28"/>
          <w:u w:val="single"/>
          <w:lang w:val="en-US" w:eastAsia="zh-CN"/>
        </w:rPr>
        <w:t xml:space="preserve"> </w:t>
      </w:r>
    </w:p>
    <w:p w14:paraId="5BD9A35E">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我（单位/本人，以下统称我单位）自愿参加采购项目编号为</w:t>
      </w:r>
      <w:r>
        <w:rPr>
          <w:rFonts w:hint="default" w:ascii="Times New Roman" w:hAnsi="Times New Roman" w:eastAsia="仿宋_GB2312" w:cs="Times New Roman"/>
          <w:color w:val="auto"/>
          <w:sz w:val="28"/>
          <w:szCs w:val="28"/>
          <w:u w:val="single"/>
          <w:lang w:val="en-US" w:eastAsia="zh-CN"/>
        </w:rPr>
        <w:t xml:space="preserve"> </w:t>
      </w:r>
      <w:r>
        <w:rPr>
          <w:rFonts w:hint="eastAsia" w:ascii="Times New Roman" w:hAnsi="Times New Roman" w:eastAsia="仿宋_GB2312" w:cs="Times New Roman"/>
          <w:color w:val="auto"/>
          <w:sz w:val="28"/>
          <w:szCs w:val="28"/>
          <w:u w:val="single"/>
          <w:lang w:val="en-US" w:eastAsia="zh-CN"/>
        </w:rPr>
        <w:t>豫财磋商采购-2026-889</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val="en-US" w:eastAsia="zh-CN"/>
        </w:rPr>
        <w:t>的</w:t>
      </w:r>
      <w:r>
        <w:rPr>
          <w:rFonts w:hint="eastAsia" w:ascii="Times New Roman" w:hAnsi="Times New Roman" w:eastAsia="仿宋_GB2312" w:cs="Times New Roman"/>
          <w:color w:val="auto"/>
          <w:sz w:val="28"/>
          <w:szCs w:val="28"/>
          <w:u w:val="single"/>
          <w:lang w:val="en" w:eastAsia="zh-CN"/>
        </w:rPr>
        <w:t>郑州铁路职业技术学院智慧教学环境更新与提升项目（二期)项目</w:t>
      </w:r>
      <w:r>
        <w:rPr>
          <w:rFonts w:hint="default" w:ascii="Times New Roman" w:hAnsi="Times New Roman" w:eastAsia="仿宋_GB2312" w:cs="Times New Roman"/>
          <w:color w:val="auto"/>
          <w:sz w:val="28"/>
          <w:szCs w:val="28"/>
          <w:lang w:val="en-US" w:eastAsia="zh-CN"/>
        </w:rPr>
        <w:t>的磋商响应,并做出如下承诺：</w:t>
      </w:r>
    </w:p>
    <w:bookmarkEnd w:id="108"/>
    <w:p w14:paraId="1EB70D4F">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我公司信誉良好，参加政府采购活动前3年内，在经营活动中没有重大违法记录。在“信用中国”网站（www.creditchina.gov.cn）未被列入失信被执行人、重大税收违法案件当事人名单；在 “中国政府采购网” （www.ccgp.gov.cn）未被列入政府采购严重违法失信行为记录名单。</w:t>
      </w:r>
    </w:p>
    <w:p w14:paraId="799E2563">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我方保证上述信息的真实和准确，并愿意承担因我方就此弄虚作假所引起的一切法律后果。</w:t>
      </w:r>
    </w:p>
    <w:p w14:paraId="4F5DBA4A">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特此声明！</w:t>
      </w:r>
    </w:p>
    <w:p w14:paraId="7A7CD53E">
      <w:pPr>
        <w:tabs>
          <w:tab w:val="left" w:pos="6300"/>
        </w:tabs>
        <w:snapToGrid w:val="0"/>
        <w:spacing w:line="360" w:lineRule="auto"/>
        <w:ind w:firstLine="277" w:firstLineChars="99"/>
        <w:rPr>
          <w:rFonts w:hint="default" w:ascii="Times New Roman" w:hAnsi="Times New Roman" w:eastAsia="仿宋_GB2312" w:cs="Times New Roman"/>
          <w:color w:val="auto"/>
          <w:sz w:val="28"/>
          <w:szCs w:val="28"/>
          <w:lang w:eastAsia="zh-CN"/>
        </w:rPr>
      </w:pPr>
    </w:p>
    <w:p w14:paraId="41EB1175">
      <w:pPr>
        <w:spacing w:line="500" w:lineRule="exact"/>
        <w:ind w:firstLine="3640" w:firstLineChars="13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供应商（企业电子签章）：</w:t>
      </w:r>
    </w:p>
    <w:p w14:paraId="72D4FD6B">
      <w:pPr>
        <w:spacing w:line="360" w:lineRule="auto"/>
        <w:rPr>
          <w:rFonts w:hint="default" w:ascii="Times New Roman" w:hAnsi="Times New Roman" w:eastAsia="仿宋_GB2312" w:cs="Times New Roman"/>
          <w:color w:val="auto"/>
          <w:sz w:val="28"/>
          <w:szCs w:val="28"/>
          <w:lang w:eastAsia="zh-CN"/>
        </w:rPr>
      </w:pPr>
    </w:p>
    <w:p w14:paraId="15DF1912">
      <w:pPr>
        <w:tabs>
          <w:tab w:val="left" w:pos="6300"/>
        </w:tabs>
        <w:snapToGrid w:val="0"/>
        <w:spacing w:line="360" w:lineRule="auto"/>
        <w:ind w:firstLine="277" w:firstLineChars="99"/>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日期：</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val="en-US" w:eastAsia="zh-CN"/>
        </w:rPr>
        <w:t>年</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val="en-US" w:eastAsia="zh-CN"/>
        </w:rPr>
        <w:t>月</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val="en-US" w:eastAsia="zh-CN"/>
        </w:rPr>
        <w:t>日</w:t>
      </w:r>
    </w:p>
    <w:p w14:paraId="5783F265">
      <w:pPr>
        <w:pStyle w:val="168"/>
        <w:tabs>
          <w:tab w:val="left" w:pos="5580"/>
        </w:tabs>
        <w:spacing w:line="360" w:lineRule="auto"/>
        <w:rPr>
          <w:rFonts w:hint="default" w:ascii="Times New Roman" w:hAnsi="Times New Roman" w:cs="Times New Roman"/>
          <w:color w:val="auto"/>
          <w:sz w:val="24"/>
          <w:szCs w:val="24"/>
        </w:rPr>
      </w:pPr>
    </w:p>
    <w:p w14:paraId="56B6C428">
      <w:pPr>
        <w:pStyle w:val="168"/>
        <w:tabs>
          <w:tab w:val="left" w:pos="5580"/>
        </w:tabs>
        <w:spacing w:line="360" w:lineRule="auto"/>
        <w:rPr>
          <w:rFonts w:hint="default" w:ascii="Times New Roman" w:hAnsi="Times New Roman" w:eastAsia="仿宋_GB2312" w:cs="Times New Roman"/>
          <w:color w:val="auto"/>
          <w:sz w:val="28"/>
          <w:szCs w:val="28"/>
          <w:lang w:val="zh-TW"/>
        </w:rPr>
      </w:pPr>
      <w:r>
        <w:rPr>
          <w:rFonts w:hint="default" w:ascii="Times New Roman" w:hAnsi="Times New Roman" w:eastAsia="仿宋_GB2312" w:cs="Times New Roman"/>
          <w:color w:val="auto"/>
          <w:sz w:val="28"/>
          <w:szCs w:val="28"/>
        </w:rPr>
        <w:t xml:space="preserve">  </w:t>
      </w:r>
      <w:r>
        <w:rPr>
          <w:rFonts w:hint="default" w:ascii="Times New Roman" w:hAnsi="Times New Roman" w:eastAsia="仿宋_GB2312" w:cs="Times New Roman"/>
          <w:color w:val="auto"/>
          <w:sz w:val="28"/>
          <w:szCs w:val="28"/>
          <w:lang w:val="zh-TW"/>
        </w:rPr>
        <w:t>说明：</w:t>
      </w:r>
    </w:p>
    <w:p w14:paraId="78758C80">
      <w:pPr>
        <w:pStyle w:val="168"/>
        <w:tabs>
          <w:tab w:val="left" w:pos="5580"/>
        </w:tabs>
        <w:spacing w:line="360" w:lineRule="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 xml:space="preserve">  1.</w:t>
      </w:r>
      <w:r>
        <w:rPr>
          <w:rFonts w:hint="default" w:ascii="Times New Roman" w:hAnsi="Times New Roman" w:eastAsia="仿宋_GB2312" w:cs="Times New Roman"/>
          <w:color w:val="auto"/>
          <w:sz w:val="28"/>
          <w:szCs w:val="28"/>
          <w:lang w:val="zh-TW"/>
        </w:rPr>
        <w:t>供应商应按照相关法规规定如实做出说明。</w:t>
      </w:r>
    </w:p>
    <w:p w14:paraId="7ECD0B09">
      <w:pPr>
        <w:pStyle w:val="168"/>
        <w:tabs>
          <w:tab w:val="left" w:pos="5580"/>
        </w:tabs>
        <w:spacing w:line="360" w:lineRule="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 xml:space="preserve">  2</w:t>
      </w:r>
      <w:r>
        <w:rPr>
          <w:rFonts w:hint="default" w:ascii="Times New Roman" w:hAnsi="Times New Roman" w:eastAsia="仿宋_GB2312" w:cs="Times New Roman"/>
          <w:color w:val="auto"/>
          <w:sz w:val="28"/>
          <w:szCs w:val="28"/>
          <w:lang w:val="zh-TW"/>
        </w:rPr>
        <w:t>．按照</w:t>
      </w:r>
      <w:r>
        <w:rPr>
          <w:rFonts w:hint="default" w:ascii="Times New Roman" w:hAnsi="Times New Roman" w:eastAsia="仿宋_GB2312" w:cs="Times New Roman"/>
          <w:color w:val="auto"/>
          <w:sz w:val="28"/>
          <w:szCs w:val="28"/>
          <w:lang w:val="en"/>
        </w:rPr>
        <w:t>竞争性磋商文件</w:t>
      </w:r>
      <w:r>
        <w:rPr>
          <w:rFonts w:hint="default" w:ascii="Times New Roman" w:hAnsi="Times New Roman" w:eastAsia="仿宋_GB2312" w:cs="Times New Roman"/>
          <w:color w:val="auto"/>
          <w:sz w:val="28"/>
          <w:szCs w:val="28"/>
          <w:lang w:val="zh-TW"/>
        </w:rPr>
        <w:t>的规定企业电子签章（自然人磋商响应的无需盖章，需要签字）。</w:t>
      </w:r>
    </w:p>
    <w:p w14:paraId="25BAB578">
      <w:pPr>
        <w:pStyle w:val="168"/>
        <w:tabs>
          <w:tab w:val="left" w:pos="5580"/>
        </w:tabs>
        <w:spacing w:line="360" w:lineRule="auto"/>
        <w:rPr>
          <w:rFonts w:hint="default" w:ascii="Times New Roman" w:hAnsi="Times New Roman" w:eastAsia="仿宋_GB2312" w:cs="Times New Roman"/>
          <w:color w:val="auto"/>
          <w:sz w:val="28"/>
          <w:szCs w:val="28"/>
          <w:lang w:val="zh-TW"/>
        </w:rPr>
      </w:pPr>
      <w:r>
        <w:rPr>
          <w:rFonts w:hint="default" w:ascii="Times New Roman" w:hAnsi="Times New Roman" w:eastAsia="仿宋_GB2312" w:cs="Times New Roman"/>
          <w:color w:val="auto"/>
          <w:sz w:val="28"/>
          <w:szCs w:val="28"/>
        </w:rPr>
        <w:t xml:space="preserve">  3.</w:t>
      </w:r>
      <w:r>
        <w:rPr>
          <w:rFonts w:hint="default" w:ascii="Times New Roman" w:hAnsi="Times New Roman" w:eastAsia="仿宋_GB2312" w:cs="Times New Roman"/>
          <w:color w:val="auto"/>
          <w:sz w:val="28"/>
          <w:szCs w:val="28"/>
          <w:lang w:val="zh-TW"/>
        </w:rPr>
        <w:t>如果是联合体磋商，联合体各方均需提供上述证明。</w:t>
      </w:r>
    </w:p>
    <w:p w14:paraId="165684B9">
      <w:pPr>
        <w:spacing w:line="360" w:lineRule="auto"/>
        <w:jc w:val="center"/>
        <w:rPr>
          <w:rFonts w:hint="default" w:ascii="Times New Roman" w:hAnsi="Times New Roman" w:eastAsia="方正小标宋_GBK" w:cs="Times New Roman"/>
          <w:color w:val="auto"/>
          <w:sz w:val="30"/>
          <w:szCs w:val="30"/>
          <w:lang w:val="en-US" w:eastAsia="zh-CN"/>
        </w:rPr>
      </w:pPr>
      <w:bookmarkStart w:id="109" w:name="_Toc1267967234"/>
      <w:bookmarkStart w:id="110" w:name="_Toc996756161"/>
      <w:bookmarkStart w:id="111" w:name="_Toc1614236527"/>
      <w:bookmarkStart w:id="112" w:name="_Toc1971926637"/>
      <w:bookmarkStart w:id="113" w:name="_Toc1412570441"/>
      <w:bookmarkStart w:id="114" w:name="_Toc1360762617"/>
      <w:bookmarkStart w:id="115" w:name="_Toc2073666225_WPSOffice_Level3"/>
      <w:bookmarkStart w:id="116" w:name="_Toc1462517689"/>
      <w:bookmarkStart w:id="117" w:name="_Toc474620139"/>
      <w:bookmarkStart w:id="118" w:name="_Toc1938095027"/>
      <w:bookmarkStart w:id="119" w:name="_Toc1237822054"/>
      <w:r>
        <w:rPr>
          <w:rFonts w:hint="default" w:ascii="Times New Roman" w:hAnsi="Times New Roman" w:eastAsia="方正小标宋_GBK" w:cs="Times New Roman"/>
          <w:color w:val="auto"/>
          <w:sz w:val="30"/>
          <w:szCs w:val="30"/>
          <w:lang w:val="en-US" w:eastAsia="zh-CN"/>
        </w:rPr>
        <w:br w:type="page"/>
      </w:r>
    </w:p>
    <w:p w14:paraId="0A226FEF">
      <w:pPr>
        <w:pStyle w:val="3"/>
        <w:spacing w:before="0" w:after="0" w:line="360" w:lineRule="auto"/>
        <w:jc w:val="center"/>
        <w:rPr>
          <w:rFonts w:hint="default" w:ascii="Times New Roman" w:hAnsi="Times New Roman" w:eastAsia="方正小标宋_GBK" w:cs="Times New Roman"/>
          <w:b w:val="0"/>
          <w:color w:val="auto"/>
          <w:sz w:val="30"/>
          <w:szCs w:val="30"/>
          <w:lang w:val="en-US" w:eastAsia="zh-CN"/>
        </w:rPr>
      </w:pPr>
      <w:r>
        <w:rPr>
          <w:rFonts w:hint="default" w:ascii="Times New Roman" w:hAnsi="Times New Roman" w:eastAsia="方正小标宋_GBK" w:cs="Times New Roman"/>
          <w:b w:val="0"/>
          <w:color w:val="auto"/>
          <w:sz w:val="30"/>
          <w:szCs w:val="30"/>
          <w:lang w:val="en-US" w:eastAsia="zh-CN"/>
        </w:rPr>
        <w:t>六、其他资格证明文件</w:t>
      </w:r>
      <w:bookmarkEnd w:id="109"/>
      <w:bookmarkEnd w:id="110"/>
      <w:bookmarkEnd w:id="111"/>
      <w:bookmarkEnd w:id="112"/>
      <w:bookmarkEnd w:id="113"/>
      <w:bookmarkEnd w:id="114"/>
      <w:bookmarkEnd w:id="115"/>
      <w:bookmarkEnd w:id="116"/>
      <w:bookmarkEnd w:id="117"/>
      <w:bookmarkEnd w:id="118"/>
      <w:bookmarkEnd w:id="119"/>
    </w:p>
    <w:p w14:paraId="50FC3704">
      <w:pPr>
        <w:spacing w:line="360" w:lineRule="auto"/>
        <w:ind w:left="1080" w:hanging="540"/>
        <w:jc w:val="center"/>
        <w:rPr>
          <w:rFonts w:hint="default" w:ascii="Times New Roman" w:hAnsi="Times New Roman" w:eastAsia="宋体" w:cs="Times New Roman"/>
          <w:b/>
          <w:bCs/>
          <w:color w:val="auto"/>
          <w:sz w:val="24"/>
          <w:szCs w:val="24"/>
          <w:lang w:val="en-US" w:eastAsia="zh-CN"/>
        </w:rPr>
      </w:pPr>
    </w:p>
    <w:p w14:paraId="05029842">
      <w:pPr>
        <w:pStyle w:val="168"/>
        <w:tabs>
          <w:tab w:val="left" w:pos="5580"/>
        </w:tabs>
        <w:spacing w:line="360" w:lineRule="auto"/>
        <w:ind w:firstLine="840" w:firstLineChars="300"/>
        <w:rPr>
          <w:rFonts w:hint="default" w:ascii="Times New Roman" w:hAnsi="Times New Roman" w:eastAsia="仿宋_GB2312" w:cs="Times New Roman"/>
          <w:color w:val="auto"/>
          <w:sz w:val="28"/>
          <w:szCs w:val="28"/>
          <w:lang w:val="zh-TW"/>
        </w:rPr>
      </w:pPr>
    </w:p>
    <w:p w14:paraId="676FE7EB">
      <w:pPr>
        <w:pStyle w:val="168"/>
        <w:tabs>
          <w:tab w:val="left" w:pos="5580"/>
        </w:tabs>
        <w:spacing w:line="360" w:lineRule="auto"/>
        <w:rPr>
          <w:rFonts w:hint="default" w:ascii="Times New Roman" w:hAnsi="Times New Roman" w:eastAsia="仿宋_GB2312" w:cs="Times New Roman"/>
          <w:color w:val="auto"/>
          <w:sz w:val="28"/>
          <w:szCs w:val="28"/>
          <w:lang w:val="zh-TW"/>
        </w:rPr>
      </w:pPr>
      <w:r>
        <w:rPr>
          <w:rFonts w:hint="default" w:ascii="Times New Roman" w:hAnsi="Times New Roman" w:eastAsia="仿宋_GB2312" w:cs="Times New Roman"/>
          <w:color w:val="auto"/>
          <w:sz w:val="28"/>
          <w:szCs w:val="28"/>
          <w:lang w:val="zh-TW"/>
        </w:rPr>
        <w:t>说明：1.应提供的其他资格证明文件。</w:t>
      </w:r>
    </w:p>
    <w:p w14:paraId="0506451C">
      <w:pPr>
        <w:pStyle w:val="168"/>
        <w:tabs>
          <w:tab w:val="left" w:pos="5580"/>
        </w:tabs>
        <w:spacing w:line="360" w:lineRule="auto"/>
        <w:rPr>
          <w:rFonts w:hint="default" w:ascii="Times New Roman" w:hAnsi="Times New Roman" w:eastAsia="仿宋_GB2312" w:cs="Times New Roman"/>
          <w:color w:val="auto"/>
          <w:sz w:val="28"/>
          <w:szCs w:val="28"/>
          <w:lang w:val="zh-TW"/>
        </w:rPr>
      </w:pPr>
      <w:r>
        <w:rPr>
          <w:rFonts w:hint="default" w:ascii="Times New Roman" w:hAnsi="Times New Roman" w:eastAsia="仿宋_GB2312" w:cs="Times New Roman"/>
          <w:color w:val="auto"/>
          <w:sz w:val="28"/>
          <w:szCs w:val="28"/>
          <w:lang w:val="zh-TW"/>
        </w:rPr>
        <w:t xml:space="preserve">      2.原件或复印件的扫描件上应加盖企业电子签章（自然人磋商响应的无需盖章，需要签字）。</w:t>
      </w:r>
    </w:p>
    <w:p w14:paraId="18C33CC2">
      <w:pPr>
        <w:pStyle w:val="168"/>
        <w:tabs>
          <w:tab w:val="left" w:pos="5580"/>
        </w:tabs>
        <w:spacing w:line="360" w:lineRule="auto"/>
        <w:ind w:firstLine="840" w:firstLineChars="300"/>
        <w:rPr>
          <w:rFonts w:hint="default" w:ascii="Times New Roman" w:hAnsi="Times New Roman" w:eastAsia="仿宋_GB2312" w:cs="Times New Roman"/>
          <w:color w:val="auto"/>
          <w:sz w:val="28"/>
          <w:szCs w:val="28"/>
          <w:lang w:val="zh-TW"/>
        </w:rPr>
      </w:pPr>
      <w:r>
        <w:rPr>
          <w:rFonts w:hint="default" w:ascii="Times New Roman" w:hAnsi="Times New Roman" w:eastAsia="仿宋_GB2312" w:cs="Times New Roman"/>
          <w:color w:val="auto"/>
          <w:sz w:val="28"/>
          <w:szCs w:val="28"/>
          <w:lang w:val="zh-TW"/>
        </w:rPr>
        <w:t>3. 如果是联合体磋商，联合体各方需提供的满足</w:t>
      </w:r>
      <w:r>
        <w:rPr>
          <w:rFonts w:hint="default" w:ascii="Times New Roman" w:hAnsi="Times New Roman" w:eastAsia="仿宋_GB2312" w:cs="Times New Roman"/>
          <w:color w:val="auto"/>
          <w:sz w:val="28"/>
          <w:szCs w:val="28"/>
        </w:rPr>
        <w:t>竞争性磋商文件</w:t>
      </w:r>
      <w:r>
        <w:rPr>
          <w:rFonts w:hint="default" w:ascii="Times New Roman" w:hAnsi="Times New Roman" w:eastAsia="仿宋_GB2312" w:cs="Times New Roman"/>
          <w:color w:val="auto"/>
          <w:sz w:val="28"/>
          <w:szCs w:val="28"/>
          <w:lang w:val="zh-TW"/>
        </w:rPr>
        <w:t>要求的其他资格证明文件。</w:t>
      </w:r>
    </w:p>
    <w:p w14:paraId="62000D94">
      <w:pPr>
        <w:pStyle w:val="168"/>
        <w:tabs>
          <w:tab w:val="left" w:pos="5580"/>
        </w:tabs>
        <w:spacing w:line="360" w:lineRule="auto"/>
        <w:ind w:firstLine="840" w:firstLineChars="300"/>
        <w:rPr>
          <w:rFonts w:hint="default" w:ascii="Times New Roman" w:hAnsi="Times New Roman" w:eastAsia="仿宋_GB2312" w:cs="Times New Roman"/>
          <w:color w:val="auto"/>
          <w:sz w:val="28"/>
          <w:szCs w:val="28"/>
          <w:lang w:val="zh-TW"/>
        </w:rPr>
      </w:pPr>
    </w:p>
    <w:p w14:paraId="7B99E85E">
      <w:pPr>
        <w:pStyle w:val="3"/>
        <w:spacing w:before="0" w:after="0" w:line="360" w:lineRule="auto"/>
        <w:jc w:val="center"/>
        <w:rPr>
          <w:rFonts w:hint="default" w:ascii="Times New Roman" w:hAnsi="Times New Roman" w:eastAsia="黑体" w:cs="Times New Roman"/>
          <w:b w:val="0"/>
          <w:bCs w:val="0"/>
          <w:color w:val="auto"/>
          <w:sz w:val="28"/>
          <w:szCs w:val="28"/>
          <w:lang w:val="en-US" w:eastAsia="zh-CN"/>
        </w:rPr>
      </w:pPr>
      <w:bookmarkStart w:id="120" w:name="_Toc796765497"/>
      <w:bookmarkStart w:id="121" w:name="_Toc1358550999"/>
      <w:bookmarkStart w:id="122" w:name="_Toc1795185313"/>
      <w:bookmarkStart w:id="123" w:name="_Toc1032668283"/>
      <w:bookmarkStart w:id="124" w:name="_Toc520566279"/>
      <w:bookmarkStart w:id="125" w:name="_Toc1004533822"/>
      <w:bookmarkStart w:id="126" w:name="_Toc653176911"/>
      <w:bookmarkStart w:id="127" w:name="_Toc343930138"/>
      <w:bookmarkStart w:id="128" w:name="_Toc1383476989"/>
      <w:r>
        <w:rPr>
          <w:rFonts w:hint="default" w:ascii="Times New Roman" w:hAnsi="Times New Roman" w:eastAsia="黑体" w:cs="Times New Roman"/>
          <w:b w:val="0"/>
          <w:bCs w:val="0"/>
          <w:color w:val="auto"/>
          <w:sz w:val="28"/>
          <w:szCs w:val="28"/>
          <w:lang w:eastAsia="zh-CN"/>
        </w:rPr>
        <w:br w:type="page"/>
      </w:r>
      <w:r>
        <w:rPr>
          <w:rFonts w:hint="default" w:ascii="Times New Roman" w:hAnsi="Times New Roman" w:eastAsia="方正小标宋_GBK" w:cs="Times New Roman"/>
          <w:b w:val="0"/>
          <w:color w:val="auto"/>
          <w:sz w:val="30"/>
          <w:szCs w:val="30"/>
          <w:lang w:eastAsia="zh-CN"/>
        </w:rPr>
        <w:t>七、磋商响应函</w:t>
      </w:r>
      <w:bookmarkEnd w:id="120"/>
      <w:bookmarkEnd w:id="121"/>
      <w:bookmarkEnd w:id="122"/>
      <w:bookmarkEnd w:id="123"/>
      <w:bookmarkEnd w:id="124"/>
      <w:bookmarkEnd w:id="125"/>
      <w:bookmarkEnd w:id="126"/>
      <w:bookmarkEnd w:id="127"/>
      <w:bookmarkEnd w:id="128"/>
    </w:p>
    <w:p w14:paraId="7B70957E">
      <w:pPr>
        <w:spacing w:line="360" w:lineRule="auto"/>
        <w:ind w:firstLine="480"/>
        <w:rPr>
          <w:rFonts w:hint="default" w:ascii="Times New Roman" w:hAnsi="Times New Roman" w:cs="Times New Roman"/>
          <w:color w:val="auto"/>
          <w:lang w:eastAsia="zh-CN"/>
        </w:rPr>
      </w:pPr>
    </w:p>
    <w:p w14:paraId="0727CD59">
      <w:pPr>
        <w:spacing w:line="360" w:lineRule="auto"/>
        <w:rPr>
          <w:rFonts w:hint="default" w:ascii="Times New Roman" w:hAnsi="Times New Roman" w:eastAsia="仿宋_GB2312" w:cs="Times New Roman"/>
          <w:color w:val="auto"/>
          <w:sz w:val="28"/>
          <w:szCs w:val="28"/>
          <w:u w:val="single"/>
          <w:lang w:eastAsia="zh-CN"/>
        </w:rPr>
      </w:pPr>
      <w:r>
        <w:rPr>
          <w:rFonts w:hint="default" w:ascii="Times New Roman" w:hAnsi="Times New Roman" w:eastAsia="仿宋_GB2312" w:cs="Times New Roman"/>
          <w:color w:val="auto"/>
          <w:sz w:val="28"/>
          <w:szCs w:val="28"/>
          <w:lang w:eastAsia="zh-CN"/>
        </w:rPr>
        <w:t>致：</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u w:val="single"/>
          <w:lang w:val="en" w:eastAsia="zh-CN"/>
        </w:rPr>
        <w:t>郑州铁路职业技术学院</w:t>
      </w:r>
      <w:r>
        <w:rPr>
          <w:rFonts w:hint="default" w:ascii="Times New Roman" w:hAnsi="Times New Roman" w:eastAsia="仿宋_GB2312" w:cs="Times New Roman"/>
          <w:color w:val="auto"/>
          <w:sz w:val="28"/>
          <w:szCs w:val="28"/>
          <w:u w:val="single"/>
          <w:lang w:eastAsia="zh-CN"/>
        </w:rPr>
        <w:t xml:space="preserve"> </w:t>
      </w:r>
    </w:p>
    <w:p w14:paraId="6801AA5E">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我们收到了采购编号为</w:t>
      </w:r>
      <w:r>
        <w:rPr>
          <w:rFonts w:hint="default" w:ascii="Times New Roman" w:hAnsi="Times New Roman" w:eastAsia="仿宋_GB2312" w:cs="Times New Roman"/>
          <w:color w:val="auto"/>
          <w:sz w:val="28"/>
          <w:szCs w:val="28"/>
          <w:u w:val="single"/>
          <w:lang w:eastAsia="zh-CN"/>
        </w:rPr>
        <w:t xml:space="preserve"> </w:t>
      </w:r>
      <w:r>
        <w:rPr>
          <w:rFonts w:hint="eastAsia" w:ascii="Times New Roman" w:hAnsi="Times New Roman" w:eastAsia="仿宋_GB2312" w:cs="Times New Roman"/>
          <w:color w:val="auto"/>
          <w:sz w:val="28"/>
          <w:szCs w:val="28"/>
          <w:u w:val="single"/>
          <w:lang w:val="en-US" w:eastAsia="zh-CN"/>
        </w:rPr>
        <w:t>豫财磋商采购-2026-889</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的</w:t>
      </w:r>
      <w:r>
        <w:rPr>
          <w:rFonts w:hint="eastAsia" w:ascii="Times New Roman" w:hAnsi="Times New Roman" w:eastAsia="仿宋_GB2312" w:cs="Times New Roman"/>
          <w:color w:val="auto"/>
          <w:sz w:val="28"/>
          <w:szCs w:val="28"/>
          <w:u w:val="single"/>
          <w:lang w:val="en" w:eastAsia="zh-CN"/>
        </w:rPr>
        <w:t>郑州铁路职业技术学院智慧教学环境更新与提升项目（二期)项目</w:t>
      </w:r>
      <w:r>
        <w:rPr>
          <w:rFonts w:hint="default" w:ascii="Times New Roman" w:hAnsi="Times New Roman" w:eastAsia="仿宋_GB2312" w:cs="Times New Roman"/>
          <w:color w:val="auto"/>
          <w:sz w:val="28"/>
          <w:szCs w:val="28"/>
          <w:lang w:eastAsia="zh-CN"/>
        </w:rPr>
        <w:t>采购文件，经详细研究，我们决定参加该项目的竞争性磋商活动并按要求提交竞争性磋商响应文件。我们郑重声明以下诸点并负法律责任</w:t>
      </w:r>
      <w:r>
        <w:rPr>
          <w:rFonts w:hint="default" w:ascii="Times New Roman" w:hAnsi="Times New Roman" w:eastAsia="仿宋_GB2312" w:cs="Times New Roman"/>
          <w:color w:val="auto"/>
          <w:sz w:val="28"/>
          <w:szCs w:val="28"/>
          <w:lang w:val="en-US" w:eastAsia="zh-CN"/>
        </w:rPr>
        <w:t>：</w:t>
      </w:r>
    </w:p>
    <w:p w14:paraId="790C24F3">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(1) </w:t>
      </w:r>
      <w:r>
        <w:rPr>
          <w:rFonts w:hint="default" w:ascii="Times New Roman" w:hAnsi="Times New Roman" w:eastAsia="仿宋_GB2312" w:cs="Times New Roman"/>
          <w:color w:val="auto"/>
          <w:sz w:val="28"/>
          <w:szCs w:val="28"/>
          <w:lang w:eastAsia="zh-CN"/>
        </w:rPr>
        <w:t>愿按照采购文件中规定的条款和要求，提供完成采购文件规定的全部工作，首次磋商响应总报价为（大写）</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元人民币，（小写）￥：</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元）。</w:t>
      </w:r>
    </w:p>
    <w:p w14:paraId="6BA6F959">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(2) </w:t>
      </w:r>
      <w:r>
        <w:rPr>
          <w:rFonts w:hint="default" w:ascii="Times New Roman" w:hAnsi="Times New Roman" w:eastAsia="仿宋_GB2312" w:cs="Times New Roman"/>
          <w:color w:val="auto"/>
          <w:sz w:val="28"/>
          <w:szCs w:val="28"/>
          <w:lang w:eastAsia="zh-CN"/>
        </w:rPr>
        <w:t>如果我们的竞争性磋商响应文件被接受，我们将履行</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中规定的各项要求。</w:t>
      </w:r>
    </w:p>
    <w:p w14:paraId="3BD46692">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(3) </w:t>
      </w:r>
      <w:r>
        <w:rPr>
          <w:rFonts w:hint="default" w:ascii="Times New Roman" w:hAnsi="Times New Roman" w:eastAsia="仿宋_GB2312" w:cs="Times New Roman"/>
          <w:color w:val="auto"/>
          <w:sz w:val="28"/>
          <w:szCs w:val="28"/>
          <w:lang w:eastAsia="zh-CN"/>
        </w:rPr>
        <w:t>我们同意本</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中有关响应文件有效期的规定。如果成交，有效期延长至合同终止日止。</w:t>
      </w:r>
    </w:p>
    <w:p w14:paraId="75D945B1">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(4) </w:t>
      </w:r>
      <w:r>
        <w:rPr>
          <w:rFonts w:hint="default" w:ascii="Times New Roman" w:hAnsi="Times New Roman" w:eastAsia="仿宋_GB2312" w:cs="Times New Roman"/>
          <w:color w:val="auto"/>
          <w:sz w:val="28"/>
          <w:szCs w:val="28"/>
          <w:lang w:eastAsia="zh-CN"/>
        </w:rPr>
        <w:t>我们愿提供</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中要求的所有文件资料。</w:t>
      </w:r>
    </w:p>
    <w:p w14:paraId="5473BE70">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(5) </w:t>
      </w:r>
      <w:r>
        <w:rPr>
          <w:rFonts w:hint="default" w:ascii="Times New Roman" w:hAnsi="Times New Roman" w:eastAsia="仿宋_GB2312" w:cs="Times New Roman"/>
          <w:color w:val="auto"/>
          <w:sz w:val="28"/>
          <w:szCs w:val="28"/>
          <w:lang w:eastAsia="zh-CN"/>
        </w:rPr>
        <w:t>我们已经详细审核了全部采购文件，如有需要澄清的问题，我们同意按采购文件规定的时间向采购人提出。逾期不提，我公司同意放弃对这方面有不明及误解的权利。</w:t>
      </w:r>
    </w:p>
    <w:p w14:paraId="6E4AB0CD">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(6) </w:t>
      </w:r>
      <w:r>
        <w:rPr>
          <w:rFonts w:hint="default" w:ascii="Times New Roman" w:hAnsi="Times New Roman" w:eastAsia="仿宋_GB2312" w:cs="Times New Roman"/>
          <w:color w:val="auto"/>
          <w:sz w:val="28"/>
          <w:szCs w:val="28"/>
          <w:lang w:eastAsia="zh-CN"/>
        </w:rPr>
        <w:t>我们承诺，与采购人聘请的为此项目提供咨询服务及任何附属机构均无关联，非采购人的附属机构。</w:t>
      </w:r>
    </w:p>
    <w:p w14:paraId="6B2153E2">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(7) </w:t>
      </w:r>
      <w:r>
        <w:rPr>
          <w:rFonts w:hint="default" w:ascii="Times New Roman" w:hAnsi="Times New Roman" w:eastAsia="仿宋_GB2312" w:cs="Times New Roman"/>
          <w:color w:val="auto"/>
          <w:sz w:val="28"/>
          <w:szCs w:val="28"/>
          <w:lang w:eastAsia="zh-CN"/>
        </w:rPr>
        <w:t>我公司同意提供按照采购人可能要求的与其磋商响应有关的一切数据或资料，完全理解采购人不一定接受最低价的磋商响应或收到的任何磋商响应。</w:t>
      </w:r>
    </w:p>
    <w:p w14:paraId="01A84732">
      <w:pPr>
        <w:spacing w:line="360" w:lineRule="auto"/>
        <w:ind w:firstLine="48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(8) </w:t>
      </w:r>
      <w:r>
        <w:rPr>
          <w:rFonts w:hint="default" w:ascii="Times New Roman" w:hAnsi="Times New Roman" w:eastAsia="仿宋_GB2312" w:cs="Times New Roman"/>
          <w:color w:val="auto"/>
          <w:sz w:val="28"/>
          <w:szCs w:val="28"/>
          <w:lang w:eastAsia="zh-CN"/>
        </w:rPr>
        <w:t>如果我们的竞争性磋商响应文件被接受，我们将按</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的规定签订并严格履行合同中的责任和义务。</w:t>
      </w:r>
    </w:p>
    <w:p w14:paraId="256C100E">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val="en" w:eastAsia="zh-CN"/>
        </w:rPr>
        <w:t>9</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我公司公平竞争参加本次竞争性磋商活动。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39B1A6DF">
      <w:pPr>
        <w:spacing w:line="360" w:lineRule="auto"/>
        <w:ind w:firstLine="280" w:firstLineChars="1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(10)</w:t>
      </w:r>
      <w:r>
        <w:rPr>
          <w:rFonts w:hint="default" w:ascii="Times New Roman" w:hAnsi="Times New Roman" w:eastAsia="仿宋_GB2312" w:cs="Times New Roman"/>
          <w:color w:val="auto"/>
          <w:sz w:val="28"/>
          <w:szCs w:val="28"/>
          <w:lang w:eastAsia="zh-CN"/>
        </w:rPr>
        <w:t>我公司独立参加采购项目，未组成联合体参加磋商响应。</w:t>
      </w:r>
    </w:p>
    <w:p w14:paraId="2527952E">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val="en" w:eastAsia="zh-CN"/>
        </w:rPr>
        <w:t>1</w:t>
      </w:r>
      <w:r>
        <w:rPr>
          <w:rFonts w:hint="default" w:ascii="Times New Roman" w:hAnsi="Times New Roman" w:eastAsia="仿宋_GB2312" w:cs="Times New Roman"/>
          <w:color w:val="auto"/>
          <w:sz w:val="28"/>
          <w:szCs w:val="28"/>
          <w:lang w:val="en-US" w:eastAsia="zh-CN"/>
        </w:rPr>
        <w:t xml:space="preserve">1) </w:t>
      </w:r>
      <w:r>
        <w:rPr>
          <w:rFonts w:hint="default" w:ascii="Times New Roman" w:hAnsi="Times New Roman" w:eastAsia="仿宋_GB2312" w:cs="Times New Roman"/>
          <w:color w:val="auto"/>
          <w:sz w:val="28"/>
          <w:szCs w:val="28"/>
          <w:lang w:eastAsia="zh-CN"/>
        </w:rPr>
        <w:t>除不可抗力外，我公司如果发生以下行为，将在行为发生的10个工作日内，向贵方支付本</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公布的最高限价的2%作为违约赔偿金。</w:t>
      </w:r>
    </w:p>
    <w:p w14:paraId="01B5AD8F">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fldChar w:fldCharType="begin"/>
      </w:r>
      <w:r>
        <w:rPr>
          <w:rFonts w:hint="default" w:ascii="Times New Roman" w:hAnsi="Times New Roman" w:eastAsia="仿宋_GB2312" w:cs="Times New Roman"/>
          <w:color w:val="auto"/>
          <w:sz w:val="28"/>
          <w:szCs w:val="28"/>
          <w:lang w:eastAsia="zh-CN"/>
        </w:rPr>
        <w:instrText xml:space="preserve"> = 1 \* GB3 \* MERGEFORMAT </w:instrText>
      </w:r>
      <w:r>
        <w:rPr>
          <w:rFonts w:hint="default" w:ascii="Times New Roman" w:hAnsi="Times New Roman" w:eastAsia="仿宋_GB2312" w:cs="Times New Roman"/>
          <w:color w:val="auto"/>
          <w:sz w:val="28"/>
          <w:szCs w:val="28"/>
          <w:lang w:eastAsia="zh-CN"/>
        </w:rPr>
        <w:fldChar w:fldCharType="separate"/>
      </w:r>
      <w:r>
        <w:rPr>
          <w:rFonts w:hint="default" w:ascii="Times New Roman" w:hAnsi="Times New Roman" w:eastAsia="仿宋_GB2312" w:cs="Times New Roman"/>
          <w:color w:val="auto"/>
          <w:sz w:val="28"/>
          <w:szCs w:val="28"/>
          <w:lang w:eastAsia="zh-CN"/>
        </w:rPr>
        <w:t>①</w:t>
      </w:r>
      <w:r>
        <w:rPr>
          <w:rFonts w:hint="default" w:ascii="Times New Roman" w:hAnsi="Times New Roman" w:eastAsia="仿宋_GB2312" w:cs="Times New Roman"/>
          <w:color w:val="auto"/>
          <w:sz w:val="28"/>
          <w:szCs w:val="28"/>
          <w:lang w:eastAsia="zh-CN"/>
        </w:rPr>
        <w:fldChar w:fldCharType="end"/>
      </w:r>
      <w:r>
        <w:rPr>
          <w:rFonts w:hint="default" w:ascii="Times New Roman" w:hAnsi="Times New Roman" w:eastAsia="仿宋_GB2312" w:cs="Times New Roman"/>
          <w:color w:val="auto"/>
          <w:sz w:val="28"/>
          <w:szCs w:val="28"/>
          <w:lang w:eastAsia="zh-CN"/>
        </w:rPr>
        <w:t>在</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规定的响应文件有效期内实质上修改或撤回磋商响应文件；</w:t>
      </w:r>
    </w:p>
    <w:p w14:paraId="53BD92C3">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fldChar w:fldCharType="begin"/>
      </w:r>
      <w:r>
        <w:rPr>
          <w:rFonts w:hint="default" w:ascii="Times New Roman" w:hAnsi="Times New Roman" w:eastAsia="仿宋_GB2312" w:cs="Times New Roman"/>
          <w:color w:val="auto"/>
          <w:sz w:val="28"/>
          <w:szCs w:val="28"/>
          <w:lang w:eastAsia="zh-CN"/>
        </w:rPr>
        <w:instrText xml:space="preserve"> = 2 \* GB3 \* MERGEFORMAT </w:instrText>
      </w:r>
      <w:r>
        <w:rPr>
          <w:rFonts w:hint="default" w:ascii="Times New Roman" w:hAnsi="Times New Roman" w:eastAsia="仿宋_GB2312" w:cs="Times New Roman"/>
          <w:color w:val="auto"/>
          <w:sz w:val="28"/>
          <w:szCs w:val="28"/>
          <w:lang w:eastAsia="zh-CN"/>
        </w:rPr>
        <w:fldChar w:fldCharType="separate"/>
      </w:r>
      <w:r>
        <w:rPr>
          <w:rFonts w:hint="default" w:ascii="Times New Roman" w:hAnsi="Times New Roman" w:eastAsia="仿宋_GB2312" w:cs="Times New Roman"/>
          <w:color w:val="auto"/>
          <w:sz w:val="28"/>
          <w:szCs w:val="28"/>
          <w:lang w:eastAsia="zh-CN"/>
        </w:rPr>
        <w:t>②</w:t>
      </w:r>
      <w:r>
        <w:rPr>
          <w:rFonts w:hint="default" w:ascii="Times New Roman" w:hAnsi="Times New Roman" w:eastAsia="仿宋_GB2312" w:cs="Times New Roman"/>
          <w:color w:val="auto"/>
          <w:sz w:val="28"/>
          <w:szCs w:val="28"/>
          <w:lang w:eastAsia="zh-CN"/>
        </w:rPr>
        <w:fldChar w:fldCharType="end"/>
      </w:r>
      <w:r>
        <w:rPr>
          <w:rFonts w:hint="default" w:ascii="Times New Roman" w:hAnsi="Times New Roman" w:eastAsia="仿宋_GB2312" w:cs="Times New Roman"/>
          <w:color w:val="auto"/>
          <w:sz w:val="28"/>
          <w:szCs w:val="28"/>
          <w:lang w:eastAsia="zh-CN"/>
        </w:rPr>
        <w:t>成交后不依法与采购人签订合同；</w:t>
      </w:r>
    </w:p>
    <w:p w14:paraId="2AFB42C6">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fldChar w:fldCharType="begin"/>
      </w:r>
      <w:r>
        <w:rPr>
          <w:rFonts w:hint="default" w:ascii="Times New Roman" w:hAnsi="Times New Roman" w:eastAsia="仿宋_GB2312" w:cs="Times New Roman"/>
          <w:color w:val="auto"/>
          <w:sz w:val="28"/>
          <w:szCs w:val="28"/>
          <w:lang w:eastAsia="zh-CN"/>
        </w:rPr>
        <w:instrText xml:space="preserve"> = 3 \* GB3 \* MERGEFORMAT </w:instrText>
      </w:r>
      <w:r>
        <w:rPr>
          <w:rFonts w:hint="default" w:ascii="Times New Roman" w:hAnsi="Times New Roman" w:eastAsia="仿宋_GB2312" w:cs="Times New Roman"/>
          <w:color w:val="auto"/>
          <w:sz w:val="28"/>
          <w:szCs w:val="28"/>
          <w:lang w:eastAsia="zh-CN"/>
        </w:rPr>
        <w:fldChar w:fldCharType="separate"/>
      </w:r>
      <w:r>
        <w:rPr>
          <w:rFonts w:hint="default" w:ascii="Times New Roman" w:hAnsi="Times New Roman" w:eastAsia="仿宋_GB2312" w:cs="Times New Roman"/>
          <w:color w:val="auto"/>
          <w:sz w:val="28"/>
          <w:szCs w:val="28"/>
          <w:lang w:eastAsia="zh-CN"/>
        </w:rPr>
        <w:t>③</w:t>
      </w:r>
      <w:r>
        <w:rPr>
          <w:rFonts w:hint="default" w:ascii="Times New Roman" w:hAnsi="Times New Roman" w:eastAsia="仿宋_GB2312" w:cs="Times New Roman"/>
          <w:color w:val="auto"/>
          <w:sz w:val="28"/>
          <w:szCs w:val="28"/>
          <w:lang w:eastAsia="zh-CN"/>
        </w:rPr>
        <w:fldChar w:fldCharType="end"/>
      </w:r>
      <w:r>
        <w:rPr>
          <w:rFonts w:hint="default" w:ascii="Times New Roman" w:hAnsi="Times New Roman" w:eastAsia="仿宋_GB2312" w:cs="Times New Roman"/>
          <w:color w:val="auto"/>
          <w:sz w:val="28"/>
          <w:szCs w:val="28"/>
          <w:lang w:eastAsia="zh-CN"/>
        </w:rPr>
        <w:t>在竞争性磋商响应文件中提供虚假材料。</w:t>
      </w:r>
    </w:p>
    <w:p w14:paraId="6DF13749">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 w:eastAsia="zh-CN"/>
        </w:rPr>
        <w:t>1</w:t>
      </w:r>
      <w:r>
        <w:rPr>
          <w:rFonts w:hint="default" w:ascii="Times New Roman" w:hAnsi="Times New Roman" w:eastAsia="仿宋_GB2312" w:cs="Times New Roman"/>
          <w:color w:val="auto"/>
          <w:sz w:val="28"/>
          <w:szCs w:val="28"/>
          <w:lang w:val="en-US" w:eastAsia="zh-CN"/>
        </w:rPr>
        <w:t xml:space="preserve">2) </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（其他补充说明）。</w:t>
      </w:r>
    </w:p>
    <w:p w14:paraId="2DAD46F2">
      <w:pPr>
        <w:spacing w:line="360" w:lineRule="auto"/>
        <w:ind w:firstLine="560"/>
        <w:rPr>
          <w:rFonts w:hint="default" w:ascii="Times New Roman" w:hAnsi="Times New Roman" w:eastAsia="仿宋_GB2312" w:cs="Times New Roman"/>
          <w:color w:val="auto"/>
          <w:sz w:val="28"/>
          <w:szCs w:val="28"/>
          <w:lang w:eastAsia="zh-CN"/>
        </w:rPr>
      </w:pPr>
    </w:p>
    <w:p w14:paraId="1F276A2E">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与本磋商响应有关的正式通讯地址：</w:t>
      </w:r>
    </w:p>
    <w:p w14:paraId="72CDBB86">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地  址：                             邮  编：</w:t>
      </w:r>
    </w:p>
    <w:p w14:paraId="684DB742">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电  话：                             传  真：</w:t>
      </w:r>
    </w:p>
    <w:p w14:paraId="4C74392B">
      <w:pPr>
        <w:spacing w:line="360" w:lineRule="auto"/>
        <w:ind w:firstLine="465"/>
        <w:rPr>
          <w:rFonts w:hint="default" w:ascii="Times New Roman" w:hAnsi="Times New Roman" w:eastAsia="仿宋_GB2312" w:cs="Times New Roman"/>
          <w:color w:val="auto"/>
          <w:sz w:val="28"/>
          <w:szCs w:val="28"/>
          <w:lang w:eastAsia="zh-CN"/>
        </w:rPr>
      </w:pPr>
    </w:p>
    <w:p w14:paraId="384701DB">
      <w:pPr>
        <w:spacing w:line="360" w:lineRule="auto"/>
        <w:ind w:firstLine="465"/>
        <w:rPr>
          <w:rFonts w:hint="default" w:ascii="Times New Roman" w:hAnsi="Times New Roman" w:eastAsia="仿宋_GB2312" w:cs="Times New Roman"/>
          <w:color w:val="auto"/>
          <w:sz w:val="28"/>
          <w:szCs w:val="28"/>
          <w:lang w:eastAsia="zh-CN"/>
        </w:rPr>
      </w:pPr>
    </w:p>
    <w:p w14:paraId="759292B8">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供应商（企业电子签章）：</w:t>
      </w:r>
    </w:p>
    <w:p w14:paraId="2DC50906">
      <w:pPr>
        <w:spacing w:line="360" w:lineRule="auto"/>
        <w:ind w:firstLine="48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 xml:space="preserve">法定代表人（个人电子签章）：                                                                                </w:t>
      </w:r>
      <w:r>
        <w:rPr>
          <w:rFonts w:hint="default" w:ascii="Times New Roman" w:hAnsi="Times New Roman" w:eastAsia="仿宋_GB2312" w:cs="Times New Roman"/>
          <w:color w:val="auto"/>
          <w:sz w:val="28"/>
          <w:szCs w:val="28"/>
          <w:lang w:val="en-US" w:eastAsia="zh-CN"/>
        </w:rPr>
        <w:t xml:space="preserve">                </w:t>
      </w:r>
    </w:p>
    <w:p w14:paraId="17E6E0D8">
      <w:pPr>
        <w:spacing w:line="400" w:lineRule="exact"/>
        <w:ind w:firstLine="465"/>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w:t>
      </w:r>
    </w:p>
    <w:p w14:paraId="79292763">
      <w:pPr>
        <w:spacing w:line="360" w:lineRule="auto"/>
        <w:ind w:firstLine="3712" w:firstLineChars="1326"/>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日期：</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年</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月</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日</w:t>
      </w:r>
    </w:p>
    <w:p w14:paraId="31C93AD8">
      <w:pPr>
        <w:pStyle w:val="3"/>
        <w:spacing w:before="0" w:after="0" w:line="360" w:lineRule="auto"/>
        <w:jc w:val="center"/>
        <w:rPr>
          <w:rFonts w:hint="default" w:ascii="Times New Roman" w:hAnsi="Times New Roman" w:eastAsia="黑体" w:cs="Times New Roman"/>
          <w:b w:val="0"/>
          <w:bCs w:val="0"/>
          <w:color w:val="auto"/>
          <w:sz w:val="28"/>
          <w:szCs w:val="28"/>
          <w:lang w:val="en-US" w:eastAsia="zh-CN"/>
        </w:rPr>
      </w:pPr>
      <w:bookmarkStart w:id="129" w:name="_Toc74240237"/>
      <w:bookmarkStart w:id="130" w:name="_Toc2582321"/>
      <w:bookmarkStart w:id="131" w:name="_Toc20897"/>
      <w:bookmarkStart w:id="132" w:name="_Toc1881"/>
      <w:bookmarkStart w:id="133" w:name="_Toc515647818"/>
      <w:bookmarkStart w:id="134" w:name="_Toc532473507"/>
      <w:r>
        <w:rPr>
          <w:rFonts w:hint="default" w:ascii="Times New Roman" w:hAnsi="Times New Roman" w:eastAsia="黑体" w:cs="Times New Roman"/>
          <w:color w:val="auto"/>
          <w:sz w:val="28"/>
          <w:szCs w:val="28"/>
          <w:lang w:val="en-US" w:eastAsia="zh-CN"/>
        </w:rPr>
        <w:br w:type="page"/>
      </w:r>
      <w:bookmarkStart w:id="135" w:name="_Toc607874351"/>
      <w:bookmarkStart w:id="136" w:name="_Toc1472753336"/>
      <w:bookmarkStart w:id="137" w:name="_Toc942115178"/>
      <w:bookmarkStart w:id="138" w:name="_Toc1050158208"/>
      <w:bookmarkStart w:id="139" w:name="_Toc1552610899"/>
      <w:r>
        <w:rPr>
          <w:rFonts w:hint="default" w:ascii="Times New Roman" w:hAnsi="Times New Roman" w:eastAsia="方正小标宋_GBK" w:cs="Times New Roman"/>
          <w:b w:val="0"/>
          <w:color w:val="auto"/>
          <w:sz w:val="30"/>
          <w:szCs w:val="30"/>
          <w:lang w:val="en-US" w:eastAsia="zh-CN"/>
        </w:rPr>
        <w:t>八、</w:t>
      </w:r>
      <w:r>
        <w:rPr>
          <w:rFonts w:hint="default" w:ascii="Times New Roman" w:hAnsi="Times New Roman" w:eastAsia="方正小标宋_GBK" w:cs="Times New Roman"/>
          <w:b w:val="0"/>
          <w:color w:val="auto"/>
          <w:sz w:val="30"/>
          <w:szCs w:val="30"/>
          <w:lang w:eastAsia="zh-CN"/>
        </w:rPr>
        <w:t>法定代表人身份证明书</w:t>
      </w:r>
      <w:bookmarkEnd w:id="135"/>
      <w:bookmarkEnd w:id="136"/>
      <w:bookmarkEnd w:id="137"/>
      <w:bookmarkEnd w:id="138"/>
      <w:bookmarkEnd w:id="139"/>
    </w:p>
    <w:p w14:paraId="1F39874E">
      <w:pPr>
        <w:spacing w:line="360" w:lineRule="auto"/>
        <w:rPr>
          <w:rFonts w:hint="default" w:ascii="Times New Roman" w:hAnsi="Times New Roman" w:eastAsia="宋体" w:cs="Times New Roman"/>
          <w:color w:val="auto"/>
          <w:sz w:val="28"/>
          <w:szCs w:val="28"/>
          <w:lang w:val="en-US" w:eastAsia="zh-CN"/>
        </w:rPr>
      </w:pPr>
    </w:p>
    <w:p w14:paraId="406D980F">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致</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val="en" w:eastAsia="zh-CN"/>
        </w:rPr>
        <w:t xml:space="preserve"> </w:t>
      </w:r>
      <w:r>
        <w:rPr>
          <w:rFonts w:hint="default" w:ascii="Times New Roman" w:hAnsi="Times New Roman" w:eastAsia="仿宋_GB2312" w:cs="Times New Roman"/>
          <w:color w:val="auto"/>
          <w:sz w:val="28"/>
          <w:szCs w:val="28"/>
          <w:u w:val="single"/>
          <w:lang w:val="en" w:eastAsia="zh-CN"/>
        </w:rPr>
        <w:t>郑州铁路职业技术学院</w:t>
      </w:r>
    </w:p>
    <w:p w14:paraId="501672F1">
      <w:pPr>
        <w:spacing w:line="360" w:lineRule="auto"/>
        <w:ind w:firstLine="6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（姓名、性别、年龄、身份证号码）在我单位任</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（董事长、总经理等）职务，是我单位的法定代表人。</w:t>
      </w:r>
    </w:p>
    <w:p w14:paraId="4355E117">
      <w:pPr>
        <w:spacing w:line="360" w:lineRule="auto"/>
        <w:ind w:firstLine="480"/>
        <w:rPr>
          <w:rFonts w:hint="default" w:ascii="Times New Roman" w:hAnsi="Times New Roman" w:eastAsia="仿宋_GB2312" w:cs="Times New Roman"/>
          <w:color w:val="auto"/>
          <w:sz w:val="28"/>
          <w:szCs w:val="28"/>
          <w:lang w:val="en-US" w:eastAsia="zh-CN"/>
        </w:rPr>
      </w:pPr>
    </w:p>
    <w:p w14:paraId="3FB4B315">
      <w:pPr>
        <w:spacing w:line="360" w:lineRule="auto"/>
        <w:ind w:firstLine="480"/>
        <w:rPr>
          <w:rFonts w:hint="default" w:ascii="Times New Roman" w:hAnsi="Times New Roman" w:eastAsia="仿宋_GB2312" w:cs="Times New Roman"/>
          <w:color w:val="auto"/>
          <w:sz w:val="28"/>
          <w:szCs w:val="28"/>
          <w:lang w:val="en-US" w:eastAsia="zh-CN"/>
        </w:rPr>
      </w:pPr>
    </w:p>
    <w:p w14:paraId="475827AC">
      <w:pPr>
        <w:spacing w:line="360" w:lineRule="auto"/>
        <w:ind w:firstLine="6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特此证明。</w:t>
      </w:r>
    </w:p>
    <w:p w14:paraId="40C6FCCC">
      <w:pPr>
        <w:spacing w:line="360" w:lineRule="auto"/>
        <w:ind w:firstLine="480"/>
        <w:rPr>
          <w:rFonts w:hint="default" w:ascii="Times New Roman" w:hAnsi="Times New Roman" w:eastAsia="仿宋_GB2312" w:cs="Times New Roman"/>
          <w:color w:val="auto"/>
          <w:sz w:val="28"/>
          <w:szCs w:val="28"/>
          <w:lang w:val="en-US" w:eastAsia="zh-CN"/>
        </w:rPr>
      </w:pPr>
    </w:p>
    <w:p w14:paraId="268855CA">
      <w:pPr>
        <w:spacing w:line="360" w:lineRule="auto"/>
        <w:ind w:firstLine="480"/>
        <w:rPr>
          <w:rFonts w:hint="default" w:ascii="Times New Roman" w:hAnsi="Times New Roman" w:eastAsia="仿宋_GB2312" w:cs="Times New Roman"/>
          <w:color w:val="auto"/>
          <w:sz w:val="28"/>
          <w:szCs w:val="28"/>
          <w:lang w:val="en-US" w:eastAsia="zh-CN"/>
        </w:rPr>
      </w:pPr>
    </w:p>
    <w:p w14:paraId="6D910A3F">
      <w:pPr>
        <w:spacing w:line="360" w:lineRule="auto"/>
        <w:ind w:firstLine="480"/>
        <w:rPr>
          <w:rFonts w:hint="default" w:ascii="Times New Roman" w:hAnsi="Times New Roman" w:eastAsia="仿宋_GB2312" w:cs="Times New Roman"/>
          <w:color w:val="auto"/>
          <w:sz w:val="28"/>
          <w:szCs w:val="28"/>
          <w:lang w:val="en-US" w:eastAsia="zh-CN"/>
        </w:rPr>
      </w:pPr>
    </w:p>
    <w:p w14:paraId="057CDB00">
      <w:pPr>
        <w:pStyle w:val="168"/>
        <w:tabs>
          <w:tab w:val="left" w:pos="5580"/>
        </w:tabs>
        <w:spacing w:line="360" w:lineRule="auto"/>
        <w:ind w:firstLine="36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zh-TW"/>
        </w:rPr>
        <w:t>供应商（企业电子签章）：</w:t>
      </w:r>
      <w:r>
        <w:rPr>
          <w:rFonts w:hint="default" w:ascii="Times New Roman" w:hAnsi="Times New Roman" w:eastAsia="仿宋_GB2312" w:cs="Times New Roman"/>
          <w:color w:val="auto"/>
          <w:sz w:val="28"/>
          <w:szCs w:val="28"/>
          <w:u w:val="single"/>
        </w:rPr>
        <w:t xml:space="preserve">                             </w:t>
      </w:r>
    </w:p>
    <w:p w14:paraId="46EFAC77">
      <w:pPr>
        <w:pStyle w:val="168"/>
        <w:tabs>
          <w:tab w:val="left" w:pos="5580"/>
        </w:tabs>
        <w:spacing w:line="360" w:lineRule="auto"/>
        <w:ind w:left="269" w:firstLine="12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zh-TW"/>
        </w:rPr>
        <w:t>详细通讯地址：</w:t>
      </w:r>
      <w:r>
        <w:rPr>
          <w:rFonts w:hint="default" w:ascii="Times New Roman" w:hAnsi="Times New Roman" w:eastAsia="仿宋_GB2312" w:cs="Times New Roman"/>
          <w:color w:val="auto"/>
          <w:sz w:val="28"/>
          <w:szCs w:val="28"/>
          <w:u w:val="single"/>
        </w:rPr>
        <w:t xml:space="preserve">                                </w:t>
      </w:r>
    </w:p>
    <w:p w14:paraId="04DA50AD">
      <w:pPr>
        <w:pStyle w:val="168"/>
        <w:tabs>
          <w:tab w:val="left" w:pos="5580"/>
        </w:tabs>
        <w:spacing w:line="360" w:lineRule="auto"/>
        <w:ind w:firstLine="36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zh-TW"/>
        </w:rPr>
        <w:t>邮 政 编 码 ：</w:t>
      </w:r>
      <w:r>
        <w:rPr>
          <w:rFonts w:hint="default" w:ascii="Times New Roman" w:hAnsi="Times New Roman" w:eastAsia="仿宋_GB2312" w:cs="Times New Roman"/>
          <w:color w:val="auto"/>
          <w:sz w:val="28"/>
          <w:szCs w:val="28"/>
          <w:u w:val="single"/>
        </w:rPr>
        <w:t xml:space="preserve">                                </w:t>
      </w:r>
    </w:p>
    <w:p w14:paraId="5A53AFD1">
      <w:pPr>
        <w:pStyle w:val="168"/>
        <w:tabs>
          <w:tab w:val="left" w:pos="5580"/>
        </w:tabs>
        <w:spacing w:line="360" w:lineRule="auto"/>
        <w:ind w:firstLine="36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zh-TW"/>
        </w:rPr>
        <w:t>传　　　　真：</w:t>
      </w:r>
      <w:r>
        <w:rPr>
          <w:rFonts w:hint="default" w:ascii="Times New Roman" w:hAnsi="Times New Roman" w:eastAsia="仿宋_GB2312" w:cs="Times New Roman"/>
          <w:color w:val="auto"/>
          <w:sz w:val="28"/>
          <w:szCs w:val="28"/>
          <w:u w:val="single"/>
        </w:rPr>
        <w:t xml:space="preserve">                                </w:t>
      </w:r>
    </w:p>
    <w:p w14:paraId="50F30DB0">
      <w:pPr>
        <w:pStyle w:val="168"/>
        <w:tabs>
          <w:tab w:val="left" w:pos="5580"/>
        </w:tabs>
        <w:spacing w:line="360" w:lineRule="auto"/>
        <w:ind w:firstLine="36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zh-TW"/>
        </w:rPr>
        <w:t>电　　　　话：</w:t>
      </w:r>
      <w:r>
        <w:rPr>
          <w:rFonts w:hint="default" w:ascii="Times New Roman" w:hAnsi="Times New Roman" w:eastAsia="仿宋_GB2312" w:cs="Times New Roman"/>
          <w:color w:val="auto"/>
          <w:sz w:val="28"/>
          <w:szCs w:val="28"/>
          <w:u w:val="single"/>
        </w:rPr>
        <w:t xml:space="preserve">                                </w:t>
      </w:r>
    </w:p>
    <w:tbl>
      <w:tblPr>
        <w:tblStyle w:val="52"/>
        <w:tblW w:w="0" w:type="auto"/>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4484"/>
        <w:gridCol w:w="4485"/>
      </w:tblGrid>
      <w:tr w14:paraId="0C17DE2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486" w:hRule="atLeast"/>
          <w:jc w:val="center"/>
        </w:trPr>
        <w:tc>
          <w:tcPr>
            <w:tcW w:w="4484"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35D088B">
            <w:pPr>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法定代表人身份证（人像面）</w:t>
            </w:r>
          </w:p>
        </w:tc>
        <w:tc>
          <w:tcPr>
            <w:tcW w:w="448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362426D">
            <w:pPr>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法定代表人身份证（国徽面）</w:t>
            </w:r>
          </w:p>
        </w:tc>
      </w:tr>
    </w:tbl>
    <w:p w14:paraId="2273D666">
      <w:pPr>
        <w:spacing w:line="360" w:lineRule="auto"/>
        <w:ind w:firstLine="480"/>
        <w:rPr>
          <w:rFonts w:hint="default" w:ascii="Times New Roman" w:hAnsi="Times New Roman" w:eastAsia="仿宋_GB2312" w:cs="Times New Roman"/>
          <w:color w:val="auto"/>
          <w:sz w:val="28"/>
          <w:szCs w:val="28"/>
          <w:lang w:val="en-US" w:eastAsia="zh-CN"/>
        </w:rPr>
      </w:pPr>
    </w:p>
    <w:p w14:paraId="4166F310">
      <w:pPr>
        <w:spacing w:line="360" w:lineRule="auto"/>
        <w:ind w:firstLine="6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注：自然人磋商响应的无需提供。</w:t>
      </w:r>
    </w:p>
    <w:p w14:paraId="0A7003EB">
      <w:pPr>
        <w:rPr>
          <w:rFonts w:hint="default" w:ascii="Times New Roman" w:hAnsi="Times New Roman" w:cs="Times New Roman"/>
          <w:color w:val="auto"/>
          <w:lang w:eastAsia="zh-CN"/>
        </w:rPr>
      </w:pPr>
    </w:p>
    <w:p w14:paraId="0C0E3863">
      <w:pPr>
        <w:pStyle w:val="16"/>
        <w:rPr>
          <w:rFonts w:hint="default" w:ascii="Times New Roman" w:hAnsi="Times New Roman" w:cs="Times New Roman"/>
        </w:rPr>
      </w:pPr>
    </w:p>
    <w:p w14:paraId="71575754">
      <w:pPr>
        <w:pStyle w:val="16"/>
        <w:rPr>
          <w:rFonts w:hint="default" w:ascii="Times New Roman" w:hAnsi="Times New Roman" w:cs="Times New Roman"/>
        </w:rPr>
      </w:pPr>
    </w:p>
    <w:p w14:paraId="66DDF991">
      <w:pPr>
        <w:pStyle w:val="39"/>
        <w:ind w:left="556" w:hanging="278"/>
        <w:rPr>
          <w:rFonts w:hint="default" w:ascii="Times New Roman" w:hAnsi="Times New Roman" w:cs="Times New Roman"/>
          <w:color w:val="auto"/>
          <w:lang w:eastAsia="zh-CN"/>
        </w:rPr>
        <w:sectPr>
          <w:headerReference r:id="rId5" w:type="default"/>
          <w:footerReference r:id="rId6" w:type="default"/>
          <w:pgSz w:w="11906" w:h="16838"/>
          <w:pgMar w:top="1440" w:right="1797" w:bottom="1440" w:left="1797" w:header="851" w:footer="992" w:gutter="0"/>
          <w:cols w:space="720" w:num="1"/>
          <w:docGrid w:linePitch="312" w:charSpace="0"/>
        </w:sectPr>
      </w:pPr>
    </w:p>
    <w:p w14:paraId="30108C0B">
      <w:pPr>
        <w:pStyle w:val="3"/>
        <w:spacing w:before="0" w:after="0" w:line="360" w:lineRule="auto"/>
        <w:jc w:val="center"/>
        <w:rPr>
          <w:rFonts w:hint="default" w:ascii="Times New Roman" w:hAnsi="Times New Roman" w:eastAsia="方正小标宋_GBK" w:cs="Times New Roman"/>
          <w:b w:val="0"/>
          <w:color w:val="auto"/>
          <w:sz w:val="30"/>
          <w:szCs w:val="30"/>
          <w:lang w:eastAsia="zh-CN"/>
        </w:rPr>
      </w:pPr>
      <w:bookmarkStart w:id="140" w:name="_Toc169296229"/>
      <w:bookmarkStart w:id="141" w:name="_Toc1255393211"/>
      <w:bookmarkStart w:id="142" w:name="_Toc320103337"/>
      <w:bookmarkStart w:id="143" w:name="_Toc1046173163"/>
      <w:bookmarkStart w:id="144" w:name="_Toc828720957"/>
      <w:r>
        <w:rPr>
          <w:rFonts w:hint="default" w:ascii="Times New Roman" w:hAnsi="Times New Roman" w:eastAsia="方正小标宋_GBK" w:cs="Times New Roman"/>
          <w:b w:val="0"/>
          <w:color w:val="auto"/>
          <w:sz w:val="30"/>
          <w:szCs w:val="30"/>
          <w:lang w:eastAsia="zh-CN"/>
        </w:rPr>
        <w:t>九、磋商响应报价表格</w:t>
      </w:r>
      <w:bookmarkEnd w:id="140"/>
      <w:bookmarkEnd w:id="141"/>
      <w:bookmarkEnd w:id="142"/>
      <w:bookmarkEnd w:id="143"/>
      <w:bookmarkEnd w:id="144"/>
    </w:p>
    <w:p w14:paraId="15955F96">
      <w:pPr>
        <w:spacing w:line="480" w:lineRule="auto"/>
        <w:jc w:val="center"/>
        <w:outlineLvl w:val="2"/>
        <w:rPr>
          <w:rFonts w:hint="default" w:ascii="Times New Roman" w:hAnsi="Times New Roman" w:eastAsia="黑体" w:cs="Times New Roman"/>
          <w:b/>
          <w:bCs/>
          <w:color w:val="auto"/>
          <w:sz w:val="28"/>
          <w:szCs w:val="28"/>
          <w:lang w:eastAsia="zh-CN"/>
        </w:rPr>
      </w:pPr>
      <w:bookmarkStart w:id="145" w:name="_Toc1289935819"/>
      <w:bookmarkStart w:id="146" w:name="_Toc55824951"/>
      <w:bookmarkStart w:id="147" w:name="_Toc562840553"/>
      <w:bookmarkStart w:id="148" w:name="_Toc1320150736"/>
      <w:r>
        <w:rPr>
          <w:rFonts w:hint="default" w:ascii="Times New Roman" w:hAnsi="Times New Roman" w:eastAsia="黑体" w:cs="Times New Roman"/>
          <w:b/>
          <w:bCs/>
          <w:color w:val="auto"/>
          <w:sz w:val="28"/>
          <w:szCs w:val="28"/>
          <w:lang w:eastAsia="zh-CN"/>
        </w:rPr>
        <w:t>1</w:t>
      </w:r>
      <w:r>
        <w:rPr>
          <w:rFonts w:hint="default" w:ascii="Times New Roman" w:hAnsi="Times New Roman" w:eastAsia="黑体" w:cs="Times New Roman"/>
          <w:b/>
          <w:bCs/>
          <w:color w:val="auto"/>
          <w:sz w:val="28"/>
          <w:szCs w:val="28"/>
          <w:lang w:val="en-US" w:eastAsia="zh-CN"/>
        </w:rPr>
        <w:t xml:space="preserve">. </w:t>
      </w:r>
      <w:r>
        <w:rPr>
          <w:rFonts w:hint="default" w:ascii="Times New Roman" w:hAnsi="Times New Roman" w:eastAsia="黑体" w:cs="Times New Roman"/>
          <w:b/>
          <w:bCs/>
          <w:color w:val="auto"/>
          <w:sz w:val="28"/>
          <w:szCs w:val="28"/>
          <w:lang w:eastAsia="zh-CN"/>
        </w:rPr>
        <w:t>磋商响应主要内容汇总表</w:t>
      </w:r>
      <w:bookmarkEnd w:id="145"/>
      <w:bookmarkEnd w:id="146"/>
      <w:bookmarkEnd w:id="147"/>
      <w:bookmarkEnd w:id="148"/>
    </w:p>
    <w:p w14:paraId="2E4A9D47">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采购编号：</w:t>
      </w:r>
      <w:r>
        <w:rPr>
          <w:rFonts w:hint="default" w:ascii="Times New Roman" w:hAnsi="Times New Roman" w:eastAsia="仿宋_GB2312" w:cs="Times New Roman"/>
          <w:b/>
          <w:bCs/>
          <w:color w:val="auto"/>
          <w:sz w:val="28"/>
          <w:szCs w:val="28"/>
          <w:u w:val="single"/>
          <w:lang w:val="en-US" w:eastAsia="zh-CN"/>
        </w:rPr>
        <w:t xml:space="preserve"> </w:t>
      </w:r>
      <w:r>
        <w:rPr>
          <w:rFonts w:hint="eastAsia" w:ascii="Times New Roman" w:hAnsi="Times New Roman" w:eastAsia="仿宋_GB2312" w:cs="Times New Roman"/>
          <w:b/>
          <w:bCs/>
          <w:color w:val="auto"/>
          <w:sz w:val="28"/>
          <w:szCs w:val="28"/>
          <w:u w:val="single"/>
          <w:lang w:val="en-US" w:eastAsia="zh-CN"/>
        </w:rPr>
        <w:t>豫财磋商采购-2026-889</w:t>
      </w:r>
      <w:r>
        <w:rPr>
          <w:rFonts w:hint="default" w:ascii="Times New Roman" w:hAnsi="Times New Roman" w:eastAsia="仿宋_GB2312" w:cs="Times New Roman"/>
          <w:b/>
          <w:bCs/>
          <w:color w:val="auto"/>
          <w:sz w:val="28"/>
          <w:szCs w:val="28"/>
          <w:u w:val="single"/>
          <w:lang w:val="en-US" w:eastAsia="zh-CN"/>
        </w:rPr>
        <w:t xml:space="preserve"> </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金额单位：元人民币</w:t>
      </w:r>
    </w:p>
    <w:tbl>
      <w:tblPr>
        <w:tblStyle w:val="52"/>
        <w:tblW w:w="8790"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15"/>
        <w:gridCol w:w="6975"/>
      </w:tblGrid>
      <w:tr w14:paraId="0F80C52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BA6E287">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项目名称</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FED16DC">
            <w:pPr>
              <w:spacing w:line="500" w:lineRule="exact"/>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bCs/>
                <w:color w:val="auto"/>
                <w:kern w:val="0"/>
                <w:sz w:val="28"/>
                <w:szCs w:val="28"/>
                <w:lang w:val="en" w:eastAsia="zh-CN"/>
              </w:rPr>
              <w:t>郑州铁路职业技术学院智慧教学环境更新与提升项目（二期)项目</w:t>
            </w:r>
          </w:p>
        </w:tc>
      </w:tr>
      <w:tr w14:paraId="0D18307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7C914CB">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供应商名称</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AF90BF6">
            <w:pPr>
              <w:spacing w:line="500" w:lineRule="exact"/>
              <w:ind w:firstLine="560" w:firstLineChars="200"/>
              <w:rPr>
                <w:rFonts w:hint="default" w:ascii="Times New Roman" w:hAnsi="Times New Roman" w:eastAsia="仿宋_GB2312" w:cs="Times New Roman"/>
                <w:color w:val="auto"/>
                <w:sz w:val="28"/>
                <w:szCs w:val="28"/>
                <w:lang w:eastAsia="zh-CN"/>
              </w:rPr>
            </w:pPr>
          </w:p>
        </w:tc>
      </w:tr>
      <w:tr w14:paraId="71F61F8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F9ACC88">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首次总报价（大写）</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5A6C678">
            <w:pPr>
              <w:spacing w:line="500" w:lineRule="exact"/>
              <w:ind w:firstLine="560" w:firstLineChars="200"/>
              <w:rPr>
                <w:rFonts w:hint="default" w:ascii="Times New Roman" w:hAnsi="Times New Roman" w:eastAsia="仿宋_GB2312" w:cs="Times New Roman"/>
                <w:color w:val="auto"/>
                <w:sz w:val="28"/>
                <w:szCs w:val="28"/>
                <w:lang w:eastAsia="zh-CN"/>
              </w:rPr>
            </w:pPr>
          </w:p>
        </w:tc>
      </w:tr>
      <w:tr w14:paraId="0131C23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48996AC">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首次总报价（小写）</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BAEED53">
            <w:pPr>
              <w:spacing w:line="500" w:lineRule="exact"/>
              <w:ind w:firstLine="560" w:firstLineChars="200"/>
              <w:rPr>
                <w:rFonts w:hint="default" w:ascii="Times New Roman" w:hAnsi="Times New Roman" w:eastAsia="仿宋_GB2312" w:cs="Times New Roman"/>
                <w:color w:val="auto"/>
                <w:sz w:val="28"/>
                <w:szCs w:val="28"/>
                <w:lang w:eastAsia="zh-CN"/>
              </w:rPr>
            </w:pPr>
          </w:p>
        </w:tc>
      </w:tr>
      <w:tr w14:paraId="0ED0B17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43D58A1">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交货期</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CB9C9B6">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合同签订后45个日历日内完成本项目的供货、安装及调试。</w:t>
            </w:r>
          </w:p>
        </w:tc>
      </w:tr>
      <w:tr w14:paraId="1D57309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32016B3">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交货地点</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0870164">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Cs/>
                <w:color w:val="auto"/>
                <w:kern w:val="0"/>
                <w:sz w:val="28"/>
                <w:szCs w:val="28"/>
                <w:lang w:val="en" w:eastAsia="zh-CN"/>
              </w:rPr>
              <w:t>郑州铁路职业技术学院</w:t>
            </w:r>
            <w:r>
              <w:rPr>
                <w:rFonts w:hint="default" w:ascii="Times New Roman" w:hAnsi="Times New Roman" w:eastAsia="仿宋_GB2312" w:cs="Times New Roman"/>
                <w:bCs/>
                <w:color w:val="auto"/>
                <w:kern w:val="0"/>
                <w:sz w:val="28"/>
                <w:szCs w:val="28"/>
                <w:lang w:val="en-US" w:eastAsia="zh-CN"/>
              </w:rPr>
              <w:t>（</w:t>
            </w:r>
            <w:r>
              <w:rPr>
                <w:rFonts w:hint="default" w:ascii="Times New Roman" w:hAnsi="Times New Roman" w:eastAsia="仿宋_GB2312" w:cs="Times New Roman"/>
                <w:color w:val="auto"/>
                <w:sz w:val="28"/>
                <w:szCs w:val="28"/>
                <w:lang w:val="en-US" w:eastAsia="zh-CN"/>
              </w:rPr>
              <w:t>河南省郑州市郑东新区通惠路298号</w:t>
            </w:r>
            <w:r>
              <w:rPr>
                <w:rFonts w:hint="default" w:ascii="Times New Roman" w:hAnsi="Times New Roman" w:eastAsia="仿宋_GB2312" w:cs="Times New Roman"/>
                <w:bCs/>
                <w:color w:val="auto"/>
                <w:kern w:val="0"/>
                <w:sz w:val="28"/>
                <w:szCs w:val="28"/>
                <w:lang w:val="en-US" w:eastAsia="zh-CN"/>
              </w:rPr>
              <w:t>）</w:t>
            </w:r>
          </w:p>
        </w:tc>
      </w:tr>
      <w:tr w14:paraId="204FCD5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E045B92">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质量保证期</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6CF35BF">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PMingLiU"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年</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从验收合格之日起开始计算</w:t>
            </w:r>
          </w:p>
        </w:tc>
      </w:tr>
      <w:tr w14:paraId="6BCFB6A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C8A2981">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响应文件有效期</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C44933F">
            <w:pPr>
              <w:spacing w:line="500" w:lineRule="exact"/>
              <w:rPr>
                <w:rFonts w:hint="default" w:ascii="Times New Roman" w:hAnsi="Times New Roman" w:eastAsia="仿宋_GB2312" w:cs="Times New Roman"/>
                <w:color w:val="auto"/>
                <w:sz w:val="28"/>
                <w:szCs w:val="28"/>
                <w:lang w:val="en" w:eastAsia="zh-CN"/>
              </w:rPr>
            </w:pPr>
            <w:r>
              <w:rPr>
                <w:rFonts w:hint="default" w:ascii="Times New Roman" w:hAnsi="Times New Roman" w:eastAsia="仿宋_GB2312" w:cs="Times New Roman"/>
                <w:color w:val="auto"/>
                <w:sz w:val="28"/>
                <w:szCs w:val="28"/>
                <w:lang w:val="en" w:eastAsia="zh-CN"/>
              </w:rPr>
              <w:t>自响应文件提交截止时间起60天</w:t>
            </w:r>
          </w:p>
        </w:tc>
      </w:tr>
      <w:tr w14:paraId="77A1A91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702228B">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付款方式</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62C5BD5">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满足采购人要求</w:t>
            </w:r>
          </w:p>
        </w:tc>
      </w:tr>
      <w:tr w14:paraId="59880C7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F1DEC80">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合同条款</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6003613">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满足采购人要求</w:t>
            </w:r>
          </w:p>
        </w:tc>
      </w:tr>
      <w:tr w14:paraId="7587852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31"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8907C76">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其他声明</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CD4D375">
            <w:pPr>
              <w:spacing w:line="500" w:lineRule="exact"/>
              <w:ind w:firstLine="560" w:firstLineChars="200"/>
              <w:rPr>
                <w:rFonts w:hint="default" w:ascii="Times New Roman" w:hAnsi="Times New Roman" w:eastAsia="仿宋_GB2312" w:cs="Times New Roman"/>
                <w:color w:val="auto"/>
                <w:sz w:val="28"/>
                <w:szCs w:val="28"/>
                <w:lang w:eastAsia="zh-CN"/>
              </w:rPr>
            </w:pPr>
          </w:p>
        </w:tc>
      </w:tr>
    </w:tbl>
    <w:p w14:paraId="1AE2C0D4">
      <w:pPr>
        <w:widowControl w:val="0"/>
        <w:jc w:val="center"/>
        <w:rPr>
          <w:rFonts w:hint="default" w:ascii="Times New Roman" w:hAnsi="Times New Roman" w:eastAsia="仿宋_GB2312" w:cs="Times New Roman"/>
          <w:color w:val="auto"/>
          <w:sz w:val="28"/>
          <w:szCs w:val="28"/>
        </w:rPr>
      </w:pPr>
    </w:p>
    <w:p w14:paraId="1C80257F">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供应商（企业电子签章）：</w:t>
      </w:r>
    </w:p>
    <w:p w14:paraId="03DCF3D1">
      <w:pPr>
        <w:spacing w:line="500" w:lineRule="exact"/>
        <w:ind w:firstLine="560" w:firstLineChars="200"/>
        <w:rPr>
          <w:rFonts w:hint="default" w:ascii="Times New Roman" w:hAnsi="Times New Roman" w:eastAsia="黑体" w:cs="Times New Roman"/>
          <w:color w:val="auto"/>
          <w:sz w:val="28"/>
          <w:szCs w:val="28"/>
          <w:lang w:val="en-US" w:eastAsia="zh-CN"/>
        </w:rPr>
        <w:sectPr>
          <w:headerReference r:id="rId7" w:type="default"/>
          <w:footerReference r:id="rId8" w:type="default"/>
          <w:pgSz w:w="11900" w:h="16840"/>
          <w:pgMar w:top="1440" w:right="1800" w:bottom="1440" w:left="1800" w:header="851" w:footer="992" w:gutter="0"/>
          <w:cols w:space="720" w:num="1"/>
        </w:sectPr>
      </w:pPr>
      <w:r>
        <w:rPr>
          <w:rFonts w:hint="default" w:ascii="Times New Roman" w:hAnsi="Times New Roman" w:eastAsia="仿宋_GB2312" w:cs="Times New Roman"/>
          <w:color w:val="auto"/>
          <w:sz w:val="28"/>
          <w:szCs w:val="28"/>
          <w:lang w:val="en-US" w:eastAsia="zh-CN"/>
        </w:rPr>
        <w:t>法定代表人（个人电子签章）：</w:t>
      </w:r>
      <w:bookmarkStart w:id="149" w:name="_Toc1593252031"/>
      <w:bookmarkStart w:id="150" w:name="_Toc1752312956"/>
      <w:bookmarkStart w:id="151" w:name="_Toc1901647701"/>
      <w:bookmarkStart w:id="152" w:name="_Toc145274497"/>
    </w:p>
    <w:p w14:paraId="64BD5FD1">
      <w:pPr>
        <w:pStyle w:val="4"/>
        <w:spacing w:before="0" w:after="0" w:line="360" w:lineRule="auto"/>
        <w:jc w:val="center"/>
        <w:rPr>
          <w:rFonts w:hint="default" w:ascii="Times New Roman" w:hAnsi="Times New Roman" w:eastAsia="黑体" w:cs="Times New Roman"/>
          <w:color w:val="auto"/>
          <w:sz w:val="28"/>
          <w:szCs w:val="28"/>
          <w:lang w:eastAsia="zh-CN"/>
        </w:rPr>
      </w:pPr>
      <w:bookmarkStart w:id="153" w:name="_Toc2036135302"/>
      <w:bookmarkStart w:id="154" w:name="_Toc842364303"/>
      <w:bookmarkStart w:id="155" w:name="_Toc517460750"/>
      <w:bookmarkStart w:id="156" w:name="_Toc189277313"/>
      <w:r>
        <w:rPr>
          <w:rFonts w:hint="default" w:ascii="Times New Roman" w:hAnsi="Times New Roman" w:eastAsia="黑体" w:cs="Times New Roman"/>
          <w:color w:val="auto"/>
          <w:sz w:val="28"/>
          <w:szCs w:val="28"/>
          <w:lang w:val="en-US" w:eastAsia="zh-CN"/>
        </w:rPr>
        <w:t>2.</w:t>
      </w:r>
      <w:r>
        <w:rPr>
          <w:rFonts w:hint="default" w:ascii="Times New Roman" w:hAnsi="Times New Roman" w:eastAsia="黑体" w:cs="Times New Roman"/>
          <w:color w:val="auto"/>
          <w:sz w:val="28"/>
          <w:szCs w:val="28"/>
          <w:lang w:val="en" w:eastAsia="zh-CN"/>
        </w:rPr>
        <w:t xml:space="preserve"> </w:t>
      </w:r>
      <w:bookmarkEnd w:id="129"/>
      <w:bookmarkEnd w:id="130"/>
      <w:bookmarkEnd w:id="149"/>
      <w:bookmarkEnd w:id="150"/>
      <w:bookmarkEnd w:id="151"/>
      <w:bookmarkEnd w:id="152"/>
      <w:bookmarkEnd w:id="153"/>
      <w:bookmarkEnd w:id="154"/>
      <w:bookmarkEnd w:id="155"/>
      <w:bookmarkEnd w:id="156"/>
      <w:r>
        <w:rPr>
          <w:rFonts w:hint="default" w:ascii="Times New Roman" w:hAnsi="Times New Roman" w:eastAsia="黑体" w:cs="Times New Roman"/>
          <w:color w:val="auto"/>
          <w:sz w:val="28"/>
          <w:szCs w:val="28"/>
          <w:lang w:eastAsia="zh-CN"/>
        </w:rPr>
        <w:t xml:space="preserve">磋商响应分项报价表 </w:t>
      </w:r>
    </w:p>
    <w:bookmarkEnd w:id="131"/>
    <w:bookmarkEnd w:id="132"/>
    <w:bookmarkEnd w:id="133"/>
    <w:bookmarkEnd w:id="134"/>
    <w:p w14:paraId="37441F4F">
      <w:pPr>
        <w:pStyle w:val="24"/>
        <w:spacing w:line="360" w:lineRule="auto"/>
        <w:ind w:left="269" w:leftChars="128"/>
        <w:jc w:val="left"/>
        <w:rPr>
          <w:rFonts w:hint="default" w:ascii="Times New Roman" w:hAnsi="Times New Roman" w:eastAsia="仿宋_GB2312" w:cs="Times New Roman"/>
          <w:bCs/>
          <w:sz w:val="28"/>
          <w:szCs w:val="28"/>
          <w:lang w:val="en" w:eastAsia="zh-CN"/>
        </w:rPr>
      </w:pPr>
      <w:r>
        <w:rPr>
          <w:rFonts w:hint="default" w:ascii="Times New Roman" w:hAnsi="Times New Roman" w:eastAsia="仿宋_GB2312" w:cs="Times New Roman"/>
          <w:kern w:val="2"/>
          <w:sz w:val="28"/>
          <w:szCs w:val="28"/>
        </w:rPr>
        <w:t>项目名称：</w:t>
      </w:r>
      <w:r>
        <w:rPr>
          <w:rFonts w:hint="eastAsia" w:ascii="Times New Roman" w:hAnsi="Times New Roman" w:eastAsia="仿宋_GB2312" w:cs="Times New Roman"/>
          <w:bCs/>
          <w:sz w:val="28"/>
          <w:szCs w:val="28"/>
          <w:lang w:val="en" w:eastAsia="zh-CN"/>
        </w:rPr>
        <w:t>郑州铁路职业技术学院智慧教学环境更新与提升项目（二期)项目</w:t>
      </w:r>
    </w:p>
    <w:p w14:paraId="030E8490">
      <w:pPr>
        <w:pStyle w:val="24"/>
        <w:spacing w:line="360" w:lineRule="auto"/>
        <w:ind w:left="269" w:leftChars="128"/>
        <w:jc w:val="left"/>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rPr>
        <w:t>采购编号：</w:t>
      </w:r>
      <w:r>
        <w:rPr>
          <w:rFonts w:hint="eastAsia" w:ascii="Times New Roman" w:hAnsi="Times New Roman" w:eastAsia="仿宋_GB2312" w:cs="Times New Roman"/>
          <w:kern w:val="2"/>
          <w:sz w:val="28"/>
          <w:szCs w:val="28"/>
          <w:u w:val="single"/>
          <w:lang w:eastAsia="zh-CN"/>
        </w:rPr>
        <w:t>豫财磋商采购-2026-889</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rPr>
        <w:t xml:space="preserve">                                 报价单位：</w:t>
      </w:r>
      <w:r>
        <w:rPr>
          <w:rFonts w:hint="default" w:ascii="Times New Roman" w:hAnsi="Times New Roman" w:eastAsia="仿宋_GB2312" w:cs="Times New Roman"/>
          <w:kern w:val="2"/>
          <w:sz w:val="28"/>
          <w:szCs w:val="28"/>
          <w:u w:val="single"/>
        </w:rPr>
        <w:t>人民币元</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2812"/>
        <w:gridCol w:w="1087"/>
        <w:gridCol w:w="1641"/>
        <w:gridCol w:w="1004"/>
        <w:gridCol w:w="1246"/>
        <w:gridCol w:w="2273"/>
        <w:gridCol w:w="810"/>
        <w:gridCol w:w="1094"/>
        <w:gridCol w:w="1100"/>
      </w:tblGrid>
      <w:tr w14:paraId="500EA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025" w:type="dxa"/>
            <w:vAlign w:val="center"/>
          </w:tcPr>
          <w:p w14:paraId="480B352B">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序号</w:t>
            </w:r>
          </w:p>
        </w:tc>
        <w:tc>
          <w:tcPr>
            <w:tcW w:w="2812" w:type="dxa"/>
            <w:vAlign w:val="center"/>
          </w:tcPr>
          <w:p w14:paraId="6E4EEE45">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名称</w:t>
            </w:r>
          </w:p>
        </w:tc>
        <w:tc>
          <w:tcPr>
            <w:tcW w:w="1087" w:type="dxa"/>
            <w:vAlign w:val="center"/>
          </w:tcPr>
          <w:p w14:paraId="5E51D9CC">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品牌</w:t>
            </w:r>
          </w:p>
        </w:tc>
        <w:tc>
          <w:tcPr>
            <w:tcW w:w="1641" w:type="dxa"/>
            <w:vAlign w:val="center"/>
          </w:tcPr>
          <w:p w14:paraId="73C1400A">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型号和规格</w:t>
            </w:r>
          </w:p>
        </w:tc>
        <w:tc>
          <w:tcPr>
            <w:tcW w:w="1004" w:type="dxa"/>
            <w:vAlign w:val="center"/>
          </w:tcPr>
          <w:p w14:paraId="2AED3436">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数量</w:t>
            </w:r>
          </w:p>
        </w:tc>
        <w:tc>
          <w:tcPr>
            <w:tcW w:w="1246" w:type="dxa"/>
            <w:vAlign w:val="center"/>
          </w:tcPr>
          <w:p w14:paraId="03BD86DF">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原产地</w:t>
            </w:r>
          </w:p>
        </w:tc>
        <w:tc>
          <w:tcPr>
            <w:tcW w:w="2273" w:type="dxa"/>
            <w:vAlign w:val="center"/>
          </w:tcPr>
          <w:p w14:paraId="09CE12A7">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制造商</w:t>
            </w:r>
          </w:p>
          <w:p w14:paraId="59A38D51">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（服务商）名称</w:t>
            </w:r>
          </w:p>
        </w:tc>
        <w:tc>
          <w:tcPr>
            <w:tcW w:w="810" w:type="dxa"/>
            <w:vAlign w:val="center"/>
          </w:tcPr>
          <w:p w14:paraId="1D3A6CFA">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单价</w:t>
            </w:r>
          </w:p>
        </w:tc>
        <w:tc>
          <w:tcPr>
            <w:tcW w:w="1094" w:type="dxa"/>
            <w:vAlign w:val="center"/>
          </w:tcPr>
          <w:p w14:paraId="220EBF73">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总价</w:t>
            </w:r>
          </w:p>
        </w:tc>
        <w:tc>
          <w:tcPr>
            <w:tcW w:w="1100" w:type="dxa"/>
            <w:vAlign w:val="center"/>
          </w:tcPr>
          <w:p w14:paraId="414A06E9">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备注</w:t>
            </w:r>
          </w:p>
        </w:tc>
      </w:tr>
      <w:tr w14:paraId="3692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025" w:type="dxa"/>
            <w:vAlign w:val="center"/>
          </w:tcPr>
          <w:p w14:paraId="63B69479">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w:t>
            </w:r>
          </w:p>
        </w:tc>
        <w:tc>
          <w:tcPr>
            <w:tcW w:w="2812" w:type="dxa"/>
            <w:vAlign w:val="center"/>
          </w:tcPr>
          <w:p w14:paraId="60CC4108">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货物名称</w:t>
            </w:r>
          </w:p>
        </w:tc>
        <w:tc>
          <w:tcPr>
            <w:tcW w:w="1087" w:type="dxa"/>
          </w:tcPr>
          <w:p w14:paraId="301CD9F0">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34A5DC9B">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45CE9426">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41BA095C">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21A57179">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32939980">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7E2F04B4">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54694443">
            <w:pPr>
              <w:spacing w:line="500" w:lineRule="exact"/>
              <w:jc w:val="center"/>
              <w:rPr>
                <w:rFonts w:hint="default" w:ascii="Times New Roman" w:hAnsi="Times New Roman" w:eastAsia="仿宋_GB2312" w:cs="Times New Roman"/>
                <w:color w:val="auto"/>
                <w:sz w:val="28"/>
                <w:szCs w:val="28"/>
                <w:lang w:eastAsia="zh-CN"/>
              </w:rPr>
            </w:pPr>
          </w:p>
        </w:tc>
      </w:tr>
      <w:tr w14:paraId="02106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025" w:type="dxa"/>
            <w:vAlign w:val="center"/>
          </w:tcPr>
          <w:p w14:paraId="202819E0">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p>
        </w:tc>
        <w:tc>
          <w:tcPr>
            <w:tcW w:w="2812" w:type="dxa"/>
            <w:vAlign w:val="center"/>
          </w:tcPr>
          <w:p w14:paraId="076BB214">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备品备件</w:t>
            </w:r>
          </w:p>
        </w:tc>
        <w:tc>
          <w:tcPr>
            <w:tcW w:w="1087" w:type="dxa"/>
          </w:tcPr>
          <w:p w14:paraId="7FF8D70F">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302D9E9F">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7A16A853">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11E5F98D">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72CEB2D9">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6AA28862">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58A56D12">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46CE640A">
            <w:pPr>
              <w:spacing w:line="500" w:lineRule="exact"/>
              <w:jc w:val="center"/>
              <w:rPr>
                <w:rFonts w:hint="default" w:ascii="Times New Roman" w:hAnsi="Times New Roman" w:eastAsia="仿宋_GB2312" w:cs="Times New Roman"/>
                <w:color w:val="auto"/>
                <w:sz w:val="28"/>
                <w:szCs w:val="28"/>
                <w:lang w:eastAsia="zh-CN"/>
              </w:rPr>
            </w:pPr>
          </w:p>
        </w:tc>
      </w:tr>
      <w:tr w14:paraId="0E956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025" w:type="dxa"/>
            <w:vAlign w:val="center"/>
          </w:tcPr>
          <w:p w14:paraId="1F635286">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p>
        </w:tc>
        <w:tc>
          <w:tcPr>
            <w:tcW w:w="2812" w:type="dxa"/>
            <w:vAlign w:val="center"/>
          </w:tcPr>
          <w:p w14:paraId="7C97806B">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专用工具</w:t>
            </w:r>
          </w:p>
        </w:tc>
        <w:tc>
          <w:tcPr>
            <w:tcW w:w="1087" w:type="dxa"/>
          </w:tcPr>
          <w:p w14:paraId="6954B1EA">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6DB26758">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7F041334">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064EC211">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15E4D9D4">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6EBB50EF">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0EA3900F">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7FEACB09">
            <w:pPr>
              <w:spacing w:line="500" w:lineRule="exact"/>
              <w:jc w:val="center"/>
              <w:rPr>
                <w:rFonts w:hint="default" w:ascii="Times New Roman" w:hAnsi="Times New Roman" w:eastAsia="仿宋_GB2312" w:cs="Times New Roman"/>
                <w:color w:val="auto"/>
                <w:sz w:val="28"/>
                <w:szCs w:val="28"/>
                <w:lang w:eastAsia="zh-CN"/>
              </w:rPr>
            </w:pPr>
          </w:p>
        </w:tc>
      </w:tr>
      <w:tr w14:paraId="39CA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025" w:type="dxa"/>
            <w:vAlign w:val="center"/>
          </w:tcPr>
          <w:p w14:paraId="582368C5">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w:t>
            </w:r>
          </w:p>
        </w:tc>
        <w:tc>
          <w:tcPr>
            <w:tcW w:w="2812" w:type="dxa"/>
            <w:vAlign w:val="center"/>
          </w:tcPr>
          <w:p w14:paraId="335B0820">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运输（含保险）</w:t>
            </w:r>
          </w:p>
        </w:tc>
        <w:tc>
          <w:tcPr>
            <w:tcW w:w="1087" w:type="dxa"/>
          </w:tcPr>
          <w:p w14:paraId="25FE8454">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37652532">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28CC0D18">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088D401A">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0B6F9573">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700E73F8">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6AF4AC4D">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3C30C15D">
            <w:pPr>
              <w:spacing w:line="500" w:lineRule="exact"/>
              <w:jc w:val="center"/>
              <w:rPr>
                <w:rFonts w:hint="default" w:ascii="Times New Roman" w:hAnsi="Times New Roman" w:eastAsia="仿宋_GB2312" w:cs="Times New Roman"/>
                <w:color w:val="auto"/>
                <w:sz w:val="28"/>
                <w:szCs w:val="28"/>
                <w:lang w:eastAsia="zh-CN"/>
              </w:rPr>
            </w:pPr>
          </w:p>
        </w:tc>
      </w:tr>
      <w:tr w14:paraId="3F41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025" w:type="dxa"/>
            <w:vAlign w:val="center"/>
          </w:tcPr>
          <w:p w14:paraId="19DFB993">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5</w:t>
            </w:r>
          </w:p>
        </w:tc>
        <w:tc>
          <w:tcPr>
            <w:tcW w:w="2812" w:type="dxa"/>
            <w:vAlign w:val="center"/>
          </w:tcPr>
          <w:p w14:paraId="317AB9E2">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安装、调试、检验</w:t>
            </w:r>
          </w:p>
        </w:tc>
        <w:tc>
          <w:tcPr>
            <w:tcW w:w="1087" w:type="dxa"/>
          </w:tcPr>
          <w:p w14:paraId="76F21349">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67061BA5">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41096366">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548C72E4">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495B652C">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31A9019C">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6FCFBE6D">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3943F6FB">
            <w:pPr>
              <w:spacing w:line="500" w:lineRule="exact"/>
              <w:jc w:val="center"/>
              <w:rPr>
                <w:rFonts w:hint="default" w:ascii="Times New Roman" w:hAnsi="Times New Roman" w:eastAsia="仿宋_GB2312" w:cs="Times New Roman"/>
                <w:color w:val="auto"/>
                <w:sz w:val="28"/>
                <w:szCs w:val="28"/>
                <w:lang w:eastAsia="zh-CN"/>
              </w:rPr>
            </w:pPr>
          </w:p>
        </w:tc>
      </w:tr>
      <w:tr w14:paraId="74F7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025" w:type="dxa"/>
            <w:vAlign w:val="center"/>
          </w:tcPr>
          <w:p w14:paraId="490197E3">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6</w:t>
            </w:r>
          </w:p>
        </w:tc>
        <w:tc>
          <w:tcPr>
            <w:tcW w:w="2812" w:type="dxa"/>
            <w:vAlign w:val="center"/>
          </w:tcPr>
          <w:p w14:paraId="199A146F">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培训</w:t>
            </w:r>
          </w:p>
        </w:tc>
        <w:tc>
          <w:tcPr>
            <w:tcW w:w="1087" w:type="dxa"/>
          </w:tcPr>
          <w:p w14:paraId="34539420">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2658C9FD">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04CC7DC2">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2EAC1D45">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34A03F1B">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39557724">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147D2C3C">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53FD3CD9">
            <w:pPr>
              <w:spacing w:line="500" w:lineRule="exact"/>
              <w:jc w:val="center"/>
              <w:rPr>
                <w:rFonts w:hint="default" w:ascii="Times New Roman" w:hAnsi="Times New Roman" w:eastAsia="仿宋_GB2312" w:cs="Times New Roman"/>
                <w:color w:val="auto"/>
                <w:sz w:val="28"/>
                <w:szCs w:val="28"/>
                <w:lang w:eastAsia="zh-CN"/>
              </w:rPr>
            </w:pPr>
          </w:p>
        </w:tc>
      </w:tr>
      <w:tr w14:paraId="6AA4C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025" w:type="dxa"/>
            <w:vAlign w:val="center"/>
          </w:tcPr>
          <w:p w14:paraId="71D7F9E7">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7</w:t>
            </w:r>
          </w:p>
        </w:tc>
        <w:tc>
          <w:tcPr>
            <w:tcW w:w="2812" w:type="dxa"/>
            <w:vAlign w:val="center"/>
          </w:tcPr>
          <w:p w14:paraId="0C2C004F">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技术服务</w:t>
            </w:r>
          </w:p>
        </w:tc>
        <w:tc>
          <w:tcPr>
            <w:tcW w:w="1087" w:type="dxa"/>
          </w:tcPr>
          <w:p w14:paraId="2FA0294F">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548FE43C">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30DEDB8D">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3F15BEA9">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125ED7DF">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5B98E1EB">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3DA230EF">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21C314AE">
            <w:pPr>
              <w:spacing w:line="500" w:lineRule="exact"/>
              <w:jc w:val="center"/>
              <w:rPr>
                <w:rFonts w:hint="default" w:ascii="Times New Roman" w:hAnsi="Times New Roman" w:eastAsia="仿宋_GB2312" w:cs="Times New Roman"/>
                <w:color w:val="auto"/>
                <w:sz w:val="28"/>
                <w:szCs w:val="28"/>
                <w:lang w:eastAsia="zh-CN"/>
              </w:rPr>
            </w:pPr>
          </w:p>
        </w:tc>
      </w:tr>
      <w:tr w14:paraId="310B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025" w:type="dxa"/>
            <w:vAlign w:val="center"/>
          </w:tcPr>
          <w:p w14:paraId="26CD6304">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8</w:t>
            </w:r>
          </w:p>
        </w:tc>
        <w:tc>
          <w:tcPr>
            <w:tcW w:w="2812" w:type="dxa"/>
            <w:vAlign w:val="center"/>
          </w:tcPr>
          <w:p w14:paraId="79B65531">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w:t>
            </w:r>
          </w:p>
        </w:tc>
        <w:tc>
          <w:tcPr>
            <w:tcW w:w="1087" w:type="dxa"/>
          </w:tcPr>
          <w:p w14:paraId="5870BEA3">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14D817C1">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19DCF933">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4DCEB658">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766E61CC">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4083BFFB">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40946EBA">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5A850505">
            <w:pPr>
              <w:spacing w:line="500" w:lineRule="exact"/>
              <w:jc w:val="center"/>
              <w:rPr>
                <w:rFonts w:hint="default" w:ascii="Times New Roman" w:hAnsi="Times New Roman" w:eastAsia="仿宋_GB2312" w:cs="Times New Roman"/>
                <w:color w:val="auto"/>
                <w:sz w:val="28"/>
                <w:szCs w:val="28"/>
                <w:lang w:eastAsia="zh-CN"/>
              </w:rPr>
            </w:pPr>
          </w:p>
        </w:tc>
      </w:tr>
      <w:tr w14:paraId="22E7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jc w:val="center"/>
        </w:trPr>
        <w:tc>
          <w:tcPr>
            <w:tcW w:w="14092" w:type="dxa"/>
            <w:gridSpan w:val="10"/>
            <w:vAlign w:val="center"/>
          </w:tcPr>
          <w:p w14:paraId="5ABC1846">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总价：</w:t>
            </w:r>
          </w:p>
        </w:tc>
      </w:tr>
    </w:tbl>
    <w:p w14:paraId="1B180200">
      <w:pPr>
        <w:pStyle w:val="24"/>
        <w:spacing w:line="360" w:lineRule="auto"/>
        <w:ind w:firstLine="480" w:firstLineChars="200"/>
        <w:rPr>
          <w:rFonts w:hint="default" w:ascii="Times New Roman" w:hAnsi="Times New Roman" w:eastAsia="仿宋_GB2312" w:cs="Times New Roman"/>
          <w:sz w:val="24"/>
          <w:szCs w:val="24"/>
        </w:rPr>
      </w:pPr>
      <w:bookmarkStart w:id="157" w:name="_Toc1251267079"/>
      <w:bookmarkStart w:id="158" w:name="_Toc821511257"/>
      <w:bookmarkStart w:id="159" w:name="_Toc585133884"/>
      <w:bookmarkStart w:id="160" w:name="_Toc1147996828"/>
      <w:bookmarkStart w:id="161" w:name="_Toc893708091"/>
      <w:bookmarkStart w:id="162" w:name="_Toc1749081767"/>
      <w:bookmarkStart w:id="163" w:name="_Toc131578556"/>
      <w:bookmarkStart w:id="164" w:name="_Toc74240239"/>
      <w:bookmarkStart w:id="165" w:name="_Toc1973880807"/>
      <w:bookmarkStart w:id="166" w:name="_Toc2582323"/>
      <w:bookmarkStart w:id="167" w:name="_Toc643738620"/>
      <w:bookmarkStart w:id="168" w:name="_Toc299604904"/>
      <w:r>
        <w:rPr>
          <w:rFonts w:hint="default" w:ascii="Times New Roman" w:hAnsi="Times New Roman" w:eastAsia="仿宋_GB2312" w:cs="Times New Roman"/>
          <w:sz w:val="24"/>
          <w:szCs w:val="24"/>
        </w:rPr>
        <w:t>注:1、</w:t>
      </w:r>
      <w:r>
        <w:rPr>
          <w:rFonts w:hint="default" w:ascii="Times New Roman" w:hAnsi="Times New Roman" w:eastAsia="仿宋_GB2312" w:cs="Times New Roman"/>
          <w:sz w:val="24"/>
          <w:szCs w:val="24"/>
          <w:lang w:eastAsia="zh-CN"/>
        </w:rPr>
        <w:t>格式供参考，可由</w:t>
      </w:r>
      <w:r>
        <w:rPr>
          <w:rFonts w:hint="eastAsia" w:ascii="Times New Roman" w:hAnsi="Times New Roman" w:eastAsia="仿宋_GB2312" w:cs="Times New Roman"/>
          <w:sz w:val="24"/>
          <w:szCs w:val="24"/>
          <w:lang w:val="en-US" w:eastAsia="zh-CN"/>
        </w:rPr>
        <w:t>供应商</w:t>
      </w:r>
      <w:r>
        <w:rPr>
          <w:rFonts w:hint="default" w:ascii="Times New Roman" w:hAnsi="Times New Roman" w:eastAsia="仿宋_GB2312" w:cs="Times New Roman"/>
          <w:sz w:val="24"/>
          <w:szCs w:val="24"/>
          <w:lang w:eastAsia="zh-CN"/>
        </w:rPr>
        <w:t>自行设计。</w:t>
      </w:r>
    </w:p>
    <w:p w14:paraId="7962E18B">
      <w:pPr>
        <w:pStyle w:val="24"/>
        <w:numPr>
          <w:ilvl w:val="0"/>
          <w:numId w:val="0"/>
        </w:numPr>
        <w:spacing w:line="360" w:lineRule="auto"/>
        <w:ind w:firstLine="720" w:firstLineChars="300"/>
        <w:rPr>
          <w:rFonts w:hint="default" w:ascii="Times New Roman" w:hAnsi="Times New Roman" w:eastAsia="仿宋_GB2312" w:cs="Times New Roman"/>
          <w:sz w:val="24"/>
          <w:szCs w:val="24"/>
        </w:rPr>
      </w:pPr>
      <w:r>
        <w:rPr>
          <w:rFonts w:hint="default" w:ascii="Times New Roman" w:hAnsi="Times New Roman" w:eastAsia="仿宋_GB2312" w:cs="Times New Roman"/>
          <w:color w:val="auto"/>
          <w:kern w:val="0"/>
          <w:sz w:val="24"/>
          <w:szCs w:val="24"/>
          <w:lang w:val="en-US" w:eastAsia="zh-CN" w:bidi="ar-SA"/>
        </w:rPr>
        <w:t>2、</w:t>
      </w:r>
      <w:r>
        <w:rPr>
          <w:rFonts w:hint="default" w:ascii="Times New Roman" w:hAnsi="Times New Roman" w:eastAsia="仿宋_GB2312" w:cs="Times New Roman"/>
          <w:sz w:val="24"/>
          <w:szCs w:val="24"/>
        </w:rPr>
        <w:t>货物的品牌、型号和规格、制造商（服务商）名称应当填写清楚无误，若是定制产品，不能写明品牌、型号和规格的，应当填写“定制”，并且填写定制的制造商名称；</w:t>
      </w:r>
    </w:p>
    <w:p w14:paraId="2415C807">
      <w:pPr>
        <w:pStyle w:val="24"/>
        <w:numPr>
          <w:ilvl w:val="0"/>
          <w:numId w:val="0"/>
        </w:numPr>
        <w:spacing w:line="360" w:lineRule="auto"/>
        <w:ind w:firstLine="480" w:firstLineChars="200"/>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color w:val="auto"/>
          <w:kern w:val="0"/>
          <w:sz w:val="24"/>
          <w:szCs w:val="24"/>
          <w:lang w:val="en-US" w:eastAsia="zh-CN" w:bidi="ar-SA"/>
        </w:rPr>
        <w:t>3、</w:t>
      </w:r>
      <w:r>
        <w:rPr>
          <w:rFonts w:hint="default" w:ascii="Times New Roman" w:hAnsi="Times New Roman" w:eastAsia="仿宋_GB2312" w:cs="Times New Roman"/>
          <w:sz w:val="24"/>
          <w:szCs w:val="24"/>
        </w:rPr>
        <w:t>供应商的单项报价不能超过最高限价单价，否则响应无效</w:t>
      </w:r>
      <w:r>
        <w:rPr>
          <w:rFonts w:hint="eastAsia" w:ascii="Times New Roman" w:hAnsi="Times New Roman" w:eastAsia="仿宋_GB2312" w:cs="Times New Roman"/>
          <w:sz w:val="24"/>
          <w:szCs w:val="24"/>
          <w:lang w:eastAsia="zh-CN"/>
        </w:rPr>
        <w:t>；</w:t>
      </w:r>
    </w:p>
    <w:p w14:paraId="4F58D983">
      <w:pPr>
        <w:pStyle w:val="24"/>
        <w:numPr>
          <w:ilvl w:val="-1"/>
          <w:numId w:val="0"/>
        </w:numPr>
        <w:spacing w:line="360" w:lineRule="auto"/>
        <w:ind w:firstLine="480" w:firstLineChars="200"/>
        <w:rPr>
          <w:rFonts w:hint="default" w:ascii="Times New Roman" w:hAnsi="Times New Roman" w:eastAsia="仿宋_GB2312" w:cs="Times New Roman"/>
          <w:sz w:val="24"/>
          <w:szCs w:val="24"/>
          <w:lang w:val="en-US" w:eastAsia="zh-CN"/>
        </w:rPr>
        <w:sectPr>
          <w:pgSz w:w="16840" w:h="11900" w:orient="landscape"/>
          <w:pgMar w:top="1800" w:right="1440" w:bottom="1800" w:left="1440" w:header="851" w:footer="992" w:gutter="0"/>
          <w:cols w:space="720" w:num="1"/>
        </w:sectPr>
      </w:pPr>
      <w:r>
        <w:rPr>
          <w:rFonts w:hint="eastAsia" w:ascii="Times New Roman" w:hAnsi="Times New Roman" w:eastAsia="仿宋_GB2312" w:cs="Times New Roman"/>
          <w:sz w:val="24"/>
          <w:szCs w:val="24"/>
          <w:lang w:val="en-US" w:eastAsia="zh-CN"/>
        </w:rPr>
        <w:t>4、报价应包含第三方验收检测费用，约为成交价格的1.6%，请各供应商精准核算成本，合理报价。</w:t>
      </w:r>
    </w:p>
    <w:p w14:paraId="28302FD5">
      <w:pPr>
        <w:pStyle w:val="3"/>
        <w:spacing w:before="0" w:after="0" w:line="360" w:lineRule="auto"/>
        <w:jc w:val="center"/>
        <w:rPr>
          <w:rFonts w:hint="default" w:ascii="Times New Roman" w:hAnsi="Times New Roman" w:eastAsia="方正小标宋_GBK" w:cs="Times New Roman"/>
          <w:b w:val="0"/>
          <w:color w:val="auto"/>
          <w:sz w:val="30"/>
          <w:szCs w:val="30"/>
          <w:lang w:eastAsia="zh-CN"/>
        </w:rPr>
      </w:pPr>
      <w:r>
        <w:rPr>
          <w:rFonts w:hint="default" w:ascii="Times New Roman" w:hAnsi="Times New Roman" w:eastAsia="方正小标宋_GBK" w:cs="Times New Roman"/>
          <w:b w:val="0"/>
          <w:color w:val="auto"/>
          <w:sz w:val="30"/>
          <w:szCs w:val="30"/>
          <w:lang w:val="en-US" w:eastAsia="zh-CN"/>
        </w:rPr>
        <w:t>十、</w:t>
      </w:r>
      <w:r>
        <w:rPr>
          <w:rFonts w:hint="default" w:ascii="Times New Roman" w:hAnsi="Times New Roman" w:eastAsia="方正小标宋_GBK" w:cs="Times New Roman"/>
          <w:b w:val="0"/>
          <w:color w:val="auto"/>
          <w:sz w:val="30"/>
          <w:szCs w:val="30"/>
          <w:lang w:eastAsia="zh-CN"/>
        </w:rPr>
        <w:t>商务条款偏离表</w:t>
      </w:r>
      <w:bookmarkEnd w:id="157"/>
      <w:bookmarkEnd w:id="158"/>
      <w:bookmarkEnd w:id="159"/>
      <w:bookmarkEnd w:id="160"/>
      <w:bookmarkEnd w:id="161"/>
      <w:bookmarkEnd w:id="162"/>
      <w:bookmarkEnd w:id="163"/>
    </w:p>
    <w:p w14:paraId="555E51CB">
      <w:pPr>
        <w:pStyle w:val="24"/>
        <w:spacing w:line="360" w:lineRule="auto"/>
        <w:rPr>
          <w:rFonts w:hint="default" w:ascii="Times New Roman" w:hAnsi="Times New Roman" w:eastAsia="仿宋_GB2312" w:cs="Times New Roman"/>
          <w:kern w:val="2"/>
          <w:sz w:val="28"/>
          <w:szCs w:val="28"/>
          <w:lang w:eastAsia="zh-CN"/>
        </w:rPr>
      </w:pPr>
      <w:r>
        <w:rPr>
          <w:rFonts w:hint="default" w:ascii="Times New Roman" w:hAnsi="Times New Roman" w:eastAsia="仿宋_GB2312" w:cs="Times New Roman"/>
          <w:kern w:val="2"/>
          <w:sz w:val="28"/>
          <w:szCs w:val="28"/>
        </w:rPr>
        <w:t>项目名称：</w:t>
      </w:r>
      <w:r>
        <w:rPr>
          <w:rFonts w:hint="eastAsia" w:ascii="Times New Roman" w:hAnsi="Times New Roman" w:eastAsia="仿宋_GB2312" w:cs="Times New Roman"/>
          <w:sz w:val="28"/>
          <w:szCs w:val="28"/>
          <w:u w:val="single"/>
          <w:lang w:val="en" w:eastAsia="zh-CN"/>
        </w:rPr>
        <w:t>郑州铁路职业技术学院智慧教学环境更新与提升项目（二期)项目</w:t>
      </w:r>
    </w:p>
    <w:p w14:paraId="63D4744C">
      <w:pPr>
        <w:pStyle w:val="24"/>
        <w:spacing w:line="360" w:lineRule="auto"/>
        <w:rPr>
          <w:rFonts w:hint="default" w:ascii="Times New Roman" w:hAnsi="Times New Roman" w:cs="Times New Roman"/>
          <w:sz w:val="24"/>
          <w:szCs w:val="24"/>
        </w:rPr>
      </w:pPr>
      <w:r>
        <w:rPr>
          <w:rFonts w:hint="default" w:ascii="Times New Roman" w:hAnsi="Times New Roman" w:eastAsia="仿宋_GB2312" w:cs="Times New Roman"/>
          <w:kern w:val="2"/>
          <w:sz w:val="28"/>
          <w:szCs w:val="28"/>
        </w:rPr>
        <w:t>采购编号：</w:t>
      </w:r>
      <w:r>
        <w:rPr>
          <w:rFonts w:hint="eastAsia" w:ascii="Times New Roman" w:hAnsi="Times New Roman" w:eastAsia="仿宋_GB2312" w:cs="Times New Roman"/>
          <w:kern w:val="2"/>
          <w:sz w:val="28"/>
          <w:szCs w:val="28"/>
          <w:u w:val="single"/>
          <w:lang w:eastAsia="zh-CN"/>
        </w:rPr>
        <w:t>豫财磋商采购-2026-889</w:t>
      </w:r>
      <w:r>
        <w:rPr>
          <w:rFonts w:hint="default" w:ascii="Times New Roman" w:hAnsi="Times New Roman" w:eastAsia="仿宋_GB2312" w:cs="Times New Roman"/>
          <w:kern w:val="2"/>
          <w:sz w:val="28"/>
          <w:szCs w:val="28"/>
          <w:u w:val="single"/>
        </w:rPr>
        <w:t xml:space="preserve"> </w:t>
      </w:r>
    </w:p>
    <w:tbl>
      <w:tblPr>
        <w:tblStyle w:val="52"/>
        <w:tblW w:w="9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3363"/>
        <w:gridCol w:w="3851"/>
        <w:gridCol w:w="876"/>
      </w:tblGrid>
      <w:tr w14:paraId="489C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937" w:type="dxa"/>
            <w:vAlign w:val="center"/>
          </w:tcPr>
          <w:p w14:paraId="43B26525">
            <w:pPr>
              <w:spacing w:line="500" w:lineRule="exact"/>
              <w:jc w:val="center"/>
              <w:rPr>
                <w:rFonts w:hint="default" w:ascii="Times New Roman" w:hAnsi="Times New Roman" w:eastAsia="宋体" w:cs="Times New Roman"/>
                <w:b/>
                <w:color w:val="auto"/>
                <w:sz w:val="24"/>
                <w:szCs w:val="24"/>
                <w:lang w:eastAsia="zh-CN"/>
              </w:rPr>
            </w:pPr>
            <w:r>
              <w:rPr>
                <w:rFonts w:hint="default" w:ascii="Times New Roman" w:hAnsi="Times New Roman" w:eastAsia="宋体" w:cs="Times New Roman"/>
                <w:b/>
                <w:color w:val="auto"/>
                <w:sz w:val="24"/>
                <w:szCs w:val="24"/>
                <w:lang w:eastAsia="zh-CN"/>
              </w:rPr>
              <w:t>序号</w:t>
            </w:r>
          </w:p>
        </w:tc>
        <w:tc>
          <w:tcPr>
            <w:tcW w:w="3363" w:type="dxa"/>
            <w:vAlign w:val="center"/>
          </w:tcPr>
          <w:p w14:paraId="15B4286E">
            <w:pPr>
              <w:spacing w:line="500" w:lineRule="exact"/>
              <w:jc w:val="center"/>
              <w:rPr>
                <w:rFonts w:hint="default" w:ascii="Times New Roman" w:hAnsi="Times New Roman" w:eastAsia="宋体" w:cs="Times New Roman"/>
                <w:b/>
                <w:color w:val="auto"/>
                <w:sz w:val="24"/>
                <w:szCs w:val="24"/>
                <w:lang w:eastAsia="zh-CN"/>
              </w:rPr>
            </w:pPr>
            <w:r>
              <w:rPr>
                <w:rFonts w:hint="default" w:ascii="Times New Roman" w:hAnsi="Times New Roman" w:eastAsia="宋体" w:cs="Times New Roman"/>
                <w:b/>
                <w:color w:val="auto"/>
                <w:sz w:val="24"/>
                <w:szCs w:val="24"/>
                <w:lang w:val="en" w:eastAsia="zh-CN"/>
              </w:rPr>
              <w:t>竞争性磋商文件</w:t>
            </w:r>
            <w:r>
              <w:rPr>
                <w:rFonts w:hint="default" w:ascii="Times New Roman" w:hAnsi="Times New Roman" w:eastAsia="宋体" w:cs="Times New Roman"/>
                <w:b/>
                <w:color w:val="auto"/>
                <w:sz w:val="24"/>
                <w:szCs w:val="24"/>
                <w:lang w:eastAsia="zh-CN"/>
              </w:rPr>
              <w:t>的商务条款</w:t>
            </w:r>
          </w:p>
        </w:tc>
        <w:tc>
          <w:tcPr>
            <w:tcW w:w="3851" w:type="dxa"/>
            <w:vAlign w:val="center"/>
          </w:tcPr>
          <w:p w14:paraId="05BA93FF">
            <w:pPr>
              <w:spacing w:line="500" w:lineRule="exact"/>
              <w:jc w:val="center"/>
              <w:rPr>
                <w:rFonts w:hint="default" w:ascii="Times New Roman" w:hAnsi="Times New Roman" w:eastAsia="宋体" w:cs="Times New Roman"/>
                <w:b/>
                <w:color w:val="auto"/>
                <w:sz w:val="24"/>
                <w:szCs w:val="24"/>
                <w:lang w:eastAsia="zh-CN"/>
              </w:rPr>
            </w:pPr>
            <w:r>
              <w:rPr>
                <w:rFonts w:hint="default" w:ascii="Times New Roman" w:hAnsi="Times New Roman" w:eastAsia="宋体" w:cs="Times New Roman"/>
                <w:b/>
                <w:color w:val="auto"/>
                <w:sz w:val="24"/>
                <w:szCs w:val="24"/>
                <w:lang w:eastAsia="zh-CN"/>
              </w:rPr>
              <w:t>竞争性磋商响应文件的商务条款</w:t>
            </w:r>
          </w:p>
        </w:tc>
        <w:tc>
          <w:tcPr>
            <w:tcW w:w="876" w:type="dxa"/>
            <w:vAlign w:val="center"/>
          </w:tcPr>
          <w:p w14:paraId="15C4F745">
            <w:pPr>
              <w:spacing w:line="500" w:lineRule="exact"/>
              <w:jc w:val="center"/>
              <w:rPr>
                <w:rFonts w:hint="default" w:ascii="Times New Roman" w:hAnsi="Times New Roman" w:eastAsia="宋体" w:cs="Times New Roman"/>
                <w:b/>
                <w:color w:val="auto"/>
                <w:sz w:val="24"/>
                <w:szCs w:val="24"/>
                <w:lang w:eastAsia="zh-CN"/>
              </w:rPr>
            </w:pPr>
            <w:r>
              <w:rPr>
                <w:rFonts w:hint="default" w:ascii="Times New Roman" w:hAnsi="Times New Roman" w:eastAsia="宋体" w:cs="Times New Roman"/>
                <w:b/>
                <w:color w:val="auto"/>
                <w:sz w:val="24"/>
                <w:szCs w:val="24"/>
                <w:lang w:eastAsia="zh-CN"/>
              </w:rPr>
              <w:t>说明</w:t>
            </w:r>
          </w:p>
        </w:tc>
      </w:tr>
      <w:tr w14:paraId="5BF4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6B0E9B62">
            <w:pPr>
              <w:pStyle w:val="24"/>
              <w:spacing w:line="360" w:lineRule="auto"/>
              <w:ind w:left="540" w:leftChars="257" w:firstLine="480"/>
              <w:rPr>
                <w:rFonts w:hint="default" w:ascii="Times New Roman" w:hAnsi="Times New Roman" w:cs="Times New Roman"/>
                <w:kern w:val="2"/>
                <w:sz w:val="24"/>
                <w:szCs w:val="24"/>
              </w:rPr>
            </w:pPr>
          </w:p>
        </w:tc>
        <w:tc>
          <w:tcPr>
            <w:tcW w:w="3363" w:type="dxa"/>
          </w:tcPr>
          <w:p w14:paraId="554C7808">
            <w:pPr>
              <w:pStyle w:val="24"/>
              <w:spacing w:line="360" w:lineRule="auto"/>
              <w:ind w:left="540" w:leftChars="257" w:firstLine="480"/>
              <w:jc w:val="center"/>
              <w:rPr>
                <w:rFonts w:hint="default" w:ascii="Times New Roman" w:hAnsi="Times New Roman" w:cs="Times New Roman"/>
                <w:kern w:val="2"/>
                <w:sz w:val="24"/>
                <w:szCs w:val="24"/>
              </w:rPr>
            </w:pPr>
          </w:p>
        </w:tc>
        <w:tc>
          <w:tcPr>
            <w:tcW w:w="3851" w:type="dxa"/>
          </w:tcPr>
          <w:p w14:paraId="4CA56BF8">
            <w:pPr>
              <w:pStyle w:val="24"/>
              <w:spacing w:line="360" w:lineRule="auto"/>
              <w:ind w:left="540" w:leftChars="257" w:firstLine="480"/>
              <w:jc w:val="center"/>
              <w:rPr>
                <w:rFonts w:hint="default" w:ascii="Times New Roman" w:hAnsi="Times New Roman" w:cs="Times New Roman"/>
                <w:kern w:val="2"/>
                <w:sz w:val="24"/>
                <w:szCs w:val="24"/>
              </w:rPr>
            </w:pPr>
          </w:p>
        </w:tc>
        <w:tc>
          <w:tcPr>
            <w:tcW w:w="876" w:type="dxa"/>
          </w:tcPr>
          <w:p w14:paraId="5E11D0CC">
            <w:pPr>
              <w:pStyle w:val="24"/>
              <w:spacing w:line="360" w:lineRule="auto"/>
              <w:ind w:left="540" w:leftChars="257" w:firstLine="480"/>
              <w:rPr>
                <w:rFonts w:hint="default" w:ascii="Times New Roman" w:hAnsi="Times New Roman" w:cs="Times New Roman"/>
                <w:kern w:val="2"/>
                <w:sz w:val="24"/>
                <w:szCs w:val="24"/>
              </w:rPr>
            </w:pPr>
          </w:p>
        </w:tc>
      </w:tr>
      <w:tr w14:paraId="4A6B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00009335">
            <w:pPr>
              <w:pStyle w:val="24"/>
              <w:spacing w:line="360" w:lineRule="auto"/>
              <w:ind w:left="540" w:leftChars="257" w:firstLine="480"/>
              <w:rPr>
                <w:rFonts w:hint="default" w:ascii="Times New Roman" w:hAnsi="Times New Roman" w:cs="Times New Roman"/>
                <w:kern w:val="2"/>
                <w:sz w:val="24"/>
                <w:szCs w:val="24"/>
              </w:rPr>
            </w:pPr>
          </w:p>
        </w:tc>
        <w:tc>
          <w:tcPr>
            <w:tcW w:w="3363" w:type="dxa"/>
          </w:tcPr>
          <w:p w14:paraId="38A98271">
            <w:pPr>
              <w:spacing w:line="500" w:lineRule="exact"/>
              <w:jc w:val="center"/>
              <w:rPr>
                <w:rFonts w:hint="default" w:ascii="Times New Roman" w:hAnsi="Times New Roman" w:cs="Times New Roman"/>
                <w:color w:val="auto"/>
                <w:sz w:val="24"/>
                <w:szCs w:val="24"/>
              </w:rPr>
            </w:pPr>
          </w:p>
        </w:tc>
        <w:tc>
          <w:tcPr>
            <w:tcW w:w="3851" w:type="dxa"/>
          </w:tcPr>
          <w:p w14:paraId="301B74F0">
            <w:pPr>
              <w:spacing w:line="500" w:lineRule="exact"/>
              <w:jc w:val="center"/>
              <w:rPr>
                <w:rFonts w:hint="default" w:ascii="Times New Roman" w:hAnsi="Times New Roman" w:cs="Times New Roman"/>
                <w:color w:val="auto"/>
                <w:sz w:val="24"/>
                <w:szCs w:val="24"/>
              </w:rPr>
            </w:pPr>
          </w:p>
        </w:tc>
        <w:tc>
          <w:tcPr>
            <w:tcW w:w="876" w:type="dxa"/>
          </w:tcPr>
          <w:p w14:paraId="3582794A">
            <w:pPr>
              <w:pStyle w:val="24"/>
              <w:spacing w:line="360" w:lineRule="auto"/>
              <w:ind w:left="540" w:leftChars="257" w:firstLine="480"/>
              <w:rPr>
                <w:rFonts w:hint="default" w:ascii="Times New Roman" w:hAnsi="Times New Roman" w:cs="Times New Roman"/>
                <w:kern w:val="2"/>
                <w:sz w:val="24"/>
                <w:szCs w:val="24"/>
              </w:rPr>
            </w:pPr>
          </w:p>
        </w:tc>
      </w:tr>
      <w:tr w14:paraId="05018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2FFE6196">
            <w:pPr>
              <w:pStyle w:val="24"/>
              <w:spacing w:line="360" w:lineRule="auto"/>
              <w:ind w:left="540" w:leftChars="257" w:firstLine="480"/>
              <w:rPr>
                <w:rFonts w:hint="default" w:ascii="Times New Roman" w:hAnsi="Times New Roman" w:cs="Times New Roman"/>
                <w:kern w:val="2"/>
                <w:sz w:val="24"/>
                <w:szCs w:val="24"/>
              </w:rPr>
            </w:pPr>
          </w:p>
        </w:tc>
        <w:tc>
          <w:tcPr>
            <w:tcW w:w="3363" w:type="dxa"/>
          </w:tcPr>
          <w:p w14:paraId="6CBFE17D">
            <w:pPr>
              <w:pStyle w:val="24"/>
              <w:spacing w:line="360" w:lineRule="auto"/>
              <w:ind w:left="540" w:leftChars="257" w:firstLine="480"/>
              <w:rPr>
                <w:rFonts w:hint="default" w:ascii="Times New Roman" w:hAnsi="Times New Roman" w:cs="Times New Roman"/>
                <w:kern w:val="2"/>
                <w:sz w:val="24"/>
                <w:szCs w:val="24"/>
              </w:rPr>
            </w:pPr>
          </w:p>
        </w:tc>
        <w:tc>
          <w:tcPr>
            <w:tcW w:w="3851" w:type="dxa"/>
          </w:tcPr>
          <w:p w14:paraId="41A52D7F">
            <w:pPr>
              <w:pStyle w:val="24"/>
              <w:spacing w:line="360" w:lineRule="auto"/>
              <w:ind w:left="540" w:leftChars="257" w:firstLine="480"/>
              <w:rPr>
                <w:rFonts w:hint="default" w:ascii="Times New Roman" w:hAnsi="Times New Roman" w:cs="Times New Roman"/>
                <w:kern w:val="2"/>
                <w:sz w:val="24"/>
                <w:szCs w:val="24"/>
              </w:rPr>
            </w:pPr>
          </w:p>
        </w:tc>
        <w:tc>
          <w:tcPr>
            <w:tcW w:w="876" w:type="dxa"/>
          </w:tcPr>
          <w:p w14:paraId="6F231ADD">
            <w:pPr>
              <w:pStyle w:val="24"/>
              <w:spacing w:line="360" w:lineRule="auto"/>
              <w:ind w:left="540" w:leftChars="257" w:firstLine="480"/>
              <w:rPr>
                <w:rFonts w:hint="default" w:ascii="Times New Roman" w:hAnsi="Times New Roman" w:cs="Times New Roman"/>
                <w:kern w:val="2"/>
                <w:sz w:val="24"/>
                <w:szCs w:val="24"/>
              </w:rPr>
            </w:pPr>
          </w:p>
        </w:tc>
      </w:tr>
      <w:tr w14:paraId="23A4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5A75221C">
            <w:pPr>
              <w:pStyle w:val="24"/>
              <w:spacing w:line="360" w:lineRule="auto"/>
              <w:ind w:left="540" w:leftChars="257" w:firstLine="480"/>
              <w:rPr>
                <w:rFonts w:hint="default" w:ascii="Times New Roman" w:hAnsi="Times New Roman" w:cs="Times New Roman"/>
                <w:kern w:val="2"/>
                <w:sz w:val="24"/>
                <w:szCs w:val="24"/>
              </w:rPr>
            </w:pPr>
          </w:p>
        </w:tc>
        <w:tc>
          <w:tcPr>
            <w:tcW w:w="3363" w:type="dxa"/>
          </w:tcPr>
          <w:p w14:paraId="7F5B4DA5">
            <w:pPr>
              <w:pStyle w:val="24"/>
              <w:spacing w:line="360" w:lineRule="auto"/>
              <w:ind w:left="540" w:leftChars="257" w:firstLine="480"/>
              <w:rPr>
                <w:rFonts w:hint="default" w:ascii="Times New Roman" w:hAnsi="Times New Roman" w:cs="Times New Roman"/>
                <w:kern w:val="2"/>
                <w:sz w:val="24"/>
                <w:szCs w:val="24"/>
              </w:rPr>
            </w:pPr>
          </w:p>
        </w:tc>
        <w:tc>
          <w:tcPr>
            <w:tcW w:w="3851" w:type="dxa"/>
          </w:tcPr>
          <w:p w14:paraId="4DE8EB90">
            <w:pPr>
              <w:spacing w:line="500" w:lineRule="exact"/>
              <w:jc w:val="center"/>
              <w:rPr>
                <w:rFonts w:hint="default" w:ascii="Times New Roman" w:hAnsi="Times New Roman" w:cs="Times New Roman"/>
                <w:color w:val="auto"/>
                <w:sz w:val="24"/>
                <w:szCs w:val="24"/>
              </w:rPr>
            </w:pPr>
          </w:p>
        </w:tc>
        <w:tc>
          <w:tcPr>
            <w:tcW w:w="876" w:type="dxa"/>
          </w:tcPr>
          <w:p w14:paraId="3FBB7BE7">
            <w:pPr>
              <w:pStyle w:val="24"/>
              <w:spacing w:line="360" w:lineRule="auto"/>
              <w:ind w:left="540" w:leftChars="257" w:firstLine="480"/>
              <w:rPr>
                <w:rFonts w:hint="default" w:ascii="Times New Roman" w:hAnsi="Times New Roman" w:cs="Times New Roman"/>
                <w:kern w:val="2"/>
                <w:sz w:val="24"/>
                <w:szCs w:val="24"/>
              </w:rPr>
            </w:pPr>
          </w:p>
        </w:tc>
      </w:tr>
      <w:tr w14:paraId="3B1A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0C5BC441">
            <w:pPr>
              <w:pStyle w:val="24"/>
              <w:spacing w:line="360" w:lineRule="auto"/>
              <w:ind w:left="540" w:leftChars="257" w:firstLine="480"/>
              <w:rPr>
                <w:rFonts w:hint="default" w:ascii="Times New Roman" w:hAnsi="Times New Roman" w:cs="Times New Roman"/>
                <w:kern w:val="2"/>
                <w:sz w:val="24"/>
                <w:szCs w:val="24"/>
              </w:rPr>
            </w:pPr>
          </w:p>
        </w:tc>
        <w:tc>
          <w:tcPr>
            <w:tcW w:w="3363" w:type="dxa"/>
          </w:tcPr>
          <w:p w14:paraId="7A272B97">
            <w:pPr>
              <w:spacing w:line="500" w:lineRule="exact"/>
              <w:jc w:val="center"/>
              <w:rPr>
                <w:rFonts w:hint="default" w:ascii="Times New Roman" w:hAnsi="Times New Roman" w:cs="Times New Roman"/>
                <w:color w:val="auto"/>
                <w:sz w:val="24"/>
                <w:szCs w:val="24"/>
              </w:rPr>
            </w:pPr>
          </w:p>
        </w:tc>
        <w:tc>
          <w:tcPr>
            <w:tcW w:w="3851" w:type="dxa"/>
          </w:tcPr>
          <w:p w14:paraId="6EA4A15F">
            <w:pPr>
              <w:pStyle w:val="24"/>
              <w:spacing w:line="360" w:lineRule="auto"/>
              <w:ind w:left="540" w:leftChars="257" w:firstLine="480"/>
              <w:rPr>
                <w:rFonts w:hint="default" w:ascii="Times New Roman" w:hAnsi="Times New Roman" w:cs="Times New Roman"/>
                <w:kern w:val="2"/>
                <w:sz w:val="24"/>
                <w:szCs w:val="24"/>
              </w:rPr>
            </w:pPr>
          </w:p>
        </w:tc>
        <w:tc>
          <w:tcPr>
            <w:tcW w:w="876" w:type="dxa"/>
          </w:tcPr>
          <w:p w14:paraId="5814F1CE">
            <w:pPr>
              <w:pStyle w:val="24"/>
              <w:spacing w:line="360" w:lineRule="auto"/>
              <w:ind w:left="540" w:leftChars="257" w:firstLine="480"/>
              <w:rPr>
                <w:rFonts w:hint="default" w:ascii="Times New Roman" w:hAnsi="Times New Roman" w:cs="Times New Roman"/>
                <w:kern w:val="2"/>
                <w:sz w:val="24"/>
                <w:szCs w:val="24"/>
              </w:rPr>
            </w:pPr>
          </w:p>
        </w:tc>
      </w:tr>
      <w:tr w14:paraId="001D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00D29977">
            <w:pPr>
              <w:pStyle w:val="24"/>
              <w:spacing w:line="360" w:lineRule="auto"/>
              <w:ind w:left="540" w:leftChars="257" w:firstLine="480"/>
              <w:rPr>
                <w:rFonts w:hint="default" w:ascii="Times New Roman" w:hAnsi="Times New Roman" w:cs="Times New Roman"/>
                <w:kern w:val="2"/>
                <w:sz w:val="24"/>
                <w:szCs w:val="24"/>
              </w:rPr>
            </w:pPr>
          </w:p>
        </w:tc>
        <w:tc>
          <w:tcPr>
            <w:tcW w:w="3363" w:type="dxa"/>
          </w:tcPr>
          <w:p w14:paraId="4C9EFD5E">
            <w:pPr>
              <w:pStyle w:val="24"/>
              <w:spacing w:line="360" w:lineRule="auto"/>
              <w:ind w:left="540" w:leftChars="257" w:firstLine="480"/>
              <w:rPr>
                <w:rFonts w:hint="default" w:ascii="Times New Roman" w:hAnsi="Times New Roman" w:cs="Times New Roman"/>
                <w:kern w:val="2"/>
                <w:sz w:val="24"/>
                <w:szCs w:val="24"/>
              </w:rPr>
            </w:pPr>
          </w:p>
        </w:tc>
        <w:tc>
          <w:tcPr>
            <w:tcW w:w="3851" w:type="dxa"/>
          </w:tcPr>
          <w:p w14:paraId="6E376497">
            <w:pPr>
              <w:pStyle w:val="24"/>
              <w:spacing w:line="360" w:lineRule="auto"/>
              <w:ind w:left="540" w:leftChars="257" w:firstLine="480"/>
              <w:rPr>
                <w:rFonts w:hint="default" w:ascii="Times New Roman" w:hAnsi="Times New Roman" w:cs="Times New Roman"/>
                <w:kern w:val="2"/>
                <w:sz w:val="24"/>
                <w:szCs w:val="24"/>
              </w:rPr>
            </w:pPr>
          </w:p>
        </w:tc>
        <w:tc>
          <w:tcPr>
            <w:tcW w:w="876" w:type="dxa"/>
          </w:tcPr>
          <w:p w14:paraId="3F6F6B66">
            <w:pPr>
              <w:pStyle w:val="24"/>
              <w:spacing w:line="360" w:lineRule="auto"/>
              <w:ind w:left="540" w:leftChars="257" w:firstLine="480"/>
              <w:rPr>
                <w:rFonts w:hint="default" w:ascii="Times New Roman" w:hAnsi="Times New Roman" w:cs="Times New Roman"/>
                <w:kern w:val="2"/>
                <w:sz w:val="24"/>
                <w:szCs w:val="24"/>
              </w:rPr>
            </w:pPr>
          </w:p>
        </w:tc>
      </w:tr>
      <w:tr w14:paraId="5195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5DAA64DF">
            <w:pPr>
              <w:pStyle w:val="24"/>
              <w:spacing w:line="360" w:lineRule="auto"/>
              <w:ind w:left="540" w:leftChars="257" w:firstLine="480"/>
              <w:rPr>
                <w:rFonts w:hint="default" w:ascii="Times New Roman" w:hAnsi="Times New Roman" w:cs="Times New Roman"/>
                <w:kern w:val="2"/>
                <w:sz w:val="24"/>
                <w:szCs w:val="24"/>
              </w:rPr>
            </w:pPr>
          </w:p>
        </w:tc>
        <w:tc>
          <w:tcPr>
            <w:tcW w:w="3363" w:type="dxa"/>
          </w:tcPr>
          <w:p w14:paraId="6EA47CEC">
            <w:pPr>
              <w:pStyle w:val="24"/>
              <w:spacing w:line="360" w:lineRule="auto"/>
              <w:ind w:left="540" w:leftChars="257" w:firstLine="480"/>
              <w:rPr>
                <w:rFonts w:hint="default" w:ascii="Times New Roman" w:hAnsi="Times New Roman" w:cs="Times New Roman"/>
                <w:kern w:val="2"/>
                <w:sz w:val="24"/>
                <w:szCs w:val="24"/>
              </w:rPr>
            </w:pPr>
          </w:p>
        </w:tc>
        <w:tc>
          <w:tcPr>
            <w:tcW w:w="3851" w:type="dxa"/>
          </w:tcPr>
          <w:p w14:paraId="163A1E43">
            <w:pPr>
              <w:pStyle w:val="24"/>
              <w:spacing w:line="360" w:lineRule="auto"/>
              <w:ind w:left="540" w:leftChars="257" w:firstLine="480"/>
              <w:rPr>
                <w:rFonts w:hint="default" w:ascii="Times New Roman" w:hAnsi="Times New Roman" w:cs="Times New Roman"/>
                <w:kern w:val="2"/>
                <w:sz w:val="24"/>
                <w:szCs w:val="24"/>
              </w:rPr>
            </w:pPr>
          </w:p>
        </w:tc>
        <w:tc>
          <w:tcPr>
            <w:tcW w:w="876" w:type="dxa"/>
          </w:tcPr>
          <w:p w14:paraId="4B8F019D">
            <w:pPr>
              <w:pStyle w:val="24"/>
              <w:spacing w:line="360" w:lineRule="auto"/>
              <w:ind w:left="540" w:leftChars="257" w:firstLine="480"/>
              <w:rPr>
                <w:rFonts w:hint="default" w:ascii="Times New Roman" w:hAnsi="Times New Roman" w:cs="Times New Roman"/>
                <w:kern w:val="2"/>
                <w:sz w:val="24"/>
                <w:szCs w:val="24"/>
              </w:rPr>
            </w:pPr>
          </w:p>
        </w:tc>
      </w:tr>
      <w:tr w14:paraId="175B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46437DF5">
            <w:pPr>
              <w:pStyle w:val="24"/>
              <w:spacing w:line="360" w:lineRule="auto"/>
              <w:ind w:left="540" w:leftChars="257" w:firstLine="480"/>
              <w:rPr>
                <w:rFonts w:hint="default" w:ascii="Times New Roman" w:hAnsi="Times New Roman" w:cs="Times New Roman"/>
                <w:kern w:val="2"/>
                <w:sz w:val="24"/>
                <w:szCs w:val="24"/>
              </w:rPr>
            </w:pPr>
          </w:p>
        </w:tc>
        <w:tc>
          <w:tcPr>
            <w:tcW w:w="3363" w:type="dxa"/>
          </w:tcPr>
          <w:p w14:paraId="70C8079C">
            <w:pPr>
              <w:pStyle w:val="24"/>
              <w:spacing w:line="360" w:lineRule="auto"/>
              <w:ind w:left="540" w:leftChars="257" w:firstLine="480"/>
              <w:rPr>
                <w:rFonts w:hint="default" w:ascii="Times New Roman" w:hAnsi="Times New Roman" w:cs="Times New Roman"/>
                <w:kern w:val="2"/>
                <w:sz w:val="24"/>
                <w:szCs w:val="24"/>
              </w:rPr>
            </w:pPr>
          </w:p>
        </w:tc>
        <w:tc>
          <w:tcPr>
            <w:tcW w:w="3851" w:type="dxa"/>
          </w:tcPr>
          <w:p w14:paraId="3E9A8050">
            <w:pPr>
              <w:pStyle w:val="24"/>
              <w:spacing w:line="360" w:lineRule="auto"/>
              <w:ind w:left="540" w:leftChars="257" w:firstLine="480"/>
              <w:rPr>
                <w:rFonts w:hint="default" w:ascii="Times New Roman" w:hAnsi="Times New Roman" w:cs="Times New Roman"/>
                <w:kern w:val="2"/>
                <w:sz w:val="24"/>
                <w:szCs w:val="24"/>
              </w:rPr>
            </w:pPr>
          </w:p>
        </w:tc>
        <w:tc>
          <w:tcPr>
            <w:tcW w:w="876" w:type="dxa"/>
          </w:tcPr>
          <w:p w14:paraId="6BEBEB29">
            <w:pPr>
              <w:pStyle w:val="24"/>
              <w:spacing w:line="360" w:lineRule="auto"/>
              <w:ind w:left="540" w:leftChars="257" w:firstLine="480"/>
              <w:rPr>
                <w:rFonts w:hint="default" w:ascii="Times New Roman" w:hAnsi="Times New Roman" w:cs="Times New Roman"/>
                <w:kern w:val="2"/>
                <w:sz w:val="24"/>
                <w:szCs w:val="24"/>
              </w:rPr>
            </w:pPr>
          </w:p>
        </w:tc>
      </w:tr>
      <w:tr w14:paraId="5FFF7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0C4CFA8B">
            <w:pPr>
              <w:pStyle w:val="24"/>
              <w:spacing w:line="360" w:lineRule="auto"/>
              <w:ind w:left="540" w:leftChars="257" w:firstLine="480"/>
              <w:rPr>
                <w:rFonts w:hint="default" w:ascii="Times New Roman" w:hAnsi="Times New Roman" w:cs="Times New Roman"/>
                <w:kern w:val="2"/>
                <w:sz w:val="24"/>
                <w:szCs w:val="24"/>
              </w:rPr>
            </w:pPr>
          </w:p>
        </w:tc>
        <w:tc>
          <w:tcPr>
            <w:tcW w:w="3363" w:type="dxa"/>
          </w:tcPr>
          <w:p w14:paraId="26039F1B">
            <w:pPr>
              <w:pStyle w:val="24"/>
              <w:spacing w:line="360" w:lineRule="auto"/>
              <w:ind w:left="540" w:leftChars="257" w:firstLine="480"/>
              <w:rPr>
                <w:rFonts w:hint="default" w:ascii="Times New Roman" w:hAnsi="Times New Roman" w:cs="Times New Roman"/>
                <w:kern w:val="2"/>
                <w:sz w:val="24"/>
                <w:szCs w:val="24"/>
              </w:rPr>
            </w:pPr>
          </w:p>
        </w:tc>
        <w:tc>
          <w:tcPr>
            <w:tcW w:w="3851" w:type="dxa"/>
          </w:tcPr>
          <w:p w14:paraId="43D91A42">
            <w:pPr>
              <w:pStyle w:val="24"/>
              <w:spacing w:line="360" w:lineRule="auto"/>
              <w:ind w:left="540" w:leftChars="257" w:firstLine="480"/>
              <w:rPr>
                <w:rFonts w:hint="default" w:ascii="Times New Roman" w:hAnsi="Times New Roman" w:cs="Times New Roman"/>
                <w:kern w:val="2"/>
                <w:sz w:val="24"/>
                <w:szCs w:val="24"/>
              </w:rPr>
            </w:pPr>
          </w:p>
        </w:tc>
        <w:tc>
          <w:tcPr>
            <w:tcW w:w="876" w:type="dxa"/>
          </w:tcPr>
          <w:p w14:paraId="391490B5">
            <w:pPr>
              <w:pStyle w:val="24"/>
              <w:spacing w:line="360" w:lineRule="auto"/>
              <w:ind w:left="540" w:leftChars="257" w:firstLine="480"/>
              <w:rPr>
                <w:rFonts w:hint="default" w:ascii="Times New Roman" w:hAnsi="Times New Roman" w:cs="Times New Roman"/>
                <w:kern w:val="2"/>
                <w:sz w:val="24"/>
                <w:szCs w:val="24"/>
              </w:rPr>
            </w:pPr>
          </w:p>
        </w:tc>
      </w:tr>
      <w:tr w14:paraId="0561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6C146A63">
            <w:pPr>
              <w:pStyle w:val="24"/>
              <w:spacing w:line="360" w:lineRule="auto"/>
              <w:ind w:left="540" w:leftChars="257" w:firstLine="480"/>
              <w:rPr>
                <w:rFonts w:hint="default" w:ascii="Times New Roman" w:hAnsi="Times New Roman" w:cs="Times New Roman"/>
                <w:kern w:val="2"/>
                <w:sz w:val="24"/>
                <w:szCs w:val="24"/>
              </w:rPr>
            </w:pPr>
          </w:p>
        </w:tc>
        <w:tc>
          <w:tcPr>
            <w:tcW w:w="3363" w:type="dxa"/>
          </w:tcPr>
          <w:p w14:paraId="6C81DFAF">
            <w:pPr>
              <w:pStyle w:val="24"/>
              <w:spacing w:line="360" w:lineRule="auto"/>
              <w:ind w:left="540" w:leftChars="257" w:firstLine="480"/>
              <w:rPr>
                <w:rFonts w:hint="default" w:ascii="Times New Roman" w:hAnsi="Times New Roman" w:cs="Times New Roman"/>
                <w:kern w:val="2"/>
                <w:sz w:val="24"/>
                <w:szCs w:val="24"/>
              </w:rPr>
            </w:pPr>
          </w:p>
        </w:tc>
        <w:tc>
          <w:tcPr>
            <w:tcW w:w="3851" w:type="dxa"/>
          </w:tcPr>
          <w:p w14:paraId="0E94DF9C">
            <w:pPr>
              <w:pStyle w:val="24"/>
              <w:spacing w:line="360" w:lineRule="auto"/>
              <w:ind w:left="540" w:leftChars="257" w:firstLine="480"/>
              <w:rPr>
                <w:rFonts w:hint="default" w:ascii="Times New Roman" w:hAnsi="Times New Roman" w:cs="Times New Roman"/>
                <w:kern w:val="2"/>
                <w:sz w:val="24"/>
                <w:szCs w:val="24"/>
              </w:rPr>
            </w:pPr>
          </w:p>
        </w:tc>
        <w:tc>
          <w:tcPr>
            <w:tcW w:w="876" w:type="dxa"/>
          </w:tcPr>
          <w:p w14:paraId="4362304D">
            <w:pPr>
              <w:pStyle w:val="24"/>
              <w:spacing w:line="360" w:lineRule="auto"/>
              <w:ind w:left="540" w:leftChars="257" w:firstLine="480"/>
              <w:rPr>
                <w:rFonts w:hint="default" w:ascii="Times New Roman" w:hAnsi="Times New Roman" w:cs="Times New Roman"/>
                <w:kern w:val="2"/>
                <w:sz w:val="24"/>
                <w:szCs w:val="24"/>
              </w:rPr>
            </w:pPr>
          </w:p>
        </w:tc>
      </w:tr>
      <w:tr w14:paraId="248F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937" w:type="dxa"/>
          </w:tcPr>
          <w:p w14:paraId="4828DDDA">
            <w:pPr>
              <w:pStyle w:val="24"/>
              <w:spacing w:line="360" w:lineRule="auto"/>
              <w:ind w:left="540" w:leftChars="257" w:firstLine="480"/>
              <w:rPr>
                <w:rFonts w:hint="default" w:ascii="Times New Roman" w:hAnsi="Times New Roman" w:cs="Times New Roman"/>
                <w:kern w:val="2"/>
                <w:sz w:val="24"/>
                <w:szCs w:val="24"/>
              </w:rPr>
            </w:pPr>
          </w:p>
        </w:tc>
        <w:tc>
          <w:tcPr>
            <w:tcW w:w="3363" w:type="dxa"/>
          </w:tcPr>
          <w:p w14:paraId="1608D154">
            <w:pPr>
              <w:pStyle w:val="24"/>
              <w:spacing w:line="360" w:lineRule="auto"/>
              <w:ind w:left="540" w:leftChars="257" w:firstLine="480"/>
              <w:rPr>
                <w:rFonts w:hint="default" w:ascii="Times New Roman" w:hAnsi="Times New Roman" w:cs="Times New Roman"/>
                <w:kern w:val="2"/>
                <w:sz w:val="24"/>
                <w:szCs w:val="24"/>
              </w:rPr>
            </w:pPr>
          </w:p>
        </w:tc>
        <w:tc>
          <w:tcPr>
            <w:tcW w:w="3851" w:type="dxa"/>
          </w:tcPr>
          <w:p w14:paraId="1B5F3AD4">
            <w:pPr>
              <w:pStyle w:val="24"/>
              <w:spacing w:line="360" w:lineRule="auto"/>
              <w:ind w:left="540" w:leftChars="257" w:firstLine="480"/>
              <w:rPr>
                <w:rFonts w:hint="default" w:ascii="Times New Roman" w:hAnsi="Times New Roman" w:cs="Times New Roman"/>
                <w:kern w:val="2"/>
                <w:sz w:val="24"/>
                <w:szCs w:val="24"/>
              </w:rPr>
            </w:pPr>
          </w:p>
        </w:tc>
        <w:tc>
          <w:tcPr>
            <w:tcW w:w="876" w:type="dxa"/>
          </w:tcPr>
          <w:p w14:paraId="3F5C1224">
            <w:pPr>
              <w:pStyle w:val="24"/>
              <w:spacing w:line="360" w:lineRule="auto"/>
              <w:ind w:left="540" w:leftChars="257" w:firstLine="480"/>
              <w:rPr>
                <w:rFonts w:hint="default" w:ascii="Times New Roman" w:hAnsi="Times New Roman" w:cs="Times New Roman"/>
                <w:kern w:val="2"/>
                <w:sz w:val="24"/>
                <w:szCs w:val="24"/>
              </w:rPr>
            </w:pPr>
          </w:p>
        </w:tc>
      </w:tr>
    </w:tbl>
    <w:p w14:paraId="3DD97A67">
      <w:pPr>
        <w:pStyle w:val="24"/>
        <w:spacing w:line="360" w:lineRule="auto"/>
        <w:rPr>
          <w:rFonts w:hint="default" w:ascii="Times New Roman" w:hAnsi="Times New Roman" w:cs="Times New Roman"/>
          <w:sz w:val="24"/>
          <w:szCs w:val="24"/>
        </w:rPr>
      </w:pPr>
    </w:p>
    <w:p w14:paraId="104FD5FD">
      <w:pPr>
        <w:spacing w:line="500" w:lineRule="exact"/>
        <w:jc w:val="lef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供应商（企业电子签章）：</w:t>
      </w:r>
      <w:r>
        <w:rPr>
          <w:rFonts w:hint="default" w:ascii="Times New Roman" w:hAnsi="Times New Roman" w:eastAsia="仿宋_GB2312" w:cs="Times New Roman"/>
          <w:b/>
          <w:bCs/>
          <w:color w:val="auto"/>
          <w:sz w:val="28"/>
          <w:szCs w:val="28"/>
          <w:u w:val="single"/>
          <w:lang w:val="en-US" w:eastAsia="zh-CN"/>
        </w:rPr>
        <w:t xml:space="preserve">           </w:t>
      </w:r>
      <w:r>
        <w:rPr>
          <w:rFonts w:hint="default" w:ascii="Times New Roman" w:hAnsi="Times New Roman" w:eastAsia="仿宋_GB2312" w:cs="Times New Roman"/>
          <w:b/>
          <w:bCs/>
          <w:color w:val="auto"/>
          <w:sz w:val="28"/>
          <w:szCs w:val="28"/>
          <w:lang w:eastAsia="zh-CN"/>
        </w:rPr>
        <w:t xml:space="preserve">                 </w:t>
      </w:r>
    </w:p>
    <w:p w14:paraId="4964FB6A">
      <w:pPr>
        <w:pStyle w:val="3"/>
        <w:spacing w:before="0" w:after="0" w:line="360" w:lineRule="auto"/>
        <w:jc w:val="center"/>
        <w:rPr>
          <w:rFonts w:hint="default" w:ascii="Times New Roman" w:hAnsi="Times New Roman" w:eastAsia="黑体" w:cs="Times New Roman"/>
          <w:b w:val="0"/>
          <w:bCs w:val="0"/>
          <w:color w:val="auto"/>
          <w:sz w:val="28"/>
          <w:szCs w:val="28"/>
          <w:lang w:eastAsia="zh-CN"/>
        </w:rPr>
      </w:pPr>
      <w:bookmarkStart w:id="169" w:name="_Hlt520274911"/>
      <w:bookmarkEnd w:id="169"/>
      <w:bookmarkStart w:id="170" w:name="_Hlt520274393"/>
      <w:bookmarkEnd w:id="170"/>
      <w:bookmarkStart w:id="171" w:name="_Hlt520350957"/>
      <w:bookmarkEnd w:id="171"/>
      <w:bookmarkStart w:id="172" w:name="_Hlt520343392"/>
      <w:bookmarkEnd w:id="172"/>
      <w:bookmarkStart w:id="173" w:name="_Hlt520274407"/>
      <w:bookmarkEnd w:id="173"/>
      <w:bookmarkStart w:id="174" w:name="_Hlt520273973"/>
      <w:bookmarkEnd w:id="174"/>
      <w:bookmarkStart w:id="175" w:name="_Hlt520343000"/>
      <w:bookmarkEnd w:id="175"/>
      <w:bookmarkStart w:id="176" w:name="_Hlt520274065"/>
      <w:bookmarkEnd w:id="176"/>
      <w:bookmarkStart w:id="177" w:name="_Hlt520273711"/>
      <w:bookmarkEnd w:id="177"/>
      <w:bookmarkStart w:id="178" w:name="_Hlt520350918"/>
      <w:bookmarkEnd w:id="178"/>
      <w:bookmarkStart w:id="179" w:name="_Hlt520271212"/>
      <w:bookmarkEnd w:id="179"/>
      <w:r>
        <w:rPr>
          <w:rFonts w:hint="default" w:ascii="Times New Roman" w:hAnsi="Times New Roman" w:cs="Times New Roman"/>
          <w:color w:val="auto"/>
          <w:sz w:val="28"/>
          <w:szCs w:val="28"/>
          <w:lang w:eastAsia="zh-CN"/>
        </w:rPr>
        <w:br w:type="page"/>
      </w:r>
      <w:bookmarkStart w:id="180" w:name="_Toc1764653932"/>
      <w:bookmarkStart w:id="181" w:name="_Toc142693684"/>
      <w:bookmarkStart w:id="182" w:name="_Toc804892690"/>
      <w:bookmarkStart w:id="183" w:name="_Toc37830125"/>
      <w:bookmarkStart w:id="184" w:name="_Toc987616865"/>
      <w:bookmarkStart w:id="185" w:name="_Toc1868917719"/>
      <w:bookmarkStart w:id="186" w:name="_Toc656280486"/>
      <w:r>
        <w:rPr>
          <w:rFonts w:hint="default" w:ascii="Times New Roman" w:hAnsi="Times New Roman" w:eastAsia="方正小标宋_GBK" w:cs="Times New Roman"/>
          <w:b w:val="0"/>
          <w:color w:val="auto"/>
          <w:sz w:val="30"/>
          <w:szCs w:val="30"/>
          <w:lang w:val="en-US" w:eastAsia="zh-CN"/>
        </w:rPr>
        <w:t>十一、</w:t>
      </w:r>
      <w:r>
        <w:rPr>
          <w:rFonts w:hint="default" w:ascii="Times New Roman" w:hAnsi="Times New Roman" w:eastAsia="方正小标宋_GBK" w:cs="Times New Roman"/>
          <w:b w:val="0"/>
          <w:color w:val="auto"/>
          <w:sz w:val="30"/>
          <w:szCs w:val="30"/>
          <w:lang w:eastAsia="zh-CN"/>
        </w:rPr>
        <w:t>技术规格偏离表</w:t>
      </w:r>
      <w:bookmarkEnd w:id="164"/>
      <w:bookmarkEnd w:id="165"/>
      <w:bookmarkEnd w:id="166"/>
      <w:bookmarkEnd w:id="167"/>
      <w:bookmarkEnd w:id="180"/>
      <w:bookmarkEnd w:id="181"/>
      <w:bookmarkEnd w:id="182"/>
      <w:bookmarkEnd w:id="183"/>
      <w:bookmarkEnd w:id="184"/>
      <w:bookmarkEnd w:id="185"/>
      <w:bookmarkEnd w:id="186"/>
    </w:p>
    <w:p w14:paraId="23640B7C">
      <w:pPr>
        <w:pStyle w:val="24"/>
        <w:spacing w:line="360" w:lineRule="auto"/>
        <w:rPr>
          <w:rFonts w:hint="default" w:ascii="Times New Roman" w:hAnsi="Times New Roman" w:eastAsia="仿宋_GB2312" w:cs="Times New Roman"/>
          <w:kern w:val="2"/>
          <w:sz w:val="28"/>
          <w:szCs w:val="28"/>
        </w:rPr>
      </w:pPr>
    </w:p>
    <w:p w14:paraId="3C96AFA5">
      <w:pPr>
        <w:pStyle w:val="24"/>
        <w:spacing w:line="360" w:lineRule="auto"/>
        <w:rPr>
          <w:rFonts w:hint="default" w:ascii="Times New Roman" w:hAnsi="Times New Roman" w:eastAsia="仿宋_GB2312" w:cs="Times New Roman"/>
          <w:kern w:val="2"/>
          <w:sz w:val="28"/>
          <w:szCs w:val="28"/>
          <w:lang w:eastAsia="zh-CN"/>
        </w:rPr>
      </w:pPr>
      <w:r>
        <w:rPr>
          <w:rFonts w:hint="default" w:ascii="Times New Roman" w:hAnsi="Times New Roman" w:eastAsia="仿宋_GB2312" w:cs="Times New Roman"/>
          <w:kern w:val="2"/>
          <w:sz w:val="28"/>
          <w:szCs w:val="28"/>
        </w:rPr>
        <w:t>项目名称：</w:t>
      </w:r>
      <w:r>
        <w:rPr>
          <w:rFonts w:hint="eastAsia" w:ascii="Times New Roman" w:hAnsi="Times New Roman" w:eastAsia="仿宋_GB2312" w:cs="Times New Roman"/>
          <w:sz w:val="28"/>
          <w:szCs w:val="28"/>
          <w:u w:val="single"/>
          <w:lang w:val="en" w:eastAsia="zh-CN"/>
        </w:rPr>
        <w:t>郑州铁路职业技术学院智慧教学环境更新与提升项目（二期)项目</w:t>
      </w:r>
    </w:p>
    <w:p w14:paraId="44FEDF5D">
      <w:pPr>
        <w:pStyle w:val="24"/>
        <w:spacing w:line="360" w:lineRule="auto"/>
        <w:rPr>
          <w:rFonts w:hint="default" w:ascii="Times New Roman" w:hAnsi="Times New Roman" w:cs="Times New Roman"/>
          <w:sz w:val="24"/>
          <w:szCs w:val="24"/>
        </w:rPr>
      </w:pPr>
      <w:r>
        <w:rPr>
          <w:rFonts w:hint="default" w:ascii="Times New Roman" w:hAnsi="Times New Roman" w:eastAsia="仿宋_GB2312" w:cs="Times New Roman"/>
          <w:kern w:val="2"/>
          <w:sz w:val="28"/>
          <w:szCs w:val="28"/>
        </w:rPr>
        <w:t>采购编号：</w:t>
      </w:r>
      <w:r>
        <w:rPr>
          <w:rFonts w:hint="eastAsia" w:ascii="Times New Roman" w:hAnsi="Times New Roman" w:eastAsia="仿宋_GB2312" w:cs="Times New Roman"/>
          <w:kern w:val="2"/>
          <w:sz w:val="28"/>
          <w:szCs w:val="28"/>
          <w:u w:val="single"/>
          <w:lang w:eastAsia="zh-CN"/>
        </w:rPr>
        <w:t>豫财磋商采购-2026-889</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rPr>
        <w:t xml:space="preserve"> </w:t>
      </w:r>
      <w:r>
        <w:rPr>
          <w:rFonts w:hint="default" w:ascii="Times New Roman" w:hAnsi="Times New Roman" w:cs="Times New Roman"/>
          <w:sz w:val="24"/>
          <w:szCs w:val="24"/>
        </w:rPr>
        <w:t xml:space="preserve"> </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3195"/>
        <w:gridCol w:w="1245"/>
        <w:gridCol w:w="1320"/>
        <w:gridCol w:w="1050"/>
        <w:gridCol w:w="1068"/>
      </w:tblGrid>
      <w:tr w14:paraId="33A5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vAlign w:val="center"/>
          </w:tcPr>
          <w:p w14:paraId="73A67819">
            <w:pPr>
              <w:pStyle w:val="24"/>
              <w:spacing w:line="360" w:lineRule="auto"/>
              <w:ind w:left="-31" w:leftChars="-15"/>
              <w:jc w:val="center"/>
              <w:rPr>
                <w:rFonts w:hint="default" w:ascii="Times New Roman" w:hAnsi="Times New Roman" w:cs="Times New Roman"/>
                <w:b/>
                <w:kern w:val="2"/>
                <w:sz w:val="24"/>
                <w:szCs w:val="24"/>
              </w:rPr>
            </w:pPr>
            <w:r>
              <w:rPr>
                <w:rFonts w:hint="default" w:ascii="Times New Roman" w:hAnsi="Times New Roman" w:cs="Times New Roman"/>
                <w:b/>
                <w:kern w:val="2"/>
                <w:sz w:val="24"/>
                <w:szCs w:val="24"/>
              </w:rPr>
              <w:t>序号</w:t>
            </w:r>
          </w:p>
        </w:tc>
        <w:tc>
          <w:tcPr>
            <w:tcW w:w="3195" w:type="dxa"/>
            <w:vAlign w:val="center"/>
          </w:tcPr>
          <w:p w14:paraId="3775DAAB">
            <w:pPr>
              <w:pStyle w:val="24"/>
              <w:spacing w:line="360" w:lineRule="auto"/>
              <w:jc w:val="center"/>
              <w:rPr>
                <w:rFonts w:hint="default" w:ascii="Times New Roman" w:hAnsi="Times New Roman" w:cs="Times New Roman"/>
                <w:b/>
                <w:kern w:val="2"/>
                <w:sz w:val="24"/>
                <w:szCs w:val="24"/>
              </w:rPr>
            </w:pPr>
            <w:r>
              <w:rPr>
                <w:rFonts w:hint="default" w:ascii="Times New Roman" w:hAnsi="Times New Roman" w:cs="Times New Roman"/>
                <w:b/>
                <w:kern w:val="2"/>
                <w:sz w:val="24"/>
                <w:szCs w:val="24"/>
              </w:rPr>
              <w:t>货物名称及伴随服务内容</w:t>
            </w:r>
          </w:p>
        </w:tc>
        <w:tc>
          <w:tcPr>
            <w:tcW w:w="1245" w:type="dxa"/>
            <w:vAlign w:val="center"/>
          </w:tcPr>
          <w:p w14:paraId="26EA006F">
            <w:pPr>
              <w:pStyle w:val="24"/>
              <w:spacing w:line="360" w:lineRule="auto"/>
              <w:ind w:left="-206" w:leftChars="-98" w:right="-166" w:rightChars="-79"/>
              <w:jc w:val="center"/>
              <w:rPr>
                <w:rFonts w:hint="default" w:ascii="Times New Roman" w:hAnsi="Times New Roman" w:cs="Times New Roman"/>
                <w:b/>
                <w:kern w:val="2"/>
                <w:sz w:val="24"/>
                <w:szCs w:val="24"/>
              </w:rPr>
            </w:pPr>
            <w:r>
              <w:rPr>
                <w:rFonts w:hint="default" w:ascii="Times New Roman" w:hAnsi="Times New Roman" w:cs="Times New Roman"/>
                <w:b/>
                <w:kern w:val="2"/>
                <w:sz w:val="24"/>
                <w:szCs w:val="24"/>
              </w:rPr>
              <w:t>采购要求</w:t>
            </w:r>
          </w:p>
        </w:tc>
        <w:tc>
          <w:tcPr>
            <w:tcW w:w="1320" w:type="dxa"/>
            <w:vAlign w:val="center"/>
          </w:tcPr>
          <w:p w14:paraId="70ABB73E">
            <w:pPr>
              <w:pStyle w:val="24"/>
              <w:spacing w:line="360" w:lineRule="auto"/>
              <w:ind w:left="-48" w:leftChars="-23"/>
              <w:jc w:val="center"/>
              <w:rPr>
                <w:rFonts w:hint="default" w:ascii="Times New Roman" w:hAnsi="Times New Roman" w:cs="Times New Roman"/>
                <w:b/>
                <w:kern w:val="2"/>
                <w:sz w:val="24"/>
                <w:szCs w:val="24"/>
              </w:rPr>
            </w:pPr>
            <w:r>
              <w:rPr>
                <w:rFonts w:hint="default" w:ascii="Times New Roman" w:hAnsi="Times New Roman" w:cs="Times New Roman"/>
                <w:b/>
                <w:kern w:val="2"/>
                <w:sz w:val="24"/>
                <w:szCs w:val="24"/>
              </w:rPr>
              <w:t>磋商响应</w:t>
            </w:r>
          </w:p>
        </w:tc>
        <w:tc>
          <w:tcPr>
            <w:tcW w:w="1050" w:type="dxa"/>
            <w:vAlign w:val="center"/>
          </w:tcPr>
          <w:p w14:paraId="7D49C01D">
            <w:pPr>
              <w:pStyle w:val="24"/>
              <w:spacing w:line="360" w:lineRule="auto"/>
              <w:ind w:left="-34" w:leftChars="-16"/>
              <w:jc w:val="center"/>
              <w:rPr>
                <w:rFonts w:hint="default" w:ascii="Times New Roman" w:hAnsi="Times New Roman" w:cs="Times New Roman"/>
                <w:b/>
                <w:kern w:val="2"/>
                <w:sz w:val="24"/>
                <w:szCs w:val="24"/>
              </w:rPr>
            </w:pPr>
            <w:r>
              <w:rPr>
                <w:rFonts w:hint="default" w:ascii="Times New Roman" w:hAnsi="Times New Roman" w:cs="Times New Roman"/>
                <w:b/>
                <w:kern w:val="2"/>
                <w:sz w:val="24"/>
                <w:szCs w:val="24"/>
              </w:rPr>
              <w:t>偏离</w:t>
            </w:r>
          </w:p>
        </w:tc>
        <w:tc>
          <w:tcPr>
            <w:tcW w:w="1068" w:type="dxa"/>
            <w:vAlign w:val="center"/>
          </w:tcPr>
          <w:p w14:paraId="1070A111">
            <w:pPr>
              <w:pStyle w:val="24"/>
              <w:spacing w:line="360" w:lineRule="auto"/>
              <w:ind w:left="-82" w:leftChars="-39"/>
              <w:jc w:val="center"/>
              <w:rPr>
                <w:rFonts w:hint="default" w:ascii="Times New Roman" w:hAnsi="Times New Roman" w:cs="Times New Roman"/>
                <w:b/>
                <w:kern w:val="2"/>
                <w:sz w:val="24"/>
                <w:szCs w:val="24"/>
              </w:rPr>
            </w:pPr>
            <w:r>
              <w:rPr>
                <w:rFonts w:hint="default" w:ascii="Times New Roman" w:hAnsi="Times New Roman" w:cs="Times New Roman"/>
                <w:b/>
                <w:kern w:val="2"/>
                <w:sz w:val="24"/>
                <w:szCs w:val="24"/>
              </w:rPr>
              <w:t>说明</w:t>
            </w:r>
          </w:p>
        </w:tc>
      </w:tr>
      <w:tr w14:paraId="30315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2FCB6309">
            <w:pPr>
              <w:pStyle w:val="24"/>
              <w:spacing w:line="360" w:lineRule="auto"/>
              <w:ind w:left="540" w:leftChars="257" w:firstLine="480"/>
              <w:rPr>
                <w:rFonts w:hint="default" w:ascii="Times New Roman" w:hAnsi="Times New Roman" w:cs="Times New Roman"/>
                <w:kern w:val="2"/>
                <w:sz w:val="24"/>
                <w:szCs w:val="24"/>
              </w:rPr>
            </w:pPr>
          </w:p>
        </w:tc>
        <w:tc>
          <w:tcPr>
            <w:tcW w:w="3195" w:type="dxa"/>
          </w:tcPr>
          <w:p w14:paraId="1EB94378">
            <w:pPr>
              <w:pStyle w:val="24"/>
              <w:spacing w:line="360" w:lineRule="auto"/>
              <w:ind w:left="540" w:leftChars="257" w:firstLine="480"/>
              <w:rPr>
                <w:rFonts w:hint="default" w:ascii="Times New Roman" w:hAnsi="Times New Roman" w:cs="Times New Roman"/>
                <w:kern w:val="2"/>
                <w:sz w:val="24"/>
                <w:szCs w:val="24"/>
              </w:rPr>
            </w:pPr>
          </w:p>
        </w:tc>
        <w:tc>
          <w:tcPr>
            <w:tcW w:w="1245" w:type="dxa"/>
          </w:tcPr>
          <w:p w14:paraId="2AE9753C">
            <w:pPr>
              <w:pStyle w:val="24"/>
              <w:spacing w:line="360" w:lineRule="auto"/>
              <w:ind w:left="540" w:leftChars="257" w:firstLine="480"/>
              <w:rPr>
                <w:rFonts w:hint="default" w:ascii="Times New Roman" w:hAnsi="Times New Roman" w:cs="Times New Roman"/>
                <w:kern w:val="2"/>
                <w:sz w:val="24"/>
                <w:szCs w:val="24"/>
              </w:rPr>
            </w:pPr>
          </w:p>
        </w:tc>
        <w:tc>
          <w:tcPr>
            <w:tcW w:w="1320" w:type="dxa"/>
          </w:tcPr>
          <w:p w14:paraId="6A2C6969">
            <w:pPr>
              <w:pStyle w:val="24"/>
              <w:spacing w:line="360" w:lineRule="auto"/>
              <w:ind w:left="540" w:leftChars="257" w:firstLine="480"/>
              <w:rPr>
                <w:rFonts w:hint="default" w:ascii="Times New Roman" w:hAnsi="Times New Roman" w:cs="Times New Roman"/>
                <w:kern w:val="2"/>
                <w:sz w:val="24"/>
                <w:szCs w:val="24"/>
              </w:rPr>
            </w:pPr>
          </w:p>
        </w:tc>
        <w:tc>
          <w:tcPr>
            <w:tcW w:w="1050" w:type="dxa"/>
          </w:tcPr>
          <w:p w14:paraId="7B809ED5">
            <w:pPr>
              <w:pStyle w:val="24"/>
              <w:spacing w:line="360" w:lineRule="auto"/>
              <w:ind w:left="540" w:leftChars="257" w:firstLine="480"/>
              <w:rPr>
                <w:rFonts w:hint="default" w:ascii="Times New Roman" w:hAnsi="Times New Roman" w:cs="Times New Roman"/>
                <w:kern w:val="2"/>
                <w:sz w:val="24"/>
                <w:szCs w:val="24"/>
              </w:rPr>
            </w:pPr>
          </w:p>
        </w:tc>
        <w:tc>
          <w:tcPr>
            <w:tcW w:w="1068" w:type="dxa"/>
          </w:tcPr>
          <w:p w14:paraId="6AB0C508">
            <w:pPr>
              <w:pStyle w:val="24"/>
              <w:spacing w:line="360" w:lineRule="auto"/>
              <w:ind w:left="540" w:leftChars="257" w:firstLine="480"/>
              <w:rPr>
                <w:rFonts w:hint="default" w:ascii="Times New Roman" w:hAnsi="Times New Roman" w:cs="Times New Roman"/>
                <w:kern w:val="2"/>
                <w:sz w:val="24"/>
                <w:szCs w:val="24"/>
              </w:rPr>
            </w:pPr>
          </w:p>
        </w:tc>
      </w:tr>
      <w:tr w14:paraId="6088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6064DBCC">
            <w:pPr>
              <w:pStyle w:val="24"/>
              <w:spacing w:line="360" w:lineRule="auto"/>
              <w:ind w:left="540" w:leftChars="257" w:firstLine="480"/>
              <w:rPr>
                <w:rFonts w:hint="default" w:ascii="Times New Roman" w:hAnsi="Times New Roman" w:cs="Times New Roman"/>
                <w:kern w:val="2"/>
                <w:sz w:val="24"/>
                <w:szCs w:val="24"/>
              </w:rPr>
            </w:pPr>
          </w:p>
        </w:tc>
        <w:tc>
          <w:tcPr>
            <w:tcW w:w="3195" w:type="dxa"/>
          </w:tcPr>
          <w:p w14:paraId="4AD7A861">
            <w:pPr>
              <w:pStyle w:val="24"/>
              <w:spacing w:line="360" w:lineRule="auto"/>
              <w:ind w:left="540" w:leftChars="257" w:firstLine="480"/>
              <w:rPr>
                <w:rFonts w:hint="default" w:ascii="Times New Roman" w:hAnsi="Times New Roman" w:cs="Times New Roman"/>
                <w:kern w:val="2"/>
                <w:sz w:val="24"/>
                <w:szCs w:val="24"/>
              </w:rPr>
            </w:pPr>
          </w:p>
        </w:tc>
        <w:tc>
          <w:tcPr>
            <w:tcW w:w="1245" w:type="dxa"/>
          </w:tcPr>
          <w:p w14:paraId="295F9BE6">
            <w:pPr>
              <w:pStyle w:val="24"/>
              <w:spacing w:line="360" w:lineRule="auto"/>
              <w:ind w:left="540" w:leftChars="257" w:firstLine="480"/>
              <w:rPr>
                <w:rFonts w:hint="default" w:ascii="Times New Roman" w:hAnsi="Times New Roman" w:cs="Times New Roman"/>
                <w:kern w:val="2"/>
                <w:sz w:val="24"/>
                <w:szCs w:val="24"/>
              </w:rPr>
            </w:pPr>
          </w:p>
        </w:tc>
        <w:tc>
          <w:tcPr>
            <w:tcW w:w="1320" w:type="dxa"/>
          </w:tcPr>
          <w:p w14:paraId="34ECCFE8">
            <w:pPr>
              <w:pStyle w:val="24"/>
              <w:spacing w:line="360" w:lineRule="auto"/>
              <w:ind w:left="540" w:leftChars="257" w:firstLine="480"/>
              <w:rPr>
                <w:rFonts w:hint="default" w:ascii="Times New Roman" w:hAnsi="Times New Roman" w:cs="Times New Roman"/>
                <w:kern w:val="2"/>
                <w:sz w:val="24"/>
                <w:szCs w:val="24"/>
              </w:rPr>
            </w:pPr>
          </w:p>
        </w:tc>
        <w:tc>
          <w:tcPr>
            <w:tcW w:w="1050" w:type="dxa"/>
          </w:tcPr>
          <w:p w14:paraId="517FC5EB">
            <w:pPr>
              <w:pStyle w:val="24"/>
              <w:spacing w:line="360" w:lineRule="auto"/>
              <w:ind w:left="540" w:leftChars="257" w:firstLine="480"/>
              <w:rPr>
                <w:rFonts w:hint="default" w:ascii="Times New Roman" w:hAnsi="Times New Roman" w:cs="Times New Roman"/>
                <w:kern w:val="2"/>
                <w:sz w:val="24"/>
                <w:szCs w:val="24"/>
              </w:rPr>
            </w:pPr>
          </w:p>
        </w:tc>
        <w:tc>
          <w:tcPr>
            <w:tcW w:w="1068" w:type="dxa"/>
          </w:tcPr>
          <w:p w14:paraId="3A209C99">
            <w:pPr>
              <w:pStyle w:val="24"/>
              <w:spacing w:line="360" w:lineRule="auto"/>
              <w:ind w:left="540" w:leftChars="257" w:firstLine="480"/>
              <w:rPr>
                <w:rFonts w:hint="default" w:ascii="Times New Roman" w:hAnsi="Times New Roman" w:cs="Times New Roman"/>
                <w:kern w:val="2"/>
                <w:sz w:val="24"/>
                <w:szCs w:val="24"/>
              </w:rPr>
            </w:pPr>
          </w:p>
        </w:tc>
      </w:tr>
      <w:tr w14:paraId="6F7EF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16EFF572">
            <w:pPr>
              <w:pStyle w:val="24"/>
              <w:spacing w:line="360" w:lineRule="auto"/>
              <w:ind w:left="540" w:leftChars="257" w:firstLine="480"/>
              <w:rPr>
                <w:rFonts w:hint="default" w:ascii="Times New Roman" w:hAnsi="Times New Roman" w:cs="Times New Roman"/>
                <w:kern w:val="2"/>
                <w:sz w:val="24"/>
                <w:szCs w:val="24"/>
              </w:rPr>
            </w:pPr>
          </w:p>
        </w:tc>
        <w:tc>
          <w:tcPr>
            <w:tcW w:w="3195" w:type="dxa"/>
          </w:tcPr>
          <w:p w14:paraId="6F45C33E">
            <w:pPr>
              <w:pStyle w:val="24"/>
              <w:spacing w:line="360" w:lineRule="auto"/>
              <w:ind w:left="540" w:leftChars="257" w:firstLine="480"/>
              <w:rPr>
                <w:rFonts w:hint="default" w:ascii="Times New Roman" w:hAnsi="Times New Roman" w:cs="Times New Roman"/>
                <w:kern w:val="2"/>
                <w:sz w:val="24"/>
                <w:szCs w:val="24"/>
              </w:rPr>
            </w:pPr>
          </w:p>
        </w:tc>
        <w:tc>
          <w:tcPr>
            <w:tcW w:w="1245" w:type="dxa"/>
          </w:tcPr>
          <w:p w14:paraId="0DE5041D">
            <w:pPr>
              <w:pStyle w:val="24"/>
              <w:spacing w:line="360" w:lineRule="auto"/>
              <w:ind w:left="540" w:leftChars="257" w:firstLine="480"/>
              <w:rPr>
                <w:rFonts w:hint="default" w:ascii="Times New Roman" w:hAnsi="Times New Roman" w:cs="Times New Roman"/>
                <w:kern w:val="2"/>
                <w:sz w:val="24"/>
                <w:szCs w:val="24"/>
              </w:rPr>
            </w:pPr>
          </w:p>
        </w:tc>
        <w:tc>
          <w:tcPr>
            <w:tcW w:w="1320" w:type="dxa"/>
          </w:tcPr>
          <w:p w14:paraId="10C6BECD">
            <w:pPr>
              <w:pStyle w:val="24"/>
              <w:spacing w:line="360" w:lineRule="auto"/>
              <w:ind w:left="540" w:leftChars="257" w:firstLine="480"/>
              <w:rPr>
                <w:rFonts w:hint="default" w:ascii="Times New Roman" w:hAnsi="Times New Roman" w:cs="Times New Roman"/>
                <w:kern w:val="2"/>
                <w:sz w:val="24"/>
                <w:szCs w:val="24"/>
              </w:rPr>
            </w:pPr>
          </w:p>
        </w:tc>
        <w:tc>
          <w:tcPr>
            <w:tcW w:w="1050" w:type="dxa"/>
          </w:tcPr>
          <w:p w14:paraId="0903F9DA">
            <w:pPr>
              <w:pStyle w:val="24"/>
              <w:spacing w:line="360" w:lineRule="auto"/>
              <w:ind w:left="540" w:leftChars="257" w:firstLine="480"/>
              <w:rPr>
                <w:rFonts w:hint="default" w:ascii="Times New Roman" w:hAnsi="Times New Roman" w:cs="Times New Roman"/>
                <w:kern w:val="2"/>
                <w:sz w:val="24"/>
                <w:szCs w:val="24"/>
              </w:rPr>
            </w:pPr>
          </w:p>
        </w:tc>
        <w:tc>
          <w:tcPr>
            <w:tcW w:w="1068" w:type="dxa"/>
          </w:tcPr>
          <w:p w14:paraId="2393CEEC">
            <w:pPr>
              <w:pStyle w:val="24"/>
              <w:spacing w:line="360" w:lineRule="auto"/>
              <w:ind w:left="540" w:leftChars="257" w:firstLine="480"/>
              <w:rPr>
                <w:rFonts w:hint="default" w:ascii="Times New Roman" w:hAnsi="Times New Roman" w:cs="Times New Roman"/>
                <w:kern w:val="2"/>
                <w:sz w:val="24"/>
                <w:szCs w:val="24"/>
              </w:rPr>
            </w:pPr>
          </w:p>
        </w:tc>
      </w:tr>
      <w:tr w14:paraId="15BA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0F4CDC27">
            <w:pPr>
              <w:pStyle w:val="24"/>
              <w:spacing w:line="360" w:lineRule="auto"/>
              <w:ind w:left="540" w:leftChars="257" w:firstLine="480"/>
              <w:rPr>
                <w:rFonts w:hint="default" w:ascii="Times New Roman" w:hAnsi="Times New Roman" w:cs="Times New Roman"/>
                <w:kern w:val="2"/>
                <w:sz w:val="24"/>
                <w:szCs w:val="24"/>
              </w:rPr>
            </w:pPr>
          </w:p>
        </w:tc>
        <w:tc>
          <w:tcPr>
            <w:tcW w:w="3195" w:type="dxa"/>
          </w:tcPr>
          <w:p w14:paraId="57536188">
            <w:pPr>
              <w:pStyle w:val="24"/>
              <w:spacing w:line="360" w:lineRule="auto"/>
              <w:ind w:left="540" w:leftChars="257" w:firstLine="480"/>
              <w:rPr>
                <w:rFonts w:hint="default" w:ascii="Times New Roman" w:hAnsi="Times New Roman" w:cs="Times New Roman"/>
                <w:kern w:val="2"/>
                <w:sz w:val="24"/>
                <w:szCs w:val="24"/>
              </w:rPr>
            </w:pPr>
          </w:p>
        </w:tc>
        <w:tc>
          <w:tcPr>
            <w:tcW w:w="1245" w:type="dxa"/>
          </w:tcPr>
          <w:p w14:paraId="2138744B">
            <w:pPr>
              <w:pStyle w:val="24"/>
              <w:spacing w:line="360" w:lineRule="auto"/>
              <w:ind w:left="540" w:leftChars="257" w:firstLine="480"/>
              <w:rPr>
                <w:rFonts w:hint="default" w:ascii="Times New Roman" w:hAnsi="Times New Roman" w:cs="Times New Roman"/>
                <w:kern w:val="2"/>
                <w:sz w:val="24"/>
                <w:szCs w:val="24"/>
              </w:rPr>
            </w:pPr>
          </w:p>
        </w:tc>
        <w:tc>
          <w:tcPr>
            <w:tcW w:w="1320" w:type="dxa"/>
          </w:tcPr>
          <w:p w14:paraId="703ADCF8">
            <w:pPr>
              <w:pStyle w:val="24"/>
              <w:spacing w:line="360" w:lineRule="auto"/>
              <w:ind w:left="540" w:leftChars="257" w:firstLine="480"/>
              <w:rPr>
                <w:rFonts w:hint="default" w:ascii="Times New Roman" w:hAnsi="Times New Roman" w:cs="Times New Roman"/>
                <w:kern w:val="2"/>
                <w:sz w:val="24"/>
                <w:szCs w:val="24"/>
              </w:rPr>
            </w:pPr>
          </w:p>
        </w:tc>
        <w:tc>
          <w:tcPr>
            <w:tcW w:w="1050" w:type="dxa"/>
          </w:tcPr>
          <w:p w14:paraId="035E291E">
            <w:pPr>
              <w:pStyle w:val="24"/>
              <w:spacing w:line="360" w:lineRule="auto"/>
              <w:ind w:left="540" w:leftChars="257" w:firstLine="480"/>
              <w:rPr>
                <w:rFonts w:hint="default" w:ascii="Times New Roman" w:hAnsi="Times New Roman" w:cs="Times New Roman"/>
                <w:kern w:val="2"/>
                <w:sz w:val="24"/>
                <w:szCs w:val="24"/>
              </w:rPr>
            </w:pPr>
          </w:p>
        </w:tc>
        <w:tc>
          <w:tcPr>
            <w:tcW w:w="1068" w:type="dxa"/>
          </w:tcPr>
          <w:p w14:paraId="128D06FC">
            <w:pPr>
              <w:pStyle w:val="24"/>
              <w:spacing w:line="360" w:lineRule="auto"/>
              <w:ind w:left="540" w:leftChars="257" w:firstLine="480"/>
              <w:rPr>
                <w:rFonts w:hint="default" w:ascii="Times New Roman" w:hAnsi="Times New Roman" w:cs="Times New Roman"/>
                <w:kern w:val="2"/>
                <w:sz w:val="24"/>
                <w:szCs w:val="24"/>
              </w:rPr>
            </w:pPr>
          </w:p>
        </w:tc>
      </w:tr>
      <w:tr w14:paraId="51AB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565C914F">
            <w:pPr>
              <w:pStyle w:val="24"/>
              <w:spacing w:line="360" w:lineRule="auto"/>
              <w:ind w:left="540" w:leftChars="257" w:firstLine="480"/>
              <w:rPr>
                <w:rFonts w:hint="default" w:ascii="Times New Roman" w:hAnsi="Times New Roman" w:cs="Times New Roman"/>
                <w:kern w:val="2"/>
                <w:sz w:val="24"/>
                <w:szCs w:val="24"/>
              </w:rPr>
            </w:pPr>
          </w:p>
        </w:tc>
        <w:tc>
          <w:tcPr>
            <w:tcW w:w="3195" w:type="dxa"/>
          </w:tcPr>
          <w:p w14:paraId="38A66497">
            <w:pPr>
              <w:pStyle w:val="24"/>
              <w:spacing w:line="360" w:lineRule="auto"/>
              <w:ind w:left="540" w:leftChars="257" w:firstLine="480"/>
              <w:rPr>
                <w:rFonts w:hint="default" w:ascii="Times New Roman" w:hAnsi="Times New Roman" w:cs="Times New Roman"/>
                <w:kern w:val="2"/>
                <w:sz w:val="24"/>
                <w:szCs w:val="24"/>
              </w:rPr>
            </w:pPr>
          </w:p>
        </w:tc>
        <w:tc>
          <w:tcPr>
            <w:tcW w:w="1245" w:type="dxa"/>
          </w:tcPr>
          <w:p w14:paraId="500F5300">
            <w:pPr>
              <w:pStyle w:val="24"/>
              <w:spacing w:line="360" w:lineRule="auto"/>
              <w:ind w:left="540" w:leftChars="257" w:firstLine="480"/>
              <w:rPr>
                <w:rFonts w:hint="default" w:ascii="Times New Roman" w:hAnsi="Times New Roman" w:cs="Times New Roman"/>
                <w:kern w:val="2"/>
                <w:sz w:val="24"/>
                <w:szCs w:val="24"/>
              </w:rPr>
            </w:pPr>
          </w:p>
        </w:tc>
        <w:tc>
          <w:tcPr>
            <w:tcW w:w="1320" w:type="dxa"/>
          </w:tcPr>
          <w:p w14:paraId="2CEFE97C">
            <w:pPr>
              <w:pStyle w:val="24"/>
              <w:spacing w:line="360" w:lineRule="auto"/>
              <w:ind w:left="540" w:leftChars="257" w:firstLine="480"/>
              <w:rPr>
                <w:rFonts w:hint="default" w:ascii="Times New Roman" w:hAnsi="Times New Roman" w:cs="Times New Roman"/>
                <w:kern w:val="2"/>
                <w:sz w:val="24"/>
                <w:szCs w:val="24"/>
              </w:rPr>
            </w:pPr>
          </w:p>
        </w:tc>
        <w:tc>
          <w:tcPr>
            <w:tcW w:w="1050" w:type="dxa"/>
          </w:tcPr>
          <w:p w14:paraId="148FAC81">
            <w:pPr>
              <w:pStyle w:val="24"/>
              <w:spacing w:line="360" w:lineRule="auto"/>
              <w:ind w:left="540" w:leftChars="257" w:firstLine="480"/>
              <w:rPr>
                <w:rFonts w:hint="default" w:ascii="Times New Roman" w:hAnsi="Times New Roman" w:cs="Times New Roman"/>
                <w:kern w:val="2"/>
                <w:sz w:val="24"/>
                <w:szCs w:val="24"/>
              </w:rPr>
            </w:pPr>
          </w:p>
        </w:tc>
        <w:tc>
          <w:tcPr>
            <w:tcW w:w="1068" w:type="dxa"/>
          </w:tcPr>
          <w:p w14:paraId="797D2EE7">
            <w:pPr>
              <w:pStyle w:val="24"/>
              <w:spacing w:line="360" w:lineRule="auto"/>
              <w:ind w:left="540" w:leftChars="257" w:firstLine="480"/>
              <w:rPr>
                <w:rFonts w:hint="default" w:ascii="Times New Roman" w:hAnsi="Times New Roman" w:cs="Times New Roman"/>
                <w:kern w:val="2"/>
                <w:sz w:val="24"/>
                <w:szCs w:val="24"/>
              </w:rPr>
            </w:pPr>
          </w:p>
        </w:tc>
      </w:tr>
      <w:tr w14:paraId="1D0B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08627B87">
            <w:pPr>
              <w:pStyle w:val="24"/>
              <w:spacing w:line="360" w:lineRule="auto"/>
              <w:ind w:left="540" w:leftChars="257" w:firstLine="480"/>
              <w:rPr>
                <w:rFonts w:hint="default" w:ascii="Times New Roman" w:hAnsi="Times New Roman" w:cs="Times New Roman"/>
                <w:kern w:val="2"/>
                <w:sz w:val="24"/>
                <w:szCs w:val="24"/>
              </w:rPr>
            </w:pPr>
          </w:p>
        </w:tc>
        <w:tc>
          <w:tcPr>
            <w:tcW w:w="3195" w:type="dxa"/>
          </w:tcPr>
          <w:p w14:paraId="755BCC59">
            <w:pPr>
              <w:pStyle w:val="24"/>
              <w:spacing w:line="360" w:lineRule="auto"/>
              <w:ind w:left="540" w:leftChars="257" w:firstLine="480"/>
              <w:rPr>
                <w:rFonts w:hint="default" w:ascii="Times New Roman" w:hAnsi="Times New Roman" w:cs="Times New Roman"/>
                <w:kern w:val="2"/>
                <w:sz w:val="24"/>
                <w:szCs w:val="24"/>
              </w:rPr>
            </w:pPr>
          </w:p>
        </w:tc>
        <w:tc>
          <w:tcPr>
            <w:tcW w:w="1245" w:type="dxa"/>
          </w:tcPr>
          <w:p w14:paraId="040DD9E2">
            <w:pPr>
              <w:pStyle w:val="24"/>
              <w:spacing w:line="360" w:lineRule="auto"/>
              <w:ind w:left="540" w:leftChars="257" w:firstLine="480"/>
              <w:rPr>
                <w:rFonts w:hint="default" w:ascii="Times New Roman" w:hAnsi="Times New Roman" w:cs="Times New Roman"/>
                <w:kern w:val="2"/>
                <w:sz w:val="24"/>
                <w:szCs w:val="24"/>
              </w:rPr>
            </w:pPr>
          </w:p>
        </w:tc>
        <w:tc>
          <w:tcPr>
            <w:tcW w:w="1320" w:type="dxa"/>
          </w:tcPr>
          <w:p w14:paraId="0F9EA2A9">
            <w:pPr>
              <w:pStyle w:val="24"/>
              <w:spacing w:line="360" w:lineRule="auto"/>
              <w:ind w:left="540" w:leftChars="257" w:firstLine="480"/>
              <w:rPr>
                <w:rFonts w:hint="default" w:ascii="Times New Roman" w:hAnsi="Times New Roman" w:cs="Times New Roman"/>
                <w:kern w:val="2"/>
                <w:sz w:val="24"/>
                <w:szCs w:val="24"/>
              </w:rPr>
            </w:pPr>
          </w:p>
        </w:tc>
        <w:tc>
          <w:tcPr>
            <w:tcW w:w="1050" w:type="dxa"/>
          </w:tcPr>
          <w:p w14:paraId="695060A6">
            <w:pPr>
              <w:pStyle w:val="24"/>
              <w:spacing w:line="360" w:lineRule="auto"/>
              <w:ind w:left="540" w:leftChars="257" w:firstLine="480"/>
              <w:rPr>
                <w:rFonts w:hint="default" w:ascii="Times New Roman" w:hAnsi="Times New Roman" w:cs="Times New Roman"/>
                <w:kern w:val="2"/>
                <w:sz w:val="24"/>
                <w:szCs w:val="24"/>
              </w:rPr>
            </w:pPr>
          </w:p>
        </w:tc>
        <w:tc>
          <w:tcPr>
            <w:tcW w:w="1068" w:type="dxa"/>
          </w:tcPr>
          <w:p w14:paraId="64E14A5B">
            <w:pPr>
              <w:pStyle w:val="24"/>
              <w:spacing w:line="360" w:lineRule="auto"/>
              <w:ind w:left="540" w:leftChars="257" w:firstLine="480"/>
              <w:rPr>
                <w:rFonts w:hint="default" w:ascii="Times New Roman" w:hAnsi="Times New Roman" w:cs="Times New Roman"/>
                <w:kern w:val="2"/>
                <w:sz w:val="24"/>
                <w:szCs w:val="24"/>
              </w:rPr>
            </w:pPr>
          </w:p>
        </w:tc>
      </w:tr>
      <w:tr w14:paraId="4E21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7EDF136E">
            <w:pPr>
              <w:pStyle w:val="24"/>
              <w:spacing w:line="360" w:lineRule="auto"/>
              <w:ind w:left="540" w:leftChars="257" w:firstLine="480"/>
              <w:rPr>
                <w:rFonts w:hint="default" w:ascii="Times New Roman" w:hAnsi="Times New Roman" w:cs="Times New Roman"/>
                <w:kern w:val="2"/>
                <w:sz w:val="24"/>
                <w:szCs w:val="24"/>
              </w:rPr>
            </w:pPr>
          </w:p>
        </w:tc>
        <w:tc>
          <w:tcPr>
            <w:tcW w:w="3195" w:type="dxa"/>
          </w:tcPr>
          <w:p w14:paraId="6A66EA8C">
            <w:pPr>
              <w:pStyle w:val="24"/>
              <w:spacing w:line="360" w:lineRule="auto"/>
              <w:ind w:left="540" w:leftChars="257" w:firstLine="480"/>
              <w:rPr>
                <w:rFonts w:hint="default" w:ascii="Times New Roman" w:hAnsi="Times New Roman" w:cs="Times New Roman"/>
                <w:kern w:val="2"/>
                <w:sz w:val="24"/>
                <w:szCs w:val="24"/>
              </w:rPr>
            </w:pPr>
          </w:p>
        </w:tc>
        <w:tc>
          <w:tcPr>
            <w:tcW w:w="1245" w:type="dxa"/>
          </w:tcPr>
          <w:p w14:paraId="7EE15BB0">
            <w:pPr>
              <w:pStyle w:val="24"/>
              <w:spacing w:line="360" w:lineRule="auto"/>
              <w:ind w:left="540" w:leftChars="257" w:firstLine="480"/>
              <w:rPr>
                <w:rFonts w:hint="default" w:ascii="Times New Roman" w:hAnsi="Times New Roman" w:cs="Times New Roman"/>
                <w:kern w:val="2"/>
                <w:sz w:val="24"/>
                <w:szCs w:val="24"/>
              </w:rPr>
            </w:pPr>
          </w:p>
        </w:tc>
        <w:tc>
          <w:tcPr>
            <w:tcW w:w="1320" w:type="dxa"/>
          </w:tcPr>
          <w:p w14:paraId="73C1868C">
            <w:pPr>
              <w:pStyle w:val="24"/>
              <w:spacing w:line="360" w:lineRule="auto"/>
              <w:ind w:left="540" w:leftChars="257" w:firstLine="480"/>
              <w:rPr>
                <w:rFonts w:hint="default" w:ascii="Times New Roman" w:hAnsi="Times New Roman" w:cs="Times New Roman"/>
                <w:kern w:val="2"/>
                <w:sz w:val="24"/>
                <w:szCs w:val="24"/>
              </w:rPr>
            </w:pPr>
          </w:p>
        </w:tc>
        <w:tc>
          <w:tcPr>
            <w:tcW w:w="1050" w:type="dxa"/>
          </w:tcPr>
          <w:p w14:paraId="4514D5AA">
            <w:pPr>
              <w:pStyle w:val="24"/>
              <w:spacing w:line="360" w:lineRule="auto"/>
              <w:ind w:left="540" w:leftChars="257" w:firstLine="480"/>
              <w:rPr>
                <w:rFonts w:hint="default" w:ascii="Times New Roman" w:hAnsi="Times New Roman" w:cs="Times New Roman"/>
                <w:kern w:val="2"/>
                <w:sz w:val="24"/>
                <w:szCs w:val="24"/>
              </w:rPr>
            </w:pPr>
          </w:p>
        </w:tc>
        <w:tc>
          <w:tcPr>
            <w:tcW w:w="1068" w:type="dxa"/>
          </w:tcPr>
          <w:p w14:paraId="566BE714">
            <w:pPr>
              <w:pStyle w:val="24"/>
              <w:spacing w:line="360" w:lineRule="auto"/>
              <w:ind w:left="540" w:leftChars="257" w:firstLine="480"/>
              <w:rPr>
                <w:rFonts w:hint="default" w:ascii="Times New Roman" w:hAnsi="Times New Roman" w:cs="Times New Roman"/>
                <w:kern w:val="2"/>
                <w:sz w:val="24"/>
                <w:szCs w:val="24"/>
              </w:rPr>
            </w:pPr>
          </w:p>
        </w:tc>
      </w:tr>
      <w:tr w14:paraId="64AD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3B1230D4">
            <w:pPr>
              <w:pStyle w:val="24"/>
              <w:spacing w:line="360" w:lineRule="auto"/>
              <w:ind w:left="540" w:leftChars="257" w:firstLine="480"/>
              <w:rPr>
                <w:rFonts w:hint="default" w:ascii="Times New Roman" w:hAnsi="Times New Roman" w:cs="Times New Roman"/>
                <w:kern w:val="2"/>
                <w:sz w:val="24"/>
                <w:szCs w:val="24"/>
              </w:rPr>
            </w:pPr>
          </w:p>
        </w:tc>
        <w:tc>
          <w:tcPr>
            <w:tcW w:w="3195" w:type="dxa"/>
          </w:tcPr>
          <w:p w14:paraId="2F2E998C">
            <w:pPr>
              <w:pStyle w:val="24"/>
              <w:spacing w:line="360" w:lineRule="auto"/>
              <w:ind w:left="540" w:leftChars="257" w:firstLine="480"/>
              <w:rPr>
                <w:rFonts w:hint="default" w:ascii="Times New Roman" w:hAnsi="Times New Roman" w:cs="Times New Roman"/>
                <w:kern w:val="2"/>
                <w:sz w:val="24"/>
                <w:szCs w:val="24"/>
              </w:rPr>
            </w:pPr>
          </w:p>
        </w:tc>
        <w:tc>
          <w:tcPr>
            <w:tcW w:w="1245" w:type="dxa"/>
          </w:tcPr>
          <w:p w14:paraId="0EBA03FC">
            <w:pPr>
              <w:pStyle w:val="24"/>
              <w:spacing w:line="360" w:lineRule="auto"/>
              <w:ind w:left="540" w:leftChars="257" w:firstLine="480"/>
              <w:rPr>
                <w:rFonts w:hint="default" w:ascii="Times New Roman" w:hAnsi="Times New Roman" w:cs="Times New Roman"/>
                <w:kern w:val="2"/>
                <w:sz w:val="24"/>
                <w:szCs w:val="24"/>
              </w:rPr>
            </w:pPr>
          </w:p>
        </w:tc>
        <w:tc>
          <w:tcPr>
            <w:tcW w:w="1320" w:type="dxa"/>
          </w:tcPr>
          <w:p w14:paraId="221AF028">
            <w:pPr>
              <w:pStyle w:val="24"/>
              <w:spacing w:line="360" w:lineRule="auto"/>
              <w:ind w:left="540" w:leftChars="257" w:firstLine="480"/>
              <w:rPr>
                <w:rFonts w:hint="default" w:ascii="Times New Roman" w:hAnsi="Times New Roman" w:cs="Times New Roman"/>
                <w:kern w:val="2"/>
                <w:sz w:val="24"/>
                <w:szCs w:val="24"/>
              </w:rPr>
            </w:pPr>
          </w:p>
        </w:tc>
        <w:tc>
          <w:tcPr>
            <w:tcW w:w="1050" w:type="dxa"/>
          </w:tcPr>
          <w:p w14:paraId="359238BC">
            <w:pPr>
              <w:pStyle w:val="24"/>
              <w:spacing w:line="360" w:lineRule="auto"/>
              <w:ind w:left="540" w:leftChars="257" w:firstLine="480"/>
              <w:rPr>
                <w:rFonts w:hint="default" w:ascii="Times New Roman" w:hAnsi="Times New Roman" w:cs="Times New Roman"/>
                <w:kern w:val="2"/>
                <w:sz w:val="24"/>
                <w:szCs w:val="24"/>
              </w:rPr>
            </w:pPr>
          </w:p>
        </w:tc>
        <w:tc>
          <w:tcPr>
            <w:tcW w:w="1068" w:type="dxa"/>
          </w:tcPr>
          <w:p w14:paraId="73454491">
            <w:pPr>
              <w:pStyle w:val="24"/>
              <w:spacing w:line="360" w:lineRule="auto"/>
              <w:ind w:left="540" w:leftChars="257" w:firstLine="480"/>
              <w:rPr>
                <w:rFonts w:hint="default" w:ascii="Times New Roman" w:hAnsi="Times New Roman" w:cs="Times New Roman"/>
                <w:kern w:val="2"/>
                <w:sz w:val="24"/>
                <w:szCs w:val="24"/>
              </w:rPr>
            </w:pPr>
          </w:p>
        </w:tc>
      </w:tr>
      <w:tr w14:paraId="6B2B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tcPr>
          <w:p w14:paraId="72855379">
            <w:pPr>
              <w:pStyle w:val="24"/>
              <w:spacing w:line="360" w:lineRule="auto"/>
              <w:ind w:left="540" w:leftChars="257" w:firstLine="480"/>
              <w:rPr>
                <w:rFonts w:hint="default" w:ascii="Times New Roman" w:hAnsi="Times New Roman" w:cs="Times New Roman"/>
                <w:kern w:val="2"/>
                <w:sz w:val="24"/>
                <w:szCs w:val="24"/>
              </w:rPr>
            </w:pPr>
          </w:p>
        </w:tc>
        <w:tc>
          <w:tcPr>
            <w:tcW w:w="3195" w:type="dxa"/>
          </w:tcPr>
          <w:p w14:paraId="26AE1737">
            <w:pPr>
              <w:pStyle w:val="24"/>
              <w:spacing w:line="360" w:lineRule="auto"/>
              <w:ind w:left="540" w:leftChars="257" w:firstLine="480"/>
              <w:rPr>
                <w:rFonts w:hint="default" w:ascii="Times New Roman" w:hAnsi="Times New Roman" w:cs="Times New Roman"/>
                <w:kern w:val="2"/>
                <w:sz w:val="24"/>
                <w:szCs w:val="24"/>
              </w:rPr>
            </w:pPr>
          </w:p>
        </w:tc>
        <w:tc>
          <w:tcPr>
            <w:tcW w:w="1245" w:type="dxa"/>
          </w:tcPr>
          <w:p w14:paraId="7A996D50">
            <w:pPr>
              <w:pStyle w:val="24"/>
              <w:spacing w:line="360" w:lineRule="auto"/>
              <w:ind w:left="540" w:leftChars="257" w:firstLine="480"/>
              <w:rPr>
                <w:rFonts w:hint="default" w:ascii="Times New Roman" w:hAnsi="Times New Roman" w:cs="Times New Roman"/>
                <w:kern w:val="2"/>
                <w:sz w:val="24"/>
                <w:szCs w:val="24"/>
              </w:rPr>
            </w:pPr>
          </w:p>
        </w:tc>
        <w:tc>
          <w:tcPr>
            <w:tcW w:w="1320" w:type="dxa"/>
          </w:tcPr>
          <w:p w14:paraId="4AB0DFF6">
            <w:pPr>
              <w:pStyle w:val="24"/>
              <w:spacing w:line="360" w:lineRule="auto"/>
              <w:ind w:left="540" w:leftChars="257" w:firstLine="480"/>
              <w:rPr>
                <w:rFonts w:hint="default" w:ascii="Times New Roman" w:hAnsi="Times New Roman" w:cs="Times New Roman"/>
                <w:kern w:val="2"/>
                <w:sz w:val="24"/>
                <w:szCs w:val="24"/>
              </w:rPr>
            </w:pPr>
          </w:p>
        </w:tc>
        <w:tc>
          <w:tcPr>
            <w:tcW w:w="1050" w:type="dxa"/>
          </w:tcPr>
          <w:p w14:paraId="234769CF">
            <w:pPr>
              <w:pStyle w:val="24"/>
              <w:spacing w:line="360" w:lineRule="auto"/>
              <w:ind w:left="540" w:leftChars="257" w:firstLine="480"/>
              <w:rPr>
                <w:rFonts w:hint="default" w:ascii="Times New Roman" w:hAnsi="Times New Roman" w:cs="Times New Roman"/>
                <w:kern w:val="2"/>
                <w:sz w:val="24"/>
                <w:szCs w:val="24"/>
              </w:rPr>
            </w:pPr>
          </w:p>
        </w:tc>
        <w:tc>
          <w:tcPr>
            <w:tcW w:w="1068" w:type="dxa"/>
          </w:tcPr>
          <w:p w14:paraId="5BFD7CA7">
            <w:pPr>
              <w:pStyle w:val="24"/>
              <w:spacing w:line="360" w:lineRule="auto"/>
              <w:ind w:left="540" w:leftChars="257" w:firstLine="480"/>
              <w:rPr>
                <w:rFonts w:hint="default" w:ascii="Times New Roman" w:hAnsi="Times New Roman" w:cs="Times New Roman"/>
                <w:kern w:val="2"/>
                <w:sz w:val="24"/>
                <w:szCs w:val="24"/>
              </w:rPr>
            </w:pPr>
          </w:p>
        </w:tc>
      </w:tr>
      <w:tr w14:paraId="2764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2107607B">
            <w:pPr>
              <w:pStyle w:val="24"/>
              <w:spacing w:line="360" w:lineRule="auto"/>
              <w:ind w:left="540" w:leftChars="257" w:firstLine="480"/>
              <w:rPr>
                <w:rFonts w:hint="default" w:ascii="Times New Roman" w:hAnsi="Times New Roman" w:cs="Times New Roman"/>
                <w:kern w:val="2"/>
                <w:sz w:val="24"/>
                <w:szCs w:val="24"/>
              </w:rPr>
            </w:pPr>
          </w:p>
        </w:tc>
        <w:tc>
          <w:tcPr>
            <w:tcW w:w="3195" w:type="dxa"/>
          </w:tcPr>
          <w:p w14:paraId="6A9C06D3">
            <w:pPr>
              <w:pStyle w:val="24"/>
              <w:spacing w:line="360" w:lineRule="auto"/>
              <w:ind w:left="540" w:leftChars="257" w:firstLine="480"/>
              <w:rPr>
                <w:rFonts w:hint="default" w:ascii="Times New Roman" w:hAnsi="Times New Roman" w:cs="Times New Roman"/>
                <w:kern w:val="2"/>
                <w:sz w:val="24"/>
                <w:szCs w:val="24"/>
              </w:rPr>
            </w:pPr>
          </w:p>
        </w:tc>
        <w:tc>
          <w:tcPr>
            <w:tcW w:w="1245" w:type="dxa"/>
          </w:tcPr>
          <w:p w14:paraId="460E3451">
            <w:pPr>
              <w:pStyle w:val="24"/>
              <w:spacing w:line="360" w:lineRule="auto"/>
              <w:ind w:left="540" w:leftChars="257" w:firstLine="480"/>
              <w:rPr>
                <w:rFonts w:hint="default" w:ascii="Times New Roman" w:hAnsi="Times New Roman" w:cs="Times New Roman"/>
                <w:kern w:val="2"/>
                <w:sz w:val="24"/>
                <w:szCs w:val="24"/>
              </w:rPr>
            </w:pPr>
          </w:p>
        </w:tc>
        <w:tc>
          <w:tcPr>
            <w:tcW w:w="1320" w:type="dxa"/>
          </w:tcPr>
          <w:p w14:paraId="0CB785C3">
            <w:pPr>
              <w:pStyle w:val="24"/>
              <w:spacing w:line="360" w:lineRule="auto"/>
              <w:ind w:left="540" w:leftChars="257" w:firstLine="480"/>
              <w:rPr>
                <w:rFonts w:hint="default" w:ascii="Times New Roman" w:hAnsi="Times New Roman" w:cs="Times New Roman"/>
                <w:kern w:val="2"/>
                <w:sz w:val="24"/>
                <w:szCs w:val="24"/>
              </w:rPr>
            </w:pPr>
          </w:p>
        </w:tc>
        <w:tc>
          <w:tcPr>
            <w:tcW w:w="1050" w:type="dxa"/>
          </w:tcPr>
          <w:p w14:paraId="00D70A77">
            <w:pPr>
              <w:pStyle w:val="24"/>
              <w:spacing w:line="360" w:lineRule="auto"/>
              <w:ind w:left="540" w:leftChars="257" w:firstLine="480"/>
              <w:rPr>
                <w:rFonts w:hint="default" w:ascii="Times New Roman" w:hAnsi="Times New Roman" w:cs="Times New Roman"/>
                <w:kern w:val="2"/>
                <w:sz w:val="24"/>
                <w:szCs w:val="24"/>
              </w:rPr>
            </w:pPr>
          </w:p>
        </w:tc>
        <w:tc>
          <w:tcPr>
            <w:tcW w:w="1068" w:type="dxa"/>
          </w:tcPr>
          <w:p w14:paraId="47EEC8FF">
            <w:pPr>
              <w:pStyle w:val="24"/>
              <w:spacing w:line="360" w:lineRule="auto"/>
              <w:ind w:left="540" w:leftChars="257" w:firstLine="480"/>
              <w:rPr>
                <w:rFonts w:hint="default" w:ascii="Times New Roman" w:hAnsi="Times New Roman" w:cs="Times New Roman"/>
                <w:kern w:val="2"/>
                <w:sz w:val="24"/>
                <w:szCs w:val="24"/>
              </w:rPr>
            </w:pPr>
          </w:p>
        </w:tc>
      </w:tr>
      <w:tr w14:paraId="223E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tcPr>
          <w:p w14:paraId="35787834">
            <w:pPr>
              <w:pStyle w:val="24"/>
              <w:spacing w:line="360" w:lineRule="auto"/>
              <w:ind w:left="540" w:leftChars="257" w:firstLine="480"/>
              <w:rPr>
                <w:rFonts w:hint="default" w:ascii="Times New Roman" w:hAnsi="Times New Roman" w:cs="Times New Roman"/>
                <w:kern w:val="2"/>
                <w:sz w:val="24"/>
                <w:szCs w:val="24"/>
              </w:rPr>
            </w:pPr>
          </w:p>
        </w:tc>
        <w:tc>
          <w:tcPr>
            <w:tcW w:w="3195" w:type="dxa"/>
          </w:tcPr>
          <w:p w14:paraId="1B797812">
            <w:pPr>
              <w:pStyle w:val="24"/>
              <w:spacing w:line="360" w:lineRule="auto"/>
              <w:ind w:left="540" w:leftChars="257" w:firstLine="480"/>
              <w:rPr>
                <w:rFonts w:hint="default" w:ascii="Times New Roman" w:hAnsi="Times New Roman" w:cs="Times New Roman"/>
                <w:kern w:val="2"/>
                <w:sz w:val="24"/>
                <w:szCs w:val="24"/>
              </w:rPr>
            </w:pPr>
          </w:p>
        </w:tc>
        <w:tc>
          <w:tcPr>
            <w:tcW w:w="1245" w:type="dxa"/>
          </w:tcPr>
          <w:p w14:paraId="45EC2018">
            <w:pPr>
              <w:pStyle w:val="24"/>
              <w:spacing w:line="360" w:lineRule="auto"/>
              <w:ind w:left="540" w:leftChars="257" w:firstLine="480"/>
              <w:rPr>
                <w:rFonts w:hint="default" w:ascii="Times New Roman" w:hAnsi="Times New Roman" w:cs="Times New Roman"/>
                <w:kern w:val="2"/>
                <w:sz w:val="24"/>
                <w:szCs w:val="24"/>
              </w:rPr>
            </w:pPr>
          </w:p>
        </w:tc>
        <w:tc>
          <w:tcPr>
            <w:tcW w:w="1320" w:type="dxa"/>
          </w:tcPr>
          <w:p w14:paraId="15950166">
            <w:pPr>
              <w:pStyle w:val="24"/>
              <w:spacing w:line="360" w:lineRule="auto"/>
              <w:ind w:left="540" w:leftChars="257" w:firstLine="480"/>
              <w:rPr>
                <w:rFonts w:hint="default" w:ascii="Times New Roman" w:hAnsi="Times New Roman" w:cs="Times New Roman"/>
                <w:kern w:val="2"/>
                <w:sz w:val="24"/>
                <w:szCs w:val="24"/>
              </w:rPr>
            </w:pPr>
          </w:p>
        </w:tc>
        <w:tc>
          <w:tcPr>
            <w:tcW w:w="1050" w:type="dxa"/>
          </w:tcPr>
          <w:p w14:paraId="2E826C28">
            <w:pPr>
              <w:pStyle w:val="24"/>
              <w:spacing w:line="360" w:lineRule="auto"/>
              <w:ind w:left="540" w:leftChars="257" w:firstLine="480"/>
              <w:rPr>
                <w:rFonts w:hint="default" w:ascii="Times New Roman" w:hAnsi="Times New Roman" w:cs="Times New Roman"/>
                <w:kern w:val="2"/>
                <w:sz w:val="24"/>
                <w:szCs w:val="24"/>
              </w:rPr>
            </w:pPr>
          </w:p>
        </w:tc>
        <w:tc>
          <w:tcPr>
            <w:tcW w:w="1068" w:type="dxa"/>
          </w:tcPr>
          <w:p w14:paraId="2128D9A3">
            <w:pPr>
              <w:pStyle w:val="24"/>
              <w:spacing w:line="360" w:lineRule="auto"/>
              <w:ind w:left="540" w:leftChars="257" w:firstLine="480"/>
              <w:rPr>
                <w:rFonts w:hint="default" w:ascii="Times New Roman" w:hAnsi="Times New Roman" w:cs="Times New Roman"/>
                <w:kern w:val="2"/>
                <w:sz w:val="24"/>
                <w:szCs w:val="24"/>
              </w:rPr>
            </w:pPr>
          </w:p>
        </w:tc>
      </w:tr>
    </w:tbl>
    <w:p w14:paraId="4BEF1B42">
      <w:pPr>
        <w:pStyle w:val="24"/>
        <w:spacing w:line="360" w:lineRule="auto"/>
        <w:ind w:left="540" w:leftChars="257" w:firstLine="480"/>
        <w:rPr>
          <w:rFonts w:hint="default" w:ascii="Times New Roman" w:hAnsi="Times New Roman" w:cs="Times New Roman"/>
          <w:sz w:val="24"/>
          <w:szCs w:val="24"/>
        </w:rPr>
      </w:pPr>
    </w:p>
    <w:p w14:paraId="6E9E5ED8">
      <w:pPr>
        <w:pStyle w:val="70"/>
        <w:rPr>
          <w:rFonts w:hint="default" w:ascii="Times New Roman" w:hAnsi="Times New Roman" w:cs="Times New Roman"/>
          <w:color w:val="auto"/>
        </w:rPr>
      </w:pPr>
      <w:r>
        <w:rPr>
          <w:rFonts w:hint="default" w:ascii="Times New Roman" w:hAnsi="Times New Roman" w:eastAsia="仿宋_GB2312" w:cs="Times New Roman"/>
          <w:b/>
          <w:bCs/>
          <w:color w:val="auto"/>
          <w:sz w:val="28"/>
          <w:szCs w:val="28"/>
          <w:lang w:val="zh-TW"/>
        </w:rPr>
        <w:t>供应商（企业电子签章）：</w:t>
      </w:r>
      <w:r>
        <w:rPr>
          <w:rFonts w:hint="default" w:ascii="Times New Roman" w:hAnsi="Times New Roman" w:eastAsia="仿宋_GB2312" w:cs="Times New Roman"/>
          <w:b/>
          <w:bCs/>
          <w:color w:val="auto"/>
          <w:sz w:val="28"/>
          <w:szCs w:val="28"/>
          <w:u w:val="single"/>
        </w:rPr>
        <w:t xml:space="preserve">          </w:t>
      </w:r>
      <w:r>
        <w:rPr>
          <w:rFonts w:hint="default" w:ascii="Times New Roman" w:hAnsi="Times New Roman" w:cs="Times New Roman"/>
          <w:color w:val="auto"/>
        </w:rPr>
        <w:br w:type="page"/>
      </w:r>
    </w:p>
    <w:bookmarkEnd w:id="168"/>
    <w:p w14:paraId="79DF73DD">
      <w:pPr>
        <w:pStyle w:val="3"/>
        <w:spacing w:before="0" w:after="0" w:line="360" w:lineRule="auto"/>
        <w:jc w:val="center"/>
        <w:rPr>
          <w:rFonts w:hint="default" w:ascii="Times New Roman" w:hAnsi="Times New Roman" w:eastAsia="方正小标宋_GBK" w:cs="Times New Roman"/>
          <w:b w:val="0"/>
          <w:color w:val="auto"/>
          <w:sz w:val="30"/>
          <w:szCs w:val="30"/>
          <w:lang w:val="en-US" w:eastAsia="zh-CN"/>
        </w:rPr>
      </w:pPr>
      <w:bookmarkStart w:id="187" w:name="_Toc2003907413"/>
      <w:bookmarkStart w:id="188" w:name="_Toc42148613"/>
      <w:bookmarkStart w:id="189" w:name="_Toc1531555161"/>
      <w:bookmarkStart w:id="190" w:name="_Toc1407304042"/>
      <w:bookmarkStart w:id="191" w:name="_Toc1783728506"/>
      <w:bookmarkStart w:id="192" w:name="_Toc1191518010"/>
      <w:bookmarkStart w:id="193" w:name="_Toc642155508"/>
      <w:bookmarkStart w:id="194" w:name="_Toc813965440"/>
      <w:bookmarkStart w:id="195" w:name="_Toc71543325"/>
      <w:bookmarkStart w:id="196" w:name="_Toc2049974436"/>
      <w:bookmarkStart w:id="197" w:name="_Toc973052495"/>
      <w:bookmarkStart w:id="198" w:name="_Toc1439922488"/>
      <w:bookmarkStart w:id="199" w:name="_Toc1184533414"/>
      <w:bookmarkStart w:id="200" w:name="_Toc1497172548"/>
      <w:bookmarkStart w:id="201" w:name="_Toc1999724387"/>
      <w:bookmarkStart w:id="202" w:name="_Toc2035786603"/>
      <w:bookmarkStart w:id="203" w:name="_Toc2046346837"/>
      <w:bookmarkStart w:id="204" w:name="_Toc2114111239"/>
      <w:bookmarkStart w:id="205" w:name="_Toc1323492610"/>
      <w:r>
        <w:rPr>
          <w:rFonts w:hint="default" w:ascii="Times New Roman" w:hAnsi="Times New Roman" w:eastAsia="方正小标宋_GBK" w:cs="Times New Roman"/>
          <w:b w:val="0"/>
          <w:color w:val="auto"/>
          <w:sz w:val="30"/>
          <w:szCs w:val="30"/>
          <w:lang w:val="en-US" w:eastAsia="zh-CN"/>
        </w:rPr>
        <w:t>十二、</w:t>
      </w:r>
      <w:bookmarkEnd w:id="187"/>
      <w:bookmarkEnd w:id="188"/>
      <w:bookmarkEnd w:id="189"/>
      <w:bookmarkEnd w:id="190"/>
      <w:bookmarkStart w:id="206" w:name="_Toc1279155327"/>
      <w:bookmarkStart w:id="207" w:name="_Toc960541360"/>
      <w:bookmarkStart w:id="208" w:name="_Toc447654087"/>
      <w:bookmarkStart w:id="209" w:name="_Toc89037649"/>
      <w:r>
        <w:rPr>
          <w:rFonts w:hint="default" w:ascii="Times New Roman" w:hAnsi="Times New Roman" w:eastAsia="方正小标宋_GBK" w:cs="Times New Roman"/>
          <w:b w:val="0"/>
          <w:color w:val="auto"/>
          <w:sz w:val="30"/>
          <w:szCs w:val="30"/>
          <w:lang w:eastAsia="zh-CN"/>
        </w:rPr>
        <w:t>综合证明文件</w:t>
      </w:r>
      <w:bookmarkEnd w:id="191"/>
      <w:bookmarkEnd w:id="192"/>
      <w:bookmarkEnd w:id="193"/>
      <w:bookmarkEnd w:id="194"/>
      <w:bookmarkEnd w:id="195"/>
      <w:bookmarkEnd w:id="196"/>
      <w:bookmarkEnd w:id="206"/>
      <w:bookmarkEnd w:id="207"/>
      <w:bookmarkEnd w:id="208"/>
      <w:bookmarkEnd w:id="209"/>
    </w:p>
    <w:p w14:paraId="2CE40A12">
      <w:pPr>
        <w:pStyle w:val="4"/>
        <w:spacing w:line="360" w:lineRule="exact"/>
        <w:rPr>
          <w:rFonts w:hint="default" w:ascii="Times New Roman" w:hAnsi="Times New Roman" w:eastAsia="仿宋_GB2312" w:cs="Times New Roman"/>
          <w:color w:val="auto"/>
          <w:kern w:val="0"/>
          <w:sz w:val="28"/>
          <w:szCs w:val="28"/>
          <w:lang w:eastAsia="zh-CN"/>
        </w:rPr>
      </w:pPr>
      <w:bookmarkStart w:id="210" w:name="_Toc751864404"/>
      <w:bookmarkStart w:id="211" w:name="_Toc765014490"/>
      <w:bookmarkStart w:id="212" w:name="_Toc1984592160"/>
      <w:bookmarkStart w:id="213" w:name="_Toc1325819456_WPSOffice_Level3"/>
      <w:bookmarkStart w:id="214" w:name="_Toc1974888321"/>
      <w:bookmarkStart w:id="215" w:name="_Toc947281468"/>
      <w:bookmarkStart w:id="216" w:name="_Toc71543326"/>
      <w:r>
        <w:rPr>
          <w:rFonts w:hint="default" w:ascii="Times New Roman" w:hAnsi="Times New Roman" w:eastAsia="仿宋_GB2312" w:cs="Times New Roman"/>
          <w:bCs w:val="0"/>
          <w:color w:val="auto"/>
          <w:kern w:val="0"/>
          <w:sz w:val="28"/>
          <w:szCs w:val="28"/>
          <w:lang w:val="en-US" w:eastAsia="zh-CN"/>
        </w:rPr>
        <w:t>1</w:t>
      </w:r>
      <w:r>
        <w:rPr>
          <w:rFonts w:hint="default" w:ascii="Times New Roman" w:hAnsi="Times New Roman" w:eastAsia="仿宋_GB2312" w:cs="Times New Roman"/>
          <w:color w:val="auto"/>
          <w:kern w:val="0"/>
          <w:sz w:val="28"/>
          <w:szCs w:val="28"/>
          <w:lang w:val="en-US" w:eastAsia="zh-CN"/>
        </w:rPr>
        <w:t>.</w:t>
      </w:r>
      <w:r>
        <w:rPr>
          <w:rFonts w:hint="default" w:ascii="Times New Roman" w:hAnsi="Times New Roman" w:eastAsia="仿宋_GB2312" w:cs="Times New Roman"/>
          <w:color w:val="auto"/>
          <w:kern w:val="0"/>
          <w:sz w:val="28"/>
          <w:szCs w:val="28"/>
          <w:lang w:eastAsia="zh-CN"/>
        </w:rPr>
        <w:t>综合实力</w:t>
      </w:r>
      <w:bookmarkEnd w:id="210"/>
      <w:bookmarkEnd w:id="211"/>
      <w:bookmarkEnd w:id="212"/>
      <w:bookmarkEnd w:id="213"/>
      <w:bookmarkEnd w:id="214"/>
      <w:bookmarkEnd w:id="215"/>
      <w:bookmarkEnd w:id="216"/>
    </w:p>
    <w:p w14:paraId="40CF0B59">
      <w:pPr>
        <w:spacing w:line="360" w:lineRule="auto"/>
        <w:ind w:firstLine="482"/>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根据竞争性磋商文件要求，提供供应商认证等证书。（提供认证原件扫描件，扫描不清晰的不得分，竞争性磋商文件未要求的不需要提供）</w:t>
      </w:r>
    </w:p>
    <w:p w14:paraId="54EABBB3">
      <w:pPr>
        <w:pStyle w:val="4"/>
        <w:spacing w:line="360" w:lineRule="exact"/>
        <w:rPr>
          <w:rFonts w:hint="default" w:ascii="Times New Roman" w:hAnsi="Times New Roman" w:eastAsia="仿宋_GB2312" w:cs="Times New Roman"/>
          <w:bCs w:val="0"/>
          <w:color w:val="auto"/>
          <w:kern w:val="0"/>
          <w:sz w:val="28"/>
          <w:szCs w:val="28"/>
          <w:lang w:eastAsia="zh-CN"/>
        </w:rPr>
      </w:pPr>
      <w:bookmarkStart w:id="217" w:name="_Toc619505013"/>
      <w:bookmarkStart w:id="218" w:name="_Toc71543327"/>
      <w:bookmarkStart w:id="219" w:name="_Toc799340312_WPSOffice_Level3"/>
      <w:bookmarkStart w:id="220" w:name="_Toc973020382"/>
      <w:bookmarkStart w:id="221" w:name="_Toc1849820970"/>
      <w:bookmarkStart w:id="222" w:name="_Toc1281816136"/>
      <w:bookmarkStart w:id="223" w:name="_Toc2110045194"/>
      <w:r>
        <w:rPr>
          <w:rFonts w:hint="default" w:ascii="Times New Roman" w:hAnsi="Times New Roman" w:eastAsia="仿宋_GB2312" w:cs="Times New Roman"/>
          <w:bCs w:val="0"/>
          <w:color w:val="auto"/>
          <w:kern w:val="0"/>
          <w:sz w:val="28"/>
          <w:szCs w:val="28"/>
          <w:lang w:val="en-US" w:eastAsia="zh-CN"/>
        </w:rPr>
        <w:t>2</w:t>
      </w:r>
      <w:r>
        <w:rPr>
          <w:rFonts w:hint="default" w:ascii="Times New Roman" w:hAnsi="Times New Roman" w:eastAsia="仿宋_GB2312" w:cs="Times New Roman"/>
          <w:color w:val="auto"/>
          <w:kern w:val="0"/>
          <w:sz w:val="28"/>
          <w:szCs w:val="28"/>
          <w:lang w:val="en-US" w:eastAsia="zh-CN"/>
        </w:rPr>
        <w:t>.</w:t>
      </w:r>
      <w:r>
        <w:rPr>
          <w:rFonts w:hint="default" w:ascii="Times New Roman" w:hAnsi="Times New Roman" w:eastAsia="仿宋_GB2312" w:cs="Times New Roman"/>
          <w:color w:val="auto"/>
          <w:kern w:val="0"/>
          <w:sz w:val="28"/>
          <w:szCs w:val="28"/>
          <w:lang w:eastAsia="zh-CN"/>
        </w:rPr>
        <w:t>类似项目业绩</w:t>
      </w:r>
      <w:bookmarkEnd w:id="217"/>
      <w:bookmarkEnd w:id="218"/>
      <w:bookmarkEnd w:id="219"/>
      <w:bookmarkEnd w:id="220"/>
      <w:bookmarkEnd w:id="221"/>
      <w:bookmarkEnd w:id="222"/>
      <w:bookmarkEnd w:id="223"/>
    </w:p>
    <w:p w14:paraId="2E36596F">
      <w:pPr>
        <w:spacing w:line="360" w:lineRule="exact"/>
        <w:ind w:firstLine="480"/>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附表：相关项目业绩一览表</w:t>
      </w:r>
    </w:p>
    <w:tbl>
      <w:tblPr>
        <w:tblStyle w:val="52"/>
        <w:tblW w:w="9362"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003"/>
        <w:gridCol w:w="2423"/>
        <w:gridCol w:w="2524"/>
        <w:gridCol w:w="1788"/>
        <w:gridCol w:w="1624"/>
      </w:tblGrid>
      <w:tr w14:paraId="2B48899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61" w:hRule="atLeast"/>
          <w:jc w:val="center"/>
        </w:trPr>
        <w:tc>
          <w:tcPr>
            <w:tcW w:w="100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6DEE019A">
            <w:pPr>
              <w:jc w:val="center"/>
              <w:rPr>
                <w:rFonts w:hint="default" w:ascii="Times New Roman" w:hAnsi="Times New Roman" w:eastAsia="仿宋_GB2312" w:cs="Times New Roman"/>
                <w:bCs/>
                <w:color w:val="auto"/>
                <w:kern w:val="0"/>
                <w:sz w:val="28"/>
                <w:szCs w:val="28"/>
                <w:lang w:val="en-US" w:eastAsia="zh-CN"/>
              </w:rPr>
            </w:pPr>
            <w:r>
              <w:rPr>
                <w:rFonts w:hint="default" w:ascii="Times New Roman" w:hAnsi="Times New Roman" w:eastAsia="仿宋_GB2312" w:cs="Times New Roman"/>
                <w:bCs/>
                <w:color w:val="auto"/>
                <w:kern w:val="0"/>
                <w:sz w:val="28"/>
                <w:szCs w:val="28"/>
                <w:lang w:val="en-US" w:eastAsia="zh-CN"/>
              </w:rPr>
              <w:t>序号</w:t>
            </w:r>
          </w:p>
        </w:tc>
        <w:tc>
          <w:tcPr>
            <w:tcW w:w="242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5DAE08E8">
            <w:pPr>
              <w:jc w:val="center"/>
              <w:rPr>
                <w:rFonts w:hint="default" w:ascii="Times New Roman" w:hAnsi="Times New Roman" w:eastAsia="仿宋_GB2312" w:cs="Times New Roman"/>
                <w:bCs/>
                <w:color w:val="auto"/>
                <w:kern w:val="0"/>
                <w:sz w:val="28"/>
                <w:szCs w:val="28"/>
              </w:rPr>
            </w:pPr>
            <w:r>
              <w:rPr>
                <w:rFonts w:hint="default" w:ascii="Times New Roman" w:hAnsi="Times New Roman" w:eastAsia="仿宋_GB2312" w:cs="Times New Roman"/>
                <w:bCs/>
                <w:color w:val="auto"/>
                <w:kern w:val="0"/>
                <w:sz w:val="28"/>
                <w:szCs w:val="28"/>
              </w:rPr>
              <w:t>项目名称</w:t>
            </w:r>
          </w:p>
        </w:tc>
        <w:tc>
          <w:tcPr>
            <w:tcW w:w="25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6FF774F8">
            <w:pPr>
              <w:jc w:val="center"/>
              <w:rPr>
                <w:rFonts w:hint="default" w:ascii="Times New Roman" w:hAnsi="Times New Roman" w:eastAsia="仿宋_GB2312" w:cs="Times New Roman"/>
                <w:bCs/>
                <w:color w:val="auto"/>
                <w:kern w:val="0"/>
                <w:sz w:val="28"/>
                <w:szCs w:val="28"/>
              </w:rPr>
            </w:pPr>
            <w:r>
              <w:rPr>
                <w:rFonts w:hint="default" w:ascii="Times New Roman" w:hAnsi="Times New Roman" w:eastAsia="仿宋_GB2312" w:cs="Times New Roman"/>
                <w:bCs/>
                <w:color w:val="auto"/>
                <w:kern w:val="0"/>
                <w:sz w:val="28"/>
                <w:szCs w:val="28"/>
              </w:rPr>
              <w:t>简要描述</w:t>
            </w:r>
          </w:p>
        </w:tc>
        <w:tc>
          <w:tcPr>
            <w:tcW w:w="1788"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1383A4E2">
            <w:pPr>
              <w:jc w:val="center"/>
              <w:rPr>
                <w:rFonts w:hint="default" w:ascii="Times New Roman" w:hAnsi="Times New Roman" w:eastAsia="仿宋_GB2312" w:cs="Times New Roman"/>
                <w:bCs/>
                <w:color w:val="auto"/>
                <w:kern w:val="0"/>
                <w:sz w:val="28"/>
                <w:szCs w:val="28"/>
              </w:rPr>
            </w:pPr>
            <w:r>
              <w:rPr>
                <w:rFonts w:hint="default" w:ascii="Times New Roman" w:hAnsi="Times New Roman" w:eastAsia="仿宋_GB2312" w:cs="Times New Roman"/>
                <w:bCs/>
                <w:color w:val="auto"/>
                <w:kern w:val="0"/>
                <w:sz w:val="28"/>
                <w:szCs w:val="28"/>
              </w:rPr>
              <w:t>项目金额</w:t>
            </w:r>
          </w:p>
          <w:p w14:paraId="57DE817C">
            <w:pPr>
              <w:jc w:val="center"/>
              <w:rPr>
                <w:rFonts w:hint="default" w:ascii="Times New Roman" w:hAnsi="Times New Roman" w:eastAsia="仿宋_GB2312" w:cs="Times New Roman"/>
                <w:bCs/>
                <w:color w:val="auto"/>
                <w:kern w:val="0"/>
                <w:sz w:val="28"/>
                <w:szCs w:val="28"/>
              </w:rPr>
            </w:pPr>
            <w:r>
              <w:rPr>
                <w:rFonts w:hint="default" w:ascii="Times New Roman" w:hAnsi="Times New Roman" w:eastAsia="仿宋_GB2312" w:cs="Times New Roman"/>
                <w:bCs/>
                <w:color w:val="auto"/>
                <w:kern w:val="0"/>
                <w:sz w:val="28"/>
                <w:szCs w:val="28"/>
              </w:rPr>
              <w:t>（万元）</w:t>
            </w:r>
          </w:p>
        </w:tc>
        <w:tc>
          <w:tcPr>
            <w:tcW w:w="16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2ADC960B">
            <w:pPr>
              <w:jc w:val="center"/>
              <w:rPr>
                <w:rFonts w:hint="default" w:ascii="Times New Roman" w:hAnsi="Times New Roman" w:eastAsia="仿宋_GB2312" w:cs="Times New Roman"/>
                <w:bCs/>
                <w:color w:val="auto"/>
                <w:kern w:val="0"/>
                <w:sz w:val="28"/>
                <w:szCs w:val="28"/>
              </w:rPr>
            </w:pPr>
            <w:r>
              <w:rPr>
                <w:rFonts w:hint="default" w:ascii="Times New Roman" w:hAnsi="Times New Roman" w:eastAsia="仿宋_GB2312" w:cs="Times New Roman"/>
                <w:bCs/>
                <w:color w:val="auto"/>
                <w:kern w:val="0"/>
                <w:sz w:val="28"/>
                <w:szCs w:val="28"/>
              </w:rPr>
              <w:t>项目单位</w:t>
            </w:r>
          </w:p>
          <w:p w14:paraId="7E2D7088">
            <w:pPr>
              <w:jc w:val="center"/>
              <w:rPr>
                <w:rFonts w:hint="default" w:ascii="Times New Roman" w:hAnsi="Times New Roman" w:eastAsia="仿宋_GB2312" w:cs="Times New Roman"/>
                <w:bCs/>
                <w:color w:val="auto"/>
                <w:kern w:val="0"/>
                <w:sz w:val="28"/>
                <w:szCs w:val="28"/>
              </w:rPr>
            </w:pPr>
            <w:r>
              <w:rPr>
                <w:rFonts w:hint="default" w:ascii="Times New Roman" w:hAnsi="Times New Roman" w:eastAsia="仿宋_GB2312" w:cs="Times New Roman"/>
                <w:bCs/>
                <w:color w:val="auto"/>
                <w:kern w:val="0"/>
                <w:sz w:val="28"/>
                <w:szCs w:val="28"/>
              </w:rPr>
              <w:t>联系电话</w:t>
            </w:r>
          </w:p>
        </w:tc>
      </w:tr>
      <w:tr w14:paraId="49583E1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5" w:hRule="atLeast"/>
          <w:jc w:val="center"/>
        </w:trPr>
        <w:tc>
          <w:tcPr>
            <w:tcW w:w="100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0A480FFD">
            <w:pPr>
              <w:rPr>
                <w:rFonts w:hint="default" w:ascii="Times New Roman" w:hAnsi="Times New Roman" w:eastAsia="仿宋_GB2312" w:cs="Times New Roman"/>
                <w:bCs/>
                <w:color w:val="auto"/>
                <w:kern w:val="0"/>
                <w:sz w:val="28"/>
                <w:szCs w:val="28"/>
              </w:rPr>
            </w:pPr>
          </w:p>
        </w:tc>
        <w:tc>
          <w:tcPr>
            <w:tcW w:w="242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7A0D998F">
            <w:pPr>
              <w:jc w:val="center"/>
              <w:rPr>
                <w:rFonts w:hint="default" w:ascii="Times New Roman" w:hAnsi="Times New Roman" w:eastAsia="仿宋_GB2312" w:cs="Times New Roman"/>
                <w:bCs/>
                <w:color w:val="auto"/>
                <w:kern w:val="0"/>
                <w:sz w:val="28"/>
                <w:szCs w:val="28"/>
              </w:rPr>
            </w:pPr>
          </w:p>
        </w:tc>
        <w:tc>
          <w:tcPr>
            <w:tcW w:w="25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5657C249">
            <w:pPr>
              <w:rPr>
                <w:rFonts w:hint="default" w:ascii="Times New Roman" w:hAnsi="Times New Roman" w:eastAsia="仿宋_GB2312" w:cs="Times New Roman"/>
                <w:bCs/>
                <w:color w:val="auto"/>
                <w:kern w:val="0"/>
                <w:sz w:val="28"/>
                <w:szCs w:val="28"/>
              </w:rPr>
            </w:pPr>
          </w:p>
        </w:tc>
        <w:tc>
          <w:tcPr>
            <w:tcW w:w="1788"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3E3E5266">
            <w:pPr>
              <w:rPr>
                <w:rFonts w:hint="default" w:ascii="Times New Roman" w:hAnsi="Times New Roman" w:eastAsia="仿宋_GB2312" w:cs="Times New Roman"/>
                <w:bCs/>
                <w:color w:val="auto"/>
                <w:kern w:val="0"/>
                <w:sz w:val="28"/>
                <w:szCs w:val="28"/>
              </w:rPr>
            </w:pPr>
          </w:p>
        </w:tc>
        <w:tc>
          <w:tcPr>
            <w:tcW w:w="16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2F470FFB">
            <w:pPr>
              <w:rPr>
                <w:rFonts w:hint="default" w:ascii="Times New Roman" w:hAnsi="Times New Roman" w:eastAsia="仿宋_GB2312" w:cs="Times New Roman"/>
                <w:bCs/>
                <w:color w:val="auto"/>
                <w:kern w:val="0"/>
                <w:sz w:val="28"/>
                <w:szCs w:val="28"/>
              </w:rPr>
            </w:pPr>
          </w:p>
        </w:tc>
      </w:tr>
      <w:tr w14:paraId="78FC14F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81" w:hRule="atLeast"/>
          <w:jc w:val="center"/>
        </w:trPr>
        <w:tc>
          <w:tcPr>
            <w:tcW w:w="100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01737BB1">
            <w:pPr>
              <w:rPr>
                <w:rFonts w:hint="default" w:ascii="Times New Roman" w:hAnsi="Times New Roman" w:eastAsia="仿宋_GB2312" w:cs="Times New Roman"/>
                <w:bCs/>
                <w:color w:val="auto"/>
                <w:kern w:val="0"/>
                <w:sz w:val="28"/>
                <w:szCs w:val="28"/>
              </w:rPr>
            </w:pPr>
          </w:p>
        </w:tc>
        <w:tc>
          <w:tcPr>
            <w:tcW w:w="242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48F19E63">
            <w:pPr>
              <w:rPr>
                <w:rFonts w:hint="default" w:ascii="Times New Roman" w:hAnsi="Times New Roman" w:eastAsia="仿宋_GB2312" w:cs="Times New Roman"/>
                <w:bCs/>
                <w:color w:val="auto"/>
                <w:kern w:val="0"/>
                <w:sz w:val="28"/>
                <w:szCs w:val="28"/>
              </w:rPr>
            </w:pPr>
          </w:p>
        </w:tc>
        <w:tc>
          <w:tcPr>
            <w:tcW w:w="25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5F7A6918">
            <w:pPr>
              <w:rPr>
                <w:rFonts w:hint="default" w:ascii="Times New Roman" w:hAnsi="Times New Roman" w:eastAsia="仿宋_GB2312" w:cs="Times New Roman"/>
                <w:bCs/>
                <w:color w:val="auto"/>
                <w:kern w:val="0"/>
                <w:sz w:val="28"/>
                <w:szCs w:val="28"/>
              </w:rPr>
            </w:pPr>
          </w:p>
        </w:tc>
        <w:tc>
          <w:tcPr>
            <w:tcW w:w="1788"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5E3C9390">
            <w:pPr>
              <w:rPr>
                <w:rFonts w:hint="default" w:ascii="Times New Roman" w:hAnsi="Times New Roman" w:eastAsia="仿宋_GB2312" w:cs="Times New Roman"/>
                <w:bCs/>
                <w:color w:val="auto"/>
                <w:kern w:val="0"/>
                <w:sz w:val="28"/>
                <w:szCs w:val="28"/>
              </w:rPr>
            </w:pPr>
          </w:p>
        </w:tc>
        <w:tc>
          <w:tcPr>
            <w:tcW w:w="16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7531F247">
            <w:pPr>
              <w:rPr>
                <w:rFonts w:hint="default" w:ascii="Times New Roman" w:hAnsi="Times New Roman" w:eastAsia="仿宋_GB2312" w:cs="Times New Roman"/>
                <w:bCs/>
                <w:color w:val="auto"/>
                <w:kern w:val="0"/>
                <w:sz w:val="28"/>
                <w:szCs w:val="28"/>
              </w:rPr>
            </w:pPr>
          </w:p>
        </w:tc>
      </w:tr>
      <w:tr w14:paraId="591AB85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88" w:hRule="atLeast"/>
          <w:jc w:val="center"/>
        </w:trPr>
        <w:tc>
          <w:tcPr>
            <w:tcW w:w="100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37A167BA">
            <w:pPr>
              <w:rPr>
                <w:rFonts w:hint="default" w:ascii="Times New Roman" w:hAnsi="Times New Roman" w:eastAsia="仿宋_GB2312" w:cs="Times New Roman"/>
                <w:bCs/>
                <w:color w:val="auto"/>
                <w:kern w:val="0"/>
                <w:sz w:val="28"/>
                <w:szCs w:val="28"/>
              </w:rPr>
            </w:pPr>
          </w:p>
        </w:tc>
        <w:tc>
          <w:tcPr>
            <w:tcW w:w="242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45A7B230">
            <w:pPr>
              <w:rPr>
                <w:rFonts w:hint="default" w:ascii="Times New Roman" w:hAnsi="Times New Roman" w:eastAsia="仿宋_GB2312" w:cs="Times New Roman"/>
                <w:bCs/>
                <w:color w:val="auto"/>
                <w:kern w:val="0"/>
                <w:sz w:val="28"/>
                <w:szCs w:val="28"/>
              </w:rPr>
            </w:pPr>
          </w:p>
        </w:tc>
        <w:tc>
          <w:tcPr>
            <w:tcW w:w="25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04D4D644">
            <w:pPr>
              <w:rPr>
                <w:rFonts w:hint="default" w:ascii="Times New Roman" w:hAnsi="Times New Roman" w:eastAsia="仿宋_GB2312" w:cs="Times New Roman"/>
                <w:bCs/>
                <w:color w:val="auto"/>
                <w:kern w:val="0"/>
                <w:sz w:val="28"/>
                <w:szCs w:val="28"/>
              </w:rPr>
            </w:pPr>
          </w:p>
        </w:tc>
        <w:tc>
          <w:tcPr>
            <w:tcW w:w="1788"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76CE8324">
            <w:pPr>
              <w:rPr>
                <w:rFonts w:hint="default" w:ascii="Times New Roman" w:hAnsi="Times New Roman" w:eastAsia="仿宋_GB2312" w:cs="Times New Roman"/>
                <w:bCs/>
                <w:color w:val="auto"/>
                <w:kern w:val="0"/>
                <w:sz w:val="28"/>
                <w:szCs w:val="28"/>
              </w:rPr>
            </w:pPr>
          </w:p>
        </w:tc>
        <w:tc>
          <w:tcPr>
            <w:tcW w:w="16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61E739B7">
            <w:pPr>
              <w:rPr>
                <w:rFonts w:hint="default" w:ascii="Times New Roman" w:hAnsi="Times New Roman" w:eastAsia="仿宋_GB2312" w:cs="Times New Roman"/>
                <w:bCs/>
                <w:color w:val="auto"/>
                <w:kern w:val="0"/>
                <w:sz w:val="28"/>
                <w:szCs w:val="28"/>
              </w:rPr>
            </w:pPr>
          </w:p>
        </w:tc>
      </w:tr>
      <w:tr w14:paraId="36C1A8F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88" w:hRule="atLeast"/>
          <w:jc w:val="center"/>
        </w:trPr>
        <w:tc>
          <w:tcPr>
            <w:tcW w:w="100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695C2392">
            <w:pPr>
              <w:rPr>
                <w:rFonts w:hint="default" w:ascii="Times New Roman" w:hAnsi="Times New Roman" w:eastAsia="仿宋_GB2312" w:cs="Times New Roman"/>
                <w:bCs/>
                <w:color w:val="auto"/>
                <w:kern w:val="0"/>
                <w:sz w:val="28"/>
                <w:szCs w:val="28"/>
              </w:rPr>
            </w:pPr>
          </w:p>
        </w:tc>
        <w:tc>
          <w:tcPr>
            <w:tcW w:w="242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0D4BEBE3">
            <w:pPr>
              <w:rPr>
                <w:rFonts w:hint="default" w:ascii="Times New Roman" w:hAnsi="Times New Roman" w:eastAsia="仿宋_GB2312" w:cs="Times New Roman"/>
                <w:bCs/>
                <w:color w:val="auto"/>
                <w:kern w:val="0"/>
                <w:sz w:val="28"/>
                <w:szCs w:val="28"/>
              </w:rPr>
            </w:pPr>
          </w:p>
        </w:tc>
        <w:tc>
          <w:tcPr>
            <w:tcW w:w="25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3504D81D">
            <w:pPr>
              <w:rPr>
                <w:rFonts w:hint="default" w:ascii="Times New Roman" w:hAnsi="Times New Roman" w:eastAsia="仿宋_GB2312" w:cs="Times New Roman"/>
                <w:bCs/>
                <w:color w:val="auto"/>
                <w:kern w:val="0"/>
                <w:sz w:val="28"/>
                <w:szCs w:val="28"/>
              </w:rPr>
            </w:pPr>
          </w:p>
        </w:tc>
        <w:tc>
          <w:tcPr>
            <w:tcW w:w="1788"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4F2E74C1">
            <w:pPr>
              <w:rPr>
                <w:rFonts w:hint="default" w:ascii="Times New Roman" w:hAnsi="Times New Roman" w:eastAsia="仿宋_GB2312" w:cs="Times New Roman"/>
                <w:bCs/>
                <w:color w:val="auto"/>
                <w:kern w:val="0"/>
                <w:sz w:val="28"/>
                <w:szCs w:val="28"/>
              </w:rPr>
            </w:pPr>
          </w:p>
        </w:tc>
        <w:tc>
          <w:tcPr>
            <w:tcW w:w="16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462DCC87">
            <w:pPr>
              <w:rPr>
                <w:rFonts w:hint="default" w:ascii="Times New Roman" w:hAnsi="Times New Roman" w:eastAsia="仿宋_GB2312" w:cs="Times New Roman"/>
                <w:bCs/>
                <w:color w:val="auto"/>
                <w:kern w:val="0"/>
                <w:sz w:val="28"/>
                <w:szCs w:val="28"/>
              </w:rPr>
            </w:pPr>
          </w:p>
        </w:tc>
      </w:tr>
      <w:tr w14:paraId="5595A27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99" w:hRule="atLeast"/>
          <w:jc w:val="center"/>
        </w:trPr>
        <w:tc>
          <w:tcPr>
            <w:tcW w:w="100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22A4BCB2">
            <w:pPr>
              <w:rPr>
                <w:rFonts w:hint="default" w:ascii="Times New Roman" w:hAnsi="Times New Roman" w:eastAsia="仿宋_GB2312" w:cs="Times New Roman"/>
                <w:bCs/>
                <w:color w:val="auto"/>
                <w:kern w:val="0"/>
                <w:sz w:val="28"/>
                <w:szCs w:val="28"/>
              </w:rPr>
            </w:pPr>
          </w:p>
        </w:tc>
        <w:tc>
          <w:tcPr>
            <w:tcW w:w="242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6ABEA60E">
            <w:pPr>
              <w:rPr>
                <w:rFonts w:hint="default" w:ascii="Times New Roman" w:hAnsi="Times New Roman" w:eastAsia="仿宋_GB2312" w:cs="Times New Roman"/>
                <w:bCs/>
                <w:color w:val="auto"/>
                <w:kern w:val="0"/>
                <w:sz w:val="28"/>
                <w:szCs w:val="28"/>
              </w:rPr>
            </w:pPr>
          </w:p>
        </w:tc>
        <w:tc>
          <w:tcPr>
            <w:tcW w:w="25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05342E9B">
            <w:pPr>
              <w:rPr>
                <w:rFonts w:hint="default" w:ascii="Times New Roman" w:hAnsi="Times New Roman" w:eastAsia="仿宋_GB2312" w:cs="Times New Roman"/>
                <w:bCs/>
                <w:color w:val="auto"/>
                <w:kern w:val="0"/>
                <w:sz w:val="28"/>
                <w:szCs w:val="28"/>
              </w:rPr>
            </w:pPr>
          </w:p>
        </w:tc>
        <w:tc>
          <w:tcPr>
            <w:tcW w:w="1788"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2DEB60D9">
            <w:pPr>
              <w:rPr>
                <w:rFonts w:hint="default" w:ascii="Times New Roman" w:hAnsi="Times New Roman" w:eastAsia="仿宋_GB2312" w:cs="Times New Roman"/>
                <w:bCs/>
                <w:color w:val="auto"/>
                <w:kern w:val="0"/>
                <w:sz w:val="28"/>
                <w:szCs w:val="28"/>
              </w:rPr>
            </w:pPr>
          </w:p>
        </w:tc>
        <w:tc>
          <w:tcPr>
            <w:tcW w:w="16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42FBE084">
            <w:pPr>
              <w:rPr>
                <w:rFonts w:hint="default" w:ascii="Times New Roman" w:hAnsi="Times New Roman" w:eastAsia="仿宋_GB2312" w:cs="Times New Roman"/>
                <w:bCs/>
                <w:color w:val="auto"/>
                <w:kern w:val="0"/>
                <w:sz w:val="28"/>
                <w:szCs w:val="28"/>
              </w:rPr>
            </w:pPr>
          </w:p>
        </w:tc>
      </w:tr>
    </w:tbl>
    <w:p w14:paraId="1D55B8A7">
      <w:pPr>
        <w:widowControl w:val="0"/>
        <w:rPr>
          <w:rFonts w:hint="default" w:ascii="Times New Roman" w:hAnsi="Times New Roman" w:eastAsia="仿宋_GB2312" w:cs="Times New Roman"/>
          <w:color w:val="auto"/>
          <w:sz w:val="28"/>
          <w:szCs w:val="28"/>
        </w:rPr>
      </w:pPr>
    </w:p>
    <w:p w14:paraId="06CFAA44">
      <w:pPr>
        <w:spacing w:line="360" w:lineRule="auto"/>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注：（1）供应商可按上述的格式自行编制，后附扫描件。</w:t>
      </w:r>
    </w:p>
    <w:p w14:paraId="17E84CB1">
      <w:pPr>
        <w:numPr>
          <w:ilvl w:val="0"/>
          <w:numId w:val="10"/>
        </w:numPr>
        <w:spacing w:line="360" w:lineRule="auto"/>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业绩扫描不清楚或合同总金额不明确的不予认可，虚假业绩将自行承担相关责任。</w:t>
      </w:r>
    </w:p>
    <w:p w14:paraId="6FEC215F">
      <w:pPr>
        <w:spacing w:line="360" w:lineRule="auto"/>
        <w:ind w:left="282"/>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（3）采购文件未要求提供业绩证明文件的，供应商可不提供。</w:t>
      </w:r>
    </w:p>
    <w:p w14:paraId="4F177B36">
      <w:pPr>
        <w:pStyle w:val="3"/>
        <w:spacing w:before="0" w:after="0" w:line="360" w:lineRule="auto"/>
        <w:jc w:val="center"/>
        <w:rPr>
          <w:rFonts w:hint="default" w:ascii="Times New Roman" w:hAnsi="Times New Roman" w:eastAsia="微软雅黑" w:cs="Times New Roman"/>
          <w:b w:val="0"/>
          <w:color w:val="auto"/>
          <w:sz w:val="30"/>
          <w:szCs w:val="30"/>
          <w:lang w:val="en-US" w:eastAsia="zh-CN"/>
        </w:rPr>
      </w:pPr>
      <w:r>
        <w:rPr>
          <w:rFonts w:hint="default" w:ascii="Times New Roman" w:hAnsi="Times New Roman" w:eastAsia="黑体" w:cs="Times New Roman"/>
          <w:color w:val="auto"/>
          <w:sz w:val="28"/>
          <w:szCs w:val="28"/>
          <w:lang w:val="en" w:eastAsia="zh-CN"/>
        </w:rPr>
        <w:br w:type="page"/>
      </w:r>
      <w:r>
        <w:rPr>
          <w:rFonts w:hint="default" w:ascii="Times New Roman" w:hAnsi="Times New Roman" w:eastAsia="微软雅黑" w:cs="Times New Roman"/>
          <w:b w:val="0"/>
          <w:color w:val="auto"/>
          <w:sz w:val="30"/>
          <w:szCs w:val="30"/>
          <w:lang w:val="en-US" w:eastAsia="zh-CN"/>
        </w:rPr>
        <w:t>十三、</w:t>
      </w:r>
      <w:bookmarkEnd w:id="197"/>
      <w:bookmarkEnd w:id="198"/>
      <w:bookmarkEnd w:id="199"/>
      <w:bookmarkEnd w:id="200"/>
      <w:bookmarkEnd w:id="201"/>
      <w:bookmarkEnd w:id="202"/>
      <w:bookmarkEnd w:id="203"/>
      <w:bookmarkEnd w:id="204"/>
      <w:bookmarkEnd w:id="205"/>
      <w:r>
        <w:rPr>
          <w:rFonts w:hint="default" w:ascii="Times New Roman" w:hAnsi="Times New Roman" w:eastAsia="微软雅黑" w:cs="Times New Roman"/>
          <w:b w:val="0"/>
          <w:color w:val="auto"/>
          <w:sz w:val="30"/>
          <w:szCs w:val="30"/>
          <w:lang w:val="en-US" w:eastAsia="zh-CN"/>
        </w:rPr>
        <w:t>中小企业扶持</w:t>
      </w:r>
    </w:p>
    <w:p w14:paraId="42F06B49">
      <w:pPr>
        <w:spacing w:line="360" w:lineRule="auto"/>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享受《政府采购促进中小企业发展管理办法》《关于进一步加大政府采购支持中小企业力度的通知》《关于政府采购支持监狱企业发展有关问题的通知》和《关于促进残疾人就业政府采购政策的通知》扶持政策的投标人提交，否则无需提供或可不填写以下几项内容。</w:t>
      </w:r>
    </w:p>
    <w:p w14:paraId="6946ACC0">
      <w:pPr>
        <w:spacing w:line="360" w:lineRule="auto"/>
        <w:ind w:firstLine="480"/>
        <w:jc w:val="center"/>
        <w:outlineLvl w:val="2"/>
        <w:rPr>
          <w:rFonts w:hint="default" w:ascii="Times New Roman" w:hAnsi="Times New Roman" w:eastAsia="仿宋_GB2312" w:cs="Times New Roman"/>
          <w:b/>
          <w:bCs/>
          <w:color w:val="auto"/>
          <w:sz w:val="28"/>
          <w:szCs w:val="28"/>
          <w:lang w:val="en-US" w:eastAsia="zh-CN"/>
        </w:rPr>
        <w:sectPr>
          <w:pgSz w:w="11900" w:h="16840"/>
          <w:pgMar w:top="1440" w:right="1800" w:bottom="1440" w:left="1800" w:header="851" w:footer="992" w:gutter="0"/>
          <w:cols w:space="720" w:num="1"/>
        </w:sectPr>
      </w:pPr>
    </w:p>
    <w:p w14:paraId="74C12335">
      <w:pPr>
        <w:spacing w:line="360" w:lineRule="auto"/>
        <w:ind w:firstLine="480"/>
        <w:jc w:val="center"/>
        <w:outlineLvl w:val="2"/>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1.中小企业声明函（货物）</w:t>
      </w:r>
    </w:p>
    <w:p w14:paraId="01593BB4">
      <w:pPr>
        <w:spacing w:line="360" w:lineRule="auto"/>
        <w:ind w:firstLine="480"/>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（供应商提供小微企业制造货物的填写，其他无需填写或不提供此项内容）</w:t>
      </w:r>
    </w:p>
    <w:p w14:paraId="2E7F74EA">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本公司（联合体）郑重声明，根据《政府采购促进中小企业发展管理办法》（财库[2020]46号）的规定，本公司（联合体）参加</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kern w:val="0"/>
          <w:sz w:val="28"/>
          <w:szCs w:val="28"/>
          <w:u w:val="single"/>
          <w:lang w:val="en" w:eastAsia="zh-CN"/>
        </w:rPr>
        <w:t>郑州铁路职业技术学院</w:t>
      </w:r>
      <w:r>
        <w:rPr>
          <w:rFonts w:hint="default" w:ascii="Times New Roman" w:hAnsi="Times New Roman" w:eastAsia="仿宋_GB2312" w:cs="Times New Roman"/>
          <w:color w:val="auto"/>
          <w:sz w:val="28"/>
          <w:szCs w:val="28"/>
          <w:u w:val="single"/>
          <w:lang w:eastAsia="zh-CN"/>
        </w:rPr>
        <w:t>的</w:t>
      </w:r>
      <w:r>
        <w:rPr>
          <w:rFonts w:hint="eastAsia" w:ascii="Times New Roman" w:hAnsi="Times New Roman" w:eastAsia="仿宋_GB2312" w:cs="Times New Roman"/>
          <w:color w:val="auto"/>
          <w:sz w:val="28"/>
          <w:szCs w:val="28"/>
          <w:u w:val="single"/>
          <w:lang w:val="en" w:eastAsia="zh-CN"/>
        </w:rPr>
        <w:t>郑州铁路职业技术学院智慧教学环境更新与提升项目（二期)项目</w:t>
      </w:r>
      <w:r>
        <w:rPr>
          <w:rFonts w:hint="default" w:ascii="Times New Roman" w:hAnsi="Times New Roman" w:eastAsia="仿宋_GB2312" w:cs="Times New Roman"/>
          <w:color w:val="auto"/>
          <w:sz w:val="28"/>
          <w:szCs w:val="28"/>
          <w:lang w:eastAsia="zh-CN"/>
        </w:rPr>
        <w:t>采购活动，提供的货物全部由符合政策要求的中小企业制造。相关企业（含联合体中的中小企业、签订分包意向协议的中小企业）的具体情况如下：</w:t>
      </w:r>
    </w:p>
    <w:p w14:paraId="711C0019">
      <w:pPr>
        <w:spacing w:line="4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w:t>
      </w:r>
      <w:r>
        <w:rPr>
          <w:rFonts w:hint="default" w:ascii="Times New Roman" w:hAnsi="Times New Roman" w:eastAsia="仿宋_GB2312" w:cs="Times New Roman"/>
          <w:i/>
          <w:color w:val="auto"/>
          <w:sz w:val="28"/>
          <w:szCs w:val="28"/>
          <w:u w:val="single"/>
          <w:lang w:eastAsia="zh-CN"/>
        </w:rPr>
        <w:t>（标的名称）</w:t>
      </w:r>
      <w:r>
        <w:rPr>
          <w:rFonts w:hint="default" w:ascii="Times New Roman" w:hAnsi="Times New Roman" w:eastAsia="仿宋_GB2312" w:cs="Times New Roman"/>
          <w:color w:val="auto"/>
          <w:sz w:val="28"/>
          <w:szCs w:val="28"/>
          <w:lang w:eastAsia="zh-CN"/>
        </w:rPr>
        <w:t>，属于</w:t>
      </w:r>
      <w:r>
        <w:rPr>
          <w:rFonts w:hint="default" w:ascii="Times New Roman" w:hAnsi="Times New Roman" w:eastAsia="仿宋_GB2312" w:cs="Times New Roman"/>
          <w:i/>
          <w:color w:val="auto"/>
          <w:sz w:val="28"/>
          <w:szCs w:val="28"/>
          <w:u w:val="single"/>
          <w:lang w:eastAsia="zh-CN"/>
        </w:rPr>
        <w:t>（采购文件中明确的所属行业）</w:t>
      </w:r>
      <w:r>
        <w:rPr>
          <w:rFonts w:hint="default" w:ascii="Times New Roman" w:hAnsi="Times New Roman" w:eastAsia="仿宋_GB2312" w:cs="Times New Roman"/>
          <w:color w:val="auto"/>
          <w:sz w:val="28"/>
          <w:szCs w:val="28"/>
          <w:lang w:eastAsia="zh-CN"/>
        </w:rPr>
        <w:t>行业；制造商为</w:t>
      </w:r>
      <w:r>
        <w:rPr>
          <w:rFonts w:hint="default" w:ascii="Times New Roman" w:hAnsi="Times New Roman" w:eastAsia="仿宋_GB2312" w:cs="Times New Roman"/>
          <w:i/>
          <w:color w:val="auto"/>
          <w:sz w:val="28"/>
          <w:szCs w:val="28"/>
          <w:u w:val="single"/>
          <w:lang w:eastAsia="zh-CN"/>
        </w:rPr>
        <w:t>（企业名称）</w:t>
      </w:r>
      <w:r>
        <w:rPr>
          <w:rFonts w:hint="default" w:ascii="Times New Roman" w:hAnsi="Times New Roman" w:eastAsia="仿宋_GB2312" w:cs="Times New Roman"/>
          <w:color w:val="auto"/>
          <w:sz w:val="28"/>
          <w:szCs w:val="28"/>
          <w:lang w:eastAsia="zh-CN"/>
        </w:rPr>
        <w:t>，从业人员</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人，营业收入为</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万元，资产总额为</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万元，属于</w:t>
      </w:r>
      <w:r>
        <w:rPr>
          <w:rFonts w:hint="default" w:ascii="Times New Roman" w:hAnsi="Times New Roman" w:eastAsia="仿宋_GB2312" w:cs="Times New Roman"/>
          <w:i/>
          <w:color w:val="auto"/>
          <w:sz w:val="28"/>
          <w:szCs w:val="28"/>
          <w:u w:val="single"/>
          <w:lang w:eastAsia="zh-CN"/>
        </w:rPr>
        <w:t>（中型企业、小型企业、微型企业）</w:t>
      </w:r>
      <w:r>
        <w:rPr>
          <w:rFonts w:hint="default" w:ascii="Times New Roman" w:hAnsi="Times New Roman" w:eastAsia="仿宋_GB2312" w:cs="Times New Roman"/>
          <w:color w:val="auto"/>
          <w:sz w:val="28"/>
          <w:szCs w:val="28"/>
          <w:lang w:eastAsia="zh-CN"/>
        </w:rPr>
        <w:t>；</w:t>
      </w:r>
    </w:p>
    <w:p w14:paraId="1E89FCAF">
      <w:pPr>
        <w:spacing w:line="4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i/>
          <w:color w:val="auto"/>
          <w:sz w:val="28"/>
          <w:szCs w:val="28"/>
          <w:u w:val="single"/>
          <w:lang w:eastAsia="zh-CN"/>
        </w:rPr>
        <w:t>（标的名称）</w:t>
      </w:r>
      <w:r>
        <w:rPr>
          <w:rFonts w:hint="default" w:ascii="Times New Roman" w:hAnsi="Times New Roman" w:eastAsia="仿宋_GB2312" w:cs="Times New Roman"/>
          <w:color w:val="auto"/>
          <w:sz w:val="28"/>
          <w:szCs w:val="28"/>
          <w:lang w:eastAsia="zh-CN"/>
        </w:rPr>
        <w:t>，属于</w:t>
      </w:r>
      <w:r>
        <w:rPr>
          <w:rFonts w:hint="default" w:ascii="Times New Roman" w:hAnsi="Times New Roman" w:eastAsia="仿宋_GB2312" w:cs="Times New Roman"/>
          <w:i/>
          <w:color w:val="auto"/>
          <w:sz w:val="28"/>
          <w:szCs w:val="28"/>
          <w:u w:val="single"/>
          <w:lang w:eastAsia="zh-CN"/>
        </w:rPr>
        <w:t>（采购文件中明确的所属行业）</w:t>
      </w:r>
      <w:r>
        <w:rPr>
          <w:rFonts w:hint="default" w:ascii="Times New Roman" w:hAnsi="Times New Roman" w:eastAsia="仿宋_GB2312" w:cs="Times New Roman"/>
          <w:color w:val="auto"/>
          <w:sz w:val="28"/>
          <w:szCs w:val="28"/>
          <w:lang w:eastAsia="zh-CN"/>
        </w:rPr>
        <w:t>行业；制造商为</w:t>
      </w:r>
      <w:r>
        <w:rPr>
          <w:rFonts w:hint="default" w:ascii="Times New Roman" w:hAnsi="Times New Roman" w:eastAsia="仿宋_GB2312" w:cs="Times New Roman"/>
          <w:i/>
          <w:color w:val="auto"/>
          <w:sz w:val="28"/>
          <w:szCs w:val="28"/>
          <w:u w:val="single"/>
          <w:lang w:eastAsia="zh-CN"/>
        </w:rPr>
        <w:t>（企业名称）</w:t>
      </w:r>
      <w:r>
        <w:rPr>
          <w:rFonts w:hint="default" w:ascii="Times New Roman" w:hAnsi="Times New Roman" w:eastAsia="仿宋_GB2312" w:cs="Times New Roman"/>
          <w:color w:val="auto"/>
          <w:sz w:val="28"/>
          <w:szCs w:val="28"/>
          <w:lang w:eastAsia="zh-CN"/>
        </w:rPr>
        <w:t>，从业人员</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人，营业收入为</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万元，资产总额为</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万元，属于</w:t>
      </w:r>
      <w:r>
        <w:rPr>
          <w:rFonts w:hint="default" w:ascii="Times New Roman" w:hAnsi="Times New Roman" w:eastAsia="仿宋_GB2312" w:cs="Times New Roman"/>
          <w:i/>
          <w:color w:val="auto"/>
          <w:sz w:val="28"/>
          <w:szCs w:val="28"/>
          <w:u w:val="single"/>
          <w:lang w:eastAsia="zh-CN"/>
        </w:rPr>
        <w:t>（中型企业、小型企业、微型企业）</w:t>
      </w:r>
      <w:r>
        <w:rPr>
          <w:rFonts w:hint="default" w:ascii="Times New Roman" w:hAnsi="Times New Roman" w:eastAsia="仿宋_GB2312" w:cs="Times New Roman"/>
          <w:color w:val="auto"/>
          <w:sz w:val="28"/>
          <w:szCs w:val="28"/>
          <w:lang w:eastAsia="zh-CN"/>
        </w:rPr>
        <w:t>；</w:t>
      </w:r>
    </w:p>
    <w:p w14:paraId="55C388B2">
      <w:pPr>
        <w:spacing w:line="4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w:t>
      </w:r>
    </w:p>
    <w:p w14:paraId="1146B7D6">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以上企业，不属于大企业的分值机构，不存在控股股东为大企业的情形，也不存在与大企业的负责人为同一人的情形。</w:t>
      </w:r>
    </w:p>
    <w:p w14:paraId="649CA8E2">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本企业对上述声明内容的真实性负责。如有虚假，将依法承担相应责任。</w:t>
      </w:r>
    </w:p>
    <w:p w14:paraId="4A8D9570">
      <w:pPr>
        <w:spacing w:line="360" w:lineRule="auto"/>
        <w:rPr>
          <w:rFonts w:hint="default" w:ascii="Times New Roman" w:hAnsi="Times New Roman" w:eastAsia="仿宋_GB2312" w:cs="Times New Roman"/>
          <w:color w:val="auto"/>
          <w:sz w:val="28"/>
          <w:szCs w:val="28"/>
          <w:lang w:eastAsia="zh-CN"/>
        </w:rPr>
      </w:pPr>
    </w:p>
    <w:p w14:paraId="0ACD93A8">
      <w:pPr>
        <w:spacing w:line="360" w:lineRule="auto"/>
        <w:ind w:firstLine="2312" w:firstLineChars="826"/>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供应商（企业电子签章）：</w:t>
      </w:r>
    </w:p>
    <w:p w14:paraId="2E69BCE6">
      <w:pPr>
        <w:spacing w:line="360" w:lineRule="auto"/>
        <w:ind w:firstLine="3080" w:firstLineChars="11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日期：</w:t>
      </w:r>
      <w:r>
        <w:rPr>
          <w:rFonts w:hint="default" w:ascii="Times New Roman" w:hAnsi="Times New Roman" w:eastAsia="仿宋_GB2312" w:cs="Times New Roman"/>
          <w:color w:val="auto"/>
          <w:sz w:val="28"/>
          <w:szCs w:val="28"/>
          <w:lang w:eastAsia="zh-CN"/>
        </w:rPr>
        <w:t>年   月   日</w:t>
      </w:r>
    </w:p>
    <w:p w14:paraId="0C76118C">
      <w:pPr>
        <w:pBdr>
          <w:bottom w:val="single" w:color="auto" w:sz="6" w:space="1"/>
        </w:pBdr>
        <w:spacing w:line="400" w:lineRule="exact"/>
        <w:rPr>
          <w:rFonts w:hint="default" w:ascii="Times New Roman" w:hAnsi="Times New Roman" w:eastAsia="仿宋_GB2312" w:cs="Times New Roman"/>
          <w:color w:val="auto"/>
          <w:sz w:val="28"/>
          <w:szCs w:val="28"/>
          <w:lang w:eastAsia="zh-CN"/>
        </w:rPr>
      </w:pPr>
    </w:p>
    <w:p w14:paraId="5E71FD21">
      <w:pPr>
        <w:spacing w:line="360" w:lineRule="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从业人员、营业收入、资产总额填报上一年度数据，无上一年度数据的新成立企业可不填报。</w:t>
      </w:r>
    </w:p>
    <w:p w14:paraId="4A2D12CA">
      <w:pPr>
        <w:spacing w:line="360" w:lineRule="auto"/>
        <w:ind w:firstLine="480"/>
        <w:jc w:val="center"/>
        <w:outlineLvl w:val="2"/>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color w:val="auto"/>
          <w:sz w:val="24"/>
          <w:lang w:eastAsia="zh-CN"/>
        </w:rPr>
        <w:br w:type="page"/>
      </w:r>
      <w:r>
        <w:rPr>
          <w:rFonts w:hint="default" w:ascii="Times New Roman" w:hAnsi="Times New Roman" w:eastAsia="仿宋_GB2312" w:cs="Times New Roman"/>
          <w:b/>
          <w:bCs/>
          <w:color w:val="auto"/>
          <w:sz w:val="24"/>
          <w:lang w:eastAsia="zh-CN"/>
        </w:rPr>
        <w:t>2.</w:t>
      </w:r>
      <w:r>
        <w:rPr>
          <w:rFonts w:hint="default" w:ascii="Times New Roman" w:hAnsi="Times New Roman" w:eastAsia="仿宋_GB2312" w:cs="Times New Roman"/>
          <w:b/>
          <w:bCs/>
          <w:color w:val="auto"/>
          <w:sz w:val="28"/>
          <w:szCs w:val="28"/>
          <w:lang w:val="en-US" w:eastAsia="zh-CN"/>
        </w:rPr>
        <w:t>供应商监狱企业声明函</w:t>
      </w:r>
    </w:p>
    <w:p w14:paraId="4748037F">
      <w:pPr>
        <w:spacing w:line="360" w:lineRule="auto"/>
        <w:ind w:left="1080" w:hanging="540"/>
        <w:jc w:val="center"/>
        <w:rPr>
          <w:rFonts w:hint="default" w:ascii="Times New Roman" w:hAnsi="Times New Roman" w:eastAsia="仿宋_GB2312" w:cs="Times New Roman"/>
          <w:b/>
          <w:bCs/>
          <w:color w:val="auto"/>
          <w:kern w:val="0"/>
          <w:sz w:val="28"/>
          <w:szCs w:val="28"/>
          <w:lang w:val="en-US" w:eastAsia="zh-CN"/>
        </w:rPr>
      </w:pPr>
    </w:p>
    <w:p w14:paraId="2AEB3CDA">
      <w:pPr>
        <w:pStyle w:val="70"/>
        <w:rPr>
          <w:rFonts w:hint="default" w:ascii="Times New Roman" w:hAnsi="Times New Roman" w:cs="Times New Roman"/>
          <w:color w:val="auto"/>
        </w:rPr>
      </w:pPr>
    </w:p>
    <w:p w14:paraId="30319AB5">
      <w:pPr>
        <w:spacing w:before="100" w:after="100" w:line="360" w:lineRule="auto"/>
        <w:ind w:firstLine="480"/>
        <w:jc w:val="lef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val="en-US" w:eastAsia="zh-CN"/>
        </w:rPr>
        <w:t xml:space="preserve"> </w:t>
      </w:r>
      <w:r>
        <w:rPr>
          <w:rFonts w:hint="default" w:ascii="Times New Roman" w:hAnsi="Times New Roman" w:eastAsia="仿宋_GB2312" w:cs="Times New Roman"/>
          <w:color w:val="auto"/>
          <w:kern w:val="0"/>
          <w:sz w:val="28"/>
          <w:szCs w:val="28"/>
          <w:lang w:eastAsia="zh-CN"/>
        </w:rPr>
        <w:t>本企业（单位）郑重声明下列事项（按照实际情况勾选或填空）：</w:t>
      </w:r>
    </w:p>
    <w:p w14:paraId="5D0F65D1">
      <w:pPr>
        <w:spacing w:before="100" w:after="100" w:line="360" w:lineRule="auto"/>
        <w:ind w:firstLine="480"/>
        <w:jc w:val="lef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val="en-US" w:eastAsia="zh-CN"/>
        </w:rPr>
        <w:t xml:space="preserve"> </w:t>
      </w:r>
      <w:r>
        <w:rPr>
          <w:rFonts w:hint="default" w:ascii="Times New Roman" w:hAnsi="Times New Roman" w:eastAsia="仿宋_GB2312" w:cs="Times New Roman"/>
          <w:color w:val="auto"/>
          <w:kern w:val="0"/>
          <w:sz w:val="28"/>
          <w:szCs w:val="28"/>
          <w:lang w:eastAsia="zh-CN"/>
        </w:rPr>
        <w:t>本企业（单位）为直接供应商，提供本企业（单位）服务。本企业（单位）</w:t>
      </w:r>
      <w:r>
        <w:rPr>
          <w:rFonts w:hint="default" w:ascii="Times New Roman" w:hAnsi="Times New Roman" w:eastAsia="仿宋_GB2312" w:cs="Times New Roman"/>
          <w:color w:val="auto"/>
          <w:kern w:val="0"/>
          <w:sz w:val="28"/>
          <w:szCs w:val="28"/>
          <w:u w:val="single"/>
          <w:lang w:val="en-US" w:eastAsia="zh-CN"/>
        </w:rPr>
        <w:t xml:space="preserve">        </w:t>
      </w:r>
      <w:r>
        <w:rPr>
          <w:rFonts w:hint="default" w:ascii="Times New Roman" w:hAnsi="Times New Roman" w:eastAsia="仿宋_GB2312" w:cs="Times New Roman"/>
          <w:color w:val="auto"/>
          <w:kern w:val="0"/>
          <w:sz w:val="28"/>
          <w:szCs w:val="28"/>
          <w:lang w:eastAsia="zh-CN"/>
        </w:rPr>
        <w:t>（请填写：是、不是）监狱企业。后附省级以上监狱管理局、戒毒管理局（含新疆生产建设兵团）出具的属于监狱企业的证明文件。</w:t>
      </w:r>
    </w:p>
    <w:p w14:paraId="0E2E56A5">
      <w:pPr>
        <w:spacing w:before="100" w:after="100" w:line="360" w:lineRule="auto"/>
        <w:jc w:val="lef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　　本企业（单位）对上述声明的真实性负责。如有虚假，将依法承担相应责任。</w:t>
      </w:r>
    </w:p>
    <w:p w14:paraId="61E30F24">
      <w:pPr>
        <w:spacing w:before="100" w:after="100" w:line="360" w:lineRule="auto"/>
        <w:jc w:val="left"/>
        <w:rPr>
          <w:rFonts w:hint="default" w:ascii="Times New Roman" w:hAnsi="Times New Roman" w:eastAsia="仿宋_GB2312" w:cs="Times New Roman"/>
          <w:color w:val="auto"/>
          <w:kern w:val="0"/>
          <w:sz w:val="28"/>
          <w:szCs w:val="28"/>
          <w:lang w:val="en-US" w:eastAsia="zh-CN"/>
        </w:rPr>
      </w:pPr>
    </w:p>
    <w:p w14:paraId="52CFFD91">
      <w:pPr>
        <w:spacing w:before="100" w:after="100" w:line="360" w:lineRule="auto"/>
        <w:jc w:val="left"/>
        <w:rPr>
          <w:rFonts w:hint="default" w:ascii="Times New Roman" w:hAnsi="Times New Roman" w:eastAsia="仿宋_GB2312" w:cs="Times New Roman"/>
          <w:color w:val="auto"/>
          <w:kern w:val="0"/>
          <w:sz w:val="28"/>
          <w:szCs w:val="28"/>
          <w:lang w:val="en-US" w:eastAsia="zh-CN"/>
        </w:rPr>
      </w:pPr>
    </w:p>
    <w:p w14:paraId="7F398AB2">
      <w:pPr>
        <w:spacing w:line="360" w:lineRule="auto"/>
        <w:rPr>
          <w:rFonts w:hint="default" w:ascii="Times New Roman" w:hAnsi="Times New Roman" w:eastAsia="仿宋_GB2312" w:cs="Times New Roman"/>
          <w:b/>
          <w:bCs/>
          <w:color w:val="auto"/>
          <w:sz w:val="28"/>
          <w:szCs w:val="28"/>
          <w:lang w:val="en-US" w:eastAsia="zh-CN"/>
        </w:rPr>
      </w:pPr>
    </w:p>
    <w:p w14:paraId="6182A286">
      <w:pPr>
        <w:spacing w:before="100" w:after="100" w:line="360" w:lineRule="auto"/>
        <w:ind w:firstLine="3960"/>
        <w:jc w:val="lef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供应商（企业电子签章）：</w:t>
      </w:r>
      <w:r>
        <w:rPr>
          <w:rFonts w:hint="default" w:ascii="Times New Roman" w:hAnsi="Times New Roman" w:eastAsia="仿宋_GB2312" w:cs="Times New Roman"/>
          <w:color w:val="auto"/>
          <w:kern w:val="0"/>
          <w:sz w:val="28"/>
          <w:szCs w:val="28"/>
          <w:u w:val="single"/>
          <w:lang w:val="en-US" w:eastAsia="zh-CN"/>
        </w:rPr>
        <w:t xml:space="preserve">             </w:t>
      </w:r>
    </w:p>
    <w:p w14:paraId="01D49444">
      <w:pPr>
        <w:spacing w:before="100" w:after="100" w:line="360" w:lineRule="auto"/>
        <w:ind w:firstLine="3720"/>
        <w:jc w:val="left"/>
        <w:rPr>
          <w:rFonts w:hint="default" w:ascii="Times New Roman" w:hAnsi="Times New Roman" w:eastAsia="仿宋_GB2312" w:cs="Times New Roman"/>
          <w:color w:val="auto"/>
          <w:kern w:val="0"/>
          <w:sz w:val="28"/>
          <w:szCs w:val="28"/>
          <w:u w:val="single"/>
          <w:lang w:eastAsia="zh-CN"/>
        </w:rPr>
      </w:pPr>
      <w:r>
        <w:rPr>
          <w:rFonts w:hint="default" w:ascii="Times New Roman" w:hAnsi="Times New Roman" w:eastAsia="仿宋_GB2312" w:cs="Times New Roman"/>
          <w:color w:val="auto"/>
          <w:kern w:val="0"/>
          <w:sz w:val="28"/>
          <w:szCs w:val="28"/>
          <w:lang w:eastAsia="zh-CN"/>
        </w:rPr>
        <w:t>　日　期：</w:t>
      </w:r>
      <w:r>
        <w:rPr>
          <w:rFonts w:hint="default" w:ascii="Times New Roman" w:hAnsi="Times New Roman" w:eastAsia="仿宋_GB2312" w:cs="Times New Roman"/>
          <w:color w:val="auto"/>
          <w:kern w:val="0"/>
          <w:sz w:val="28"/>
          <w:szCs w:val="28"/>
          <w:u w:val="single"/>
          <w:lang w:val="en-US" w:eastAsia="zh-CN"/>
        </w:rPr>
        <w:t xml:space="preserve">             </w:t>
      </w:r>
    </w:p>
    <w:p w14:paraId="52A21AB6">
      <w:pPr>
        <w:rPr>
          <w:rFonts w:hint="default" w:ascii="Times New Roman" w:hAnsi="Times New Roman" w:eastAsia="仿宋_GB2312" w:cs="Times New Roman"/>
          <w:b/>
          <w:color w:val="auto"/>
          <w:sz w:val="28"/>
          <w:szCs w:val="28"/>
          <w:lang w:eastAsia="zh-CN"/>
        </w:rPr>
      </w:pPr>
      <w:r>
        <w:rPr>
          <w:rFonts w:hint="default" w:ascii="Times New Roman" w:hAnsi="Times New Roman" w:eastAsia="仿宋_GB2312" w:cs="Times New Roman"/>
          <w:b/>
          <w:color w:val="auto"/>
          <w:sz w:val="28"/>
          <w:szCs w:val="28"/>
          <w:lang w:eastAsia="zh-CN"/>
        </w:rPr>
        <w:br w:type="page"/>
      </w:r>
    </w:p>
    <w:p w14:paraId="6DD0653C">
      <w:pPr>
        <w:spacing w:line="360" w:lineRule="auto"/>
        <w:ind w:firstLine="480"/>
        <w:jc w:val="center"/>
        <w:outlineLvl w:val="2"/>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3.残疾人福利性单位声明函（供应商）</w:t>
      </w:r>
    </w:p>
    <w:p w14:paraId="0302BCBC">
      <w:pPr>
        <w:spacing w:line="360" w:lineRule="auto"/>
        <w:ind w:firstLine="480"/>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（供应商属于残疾人福利性单位的填写，不属于的无需填写此项内容）</w:t>
      </w:r>
    </w:p>
    <w:p w14:paraId="283CD67E">
      <w:pPr>
        <w:spacing w:line="360" w:lineRule="auto"/>
        <w:ind w:firstLine="480"/>
        <w:rPr>
          <w:rFonts w:hint="default" w:ascii="Times New Roman" w:hAnsi="Times New Roman" w:eastAsia="仿宋_GB2312" w:cs="Times New Roman"/>
          <w:color w:val="auto"/>
          <w:sz w:val="28"/>
          <w:szCs w:val="28"/>
          <w:lang w:eastAsia="zh-CN"/>
        </w:rPr>
      </w:pPr>
    </w:p>
    <w:p w14:paraId="5A5286C5">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63C6B90">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本单位对上述声明的真实性负责。如有虚假，将依法承担相应责任。</w:t>
      </w:r>
    </w:p>
    <w:p w14:paraId="1A6D63B0">
      <w:pPr>
        <w:spacing w:line="360" w:lineRule="auto"/>
        <w:rPr>
          <w:rFonts w:hint="default" w:ascii="Times New Roman" w:hAnsi="Times New Roman" w:eastAsia="仿宋_GB2312" w:cs="Times New Roman"/>
          <w:color w:val="auto"/>
          <w:sz w:val="24"/>
          <w:szCs w:val="28"/>
          <w:lang w:eastAsia="zh-CN"/>
        </w:rPr>
      </w:pPr>
    </w:p>
    <w:p w14:paraId="3FEFA44E">
      <w:pPr>
        <w:spacing w:line="360" w:lineRule="auto"/>
        <w:rPr>
          <w:rFonts w:hint="default" w:ascii="Times New Roman" w:hAnsi="Times New Roman" w:eastAsia="仿宋_GB2312" w:cs="Times New Roman"/>
          <w:color w:val="auto"/>
          <w:sz w:val="28"/>
          <w:szCs w:val="28"/>
          <w:lang w:eastAsia="zh-CN"/>
        </w:rPr>
      </w:pPr>
    </w:p>
    <w:p w14:paraId="09C17B0A">
      <w:pPr>
        <w:spacing w:line="360" w:lineRule="auto"/>
        <w:ind w:firstLine="2800" w:firstLineChars="10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供应商（企业电子签章）：</w:t>
      </w:r>
    </w:p>
    <w:p w14:paraId="39477A3D">
      <w:pPr>
        <w:spacing w:line="360" w:lineRule="auto"/>
        <w:ind w:firstLine="3080" w:firstLineChars="11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日期：      年   月   日</w:t>
      </w:r>
    </w:p>
    <w:p w14:paraId="22C49B1A">
      <w:pPr>
        <w:spacing w:line="360" w:lineRule="auto"/>
        <w:ind w:firstLine="480"/>
        <w:jc w:val="left"/>
        <w:textAlignment w:val="baseline"/>
        <w:rPr>
          <w:rFonts w:hint="default" w:ascii="Times New Roman" w:hAnsi="Times New Roman" w:eastAsia="仿宋_GB2312" w:cs="Times New Roman"/>
          <w:color w:val="auto"/>
          <w:sz w:val="24"/>
          <w:szCs w:val="24"/>
          <w:lang w:eastAsia="zh-CN"/>
        </w:rPr>
      </w:pPr>
    </w:p>
    <w:p w14:paraId="02A10E15">
      <w:pPr>
        <w:spacing w:line="360" w:lineRule="auto"/>
        <w:ind w:firstLine="480"/>
        <w:jc w:val="left"/>
        <w:textAlignment w:val="baseline"/>
        <w:rPr>
          <w:rFonts w:hint="default" w:ascii="Times New Roman" w:hAnsi="Times New Roman" w:eastAsia="仿宋_GB2312" w:cs="Times New Roman"/>
          <w:color w:val="auto"/>
          <w:sz w:val="24"/>
          <w:szCs w:val="24"/>
          <w:lang w:eastAsia="zh-CN"/>
        </w:rPr>
      </w:pPr>
    </w:p>
    <w:p w14:paraId="27F56DD0">
      <w:pPr>
        <w:spacing w:line="360" w:lineRule="auto"/>
        <w:ind w:firstLine="480"/>
        <w:jc w:val="left"/>
        <w:textAlignment w:val="baseline"/>
        <w:rPr>
          <w:rFonts w:hint="default" w:ascii="Times New Roman" w:hAnsi="Times New Roman" w:eastAsia="仿宋_GB2312" w:cs="Times New Roman"/>
          <w:color w:val="auto"/>
          <w:sz w:val="24"/>
          <w:szCs w:val="24"/>
          <w:lang w:eastAsia="zh-CN"/>
        </w:rPr>
      </w:pPr>
    </w:p>
    <w:p w14:paraId="3B24C76B">
      <w:pPr>
        <w:spacing w:line="360" w:lineRule="auto"/>
        <w:ind w:firstLine="480"/>
        <w:jc w:val="left"/>
        <w:textAlignment w:val="baseline"/>
        <w:rPr>
          <w:rFonts w:hint="default" w:ascii="Times New Roman" w:hAnsi="Times New Roman" w:eastAsia="仿宋_GB2312" w:cs="Times New Roman"/>
          <w:b/>
          <w:color w:val="auto"/>
          <w:sz w:val="30"/>
          <w:szCs w:val="30"/>
          <w:lang w:eastAsia="zh-CN"/>
        </w:rPr>
      </w:pPr>
    </w:p>
    <w:p w14:paraId="7EDF3F21">
      <w:pPr>
        <w:pStyle w:val="46"/>
        <w:spacing w:before="0" w:beforeAutospacing="0" w:after="0" w:afterAutospacing="0" w:line="560" w:lineRule="atLeast"/>
        <w:ind w:firstLine="480" w:firstLineChars="200"/>
        <w:jc w:val="both"/>
        <w:textAlignment w:val="baseline"/>
        <w:rPr>
          <w:rFonts w:hint="default" w:ascii="Times New Roman" w:hAnsi="Times New Roman" w:eastAsia="仿宋_GB2312" w:cs="Times New Roman"/>
          <w:kern w:val="2"/>
        </w:rPr>
      </w:pPr>
      <w:r>
        <w:rPr>
          <w:rFonts w:hint="default" w:ascii="Times New Roman" w:hAnsi="Times New Roman" w:eastAsia="仿宋_GB2312" w:cs="Times New Roman"/>
          <w:kern w:val="2"/>
        </w:rPr>
        <w:t>注：1、中标、成交供应商为残疾人福利性单位的，采购人或者集采机构将随中标、成交结果同时公告其《残疾人福利性单位声明函》，接受社会监督。</w:t>
      </w:r>
    </w:p>
    <w:p w14:paraId="05B2E269">
      <w:pPr>
        <w:pStyle w:val="46"/>
        <w:spacing w:before="0" w:beforeAutospacing="0" w:after="0" w:afterAutospacing="0" w:line="560" w:lineRule="atLeast"/>
        <w:ind w:firstLine="420"/>
        <w:jc w:val="both"/>
        <w:textAlignment w:val="baseline"/>
        <w:rPr>
          <w:rFonts w:hint="default" w:ascii="Times New Roman" w:hAnsi="Times New Roman" w:eastAsia="仿宋_GB2312" w:cs="Times New Roman"/>
          <w:kern w:val="2"/>
        </w:rPr>
      </w:pPr>
      <w:r>
        <w:rPr>
          <w:rFonts w:hint="default" w:ascii="Times New Roman" w:hAnsi="Times New Roman" w:eastAsia="仿宋_GB2312" w:cs="Times New Roman"/>
          <w:kern w:val="2"/>
        </w:rPr>
        <w:t>2、供应商提供的《残疾人福利性单位声明函》与事实不符的，依照《政府采购法》第七十七条第一款的规定追究法律责任。</w:t>
      </w:r>
    </w:p>
    <w:p w14:paraId="62BB89D4">
      <w:pPr>
        <w:spacing w:line="588" w:lineRule="exact"/>
        <w:jc w:val="center"/>
        <w:rPr>
          <w:rFonts w:hint="default" w:ascii="Times New Roman" w:hAnsi="Times New Roman" w:eastAsia="仿宋_GB2312" w:cs="Times New Roman"/>
          <w:b/>
          <w:color w:val="auto"/>
          <w:sz w:val="28"/>
          <w:szCs w:val="28"/>
          <w:lang w:eastAsia="zh-CN"/>
        </w:rPr>
      </w:pPr>
      <w:r>
        <w:rPr>
          <w:rFonts w:hint="default" w:ascii="Times New Roman" w:hAnsi="Times New Roman" w:eastAsia="仿宋_GB2312" w:cs="Times New Roman"/>
          <w:color w:val="auto"/>
          <w:sz w:val="24"/>
          <w:lang w:eastAsia="zh-CN"/>
        </w:rPr>
        <w:br w:type="page"/>
      </w:r>
      <w:r>
        <w:rPr>
          <w:rFonts w:hint="default" w:ascii="Times New Roman" w:hAnsi="Times New Roman" w:eastAsia="仿宋_GB2312" w:cs="Times New Roman"/>
          <w:b/>
          <w:color w:val="auto"/>
          <w:sz w:val="28"/>
          <w:szCs w:val="28"/>
          <w:lang w:eastAsia="zh-CN"/>
        </w:rPr>
        <w:t>残疾人福利性单位声明函（制造商）</w:t>
      </w:r>
    </w:p>
    <w:p w14:paraId="2AA78D1F">
      <w:pPr>
        <w:spacing w:line="360" w:lineRule="auto"/>
        <w:ind w:firstLine="480"/>
        <w:rPr>
          <w:rFonts w:hint="default" w:ascii="Times New Roman" w:hAnsi="Times New Roman" w:eastAsia="仿宋_GB2312" w:cs="Times New Roman"/>
          <w:color w:val="auto"/>
          <w:sz w:val="24"/>
          <w:szCs w:val="24"/>
          <w:lang w:eastAsia="zh-CN"/>
        </w:rPr>
      </w:pPr>
    </w:p>
    <w:p w14:paraId="1F767088">
      <w:pPr>
        <w:spacing w:line="360" w:lineRule="auto"/>
        <w:ind w:firstLine="480"/>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（制造商属于残疾人福利性单位的填写，不属于的无需填写此项内容）</w:t>
      </w:r>
    </w:p>
    <w:p w14:paraId="13B7C2DD">
      <w:pPr>
        <w:spacing w:line="360" w:lineRule="auto"/>
        <w:ind w:firstLine="480"/>
        <w:rPr>
          <w:rFonts w:hint="default" w:ascii="Times New Roman" w:hAnsi="Times New Roman" w:eastAsia="仿宋_GB2312" w:cs="Times New Roman"/>
          <w:color w:val="auto"/>
          <w:sz w:val="28"/>
          <w:szCs w:val="28"/>
          <w:lang w:eastAsia="zh-CN"/>
        </w:rPr>
      </w:pPr>
    </w:p>
    <w:p w14:paraId="0310C36F">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0A9C740">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本单位对上述声明的真实性负责。如有虚假，将依法承担相应责任。</w:t>
      </w:r>
    </w:p>
    <w:p w14:paraId="4FB41609">
      <w:pPr>
        <w:spacing w:line="360" w:lineRule="auto"/>
        <w:rPr>
          <w:rFonts w:hint="default" w:ascii="Times New Roman" w:hAnsi="Times New Roman" w:eastAsia="仿宋_GB2312" w:cs="Times New Roman"/>
          <w:color w:val="auto"/>
          <w:sz w:val="24"/>
          <w:szCs w:val="28"/>
          <w:lang w:eastAsia="zh-CN"/>
        </w:rPr>
      </w:pPr>
    </w:p>
    <w:p w14:paraId="5E0B2FF2">
      <w:pPr>
        <w:spacing w:line="360" w:lineRule="auto"/>
        <w:ind w:firstLine="480"/>
        <w:rPr>
          <w:rFonts w:hint="default" w:ascii="Times New Roman" w:hAnsi="Times New Roman" w:eastAsia="仿宋_GB2312" w:cs="Times New Roman"/>
          <w:color w:val="auto"/>
          <w:sz w:val="28"/>
          <w:szCs w:val="28"/>
          <w:lang w:eastAsia="zh-CN"/>
        </w:rPr>
      </w:pPr>
    </w:p>
    <w:p w14:paraId="6EABC2FE">
      <w:pPr>
        <w:spacing w:line="360" w:lineRule="auto"/>
        <w:ind w:firstLine="48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制造商（公章）：</w:t>
      </w:r>
    </w:p>
    <w:p w14:paraId="604F5302">
      <w:pPr>
        <w:spacing w:line="360" w:lineRule="auto"/>
        <w:ind w:firstLine="48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日期：      年   月   日</w:t>
      </w:r>
    </w:p>
    <w:p w14:paraId="172A53DF">
      <w:pPr>
        <w:spacing w:line="360" w:lineRule="auto"/>
        <w:ind w:firstLine="480"/>
        <w:rPr>
          <w:rFonts w:hint="default" w:ascii="Times New Roman" w:hAnsi="Times New Roman" w:eastAsia="仿宋_GB2312" w:cs="Times New Roman"/>
          <w:color w:val="auto"/>
          <w:sz w:val="28"/>
          <w:szCs w:val="28"/>
        </w:rPr>
      </w:pPr>
    </w:p>
    <w:p w14:paraId="561A4F5E">
      <w:pPr>
        <w:spacing w:line="360" w:lineRule="auto"/>
        <w:ind w:firstLine="480"/>
        <w:jc w:val="left"/>
        <w:textAlignment w:val="baseline"/>
        <w:rPr>
          <w:rFonts w:hint="default" w:ascii="Times New Roman" w:hAnsi="Times New Roman" w:eastAsia="仿宋_GB2312" w:cs="Times New Roman"/>
          <w:b/>
          <w:color w:val="auto"/>
          <w:sz w:val="30"/>
          <w:szCs w:val="30"/>
        </w:rPr>
      </w:pPr>
    </w:p>
    <w:p w14:paraId="474A30BE">
      <w:pPr>
        <w:pStyle w:val="46"/>
        <w:spacing w:before="0" w:beforeAutospacing="0" w:after="0" w:afterAutospacing="0" w:line="560" w:lineRule="atLeast"/>
        <w:ind w:firstLine="480" w:firstLineChars="200"/>
        <w:jc w:val="both"/>
        <w:textAlignment w:val="baseline"/>
        <w:rPr>
          <w:rFonts w:hint="default" w:ascii="Times New Roman" w:hAnsi="Times New Roman" w:eastAsia="仿宋_GB2312" w:cs="Times New Roman"/>
          <w:kern w:val="2"/>
        </w:rPr>
      </w:pPr>
      <w:r>
        <w:rPr>
          <w:rFonts w:hint="default" w:ascii="Times New Roman" w:hAnsi="Times New Roman" w:eastAsia="仿宋_GB2312" w:cs="Times New Roman"/>
          <w:kern w:val="2"/>
        </w:rPr>
        <w:t>注：1、中标、成交供应商为残疾人福利性单位的，采购人或者集采机构将随中标、成交结果同时公告其《残疾人福利性单位声明函》，接受社会监督。</w:t>
      </w:r>
    </w:p>
    <w:p w14:paraId="0550831C">
      <w:pPr>
        <w:pStyle w:val="46"/>
        <w:spacing w:before="0" w:beforeAutospacing="0" w:after="0" w:afterAutospacing="0" w:line="560" w:lineRule="atLeast"/>
        <w:ind w:firstLine="420"/>
        <w:jc w:val="both"/>
        <w:textAlignment w:val="baseline"/>
        <w:rPr>
          <w:rFonts w:hint="default" w:ascii="Times New Roman" w:hAnsi="Times New Roman" w:cs="Times New Roman"/>
          <w:b/>
          <w:bCs/>
        </w:rPr>
      </w:pPr>
      <w:r>
        <w:rPr>
          <w:rFonts w:hint="default" w:ascii="Times New Roman" w:hAnsi="Times New Roman" w:eastAsia="仿宋_GB2312" w:cs="Times New Roman"/>
          <w:kern w:val="2"/>
        </w:rPr>
        <w:t>2、供应商提供的《残疾人福利性单位声明函》与事实不符的，依照《政府采购法》第七十七条第一款的规定追究法律责任。</w:t>
      </w:r>
    </w:p>
    <w:p w14:paraId="7B615385">
      <w:pPr>
        <w:spacing w:line="360" w:lineRule="auto"/>
        <w:ind w:left="1080" w:hanging="540"/>
        <w:jc w:val="center"/>
        <w:rPr>
          <w:rFonts w:hint="default" w:ascii="Times New Roman" w:hAnsi="Times New Roman" w:eastAsia="宋体" w:cs="Times New Roman"/>
          <w:b/>
          <w:bCs/>
          <w:color w:val="auto"/>
          <w:sz w:val="24"/>
          <w:szCs w:val="24"/>
          <w:lang w:val="en-US" w:eastAsia="zh-CN"/>
        </w:rPr>
      </w:pPr>
    </w:p>
    <w:p w14:paraId="4A15B522">
      <w:pPr>
        <w:pStyle w:val="168"/>
        <w:tabs>
          <w:tab w:val="left" w:pos="5580"/>
        </w:tabs>
        <w:spacing w:line="360" w:lineRule="auto"/>
        <w:ind w:firstLine="840" w:firstLineChars="300"/>
        <w:rPr>
          <w:rFonts w:hint="default" w:ascii="Times New Roman" w:hAnsi="Times New Roman" w:eastAsia="仿宋_GB2312" w:cs="Times New Roman"/>
          <w:color w:val="auto"/>
          <w:sz w:val="28"/>
          <w:szCs w:val="28"/>
          <w:lang w:val="zh-TW"/>
        </w:rPr>
      </w:pPr>
    </w:p>
    <w:p w14:paraId="11BB9F54">
      <w:pPr>
        <w:spacing w:line="360" w:lineRule="auto"/>
        <w:jc w:val="center"/>
        <w:outlineLvl w:val="2"/>
        <w:rPr>
          <w:rFonts w:hint="default" w:ascii="Times New Roman" w:hAnsi="Times New Roman" w:eastAsia="微软雅黑" w:cs="Times New Roman"/>
          <w:color w:val="auto"/>
          <w:sz w:val="24"/>
          <w:szCs w:val="24"/>
          <w:lang w:eastAsia="zh-CN"/>
        </w:rPr>
      </w:pPr>
      <w:r>
        <w:rPr>
          <w:rFonts w:hint="default" w:ascii="Times New Roman" w:hAnsi="Times New Roman" w:eastAsia="黑体" w:cs="Times New Roman"/>
          <w:color w:val="auto"/>
          <w:sz w:val="28"/>
          <w:szCs w:val="28"/>
          <w:lang w:val="en" w:eastAsia="zh-CN"/>
        </w:rPr>
        <w:br w:type="page"/>
      </w:r>
      <w:r>
        <w:rPr>
          <w:rFonts w:hint="default" w:ascii="Times New Roman" w:hAnsi="Times New Roman" w:eastAsia="微软雅黑" w:cs="Times New Roman"/>
          <w:b/>
          <w:bCs/>
          <w:color w:val="auto"/>
          <w:sz w:val="32"/>
          <w:szCs w:val="32"/>
          <w:lang w:eastAsia="zh-CN"/>
        </w:rPr>
        <w:t>关于符合本国产品标准的声明函</w:t>
      </w:r>
    </w:p>
    <w:p w14:paraId="51C912DE">
      <w:pPr>
        <w:spacing w:line="360" w:lineRule="auto"/>
        <w:jc w:val="center"/>
        <w:rPr>
          <w:rFonts w:hint="default" w:ascii="Times New Roman" w:hAnsi="Times New Roman" w:eastAsia="仿宋_GB2312" w:cs="Times New Roman"/>
          <w:color w:val="auto"/>
          <w:kern w:val="0"/>
          <w:sz w:val="24"/>
          <w:szCs w:val="24"/>
          <w:lang w:eastAsia="zh-CN" w:bidi="zh-TW"/>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kern w:val="0"/>
          <w:sz w:val="24"/>
          <w:szCs w:val="24"/>
          <w:lang w:eastAsia="zh-CN" w:bidi="zh-TW"/>
        </w:rPr>
        <w:t>（供应商提供提本国产品的填写，未提供本国产品的无需填写或不提供此项内容）</w:t>
      </w:r>
    </w:p>
    <w:p w14:paraId="245EFF73">
      <w:pPr>
        <w:pStyle w:val="46"/>
        <w:shd w:val="clear" w:color="auto" w:fill="FFFFFF"/>
        <w:spacing w:before="30" w:beforeAutospacing="0" w:after="30" w:afterAutospacing="0" w:line="460" w:lineRule="exact"/>
        <w:ind w:firstLine="420"/>
        <w:rPr>
          <w:rFonts w:hint="default" w:ascii="Times New Roman" w:hAnsi="Times New Roman" w:eastAsia="仿宋_GB2312" w:cs="Times New Roman"/>
          <w:kern w:val="2"/>
          <w:sz w:val="28"/>
          <w:szCs w:val="28"/>
          <w:lang w:val="zh-TW"/>
        </w:rPr>
      </w:pPr>
      <w:r>
        <w:rPr>
          <w:rFonts w:hint="default" w:ascii="Times New Roman" w:hAnsi="Times New Roman" w:eastAsia="仿宋_GB2312" w:cs="Times New Roman"/>
          <w:kern w:val="2"/>
          <w:sz w:val="28"/>
          <w:szCs w:val="28"/>
          <w:lang w:val="zh-TW"/>
        </w:rPr>
        <w:t>本公司（单位）郑重声明，根据《国务院办公厅关于在政府采购中实施本国产品标准及相关政策的通知》（国办发〔2025〕34号）的规定，本公司（单位）提供的以下产品属于本国产品。具体情况如下：</w:t>
      </w:r>
    </w:p>
    <w:p w14:paraId="2716120F">
      <w:pPr>
        <w:pStyle w:val="46"/>
        <w:shd w:val="clear" w:color="auto" w:fill="FFFFFF"/>
        <w:spacing w:before="30" w:beforeAutospacing="0" w:after="30" w:afterAutospacing="0" w:line="460" w:lineRule="exact"/>
        <w:rPr>
          <w:rFonts w:hint="default" w:ascii="Times New Roman" w:hAnsi="Times New Roman" w:eastAsia="仿宋_GB2312" w:cs="Times New Roman"/>
          <w:kern w:val="2"/>
          <w:sz w:val="28"/>
          <w:szCs w:val="28"/>
          <w:lang w:val="zh-TW"/>
        </w:rPr>
      </w:pPr>
      <w:r>
        <w:rPr>
          <w:rFonts w:hint="default" w:ascii="Times New Roman" w:hAnsi="Times New Roman" w:eastAsia="仿宋_GB2312" w:cs="Times New Roman"/>
          <w:kern w:val="2"/>
          <w:sz w:val="28"/>
          <w:szCs w:val="28"/>
        </w:rPr>
        <w:t xml:space="preserve">    1.</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u w:val="single"/>
          <w:lang w:val="zh-TW"/>
        </w:rPr>
        <w:t>（产品名称1）</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，生产厂为</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u w:val="single"/>
          <w:lang w:val="zh-TW"/>
        </w:rPr>
        <w:t>（厂名）</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，厂址为</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u w:val="single"/>
          <w:lang w:val="zh-TW"/>
        </w:rPr>
        <w:t>（生产厂址）</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u w:val="single"/>
          <w:lang w:val="zh-TW"/>
        </w:rPr>
        <w:t>（产品名称1）</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的中国境内生产的组件成本占比≥</w:t>
      </w:r>
      <w:r>
        <w:rPr>
          <w:rFonts w:hint="default" w:ascii="Times New Roman" w:hAnsi="Times New Roman" w:eastAsia="仿宋_GB2312" w:cs="Times New Roman"/>
          <w:kern w:val="2"/>
          <w:sz w:val="28"/>
          <w:szCs w:val="28"/>
          <w:u w:val="single"/>
          <w:lang w:val="zh-TW"/>
        </w:rPr>
        <w:t>（规定比例）</w:t>
      </w:r>
      <w:r>
        <w:rPr>
          <w:rFonts w:hint="default" w:ascii="Times New Roman" w:hAnsi="Times New Roman" w:eastAsia="仿宋_GB2312" w:cs="Times New Roman"/>
          <w:kern w:val="2"/>
          <w:sz w:val="28"/>
          <w:szCs w:val="28"/>
          <w:lang w:val="zh-TW"/>
        </w:rPr>
        <w:t>。</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u w:val="single"/>
          <w:lang w:val="zh-TW"/>
        </w:rPr>
        <w:t>（产品名称1）</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的</w:t>
      </w:r>
      <w:r>
        <w:rPr>
          <w:rFonts w:hint="default" w:ascii="Times New Roman" w:hAnsi="Times New Roman" w:eastAsia="仿宋_GB2312" w:cs="Times New Roman"/>
          <w:kern w:val="2"/>
          <w:sz w:val="28"/>
          <w:szCs w:val="28"/>
        </w:rPr>
        <w:t xml:space="preserve">  </w:t>
      </w:r>
      <w:r>
        <w:rPr>
          <w:rFonts w:hint="default" w:ascii="Times New Roman" w:hAnsi="Times New Roman" w:eastAsia="仿宋_GB2312" w:cs="Times New Roman"/>
          <w:kern w:val="2"/>
          <w:sz w:val="28"/>
          <w:szCs w:val="28"/>
          <w:u w:val="single"/>
          <w:lang w:val="zh-TW"/>
        </w:rPr>
        <w:t>（关键组件）</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在中国境内生产。</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u w:val="single"/>
          <w:lang w:val="zh-TW"/>
        </w:rPr>
        <w:t>（产品名称1）</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的</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u w:val="single"/>
          <w:lang w:val="zh-TW"/>
        </w:rPr>
        <w:t>（关键工序）</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在中国境内完成。</w:t>
      </w:r>
    </w:p>
    <w:p w14:paraId="7216C552">
      <w:pPr>
        <w:pStyle w:val="46"/>
        <w:shd w:val="clear" w:color="auto" w:fill="FFFFFF"/>
        <w:spacing w:before="30" w:beforeAutospacing="0" w:after="30" w:afterAutospacing="0" w:line="460" w:lineRule="exact"/>
        <w:ind w:firstLine="420"/>
        <w:rPr>
          <w:rFonts w:hint="default" w:ascii="Times New Roman" w:hAnsi="Times New Roman" w:eastAsia="仿宋_GB2312" w:cs="Times New Roman"/>
          <w:kern w:val="2"/>
          <w:sz w:val="28"/>
          <w:szCs w:val="28"/>
          <w:lang w:val="zh-TW"/>
        </w:rPr>
      </w:pPr>
      <w:r>
        <w:rPr>
          <w:rFonts w:hint="default" w:ascii="Times New Roman" w:hAnsi="Times New Roman" w:eastAsia="仿宋_GB2312" w:cs="Times New Roman"/>
          <w:kern w:val="2"/>
          <w:sz w:val="28"/>
          <w:szCs w:val="28"/>
        </w:rPr>
        <w:t xml:space="preserve"> 2.</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u w:val="single"/>
          <w:lang w:val="zh-TW"/>
        </w:rPr>
        <w:t>（产品名称</w:t>
      </w:r>
      <w:r>
        <w:rPr>
          <w:rFonts w:hint="default" w:ascii="Times New Roman" w:hAnsi="Times New Roman" w:eastAsia="仿宋_GB2312" w:cs="Times New Roman"/>
          <w:kern w:val="2"/>
          <w:sz w:val="28"/>
          <w:szCs w:val="28"/>
          <w:u w:val="single"/>
        </w:rPr>
        <w:t>2</w:t>
      </w:r>
      <w:r>
        <w:rPr>
          <w:rFonts w:hint="default" w:ascii="Times New Roman" w:hAnsi="Times New Roman" w:eastAsia="仿宋_GB2312" w:cs="Times New Roman"/>
          <w:kern w:val="2"/>
          <w:sz w:val="28"/>
          <w:szCs w:val="28"/>
          <w:u w:val="single"/>
          <w:lang w:val="zh-TW"/>
        </w:rPr>
        <w:t>）</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，生产厂为</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u w:val="single"/>
          <w:lang w:val="zh-TW"/>
        </w:rPr>
        <w:t>（厂名）</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，厂址为</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u w:val="single"/>
          <w:lang w:val="zh-TW"/>
        </w:rPr>
        <w:t>（生产厂址）</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u w:val="single"/>
          <w:lang w:val="zh-TW"/>
        </w:rPr>
        <w:t>（产品名称</w:t>
      </w:r>
      <w:r>
        <w:rPr>
          <w:rFonts w:hint="default" w:ascii="Times New Roman" w:hAnsi="Times New Roman" w:eastAsia="仿宋_GB2312" w:cs="Times New Roman"/>
          <w:kern w:val="2"/>
          <w:sz w:val="28"/>
          <w:szCs w:val="28"/>
          <w:u w:val="single"/>
        </w:rPr>
        <w:t>2</w:t>
      </w:r>
      <w:r>
        <w:rPr>
          <w:rFonts w:hint="default" w:ascii="Times New Roman" w:hAnsi="Times New Roman" w:eastAsia="仿宋_GB2312" w:cs="Times New Roman"/>
          <w:kern w:val="2"/>
          <w:sz w:val="28"/>
          <w:szCs w:val="28"/>
          <w:u w:val="single"/>
          <w:lang w:val="zh-TW"/>
        </w:rPr>
        <w:t>）</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的中国境内生产的组件成本占比≥</w:t>
      </w:r>
      <w:r>
        <w:rPr>
          <w:rFonts w:hint="default" w:ascii="Times New Roman" w:hAnsi="Times New Roman" w:eastAsia="仿宋_GB2312" w:cs="Times New Roman"/>
          <w:kern w:val="2"/>
          <w:sz w:val="28"/>
          <w:szCs w:val="28"/>
          <w:u w:val="single"/>
          <w:lang w:val="zh-TW"/>
        </w:rPr>
        <w:t>（规定比例）</w:t>
      </w:r>
      <w:r>
        <w:rPr>
          <w:rFonts w:hint="default" w:ascii="Times New Roman" w:hAnsi="Times New Roman" w:eastAsia="仿宋_GB2312" w:cs="Times New Roman"/>
          <w:kern w:val="2"/>
          <w:sz w:val="28"/>
          <w:szCs w:val="28"/>
          <w:lang w:val="zh-TW"/>
        </w:rPr>
        <w:t>。</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u w:val="single"/>
          <w:lang w:val="zh-TW"/>
        </w:rPr>
        <w:t>（产品名称</w:t>
      </w:r>
      <w:r>
        <w:rPr>
          <w:rFonts w:hint="default" w:ascii="Times New Roman" w:hAnsi="Times New Roman" w:eastAsia="仿宋_GB2312" w:cs="Times New Roman"/>
          <w:kern w:val="2"/>
          <w:sz w:val="28"/>
          <w:szCs w:val="28"/>
          <w:u w:val="single"/>
        </w:rPr>
        <w:t>2</w:t>
      </w:r>
      <w:r>
        <w:rPr>
          <w:rFonts w:hint="default" w:ascii="Times New Roman" w:hAnsi="Times New Roman" w:eastAsia="仿宋_GB2312" w:cs="Times New Roman"/>
          <w:kern w:val="2"/>
          <w:sz w:val="28"/>
          <w:szCs w:val="28"/>
          <w:u w:val="single"/>
          <w:lang w:val="zh-TW"/>
        </w:rPr>
        <w:t>）</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的</w:t>
      </w:r>
      <w:r>
        <w:rPr>
          <w:rFonts w:hint="default" w:ascii="Times New Roman" w:hAnsi="Times New Roman" w:eastAsia="仿宋_GB2312" w:cs="Times New Roman"/>
          <w:kern w:val="2"/>
          <w:sz w:val="28"/>
          <w:szCs w:val="28"/>
        </w:rPr>
        <w:t xml:space="preserve">  </w:t>
      </w:r>
      <w:r>
        <w:rPr>
          <w:rFonts w:hint="default" w:ascii="Times New Roman" w:hAnsi="Times New Roman" w:eastAsia="仿宋_GB2312" w:cs="Times New Roman"/>
          <w:kern w:val="2"/>
          <w:sz w:val="28"/>
          <w:szCs w:val="28"/>
          <w:u w:val="single"/>
          <w:lang w:val="zh-TW"/>
        </w:rPr>
        <w:t>（关键组件）</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在中国境内生产。</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u w:val="single"/>
          <w:lang w:val="zh-TW"/>
        </w:rPr>
        <w:t>（产品名称</w:t>
      </w:r>
      <w:r>
        <w:rPr>
          <w:rFonts w:hint="default" w:ascii="Times New Roman" w:hAnsi="Times New Roman" w:eastAsia="仿宋_GB2312" w:cs="Times New Roman"/>
          <w:kern w:val="2"/>
          <w:sz w:val="28"/>
          <w:szCs w:val="28"/>
          <w:u w:val="single"/>
        </w:rPr>
        <w:t>2</w:t>
      </w:r>
      <w:r>
        <w:rPr>
          <w:rFonts w:hint="default" w:ascii="Times New Roman" w:hAnsi="Times New Roman" w:eastAsia="仿宋_GB2312" w:cs="Times New Roman"/>
          <w:kern w:val="2"/>
          <w:sz w:val="28"/>
          <w:szCs w:val="28"/>
          <w:u w:val="single"/>
          <w:lang w:val="zh-TW"/>
        </w:rPr>
        <w:t>）</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的</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u w:val="single"/>
          <w:lang w:val="zh-TW"/>
        </w:rPr>
        <w:t>（关键工序）</w:t>
      </w:r>
      <w:r>
        <w:rPr>
          <w:rFonts w:hint="default" w:ascii="Times New Roman" w:hAnsi="Times New Roman" w:eastAsia="仿宋_GB2312" w:cs="Times New Roman"/>
          <w:kern w:val="2"/>
          <w:sz w:val="28"/>
          <w:szCs w:val="28"/>
          <w:u w:val="single"/>
        </w:rPr>
        <w:t xml:space="preserve"> </w:t>
      </w:r>
      <w:r>
        <w:rPr>
          <w:rFonts w:hint="default" w:ascii="Times New Roman" w:hAnsi="Times New Roman" w:eastAsia="仿宋_GB2312" w:cs="Times New Roman"/>
          <w:kern w:val="2"/>
          <w:sz w:val="28"/>
          <w:szCs w:val="28"/>
          <w:lang w:val="zh-TW"/>
        </w:rPr>
        <w:t>在中国境内完成。</w:t>
      </w:r>
    </w:p>
    <w:p w14:paraId="7ADAE42F">
      <w:pPr>
        <w:pStyle w:val="46"/>
        <w:shd w:val="clear" w:color="auto" w:fill="FFFFFF"/>
        <w:spacing w:before="30" w:beforeAutospacing="0" w:after="30" w:afterAutospacing="0" w:line="460" w:lineRule="exact"/>
        <w:ind w:firstLine="420"/>
        <w:rPr>
          <w:rFonts w:hint="default" w:ascii="Times New Roman" w:hAnsi="Times New Roman" w:eastAsia="仿宋_GB2312" w:cs="Times New Roman"/>
          <w:kern w:val="2"/>
          <w:sz w:val="28"/>
          <w:szCs w:val="28"/>
          <w:lang w:val="zh-TW"/>
        </w:rPr>
      </w:pPr>
      <w:r>
        <w:rPr>
          <w:rFonts w:hint="default" w:ascii="Times New Roman" w:hAnsi="Times New Roman" w:eastAsia="仿宋_GB2312" w:cs="Times New Roman"/>
          <w:kern w:val="2"/>
          <w:sz w:val="28"/>
          <w:szCs w:val="28"/>
          <w:lang w:val="zh-TW"/>
        </w:rPr>
        <w:t>……</w:t>
      </w:r>
    </w:p>
    <w:p w14:paraId="276E195F">
      <w:pPr>
        <w:pStyle w:val="46"/>
        <w:shd w:val="clear" w:color="auto" w:fill="FFFFFF"/>
        <w:spacing w:before="30" w:beforeAutospacing="0" w:after="30" w:afterAutospacing="0" w:line="460" w:lineRule="exact"/>
        <w:ind w:firstLine="420"/>
        <w:rPr>
          <w:rFonts w:hint="default" w:ascii="Times New Roman" w:hAnsi="Times New Roman" w:eastAsia="仿宋_GB2312" w:cs="Times New Roman"/>
          <w:kern w:val="2"/>
          <w:sz w:val="28"/>
          <w:szCs w:val="28"/>
          <w:lang w:val="zh-TW"/>
        </w:rPr>
      </w:pPr>
      <w:r>
        <w:rPr>
          <w:rFonts w:hint="default" w:ascii="Times New Roman" w:hAnsi="Times New Roman" w:eastAsia="仿宋_GB2312" w:cs="Times New Roman"/>
          <w:kern w:val="2"/>
          <w:sz w:val="28"/>
          <w:szCs w:val="28"/>
          <w:lang w:val="zh-TW"/>
        </w:rPr>
        <w:t>本公司（单位）对上述声明内容的真实性负责。如有虚假，愿承担相应法律责任。</w:t>
      </w:r>
    </w:p>
    <w:p w14:paraId="7A507B12">
      <w:pPr>
        <w:pStyle w:val="46"/>
        <w:shd w:val="clear" w:color="auto" w:fill="FFFFFF"/>
        <w:spacing w:before="30" w:beforeAutospacing="0" w:after="30" w:afterAutospacing="0" w:line="460" w:lineRule="exact"/>
        <w:ind w:firstLine="420"/>
        <w:jc w:val="right"/>
        <w:rPr>
          <w:rFonts w:hint="default" w:ascii="Times New Roman" w:hAnsi="Times New Roman" w:eastAsia="仿宋_GB2312" w:cs="Times New Roman"/>
          <w:kern w:val="2"/>
          <w:sz w:val="28"/>
          <w:szCs w:val="28"/>
          <w:lang w:val="zh-TW"/>
        </w:rPr>
      </w:pPr>
      <w:r>
        <w:rPr>
          <w:rFonts w:hint="default" w:ascii="Times New Roman" w:hAnsi="Times New Roman" w:eastAsia="仿宋_GB2312" w:cs="Times New Roman"/>
          <w:kern w:val="2"/>
          <w:sz w:val="28"/>
          <w:szCs w:val="28"/>
          <w:lang w:val="zh-TW"/>
        </w:rPr>
        <w:t>公司（单位）名称（盖章）：      </w:t>
      </w:r>
    </w:p>
    <w:p w14:paraId="185ADF28">
      <w:pPr>
        <w:pStyle w:val="46"/>
        <w:shd w:val="clear" w:color="auto" w:fill="FFFFFF"/>
        <w:spacing w:before="30" w:beforeAutospacing="0" w:after="30" w:afterAutospacing="0" w:line="460" w:lineRule="exact"/>
        <w:ind w:firstLine="420"/>
        <w:jc w:val="right"/>
        <w:rPr>
          <w:rFonts w:hint="default" w:ascii="Times New Roman" w:hAnsi="Times New Roman" w:cs="Times New Roman"/>
          <w:lang w:eastAsia="zh-TW"/>
        </w:rPr>
      </w:pPr>
      <w:r>
        <w:rPr>
          <w:rFonts w:hint="default" w:ascii="Times New Roman" w:hAnsi="Times New Roman" w:eastAsia="仿宋_GB2312" w:cs="Times New Roman"/>
          <w:kern w:val="2"/>
          <w:sz w:val="28"/>
          <w:szCs w:val="28"/>
          <w:lang w:val="zh-TW" w:eastAsia="zh-TW"/>
        </w:rPr>
        <w:t>日期：　　　　　年　　月　日 </w:t>
      </w:r>
      <w:r>
        <w:rPr>
          <w:rFonts w:hint="default" w:ascii="Times New Roman" w:hAnsi="Times New Roman" w:eastAsia="仿宋_GB2312" w:cs="Times New Roman"/>
          <w:sz w:val="28"/>
          <w:szCs w:val="28"/>
          <w:shd w:val="clear" w:color="auto" w:fill="FFFFFF"/>
          <w:lang w:eastAsia="zh-TW"/>
        </w:rPr>
        <w:t> </w:t>
      </w:r>
      <w:r>
        <w:rPr>
          <w:rFonts w:hint="default" w:ascii="Times New Roman" w:hAnsi="Times New Roman" w:cs="Times New Roman"/>
          <w:shd w:val="clear" w:color="auto" w:fill="FFFFFF"/>
          <w:lang w:eastAsia="zh-TW"/>
        </w:rPr>
        <w:t>  </w:t>
      </w:r>
    </w:p>
    <w:p w14:paraId="74B38EF5">
      <w:pPr>
        <w:pStyle w:val="46"/>
        <w:shd w:val="clear" w:color="auto" w:fill="FFFFFF"/>
        <w:spacing w:before="30" w:beforeAutospacing="0" w:after="30" w:afterAutospacing="0" w:line="280" w:lineRule="exact"/>
        <w:rPr>
          <w:rFonts w:hint="default" w:ascii="Times New Roman" w:hAnsi="Times New Roman" w:cs="Times New Roman"/>
          <w:shd w:val="clear" w:color="auto" w:fill="FFFFFF"/>
        </w:rPr>
      </w:pPr>
      <w:r>
        <w:rPr>
          <w:rFonts w:hint="default" w:ascii="Times New Roman" w:hAnsi="Times New Roman" w:cs="Times New Roman"/>
          <w:shd w:val="clear" w:color="auto" w:fill="FFFFFF"/>
        </w:rPr>
        <w:t xml:space="preserve">____________________________________________________________________    </w:t>
      </w:r>
    </w:p>
    <w:p w14:paraId="1EC41116">
      <w:pPr>
        <w:pStyle w:val="46"/>
        <w:shd w:val="clear" w:color="auto" w:fill="FFFFFF"/>
        <w:spacing w:before="30" w:beforeAutospacing="0" w:after="30" w:afterAutospacing="0" w:line="280" w:lineRule="exact"/>
        <w:rPr>
          <w:rFonts w:hint="default" w:ascii="Times New Roman" w:hAnsi="Times New Roman" w:eastAsia="楷体" w:cs="Times New Roman"/>
          <w:shd w:val="clear" w:color="auto" w:fill="FFFFFF"/>
        </w:rPr>
      </w:pPr>
      <w:r>
        <w:rPr>
          <w:rFonts w:hint="default" w:ascii="Times New Roman" w:hAnsi="Times New Roman" w:cs="Times New Roman"/>
          <w:shd w:val="clear" w:color="auto" w:fill="FFFFFF"/>
        </w:rPr>
        <w:t xml:space="preserve">   </w:t>
      </w:r>
      <w:r>
        <w:rPr>
          <w:rFonts w:hint="default" w:ascii="Times New Roman" w:hAnsi="Times New Roman" w:eastAsia="楷体" w:cs="Times New Roman"/>
          <w:shd w:val="clear" w:color="auto" w:fill="FFFFFF"/>
        </w:rPr>
        <w:t>1.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7326013">
      <w:pPr>
        <w:pStyle w:val="46"/>
        <w:shd w:val="clear" w:color="auto" w:fill="FFFFFF"/>
        <w:spacing w:before="30" w:beforeAutospacing="0" w:after="30" w:afterAutospacing="0" w:line="280" w:lineRule="exact"/>
        <w:ind w:firstLine="420"/>
        <w:rPr>
          <w:rFonts w:hint="default" w:ascii="Times New Roman" w:hAnsi="Times New Roman" w:eastAsia="楷体" w:cs="Times New Roman"/>
          <w:shd w:val="clear" w:color="auto" w:fill="FFFFFF"/>
        </w:rPr>
      </w:pPr>
      <w:r>
        <w:rPr>
          <w:rFonts w:hint="default" w:ascii="Times New Roman" w:hAnsi="Times New Roman" w:eastAsia="楷体" w:cs="Times New Roman"/>
          <w:shd w:val="clear" w:color="auto" w:fill="FFFFFF"/>
        </w:rPr>
        <w:t>2.中国境内生产的组件成本核算基本规则见《国务院办公厅关于在政府采购中实施本国产品标准及相关政策的通知》（国办发〔2025〕34号）。</w:t>
      </w:r>
    </w:p>
    <w:p w14:paraId="2A699717">
      <w:pPr>
        <w:pStyle w:val="46"/>
        <w:shd w:val="clear" w:color="auto" w:fill="FFFFFF"/>
        <w:spacing w:before="30" w:beforeAutospacing="0" w:after="30" w:afterAutospacing="0" w:line="280" w:lineRule="exact"/>
        <w:ind w:firstLine="420"/>
        <w:rPr>
          <w:rFonts w:hint="default" w:ascii="Times New Roman" w:hAnsi="Times New Roman" w:eastAsia="楷体" w:cs="Times New Roman"/>
          <w:shd w:val="clear" w:color="auto" w:fill="FFFFFF"/>
        </w:rPr>
      </w:pPr>
      <w:r>
        <w:rPr>
          <w:rFonts w:hint="default" w:ascii="Times New Roman" w:hAnsi="Times New Roman" w:eastAsia="楷体" w:cs="Times New Roman"/>
          <w:shd w:val="clear" w:color="auto" w:fill="FFFFFF"/>
        </w:rPr>
        <w:t>3.产品如有型号，请在“产品名称”栏一并填写。</w:t>
      </w:r>
    </w:p>
    <w:p w14:paraId="68D18BE4">
      <w:pPr>
        <w:pStyle w:val="46"/>
        <w:shd w:val="clear" w:color="auto" w:fill="FFFFFF"/>
        <w:spacing w:before="30" w:beforeAutospacing="0" w:after="30" w:afterAutospacing="0" w:line="280" w:lineRule="exact"/>
        <w:ind w:firstLine="420"/>
        <w:rPr>
          <w:rFonts w:hint="default" w:ascii="Times New Roman" w:hAnsi="Times New Roman" w:eastAsia="楷体" w:cs="Times New Roman"/>
          <w:shd w:val="clear" w:color="auto" w:fill="FFFFFF"/>
        </w:rPr>
      </w:pPr>
      <w:r>
        <w:rPr>
          <w:rFonts w:hint="default" w:ascii="Times New Roman" w:hAnsi="Times New Roman" w:eastAsia="楷体" w:cs="Times New Roman"/>
          <w:shd w:val="clear" w:color="auto" w:fill="FFFFFF"/>
        </w:rPr>
        <w:t>4.生产厂名与厂址应与生产厂营业执照载明的相关信息保持一致。</w:t>
      </w:r>
    </w:p>
    <w:p w14:paraId="62F76EB9">
      <w:pPr>
        <w:pStyle w:val="46"/>
        <w:shd w:val="clear" w:color="auto" w:fill="FFFFFF"/>
        <w:spacing w:before="30" w:beforeAutospacing="0" w:after="30" w:afterAutospacing="0" w:line="280" w:lineRule="exact"/>
        <w:ind w:firstLine="420"/>
        <w:rPr>
          <w:rFonts w:hint="default" w:ascii="Times New Roman" w:hAnsi="Times New Roman" w:eastAsia="楷体" w:cs="Times New Roman"/>
          <w:shd w:val="clear" w:color="auto" w:fill="FFFFFF"/>
        </w:rPr>
      </w:pPr>
      <w:r>
        <w:rPr>
          <w:rFonts w:hint="default" w:ascii="Times New Roman" w:hAnsi="Times New Roman" w:eastAsia="楷体" w:cs="Times New Roman"/>
          <w:shd w:val="clear" w:color="auto" w:fill="FFFFFF"/>
        </w:rPr>
        <w:t>5.该产品的中国境内生产的组件成本占比相关要求实施前，“规定比例”栏可不填。</w:t>
      </w:r>
    </w:p>
    <w:p w14:paraId="460F0C8C">
      <w:pPr>
        <w:pStyle w:val="46"/>
        <w:shd w:val="clear" w:color="auto" w:fill="FFFFFF"/>
        <w:spacing w:before="30" w:beforeAutospacing="0" w:after="30" w:afterAutospacing="0" w:line="280" w:lineRule="exact"/>
        <w:ind w:firstLine="420"/>
        <w:rPr>
          <w:rFonts w:hint="default" w:ascii="Times New Roman" w:hAnsi="Times New Roman" w:eastAsia="楷体" w:cs="Times New Roman"/>
          <w:shd w:val="clear" w:color="auto" w:fill="FFFFFF"/>
        </w:rPr>
      </w:pPr>
      <w:r>
        <w:rPr>
          <w:rFonts w:hint="default" w:ascii="Times New Roman" w:hAnsi="Times New Roman" w:eastAsia="楷体" w:cs="Times New Roman"/>
          <w:shd w:val="clear" w:color="auto" w:fill="FFFFFF"/>
        </w:rPr>
        <w:t>6.该产品的关键组件要求实施前，“关键组件”栏可不填。</w:t>
      </w:r>
    </w:p>
    <w:p w14:paraId="6E4200EF">
      <w:pPr>
        <w:rPr>
          <w:rFonts w:hint="default" w:ascii="Times New Roman" w:hAnsi="Times New Roman" w:eastAsia="黑体" w:cs="Times New Roman"/>
          <w:color w:val="auto"/>
          <w:sz w:val="28"/>
          <w:szCs w:val="28"/>
          <w:lang w:val="en" w:eastAsia="zh-CN"/>
        </w:rPr>
      </w:pPr>
    </w:p>
    <w:p w14:paraId="173A9A97">
      <w:pPr>
        <w:rPr>
          <w:rFonts w:hint="default" w:ascii="Times New Roman" w:hAnsi="Times New Roman" w:eastAsia="黑体" w:cs="Times New Roman"/>
          <w:color w:val="auto"/>
          <w:sz w:val="28"/>
          <w:szCs w:val="28"/>
          <w:lang w:val="en" w:eastAsia="zh-CN"/>
        </w:rPr>
      </w:pPr>
      <w:r>
        <w:rPr>
          <w:rFonts w:hint="default" w:ascii="Times New Roman" w:hAnsi="Times New Roman" w:eastAsia="黑体" w:cs="Times New Roman"/>
          <w:color w:val="auto"/>
          <w:sz w:val="28"/>
          <w:szCs w:val="28"/>
          <w:lang w:val="en" w:eastAsia="zh-CN"/>
        </w:rPr>
        <w:br w:type="page"/>
      </w:r>
    </w:p>
    <w:p w14:paraId="42BAC1D2">
      <w:pPr>
        <w:pStyle w:val="46"/>
        <w:spacing w:before="0" w:beforeAutospacing="0" w:after="0" w:afterAutospacing="0" w:line="560" w:lineRule="atLeast"/>
        <w:ind w:firstLine="420"/>
        <w:jc w:val="center"/>
        <w:textAlignment w:val="baseline"/>
        <w:outlineLvl w:val="2"/>
        <w:rPr>
          <w:rFonts w:hint="default" w:ascii="Times New Roman" w:hAnsi="Times New Roman" w:eastAsia="仿宋_GB2312" w:cs="Times New Roman"/>
          <w:b/>
          <w:sz w:val="28"/>
          <w:szCs w:val="28"/>
        </w:rPr>
      </w:pPr>
      <w:r>
        <w:rPr>
          <w:rFonts w:hint="default" w:ascii="Times New Roman" w:hAnsi="Times New Roman" w:eastAsia="黑体" w:cs="Times New Roman"/>
          <w:sz w:val="28"/>
          <w:szCs w:val="28"/>
          <w:lang w:val="en"/>
        </w:rPr>
        <w:t>商品包装和快递包装承诺书</w:t>
      </w:r>
    </w:p>
    <w:p w14:paraId="45229CA1">
      <w:pPr>
        <w:spacing w:line="360" w:lineRule="auto"/>
        <w:ind w:firstLine="480"/>
        <w:rPr>
          <w:rFonts w:hint="default" w:ascii="Times New Roman" w:hAnsi="Times New Roman" w:eastAsia="仿宋_GB2312" w:cs="Times New Roman"/>
          <w:color w:val="auto"/>
          <w:sz w:val="28"/>
          <w:szCs w:val="28"/>
          <w:lang w:eastAsia="zh-CN"/>
        </w:rPr>
      </w:pPr>
    </w:p>
    <w:p w14:paraId="2F0D4256">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致：</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kern w:val="0"/>
          <w:sz w:val="28"/>
          <w:szCs w:val="28"/>
          <w:u w:val="single"/>
          <w:lang w:val="en" w:eastAsia="zh-CN"/>
        </w:rPr>
        <w:t>郑州铁路职业技术学院</w:t>
      </w:r>
      <w:r>
        <w:rPr>
          <w:rFonts w:hint="default" w:ascii="Times New Roman" w:hAnsi="Times New Roman" w:eastAsia="仿宋_GB2312" w:cs="Times New Roman"/>
          <w:color w:val="auto"/>
          <w:sz w:val="28"/>
          <w:szCs w:val="28"/>
          <w:lang w:eastAsia="zh-CN"/>
        </w:rPr>
        <w:t xml:space="preserve"> </w:t>
      </w:r>
    </w:p>
    <w:p w14:paraId="5B7CCD21">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为助力打好污染防治攻坚战，推广使用绿色包装，我公司响应《财政部等三部门联合印发商品包装和快递包装政府采购需求标准》（试行）(财办库〔2020〕123号文)的有关规定。承诺在采购项目编号为</w:t>
      </w:r>
      <w:r>
        <w:rPr>
          <w:rFonts w:hint="default" w:ascii="Times New Roman" w:hAnsi="Times New Roman" w:eastAsia="仿宋_GB2312" w:cs="Times New Roman"/>
          <w:color w:val="auto"/>
          <w:sz w:val="28"/>
          <w:szCs w:val="28"/>
          <w:u w:val="single"/>
          <w:lang w:val="en-US" w:eastAsia="zh-CN"/>
        </w:rPr>
        <w:t xml:space="preserve"> </w:t>
      </w:r>
      <w:r>
        <w:rPr>
          <w:rFonts w:hint="eastAsia" w:ascii="Times New Roman" w:hAnsi="Times New Roman" w:eastAsia="仿宋_GB2312" w:cs="Times New Roman"/>
          <w:color w:val="auto"/>
          <w:sz w:val="28"/>
          <w:szCs w:val="28"/>
          <w:u w:val="single"/>
          <w:lang w:val="en-US" w:eastAsia="zh-CN"/>
        </w:rPr>
        <w:t>豫财磋商采购-2026-889</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val="en-US" w:eastAsia="zh-CN"/>
        </w:rPr>
        <w:t>的</w:t>
      </w:r>
      <w:r>
        <w:rPr>
          <w:rFonts w:hint="eastAsia" w:ascii="Times New Roman" w:hAnsi="Times New Roman" w:eastAsia="仿宋_GB2312" w:cs="Times New Roman"/>
          <w:color w:val="auto"/>
          <w:sz w:val="28"/>
          <w:szCs w:val="28"/>
          <w:u w:val="single"/>
          <w:lang w:val="en" w:eastAsia="zh-CN"/>
        </w:rPr>
        <w:t>郑州铁路职业技术学院智慧教学环境更新与提升项目（二期)项目</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的项目中严格按照《商品包装政府采购需求标准（试行）》、《快递包装政府采购需求标准（试行）》的条款执行。</w:t>
      </w:r>
    </w:p>
    <w:p w14:paraId="3F6F6AF9">
      <w:pPr>
        <w:spacing w:line="360" w:lineRule="auto"/>
        <w:ind w:firstLine="480"/>
        <w:rPr>
          <w:rFonts w:hint="default" w:ascii="Times New Roman" w:hAnsi="Times New Roman" w:eastAsia="仿宋_GB2312" w:cs="Times New Roman"/>
          <w:color w:val="auto"/>
          <w:sz w:val="28"/>
          <w:szCs w:val="28"/>
          <w:lang w:val="en" w:eastAsia="zh-CN"/>
        </w:rPr>
      </w:pPr>
      <w:r>
        <w:rPr>
          <w:rFonts w:hint="default" w:ascii="Times New Roman" w:hAnsi="Times New Roman" w:eastAsia="仿宋_GB2312" w:cs="Times New Roman"/>
          <w:color w:val="auto"/>
          <w:sz w:val="28"/>
          <w:szCs w:val="28"/>
          <w:lang w:eastAsia="zh-CN"/>
        </w:rPr>
        <w:t>我公司对以上承诺书内容的真实性负责，并承担相应的法律责任。</w:t>
      </w:r>
      <w:r>
        <w:rPr>
          <w:rFonts w:hint="default" w:ascii="Times New Roman" w:hAnsi="Times New Roman" w:eastAsia="仿宋_GB2312" w:cs="Times New Roman"/>
          <w:color w:val="auto"/>
          <w:sz w:val="28"/>
          <w:szCs w:val="28"/>
          <w:lang w:val="en" w:eastAsia="zh-CN"/>
        </w:rPr>
        <w:t xml:space="preserve">            </w:t>
      </w:r>
    </w:p>
    <w:p w14:paraId="3AF8CC9E">
      <w:pPr>
        <w:spacing w:line="360" w:lineRule="auto"/>
        <w:ind w:firstLine="480"/>
        <w:rPr>
          <w:rFonts w:hint="default" w:ascii="Times New Roman" w:hAnsi="Times New Roman" w:eastAsia="仿宋_GB2312" w:cs="Times New Roman"/>
          <w:color w:val="auto"/>
          <w:sz w:val="28"/>
          <w:szCs w:val="28"/>
          <w:lang w:val="en" w:eastAsia="zh-CN"/>
        </w:rPr>
      </w:pPr>
    </w:p>
    <w:p w14:paraId="3D48CCF4">
      <w:pPr>
        <w:spacing w:line="360" w:lineRule="auto"/>
        <w:ind w:firstLine="480"/>
        <w:rPr>
          <w:rFonts w:hint="default" w:ascii="Times New Roman" w:hAnsi="Times New Roman" w:eastAsia="仿宋_GB2312" w:cs="Times New Roman"/>
          <w:color w:val="auto"/>
          <w:sz w:val="28"/>
          <w:szCs w:val="28"/>
          <w:lang w:val="en" w:eastAsia="zh-CN"/>
        </w:rPr>
      </w:pPr>
      <w:r>
        <w:rPr>
          <w:rFonts w:hint="default" w:ascii="Times New Roman" w:hAnsi="Times New Roman" w:eastAsia="仿宋_GB2312" w:cs="Times New Roman"/>
          <w:color w:val="auto"/>
          <w:sz w:val="28"/>
          <w:szCs w:val="28"/>
          <w:lang w:val="en" w:eastAsia="zh-CN"/>
        </w:rPr>
        <w:t xml:space="preserve">        </w:t>
      </w:r>
    </w:p>
    <w:p w14:paraId="46C3FAA4">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供应商（企业电子签章）：</w:t>
      </w:r>
    </w:p>
    <w:p w14:paraId="11857256">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日期：</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 xml:space="preserve">年 </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月</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 xml:space="preserve"> 日</w:t>
      </w:r>
    </w:p>
    <w:p w14:paraId="7ED8E66E">
      <w:pPr>
        <w:spacing w:line="360" w:lineRule="auto"/>
        <w:ind w:firstLine="480"/>
        <w:rPr>
          <w:rFonts w:hint="default" w:ascii="Times New Roman" w:hAnsi="Times New Roman" w:eastAsia="仿宋_GB2312" w:cs="Times New Roman"/>
          <w:color w:val="auto"/>
          <w:sz w:val="28"/>
          <w:szCs w:val="28"/>
          <w:lang w:eastAsia="zh-CN"/>
        </w:rPr>
      </w:pPr>
    </w:p>
    <w:p w14:paraId="19E514C6">
      <w:pPr>
        <w:spacing w:line="360" w:lineRule="auto"/>
        <w:ind w:firstLine="480"/>
        <w:rPr>
          <w:rFonts w:hint="default" w:ascii="Times New Roman" w:hAnsi="Times New Roman" w:eastAsia="黑体" w:cs="Times New Roman"/>
          <w:color w:val="auto"/>
          <w:sz w:val="28"/>
          <w:szCs w:val="28"/>
          <w:lang w:val="en" w:eastAsia="zh-CN"/>
        </w:rPr>
        <w:sectPr>
          <w:pgSz w:w="11900" w:h="16840"/>
          <w:pgMar w:top="1440" w:right="1800" w:bottom="1440" w:left="1800" w:header="851" w:footer="992" w:gutter="0"/>
          <w:cols w:space="720" w:num="1"/>
        </w:sectPr>
      </w:pPr>
      <w:bookmarkStart w:id="224" w:name="_Toc1712283003"/>
      <w:bookmarkStart w:id="225" w:name="_Toc1179847034"/>
      <w:bookmarkStart w:id="226" w:name="_Toc237482121"/>
      <w:bookmarkStart w:id="227" w:name="_Toc1306770718"/>
      <w:bookmarkStart w:id="228" w:name="_Toc1562600580"/>
      <w:bookmarkStart w:id="229" w:name="_Toc952520719"/>
      <w:bookmarkStart w:id="230" w:name="_Toc807820015"/>
      <w:bookmarkStart w:id="231" w:name="_Toc1888555944"/>
      <w:bookmarkStart w:id="232" w:name="_Toc1929226479"/>
    </w:p>
    <w:p w14:paraId="08D246E5">
      <w:pPr>
        <w:pStyle w:val="102"/>
        <w:spacing w:line="360" w:lineRule="auto"/>
        <w:jc w:val="center"/>
        <w:outlineLvl w:val="1"/>
        <w:rPr>
          <w:rFonts w:hint="default" w:ascii="Times New Roman" w:hAnsi="Times New Roman" w:eastAsia="方正小标宋_GBK" w:cs="Times New Roman"/>
          <w:bCs/>
          <w:color w:val="auto"/>
          <w:kern w:val="2"/>
          <w:sz w:val="30"/>
          <w:szCs w:val="30"/>
          <w:lang w:val="en-US" w:eastAsia="zh-CN"/>
        </w:rPr>
      </w:pPr>
      <w:r>
        <w:rPr>
          <w:rFonts w:hint="default" w:ascii="Times New Roman" w:hAnsi="Times New Roman" w:eastAsia="方正小标宋_GBK" w:cs="Times New Roman"/>
          <w:bCs/>
          <w:color w:val="auto"/>
          <w:kern w:val="2"/>
          <w:sz w:val="30"/>
          <w:szCs w:val="30"/>
          <w:lang w:val="en" w:eastAsia="zh-CN"/>
        </w:rPr>
        <w:t>十四</w:t>
      </w:r>
      <w:r>
        <w:rPr>
          <w:rFonts w:hint="default" w:ascii="Times New Roman" w:hAnsi="Times New Roman" w:eastAsia="方正小标宋_GBK" w:cs="Times New Roman"/>
          <w:b/>
          <w:color w:val="auto"/>
          <w:kern w:val="2"/>
          <w:sz w:val="30"/>
          <w:szCs w:val="30"/>
          <w:lang w:val="en-US" w:eastAsia="zh-CN"/>
        </w:rPr>
        <w:t>、</w:t>
      </w:r>
      <w:bookmarkEnd w:id="224"/>
      <w:bookmarkEnd w:id="225"/>
      <w:bookmarkEnd w:id="226"/>
      <w:bookmarkEnd w:id="227"/>
      <w:bookmarkEnd w:id="228"/>
      <w:bookmarkEnd w:id="229"/>
      <w:bookmarkEnd w:id="230"/>
      <w:bookmarkEnd w:id="231"/>
      <w:bookmarkEnd w:id="232"/>
      <w:bookmarkStart w:id="233" w:name="_Toc1642658699"/>
      <w:bookmarkStart w:id="234" w:name="_Toc71543334"/>
      <w:bookmarkStart w:id="235" w:name="_Toc741327320"/>
      <w:bookmarkStart w:id="236" w:name="_Toc1405132080"/>
      <w:bookmarkStart w:id="237" w:name="_Toc2003764980"/>
      <w:bookmarkStart w:id="238" w:name="_Toc1361997140"/>
      <w:bookmarkStart w:id="239" w:name="_Toc1342357120"/>
      <w:bookmarkStart w:id="240" w:name="_Toc297277348"/>
      <w:bookmarkStart w:id="241" w:name="_Toc1027952896"/>
      <w:bookmarkStart w:id="242" w:name="_Toc203536082"/>
      <w:bookmarkStart w:id="243" w:name="_Toc995149200"/>
      <w:r>
        <w:rPr>
          <w:rFonts w:hint="default" w:ascii="Times New Roman" w:hAnsi="Times New Roman" w:eastAsia="方正小标宋_GBK" w:cs="Times New Roman"/>
          <w:b/>
          <w:color w:val="auto"/>
          <w:kern w:val="2"/>
          <w:sz w:val="30"/>
          <w:szCs w:val="30"/>
          <w:lang w:val="en-US" w:eastAsia="zh-CN"/>
        </w:rPr>
        <w:t>关联关系名单</w:t>
      </w: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4"/>
        <w:gridCol w:w="3203"/>
        <w:gridCol w:w="2129"/>
        <w:gridCol w:w="2130"/>
      </w:tblGrid>
      <w:tr w14:paraId="4512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 w:type="dxa"/>
          </w:tcPr>
          <w:p w14:paraId="669456B1">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序号</w:t>
            </w:r>
          </w:p>
        </w:tc>
        <w:tc>
          <w:tcPr>
            <w:tcW w:w="3203" w:type="dxa"/>
          </w:tcPr>
          <w:p w14:paraId="518AB46C">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单位名称</w:t>
            </w:r>
          </w:p>
        </w:tc>
        <w:tc>
          <w:tcPr>
            <w:tcW w:w="2129" w:type="dxa"/>
          </w:tcPr>
          <w:p w14:paraId="68F43B45">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关系类型</w:t>
            </w:r>
          </w:p>
        </w:tc>
        <w:tc>
          <w:tcPr>
            <w:tcW w:w="2130" w:type="dxa"/>
          </w:tcPr>
          <w:p w14:paraId="1B05501E">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备注</w:t>
            </w:r>
          </w:p>
        </w:tc>
      </w:tr>
      <w:tr w14:paraId="5CA4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 w:type="dxa"/>
          </w:tcPr>
          <w:p w14:paraId="5B41DD0D">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3203" w:type="dxa"/>
          </w:tcPr>
          <w:p w14:paraId="77E7458D">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29" w:type="dxa"/>
          </w:tcPr>
          <w:p w14:paraId="27A66F40">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30" w:type="dxa"/>
          </w:tcPr>
          <w:p w14:paraId="464468A4">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r>
      <w:tr w14:paraId="0CEF6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 w:type="dxa"/>
          </w:tcPr>
          <w:p w14:paraId="63473B41">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3203" w:type="dxa"/>
          </w:tcPr>
          <w:p w14:paraId="61BA7F8F">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29" w:type="dxa"/>
          </w:tcPr>
          <w:p w14:paraId="2B5176BD">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30" w:type="dxa"/>
          </w:tcPr>
          <w:p w14:paraId="054A47A8">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r>
      <w:tr w14:paraId="65F7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 w:type="dxa"/>
          </w:tcPr>
          <w:p w14:paraId="75779EEB">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3203" w:type="dxa"/>
          </w:tcPr>
          <w:p w14:paraId="4B338AD1">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29" w:type="dxa"/>
          </w:tcPr>
          <w:p w14:paraId="1CCCCE26">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30" w:type="dxa"/>
          </w:tcPr>
          <w:p w14:paraId="0362E94F">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r>
    </w:tbl>
    <w:p w14:paraId="03C58D35">
      <w:pPr>
        <w:pStyle w:val="102"/>
        <w:rPr>
          <w:rFonts w:hint="default" w:ascii="Times New Roman" w:hAnsi="Times New Roman" w:eastAsia="仿宋_GB2312" w:cs="Times New Roman"/>
          <w:color w:val="auto"/>
          <w:kern w:val="2"/>
          <w:sz w:val="28"/>
          <w:szCs w:val="28"/>
          <w:lang w:val="en-US" w:eastAsia="zh-CN"/>
        </w:rPr>
      </w:pPr>
    </w:p>
    <w:p w14:paraId="2B004BF1">
      <w:pPr>
        <w:pStyle w:val="102"/>
        <w:spacing w:line="360" w:lineRule="auto"/>
        <w:jc w:val="center"/>
        <w:rPr>
          <w:rFonts w:hint="default" w:ascii="Times New Roman" w:hAnsi="Times New Roman" w:eastAsia="方正小标宋_GBK" w:cs="Times New Roman"/>
          <w:bCs/>
          <w:color w:val="auto"/>
          <w:sz w:val="30"/>
          <w:szCs w:val="30"/>
          <w:lang w:val="en-US" w:eastAsia="zh-CN"/>
        </w:rPr>
      </w:pPr>
    </w:p>
    <w:p w14:paraId="2C278812">
      <w:pPr>
        <w:spacing w:line="360" w:lineRule="exact"/>
        <w:ind w:firstLine="3640" w:firstLineChars="1300"/>
        <w:rPr>
          <w:rFonts w:hint="default" w:ascii="Times New Roman" w:hAnsi="Times New Roman" w:eastAsia="方正小标宋_GBK" w:cs="Times New Roman"/>
          <w:bCs/>
          <w:color w:val="auto"/>
          <w:sz w:val="30"/>
          <w:szCs w:val="30"/>
          <w:lang w:val="en-US" w:eastAsia="zh-CN"/>
        </w:rPr>
      </w:pPr>
      <w:r>
        <w:rPr>
          <w:rFonts w:hint="default" w:ascii="Times New Roman" w:hAnsi="Times New Roman" w:eastAsia="仿宋" w:cs="Times New Roman"/>
          <w:color w:val="auto"/>
          <w:sz w:val="28"/>
          <w:szCs w:val="28"/>
          <w:lang w:val="en-US" w:eastAsia="zh-CN"/>
        </w:rPr>
        <w:t>供应商（企业电子签章）：</w:t>
      </w:r>
    </w:p>
    <w:p w14:paraId="7A902D56">
      <w:pPr>
        <w:tabs>
          <w:tab w:val="left" w:pos="6300"/>
        </w:tabs>
        <w:snapToGrid w:val="0"/>
        <w:spacing w:line="360" w:lineRule="auto"/>
        <w:ind w:firstLine="297" w:firstLineChars="99"/>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方正小标宋_GBK" w:cs="Times New Roman"/>
          <w:bCs/>
          <w:color w:val="auto"/>
          <w:sz w:val="30"/>
          <w:szCs w:val="30"/>
          <w:lang w:val="en-US" w:eastAsia="zh-CN"/>
        </w:rPr>
        <w:t xml:space="preserve">              </w:t>
      </w:r>
      <w:r>
        <w:rPr>
          <w:rFonts w:hint="default" w:ascii="Times New Roman" w:hAnsi="Times New Roman" w:eastAsia="仿宋_GB2312" w:cs="Times New Roman"/>
          <w:color w:val="auto"/>
          <w:sz w:val="28"/>
          <w:szCs w:val="28"/>
          <w:lang w:eastAsia="zh-CN"/>
        </w:rPr>
        <w:t>日期：</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eastAsia="zh-CN"/>
        </w:rPr>
        <w:t>年</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eastAsia="zh-CN"/>
        </w:rPr>
        <w:t>月</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eastAsia="zh-CN"/>
        </w:rPr>
        <w:t>日</w:t>
      </w:r>
    </w:p>
    <w:p w14:paraId="541D8DFA">
      <w:pPr>
        <w:pStyle w:val="102"/>
        <w:rPr>
          <w:rFonts w:hint="default" w:ascii="Times New Roman" w:hAnsi="Times New Roman" w:eastAsia="仿宋_GB2312" w:cs="Times New Roman"/>
          <w:color w:val="auto"/>
          <w:kern w:val="2"/>
          <w:sz w:val="28"/>
          <w:szCs w:val="28"/>
          <w:lang w:val="en-US" w:eastAsia="zh-CN"/>
        </w:rPr>
      </w:pPr>
    </w:p>
    <w:p w14:paraId="4CC68E91">
      <w:pPr>
        <w:pStyle w:val="102"/>
        <w:rPr>
          <w:rFonts w:hint="default" w:ascii="Times New Roman" w:hAnsi="Times New Roman" w:cs="Times New Roman"/>
          <w:color w:val="auto"/>
          <w:sz w:val="28"/>
          <w:szCs w:val="28"/>
          <w:lang w:val="en-US" w:eastAsia="zh-CN"/>
        </w:rPr>
      </w:pPr>
    </w:p>
    <w:p w14:paraId="749BFD8A">
      <w:pPr>
        <w:pStyle w:val="102"/>
        <w:rPr>
          <w:rFonts w:hint="default" w:ascii="Times New Roman" w:hAnsi="Times New Roman" w:cs="Times New Roman"/>
          <w:color w:val="auto"/>
          <w:sz w:val="28"/>
          <w:szCs w:val="28"/>
          <w:lang w:eastAsia="zh-CN"/>
        </w:rPr>
      </w:pPr>
    </w:p>
    <w:p w14:paraId="6FE80174">
      <w:pPr>
        <w:pStyle w:val="102"/>
        <w:rPr>
          <w:rFonts w:hint="default" w:ascii="Times New Roman" w:hAnsi="Times New Roman" w:cs="Times New Roman"/>
          <w:color w:val="auto"/>
          <w:sz w:val="28"/>
          <w:szCs w:val="28"/>
          <w:lang w:eastAsia="zh-CN"/>
        </w:rPr>
      </w:pPr>
    </w:p>
    <w:p w14:paraId="4F587E54">
      <w:pPr>
        <w:spacing w:before="100" w:after="100" w:line="360" w:lineRule="auto"/>
        <w:jc w:val="left"/>
        <w:rPr>
          <w:rFonts w:hint="default" w:ascii="Times New Roman" w:hAnsi="Times New Roman" w:eastAsia="仿宋_GB2312" w:cs="Times New Roman"/>
          <w:color w:val="auto"/>
          <w:kern w:val="0"/>
          <w:sz w:val="28"/>
          <w:szCs w:val="28"/>
          <w:lang w:eastAsia="zh-CN"/>
        </w:rPr>
      </w:pPr>
    </w:p>
    <w:p w14:paraId="798D5A86">
      <w:pPr>
        <w:spacing w:before="100" w:after="100" w:line="360" w:lineRule="auto"/>
        <w:jc w:val="lef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说明：</w:t>
      </w:r>
    </w:p>
    <w:p w14:paraId="25A72A8A">
      <w:pPr>
        <w:pStyle w:val="168"/>
        <w:tabs>
          <w:tab w:val="left" w:pos="5580"/>
        </w:tabs>
        <w:spacing w:line="360" w:lineRule="auto"/>
        <w:ind w:firstLine="560" w:firstLineChars="2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1.根据《中华人民共和国政府采购法实施条例》：单位负责人为同一人或者存在直接控股、管理关系的不同供应商，不得参加同一合同项下的政府采购活动。</w:t>
      </w:r>
    </w:p>
    <w:p w14:paraId="183D30E5">
      <w:pPr>
        <w:pStyle w:val="168"/>
        <w:tabs>
          <w:tab w:val="left" w:pos="5580"/>
        </w:tabs>
        <w:spacing w:line="360" w:lineRule="auto"/>
        <w:ind w:firstLine="560" w:firstLineChars="2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2.供应商须如实说明与本单位存在如下关系的单位名单并写明关系类型：单位负责人为同一人或者存在直接控股、管理关系。</w:t>
      </w:r>
    </w:p>
    <w:p w14:paraId="6AC9287A">
      <w:pPr>
        <w:pStyle w:val="168"/>
        <w:tabs>
          <w:tab w:val="left" w:pos="5580"/>
        </w:tabs>
        <w:spacing w:line="360" w:lineRule="auto"/>
        <w:ind w:firstLine="560" w:firstLineChars="2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3.提供虚假说明的，后果自负。</w:t>
      </w:r>
    </w:p>
    <w:p w14:paraId="673B7DE7">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4.如果是联合体磋商，联合体各方均需提供上述材料。</w:t>
      </w:r>
    </w:p>
    <w:p w14:paraId="5FDDD526">
      <w:pP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br w:type="page"/>
      </w:r>
    </w:p>
    <w:p w14:paraId="6861ED15">
      <w:pPr>
        <w:pStyle w:val="3"/>
        <w:spacing w:before="0" w:after="0" w:line="360" w:lineRule="auto"/>
        <w:jc w:val="center"/>
        <w:rPr>
          <w:rFonts w:hint="default" w:ascii="Times New Roman" w:hAnsi="Times New Roman" w:eastAsia="方正小标宋_GBK" w:cs="Times New Roman"/>
          <w:b w:val="0"/>
          <w:color w:val="auto"/>
          <w:sz w:val="30"/>
          <w:szCs w:val="30"/>
          <w:lang w:eastAsia="zh-CN"/>
        </w:rPr>
      </w:pPr>
      <w:r>
        <w:rPr>
          <w:rFonts w:hint="default" w:ascii="Times New Roman" w:hAnsi="Times New Roman" w:eastAsia="方正小标宋_GBK" w:cs="Times New Roman"/>
          <w:b w:val="0"/>
          <w:color w:val="auto"/>
          <w:sz w:val="30"/>
          <w:szCs w:val="30"/>
          <w:lang w:val="en-US" w:eastAsia="zh-CN"/>
        </w:rPr>
        <w:t>十五、</w:t>
      </w:r>
      <w:r>
        <w:rPr>
          <w:rFonts w:hint="default" w:ascii="Times New Roman" w:hAnsi="Times New Roman" w:eastAsia="方正小标宋_GBK" w:cs="Times New Roman"/>
          <w:b w:val="0"/>
          <w:color w:val="auto"/>
          <w:sz w:val="30"/>
          <w:szCs w:val="30"/>
          <w:lang w:eastAsia="zh-CN"/>
        </w:rPr>
        <w:t>产品适用政府采购政策情况表（节能、环保）</w:t>
      </w:r>
    </w:p>
    <w:tbl>
      <w:tblPr>
        <w:tblStyle w:val="5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1675"/>
        <w:gridCol w:w="897"/>
        <w:gridCol w:w="1042"/>
        <w:gridCol w:w="1309"/>
        <w:gridCol w:w="19"/>
        <w:gridCol w:w="18"/>
        <w:gridCol w:w="719"/>
        <w:gridCol w:w="19"/>
        <w:gridCol w:w="847"/>
        <w:gridCol w:w="847"/>
      </w:tblGrid>
      <w:tr w14:paraId="51803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50" w:type="pct"/>
            <w:vMerge w:val="restart"/>
            <w:vAlign w:val="center"/>
          </w:tcPr>
          <w:p w14:paraId="0C3B0DD8">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节能产品</w:t>
            </w:r>
          </w:p>
        </w:tc>
        <w:tc>
          <w:tcPr>
            <w:tcW w:w="1022" w:type="pct"/>
            <w:vAlign w:val="center"/>
          </w:tcPr>
          <w:p w14:paraId="0A9001D2">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1、优先采购</w:t>
            </w:r>
          </w:p>
          <w:p w14:paraId="4E6EF065">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产品名称</w:t>
            </w:r>
          </w:p>
        </w:tc>
        <w:tc>
          <w:tcPr>
            <w:tcW w:w="547" w:type="pct"/>
            <w:vAlign w:val="center"/>
          </w:tcPr>
          <w:p w14:paraId="79B9C958">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品牌、型号</w:t>
            </w:r>
          </w:p>
        </w:tc>
        <w:tc>
          <w:tcPr>
            <w:tcW w:w="640" w:type="pct"/>
            <w:vAlign w:val="center"/>
          </w:tcPr>
          <w:p w14:paraId="2B926118">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制造商</w:t>
            </w:r>
          </w:p>
        </w:tc>
        <w:tc>
          <w:tcPr>
            <w:tcW w:w="801" w:type="pct"/>
            <w:vAlign w:val="center"/>
          </w:tcPr>
          <w:p w14:paraId="3DB80AB0">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认证证书编号</w:t>
            </w:r>
          </w:p>
        </w:tc>
        <w:tc>
          <w:tcPr>
            <w:tcW w:w="489" w:type="pct"/>
            <w:gridSpan w:val="3"/>
            <w:vAlign w:val="center"/>
          </w:tcPr>
          <w:p w14:paraId="074143C6">
            <w:pPr>
              <w:spacing w:line="400" w:lineRule="exact"/>
              <w:jc w:val="center"/>
              <w:rPr>
                <w:rFonts w:hint="default" w:ascii="Times New Roman" w:hAnsi="Times New Roman" w:cs="Times New Roman"/>
                <w:color w:val="auto"/>
              </w:rPr>
            </w:pPr>
            <w:r>
              <w:rPr>
                <w:rFonts w:hint="default" w:ascii="Times New Roman" w:hAnsi="Times New Roman" w:cs="Times New Roman"/>
                <w:color w:val="auto"/>
              </w:rPr>
              <w:t>数量</w:t>
            </w:r>
          </w:p>
        </w:tc>
        <w:tc>
          <w:tcPr>
            <w:tcW w:w="506" w:type="pct"/>
            <w:gridSpan w:val="2"/>
            <w:vAlign w:val="center"/>
          </w:tcPr>
          <w:p w14:paraId="21EC16FD">
            <w:pPr>
              <w:spacing w:line="400" w:lineRule="exact"/>
              <w:jc w:val="center"/>
              <w:rPr>
                <w:rFonts w:hint="default" w:ascii="Times New Roman" w:hAnsi="Times New Roman" w:cs="Times New Roman"/>
                <w:color w:val="auto"/>
              </w:rPr>
            </w:pPr>
            <w:r>
              <w:rPr>
                <w:rFonts w:hint="default" w:ascii="Times New Roman" w:hAnsi="Times New Roman" w:cs="Times New Roman"/>
                <w:color w:val="auto"/>
              </w:rPr>
              <w:t>单价</w:t>
            </w:r>
            <w:r>
              <w:rPr>
                <w:rFonts w:hint="default" w:ascii="Times New Roman" w:hAnsi="Times New Roman" w:cs="Times New Roman"/>
                <w:color w:val="auto"/>
                <w:lang w:val="en-GB"/>
              </w:rPr>
              <w:t>（元）</w:t>
            </w:r>
          </w:p>
        </w:tc>
        <w:tc>
          <w:tcPr>
            <w:tcW w:w="441" w:type="pct"/>
            <w:vAlign w:val="center"/>
          </w:tcPr>
          <w:p w14:paraId="20D8E1A7">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合计（元）</w:t>
            </w:r>
          </w:p>
        </w:tc>
      </w:tr>
      <w:tr w14:paraId="5E3BC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550" w:type="pct"/>
            <w:vMerge w:val="continue"/>
            <w:vAlign w:val="center"/>
          </w:tcPr>
          <w:p w14:paraId="14F1E1DA">
            <w:pPr>
              <w:pStyle w:val="216"/>
              <w:tabs>
                <w:tab w:val="left" w:pos="1260"/>
              </w:tabs>
              <w:spacing w:line="400" w:lineRule="exact"/>
              <w:jc w:val="center"/>
              <w:rPr>
                <w:rFonts w:hint="default" w:ascii="Times New Roman" w:hAnsi="Times New Roman" w:cs="Times New Roman"/>
                <w:lang w:val="en-GB"/>
              </w:rPr>
            </w:pPr>
          </w:p>
        </w:tc>
        <w:tc>
          <w:tcPr>
            <w:tcW w:w="1022" w:type="pct"/>
            <w:vAlign w:val="center"/>
          </w:tcPr>
          <w:p w14:paraId="777E91CA">
            <w:pPr>
              <w:pStyle w:val="216"/>
              <w:tabs>
                <w:tab w:val="left" w:pos="1260"/>
              </w:tabs>
              <w:spacing w:line="400" w:lineRule="exact"/>
              <w:jc w:val="center"/>
              <w:rPr>
                <w:rFonts w:hint="default" w:ascii="Times New Roman" w:hAnsi="Times New Roman" w:cs="Times New Roman"/>
                <w:lang w:val="en-GB"/>
              </w:rPr>
            </w:pPr>
          </w:p>
        </w:tc>
        <w:tc>
          <w:tcPr>
            <w:tcW w:w="547" w:type="pct"/>
            <w:vAlign w:val="center"/>
          </w:tcPr>
          <w:p w14:paraId="0CE64AAF">
            <w:pPr>
              <w:pStyle w:val="216"/>
              <w:tabs>
                <w:tab w:val="left" w:pos="1260"/>
              </w:tabs>
              <w:spacing w:line="400" w:lineRule="exact"/>
              <w:jc w:val="center"/>
              <w:rPr>
                <w:rFonts w:hint="default" w:ascii="Times New Roman" w:hAnsi="Times New Roman" w:cs="Times New Roman"/>
                <w:lang w:val="en-GB"/>
              </w:rPr>
            </w:pPr>
          </w:p>
        </w:tc>
        <w:tc>
          <w:tcPr>
            <w:tcW w:w="640" w:type="pct"/>
            <w:vAlign w:val="center"/>
          </w:tcPr>
          <w:p w14:paraId="60BB6113">
            <w:pPr>
              <w:pStyle w:val="216"/>
              <w:tabs>
                <w:tab w:val="left" w:pos="1260"/>
              </w:tabs>
              <w:spacing w:line="400" w:lineRule="exact"/>
              <w:jc w:val="center"/>
              <w:rPr>
                <w:rFonts w:hint="default" w:ascii="Times New Roman" w:hAnsi="Times New Roman" w:cs="Times New Roman"/>
                <w:lang w:val="en-GB"/>
              </w:rPr>
            </w:pPr>
          </w:p>
        </w:tc>
        <w:tc>
          <w:tcPr>
            <w:tcW w:w="801" w:type="pct"/>
            <w:vAlign w:val="center"/>
          </w:tcPr>
          <w:p w14:paraId="2CA12707">
            <w:pPr>
              <w:pStyle w:val="216"/>
              <w:tabs>
                <w:tab w:val="left" w:pos="1260"/>
              </w:tabs>
              <w:spacing w:line="400" w:lineRule="exact"/>
              <w:jc w:val="center"/>
              <w:rPr>
                <w:rFonts w:hint="default" w:ascii="Times New Roman" w:hAnsi="Times New Roman" w:cs="Times New Roman"/>
                <w:lang w:val="en-GB"/>
              </w:rPr>
            </w:pPr>
          </w:p>
        </w:tc>
        <w:tc>
          <w:tcPr>
            <w:tcW w:w="489" w:type="pct"/>
            <w:gridSpan w:val="3"/>
            <w:vAlign w:val="center"/>
          </w:tcPr>
          <w:p w14:paraId="667700B5">
            <w:pPr>
              <w:pStyle w:val="216"/>
              <w:tabs>
                <w:tab w:val="left" w:pos="1260"/>
              </w:tabs>
              <w:spacing w:line="400" w:lineRule="exact"/>
              <w:jc w:val="center"/>
              <w:rPr>
                <w:rFonts w:hint="default" w:ascii="Times New Roman" w:hAnsi="Times New Roman" w:cs="Times New Roman"/>
                <w:lang w:val="en-GB"/>
              </w:rPr>
            </w:pPr>
          </w:p>
        </w:tc>
        <w:tc>
          <w:tcPr>
            <w:tcW w:w="506" w:type="pct"/>
            <w:gridSpan w:val="2"/>
            <w:vAlign w:val="center"/>
          </w:tcPr>
          <w:p w14:paraId="03BD1F7D">
            <w:pPr>
              <w:pStyle w:val="216"/>
              <w:tabs>
                <w:tab w:val="left" w:pos="1260"/>
              </w:tabs>
              <w:spacing w:line="400" w:lineRule="exact"/>
              <w:jc w:val="center"/>
              <w:rPr>
                <w:rFonts w:hint="default" w:ascii="Times New Roman" w:hAnsi="Times New Roman" w:cs="Times New Roman"/>
                <w:lang w:val="en-GB"/>
              </w:rPr>
            </w:pPr>
          </w:p>
        </w:tc>
        <w:tc>
          <w:tcPr>
            <w:tcW w:w="441" w:type="pct"/>
            <w:vAlign w:val="center"/>
          </w:tcPr>
          <w:p w14:paraId="2A6F13DC">
            <w:pPr>
              <w:pStyle w:val="216"/>
              <w:tabs>
                <w:tab w:val="left" w:pos="1260"/>
              </w:tabs>
              <w:spacing w:line="400" w:lineRule="exact"/>
              <w:jc w:val="center"/>
              <w:rPr>
                <w:rFonts w:hint="default" w:ascii="Times New Roman" w:hAnsi="Times New Roman" w:cs="Times New Roman"/>
                <w:lang w:val="en-GB"/>
              </w:rPr>
            </w:pPr>
          </w:p>
        </w:tc>
      </w:tr>
      <w:tr w14:paraId="6B6D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vAlign w:val="center"/>
          </w:tcPr>
          <w:p w14:paraId="416519FF">
            <w:pPr>
              <w:pStyle w:val="216"/>
              <w:tabs>
                <w:tab w:val="left" w:pos="1260"/>
              </w:tabs>
              <w:spacing w:line="400" w:lineRule="exact"/>
              <w:jc w:val="center"/>
              <w:rPr>
                <w:rFonts w:hint="default" w:ascii="Times New Roman" w:hAnsi="Times New Roman" w:cs="Times New Roman"/>
                <w:lang w:val="en-GB"/>
              </w:rPr>
            </w:pPr>
          </w:p>
        </w:tc>
        <w:tc>
          <w:tcPr>
            <w:tcW w:w="1022" w:type="pct"/>
            <w:vAlign w:val="center"/>
          </w:tcPr>
          <w:p w14:paraId="08D129A1">
            <w:pPr>
              <w:pStyle w:val="216"/>
              <w:tabs>
                <w:tab w:val="left" w:pos="1260"/>
              </w:tabs>
              <w:spacing w:line="400" w:lineRule="exact"/>
              <w:jc w:val="center"/>
              <w:rPr>
                <w:rFonts w:hint="default" w:ascii="Times New Roman" w:hAnsi="Times New Roman" w:cs="Times New Roman"/>
                <w:lang w:val="en-GB"/>
              </w:rPr>
            </w:pPr>
          </w:p>
        </w:tc>
        <w:tc>
          <w:tcPr>
            <w:tcW w:w="547" w:type="pct"/>
            <w:vAlign w:val="center"/>
          </w:tcPr>
          <w:p w14:paraId="4A4E3B25">
            <w:pPr>
              <w:pStyle w:val="216"/>
              <w:tabs>
                <w:tab w:val="left" w:pos="1260"/>
              </w:tabs>
              <w:spacing w:line="400" w:lineRule="exact"/>
              <w:jc w:val="center"/>
              <w:rPr>
                <w:rFonts w:hint="default" w:ascii="Times New Roman" w:hAnsi="Times New Roman" w:cs="Times New Roman"/>
                <w:lang w:val="en-GB"/>
              </w:rPr>
            </w:pPr>
          </w:p>
        </w:tc>
        <w:tc>
          <w:tcPr>
            <w:tcW w:w="640" w:type="pct"/>
            <w:vAlign w:val="center"/>
          </w:tcPr>
          <w:p w14:paraId="7A1E3DB9">
            <w:pPr>
              <w:pStyle w:val="216"/>
              <w:tabs>
                <w:tab w:val="left" w:pos="1260"/>
              </w:tabs>
              <w:spacing w:line="400" w:lineRule="exact"/>
              <w:jc w:val="center"/>
              <w:rPr>
                <w:rFonts w:hint="default" w:ascii="Times New Roman" w:hAnsi="Times New Roman" w:cs="Times New Roman"/>
                <w:lang w:val="en-GB"/>
              </w:rPr>
            </w:pPr>
          </w:p>
        </w:tc>
        <w:tc>
          <w:tcPr>
            <w:tcW w:w="801" w:type="pct"/>
            <w:vAlign w:val="center"/>
          </w:tcPr>
          <w:p w14:paraId="1B3640BC">
            <w:pPr>
              <w:pStyle w:val="216"/>
              <w:tabs>
                <w:tab w:val="left" w:pos="1260"/>
              </w:tabs>
              <w:spacing w:line="400" w:lineRule="exact"/>
              <w:jc w:val="center"/>
              <w:rPr>
                <w:rFonts w:hint="default" w:ascii="Times New Roman" w:hAnsi="Times New Roman" w:cs="Times New Roman"/>
                <w:lang w:val="en-GB"/>
              </w:rPr>
            </w:pPr>
          </w:p>
        </w:tc>
        <w:tc>
          <w:tcPr>
            <w:tcW w:w="489" w:type="pct"/>
            <w:gridSpan w:val="3"/>
            <w:vAlign w:val="center"/>
          </w:tcPr>
          <w:p w14:paraId="465D61E4">
            <w:pPr>
              <w:pStyle w:val="216"/>
              <w:tabs>
                <w:tab w:val="left" w:pos="1260"/>
              </w:tabs>
              <w:spacing w:line="400" w:lineRule="exact"/>
              <w:jc w:val="center"/>
              <w:rPr>
                <w:rFonts w:hint="default" w:ascii="Times New Roman" w:hAnsi="Times New Roman" w:cs="Times New Roman"/>
                <w:lang w:val="en-GB"/>
              </w:rPr>
            </w:pPr>
          </w:p>
        </w:tc>
        <w:tc>
          <w:tcPr>
            <w:tcW w:w="506" w:type="pct"/>
            <w:gridSpan w:val="2"/>
            <w:vAlign w:val="center"/>
          </w:tcPr>
          <w:p w14:paraId="3E5AB8D5">
            <w:pPr>
              <w:pStyle w:val="216"/>
              <w:tabs>
                <w:tab w:val="left" w:pos="1260"/>
              </w:tabs>
              <w:spacing w:line="400" w:lineRule="exact"/>
              <w:jc w:val="center"/>
              <w:rPr>
                <w:rFonts w:hint="default" w:ascii="Times New Roman" w:hAnsi="Times New Roman" w:cs="Times New Roman"/>
                <w:lang w:val="en-GB"/>
              </w:rPr>
            </w:pPr>
          </w:p>
        </w:tc>
        <w:tc>
          <w:tcPr>
            <w:tcW w:w="441" w:type="pct"/>
            <w:vAlign w:val="center"/>
          </w:tcPr>
          <w:p w14:paraId="3B364DCC">
            <w:pPr>
              <w:pStyle w:val="216"/>
              <w:tabs>
                <w:tab w:val="left" w:pos="1260"/>
              </w:tabs>
              <w:spacing w:line="400" w:lineRule="exact"/>
              <w:jc w:val="center"/>
              <w:rPr>
                <w:rFonts w:hint="default" w:ascii="Times New Roman" w:hAnsi="Times New Roman" w:cs="Times New Roman"/>
                <w:lang w:val="en-GB"/>
              </w:rPr>
            </w:pPr>
          </w:p>
        </w:tc>
      </w:tr>
      <w:tr w14:paraId="405E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vAlign w:val="center"/>
          </w:tcPr>
          <w:p w14:paraId="1F595AA4">
            <w:pPr>
              <w:pStyle w:val="216"/>
              <w:tabs>
                <w:tab w:val="left" w:pos="1260"/>
              </w:tabs>
              <w:spacing w:line="400" w:lineRule="exact"/>
              <w:jc w:val="center"/>
              <w:rPr>
                <w:rFonts w:hint="default" w:ascii="Times New Roman" w:hAnsi="Times New Roman" w:cs="Times New Roman"/>
                <w:lang w:val="en-GB"/>
              </w:rPr>
            </w:pPr>
          </w:p>
        </w:tc>
        <w:tc>
          <w:tcPr>
            <w:tcW w:w="4007" w:type="pct"/>
            <w:gridSpan w:val="9"/>
            <w:vAlign w:val="center"/>
          </w:tcPr>
          <w:p w14:paraId="6FFB5C48">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优先采购节能产品金额总计（元）</w:t>
            </w:r>
          </w:p>
        </w:tc>
        <w:tc>
          <w:tcPr>
            <w:tcW w:w="441" w:type="pct"/>
            <w:vAlign w:val="center"/>
          </w:tcPr>
          <w:p w14:paraId="0365E9DF">
            <w:pPr>
              <w:pStyle w:val="216"/>
              <w:tabs>
                <w:tab w:val="left" w:pos="1260"/>
              </w:tabs>
              <w:spacing w:line="400" w:lineRule="exact"/>
              <w:jc w:val="center"/>
              <w:rPr>
                <w:rFonts w:hint="default" w:ascii="Times New Roman" w:hAnsi="Times New Roman" w:cs="Times New Roman"/>
                <w:lang w:val="en-GB"/>
              </w:rPr>
            </w:pPr>
          </w:p>
        </w:tc>
      </w:tr>
      <w:tr w14:paraId="5E33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vAlign w:val="center"/>
          </w:tcPr>
          <w:p w14:paraId="4F725237">
            <w:pPr>
              <w:pStyle w:val="216"/>
              <w:tabs>
                <w:tab w:val="left" w:pos="1260"/>
              </w:tabs>
              <w:spacing w:line="400" w:lineRule="exact"/>
              <w:jc w:val="center"/>
              <w:rPr>
                <w:rFonts w:hint="default" w:ascii="Times New Roman" w:hAnsi="Times New Roman" w:cs="Times New Roman"/>
                <w:lang w:val="en-GB"/>
              </w:rPr>
            </w:pPr>
          </w:p>
        </w:tc>
        <w:tc>
          <w:tcPr>
            <w:tcW w:w="1022" w:type="pct"/>
            <w:vAlign w:val="center"/>
          </w:tcPr>
          <w:p w14:paraId="575AF200">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2、强制采购</w:t>
            </w:r>
          </w:p>
          <w:p w14:paraId="37A19525">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产品名称</w:t>
            </w:r>
          </w:p>
        </w:tc>
        <w:tc>
          <w:tcPr>
            <w:tcW w:w="547" w:type="pct"/>
            <w:vAlign w:val="center"/>
          </w:tcPr>
          <w:p w14:paraId="4AF8CED0">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品牌、型号</w:t>
            </w:r>
          </w:p>
        </w:tc>
        <w:tc>
          <w:tcPr>
            <w:tcW w:w="640" w:type="pct"/>
            <w:vAlign w:val="center"/>
          </w:tcPr>
          <w:p w14:paraId="5B145C32">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制造商</w:t>
            </w:r>
          </w:p>
        </w:tc>
        <w:tc>
          <w:tcPr>
            <w:tcW w:w="823" w:type="pct"/>
            <w:gridSpan w:val="2"/>
            <w:vAlign w:val="center"/>
          </w:tcPr>
          <w:p w14:paraId="5A617D5E">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认证证书编号</w:t>
            </w:r>
          </w:p>
        </w:tc>
        <w:tc>
          <w:tcPr>
            <w:tcW w:w="484" w:type="pct"/>
            <w:gridSpan w:val="3"/>
            <w:vAlign w:val="center"/>
          </w:tcPr>
          <w:p w14:paraId="1CA3521A">
            <w:pPr>
              <w:spacing w:line="400" w:lineRule="exact"/>
              <w:jc w:val="center"/>
              <w:rPr>
                <w:rFonts w:hint="default" w:ascii="Times New Roman" w:hAnsi="Times New Roman" w:cs="Times New Roman"/>
                <w:color w:val="auto"/>
              </w:rPr>
            </w:pPr>
            <w:r>
              <w:rPr>
                <w:rFonts w:hint="default" w:ascii="Times New Roman" w:hAnsi="Times New Roman" w:cs="Times New Roman"/>
                <w:color w:val="auto"/>
              </w:rPr>
              <w:t>数量</w:t>
            </w:r>
          </w:p>
        </w:tc>
        <w:tc>
          <w:tcPr>
            <w:tcW w:w="490" w:type="pct"/>
            <w:vAlign w:val="center"/>
          </w:tcPr>
          <w:p w14:paraId="4EFD3D3C">
            <w:pPr>
              <w:spacing w:line="400" w:lineRule="exact"/>
              <w:jc w:val="center"/>
              <w:rPr>
                <w:rFonts w:hint="default" w:ascii="Times New Roman" w:hAnsi="Times New Roman" w:cs="Times New Roman"/>
                <w:color w:val="auto"/>
              </w:rPr>
            </w:pPr>
            <w:r>
              <w:rPr>
                <w:rFonts w:hint="default" w:ascii="Times New Roman" w:hAnsi="Times New Roman" w:cs="Times New Roman"/>
                <w:color w:val="auto"/>
              </w:rPr>
              <w:t>单价</w:t>
            </w:r>
            <w:r>
              <w:rPr>
                <w:rFonts w:hint="default" w:ascii="Times New Roman" w:hAnsi="Times New Roman" w:cs="Times New Roman"/>
                <w:color w:val="auto"/>
                <w:lang w:val="en-GB"/>
              </w:rPr>
              <w:t>（元）</w:t>
            </w:r>
          </w:p>
        </w:tc>
        <w:tc>
          <w:tcPr>
            <w:tcW w:w="441" w:type="pct"/>
            <w:vAlign w:val="center"/>
          </w:tcPr>
          <w:p w14:paraId="56457DC5">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合计（元）</w:t>
            </w:r>
          </w:p>
        </w:tc>
      </w:tr>
      <w:tr w14:paraId="34D0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50" w:type="pct"/>
            <w:vMerge w:val="continue"/>
            <w:vAlign w:val="center"/>
          </w:tcPr>
          <w:p w14:paraId="1829FBA0">
            <w:pPr>
              <w:pStyle w:val="216"/>
              <w:tabs>
                <w:tab w:val="left" w:pos="1260"/>
              </w:tabs>
              <w:spacing w:line="400" w:lineRule="exact"/>
              <w:jc w:val="center"/>
              <w:rPr>
                <w:rFonts w:hint="default" w:ascii="Times New Roman" w:hAnsi="Times New Roman" w:cs="Times New Roman"/>
                <w:lang w:val="en-GB"/>
              </w:rPr>
            </w:pPr>
          </w:p>
        </w:tc>
        <w:tc>
          <w:tcPr>
            <w:tcW w:w="1022" w:type="pct"/>
            <w:vAlign w:val="center"/>
          </w:tcPr>
          <w:p w14:paraId="7ACA9CFC">
            <w:pPr>
              <w:pStyle w:val="216"/>
              <w:tabs>
                <w:tab w:val="left" w:pos="1260"/>
              </w:tabs>
              <w:spacing w:line="400" w:lineRule="exact"/>
              <w:jc w:val="center"/>
              <w:rPr>
                <w:rFonts w:hint="default" w:ascii="Times New Roman" w:hAnsi="Times New Roman" w:cs="Times New Roman"/>
                <w:lang w:val="en-GB"/>
              </w:rPr>
            </w:pPr>
          </w:p>
        </w:tc>
        <w:tc>
          <w:tcPr>
            <w:tcW w:w="547" w:type="pct"/>
            <w:vAlign w:val="center"/>
          </w:tcPr>
          <w:p w14:paraId="1D8E8A82">
            <w:pPr>
              <w:pStyle w:val="216"/>
              <w:tabs>
                <w:tab w:val="left" w:pos="1260"/>
              </w:tabs>
              <w:spacing w:line="400" w:lineRule="exact"/>
              <w:jc w:val="center"/>
              <w:rPr>
                <w:rFonts w:hint="default" w:ascii="Times New Roman" w:hAnsi="Times New Roman" w:cs="Times New Roman"/>
                <w:lang w:val="en-GB"/>
              </w:rPr>
            </w:pPr>
          </w:p>
        </w:tc>
        <w:tc>
          <w:tcPr>
            <w:tcW w:w="640" w:type="pct"/>
            <w:vAlign w:val="center"/>
          </w:tcPr>
          <w:p w14:paraId="56C8DD14">
            <w:pPr>
              <w:pStyle w:val="216"/>
              <w:tabs>
                <w:tab w:val="left" w:pos="1260"/>
              </w:tabs>
              <w:spacing w:line="400" w:lineRule="exact"/>
              <w:jc w:val="center"/>
              <w:rPr>
                <w:rFonts w:hint="default" w:ascii="Times New Roman" w:hAnsi="Times New Roman" w:cs="Times New Roman"/>
                <w:lang w:val="en-GB"/>
              </w:rPr>
            </w:pPr>
          </w:p>
        </w:tc>
        <w:tc>
          <w:tcPr>
            <w:tcW w:w="823" w:type="pct"/>
            <w:gridSpan w:val="2"/>
            <w:vAlign w:val="center"/>
          </w:tcPr>
          <w:p w14:paraId="584789A6">
            <w:pPr>
              <w:pStyle w:val="216"/>
              <w:tabs>
                <w:tab w:val="left" w:pos="1260"/>
              </w:tabs>
              <w:spacing w:line="400" w:lineRule="exact"/>
              <w:jc w:val="center"/>
              <w:rPr>
                <w:rFonts w:hint="default" w:ascii="Times New Roman" w:hAnsi="Times New Roman" w:cs="Times New Roman"/>
                <w:lang w:val="en-GB"/>
              </w:rPr>
            </w:pPr>
          </w:p>
        </w:tc>
        <w:tc>
          <w:tcPr>
            <w:tcW w:w="484" w:type="pct"/>
            <w:gridSpan w:val="3"/>
            <w:vAlign w:val="center"/>
          </w:tcPr>
          <w:p w14:paraId="67C9C9CF">
            <w:pPr>
              <w:pStyle w:val="216"/>
              <w:tabs>
                <w:tab w:val="left" w:pos="1260"/>
              </w:tabs>
              <w:spacing w:line="400" w:lineRule="exact"/>
              <w:jc w:val="center"/>
              <w:rPr>
                <w:rFonts w:hint="default" w:ascii="Times New Roman" w:hAnsi="Times New Roman" w:cs="Times New Roman"/>
                <w:lang w:val="en-GB"/>
              </w:rPr>
            </w:pPr>
          </w:p>
        </w:tc>
        <w:tc>
          <w:tcPr>
            <w:tcW w:w="490" w:type="pct"/>
            <w:vAlign w:val="center"/>
          </w:tcPr>
          <w:p w14:paraId="3FD9ABDD">
            <w:pPr>
              <w:pStyle w:val="216"/>
              <w:tabs>
                <w:tab w:val="left" w:pos="1260"/>
              </w:tabs>
              <w:spacing w:line="400" w:lineRule="exact"/>
              <w:jc w:val="center"/>
              <w:rPr>
                <w:rFonts w:hint="default" w:ascii="Times New Roman" w:hAnsi="Times New Roman" w:cs="Times New Roman"/>
                <w:lang w:val="en-GB"/>
              </w:rPr>
            </w:pPr>
          </w:p>
        </w:tc>
        <w:tc>
          <w:tcPr>
            <w:tcW w:w="441" w:type="pct"/>
            <w:vAlign w:val="center"/>
          </w:tcPr>
          <w:p w14:paraId="2B37D40C">
            <w:pPr>
              <w:pStyle w:val="216"/>
              <w:tabs>
                <w:tab w:val="left" w:pos="1260"/>
              </w:tabs>
              <w:spacing w:line="400" w:lineRule="exact"/>
              <w:jc w:val="center"/>
              <w:rPr>
                <w:rFonts w:hint="default" w:ascii="Times New Roman" w:hAnsi="Times New Roman" w:cs="Times New Roman"/>
                <w:lang w:val="en-GB"/>
              </w:rPr>
            </w:pPr>
          </w:p>
        </w:tc>
      </w:tr>
      <w:tr w14:paraId="5DFC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vAlign w:val="center"/>
          </w:tcPr>
          <w:p w14:paraId="67067C56">
            <w:pPr>
              <w:pStyle w:val="216"/>
              <w:tabs>
                <w:tab w:val="left" w:pos="1260"/>
              </w:tabs>
              <w:spacing w:line="400" w:lineRule="exact"/>
              <w:jc w:val="center"/>
              <w:rPr>
                <w:rFonts w:hint="default" w:ascii="Times New Roman" w:hAnsi="Times New Roman" w:cs="Times New Roman"/>
                <w:lang w:val="en-GB"/>
              </w:rPr>
            </w:pPr>
          </w:p>
        </w:tc>
        <w:tc>
          <w:tcPr>
            <w:tcW w:w="1022" w:type="pct"/>
            <w:vAlign w:val="center"/>
          </w:tcPr>
          <w:p w14:paraId="7642B5F1">
            <w:pPr>
              <w:pStyle w:val="216"/>
              <w:tabs>
                <w:tab w:val="left" w:pos="1260"/>
              </w:tabs>
              <w:spacing w:line="400" w:lineRule="exact"/>
              <w:jc w:val="center"/>
              <w:rPr>
                <w:rFonts w:hint="default" w:ascii="Times New Roman" w:hAnsi="Times New Roman" w:cs="Times New Roman"/>
                <w:lang w:val="en-GB"/>
              </w:rPr>
            </w:pPr>
          </w:p>
        </w:tc>
        <w:tc>
          <w:tcPr>
            <w:tcW w:w="547" w:type="pct"/>
            <w:vAlign w:val="center"/>
          </w:tcPr>
          <w:p w14:paraId="3140F726">
            <w:pPr>
              <w:pStyle w:val="216"/>
              <w:tabs>
                <w:tab w:val="left" w:pos="1260"/>
              </w:tabs>
              <w:spacing w:line="400" w:lineRule="exact"/>
              <w:jc w:val="center"/>
              <w:rPr>
                <w:rFonts w:hint="default" w:ascii="Times New Roman" w:hAnsi="Times New Roman" w:cs="Times New Roman"/>
                <w:lang w:val="en-GB"/>
              </w:rPr>
            </w:pPr>
          </w:p>
        </w:tc>
        <w:tc>
          <w:tcPr>
            <w:tcW w:w="640" w:type="pct"/>
            <w:vAlign w:val="center"/>
          </w:tcPr>
          <w:p w14:paraId="5795FF46">
            <w:pPr>
              <w:pStyle w:val="216"/>
              <w:tabs>
                <w:tab w:val="left" w:pos="1260"/>
              </w:tabs>
              <w:spacing w:line="400" w:lineRule="exact"/>
              <w:jc w:val="center"/>
              <w:rPr>
                <w:rFonts w:hint="default" w:ascii="Times New Roman" w:hAnsi="Times New Roman" w:cs="Times New Roman"/>
                <w:lang w:val="en-GB"/>
              </w:rPr>
            </w:pPr>
          </w:p>
        </w:tc>
        <w:tc>
          <w:tcPr>
            <w:tcW w:w="823" w:type="pct"/>
            <w:gridSpan w:val="2"/>
            <w:vAlign w:val="center"/>
          </w:tcPr>
          <w:p w14:paraId="65CE9B68">
            <w:pPr>
              <w:pStyle w:val="216"/>
              <w:tabs>
                <w:tab w:val="left" w:pos="1260"/>
              </w:tabs>
              <w:spacing w:line="400" w:lineRule="exact"/>
              <w:jc w:val="center"/>
              <w:rPr>
                <w:rFonts w:hint="default" w:ascii="Times New Roman" w:hAnsi="Times New Roman" w:cs="Times New Roman"/>
                <w:lang w:val="en-GB"/>
              </w:rPr>
            </w:pPr>
          </w:p>
        </w:tc>
        <w:tc>
          <w:tcPr>
            <w:tcW w:w="484" w:type="pct"/>
            <w:gridSpan w:val="3"/>
            <w:vAlign w:val="center"/>
          </w:tcPr>
          <w:p w14:paraId="1C6C52CD">
            <w:pPr>
              <w:pStyle w:val="216"/>
              <w:tabs>
                <w:tab w:val="left" w:pos="1260"/>
              </w:tabs>
              <w:spacing w:line="400" w:lineRule="exact"/>
              <w:jc w:val="center"/>
              <w:rPr>
                <w:rFonts w:hint="default" w:ascii="Times New Roman" w:hAnsi="Times New Roman" w:cs="Times New Roman"/>
                <w:lang w:val="en-GB"/>
              </w:rPr>
            </w:pPr>
          </w:p>
        </w:tc>
        <w:tc>
          <w:tcPr>
            <w:tcW w:w="490" w:type="pct"/>
            <w:vAlign w:val="center"/>
          </w:tcPr>
          <w:p w14:paraId="656B94B1">
            <w:pPr>
              <w:pStyle w:val="216"/>
              <w:tabs>
                <w:tab w:val="left" w:pos="1260"/>
              </w:tabs>
              <w:spacing w:line="400" w:lineRule="exact"/>
              <w:jc w:val="center"/>
              <w:rPr>
                <w:rFonts w:hint="default" w:ascii="Times New Roman" w:hAnsi="Times New Roman" w:cs="Times New Roman"/>
                <w:lang w:val="en-GB"/>
              </w:rPr>
            </w:pPr>
          </w:p>
        </w:tc>
        <w:tc>
          <w:tcPr>
            <w:tcW w:w="441" w:type="pct"/>
            <w:vAlign w:val="center"/>
          </w:tcPr>
          <w:p w14:paraId="215E65B5">
            <w:pPr>
              <w:pStyle w:val="216"/>
              <w:tabs>
                <w:tab w:val="left" w:pos="1260"/>
              </w:tabs>
              <w:spacing w:line="400" w:lineRule="exact"/>
              <w:jc w:val="center"/>
              <w:rPr>
                <w:rFonts w:hint="default" w:ascii="Times New Roman" w:hAnsi="Times New Roman" w:cs="Times New Roman"/>
                <w:lang w:val="en-GB"/>
              </w:rPr>
            </w:pPr>
          </w:p>
        </w:tc>
      </w:tr>
      <w:tr w14:paraId="3F09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vAlign w:val="center"/>
          </w:tcPr>
          <w:p w14:paraId="2675DFEC">
            <w:pPr>
              <w:pStyle w:val="216"/>
              <w:tabs>
                <w:tab w:val="left" w:pos="1260"/>
              </w:tabs>
              <w:spacing w:line="400" w:lineRule="exact"/>
              <w:jc w:val="center"/>
              <w:rPr>
                <w:rFonts w:hint="default" w:ascii="Times New Roman" w:hAnsi="Times New Roman" w:cs="Times New Roman"/>
                <w:lang w:val="en-GB"/>
              </w:rPr>
            </w:pPr>
          </w:p>
        </w:tc>
        <w:tc>
          <w:tcPr>
            <w:tcW w:w="4007" w:type="pct"/>
            <w:gridSpan w:val="9"/>
            <w:vAlign w:val="center"/>
          </w:tcPr>
          <w:p w14:paraId="706E55DF">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强制采购节能产品金额总计（元）</w:t>
            </w:r>
          </w:p>
        </w:tc>
        <w:tc>
          <w:tcPr>
            <w:tcW w:w="441" w:type="pct"/>
            <w:vAlign w:val="center"/>
          </w:tcPr>
          <w:p w14:paraId="6384F019">
            <w:pPr>
              <w:pStyle w:val="216"/>
              <w:tabs>
                <w:tab w:val="left" w:pos="1260"/>
              </w:tabs>
              <w:spacing w:line="400" w:lineRule="exact"/>
              <w:jc w:val="center"/>
              <w:rPr>
                <w:rFonts w:hint="default" w:ascii="Times New Roman" w:hAnsi="Times New Roman" w:cs="Times New Roman"/>
                <w:lang w:val="en-GB"/>
              </w:rPr>
            </w:pPr>
          </w:p>
        </w:tc>
      </w:tr>
      <w:tr w14:paraId="16D0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550" w:type="pct"/>
            <w:vMerge w:val="restart"/>
            <w:vAlign w:val="center"/>
          </w:tcPr>
          <w:p w14:paraId="2DD29150">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环境标志产品</w:t>
            </w:r>
          </w:p>
        </w:tc>
        <w:tc>
          <w:tcPr>
            <w:tcW w:w="1016" w:type="pct"/>
            <w:vAlign w:val="center"/>
          </w:tcPr>
          <w:p w14:paraId="220A71BB">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产品名称</w:t>
            </w:r>
          </w:p>
        </w:tc>
        <w:tc>
          <w:tcPr>
            <w:tcW w:w="552" w:type="pct"/>
            <w:vAlign w:val="center"/>
          </w:tcPr>
          <w:p w14:paraId="1B7ADA3F">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品牌、型号</w:t>
            </w:r>
          </w:p>
        </w:tc>
        <w:tc>
          <w:tcPr>
            <w:tcW w:w="640" w:type="pct"/>
            <w:vAlign w:val="center"/>
          </w:tcPr>
          <w:p w14:paraId="488FDE11">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制造商</w:t>
            </w:r>
          </w:p>
        </w:tc>
        <w:tc>
          <w:tcPr>
            <w:tcW w:w="844" w:type="pct"/>
            <w:gridSpan w:val="3"/>
            <w:vAlign w:val="center"/>
          </w:tcPr>
          <w:p w14:paraId="3A25328B">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认证证书编号</w:t>
            </w:r>
          </w:p>
        </w:tc>
        <w:tc>
          <w:tcPr>
            <w:tcW w:w="467" w:type="pct"/>
            <w:gridSpan w:val="2"/>
            <w:vAlign w:val="center"/>
          </w:tcPr>
          <w:p w14:paraId="087D8049">
            <w:pPr>
              <w:spacing w:line="400" w:lineRule="exact"/>
              <w:jc w:val="center"/>
              <w:rPr>
                <w:rFonts w:hint="default" w:ascii="Times New Roman" w:hAnsi="Times New Roman" w:cs="Times New Roman"/>
                <w:color w:val="auto"/>
              </w:rPr>
            </w:pPr>
            <w:r>
              <w:rPr>
                <w:rFonts w:hint="default" w:ascii="Times New Roman" w:hAnsi="Times New Roman" w:cs="Times New Roman"/>
                <w:color w:val="auto"/>
              </w:rPr>
              <w:t>数量</w:t>
            </w:r>
          </w:p>
        </w:tc>
        <w:tc>
          <w:tcPr>
            <w:tcW w:w="485" w:type="pct"/>
            <w:vAlign w:val="center"/>
          </w:tcPr>
          <w:p w14:paraId="6E2720D1">
            <w:pPr>
              <w:spacing w:line="400" w:lineRule="exact"/>
              <w:jc w:val="center"/>
              <w:rPr>
                <w:rFonts w:hint="default" w:ascii="Times New Roman" w:hAnsi="Times New Roman" w:cs="Times New Roman"/>
                <w:color w:val="auto"/>
              </w:rPr>
            </w:pPr>
            <w:r>
              <w:rPr>
                <w:rFonts w:hint="default" w:ascii="Times New Roman" w:hAnsi="Times New Roman" w:cs="Times New Roman"/>
                <w:color w:val="auto"/>
              </w:rPr>
              <w:t>单价</w:t>
            </w:r>
            <w:r>
              <w:rPr>
                <w:rFonts w:hint="default" w:ascii="Times New Roman" w:hAnsi="Times New Roman" w:cs="Times New Roman"/>
                <w:color w:val="auto"/>
                <w:lang w:val="en-GB"/>
              </w:rPr>
              <w:t>（元）</w:t>
            </w:r>
          </w:p>
        </w:tc>
        <w:tc>
          <w:tcPr>
            <w:tcW w:w="441" w:type="pct"/>
            <w:vAlign w:val="center"/>
          </w:tcPr>
          <w:p w14:paraId="09CF4312">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合计（元）</w:t>
            </w:r>
          </w:p>
        </w:tc>
      </w:tr>
      <w:tr w14:paraId="2F22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vAlign w:val="center"/>
          </w:tcPr>
          <w:p w14:paraId="0B69071D">
            <w:pPr>
              <w:pStyle w:val="216"/>
              <w:tabs>
                <w:tab w:val="left" w:pos="1260"/>
              </w:tabs>
              <w:spacing w:line="400" w:lineRule="exact"/>
              <w:jc w:val="center"/>
              <w:rPr>
                <w:rFonts w:hint="default" w:ascii="Times New Roman" w:hAnsi="Times New Roman" w:cs="Times New Roman"/>
                <w:lang w:val="en-GB"/>
              </w:rPr>
            </w:pPr>
          </w:p>
        </w:tc>
        <w:tc>
          <w:tcPr>
            <w:tcW w:w="1016" w:type="pct"/>
            <w:vAlign w:val="center"/>
          </w:tcPr>
          <w:p w14:paraId="7334C086">
            <w:pPr>
              <w:pStyle w:val="216"/>
              <w:tabs>
                <w:tab w:val="left" w:pos="1260"/>
              </w:tabs>
              <w:spacing w:line="400" w:lineRule="exact"/>
              <w:jc w:val="center"/>
              <w:rPr>
                <w:rFonts w:hint="default" w:ascii="Times New Roman" w:hAnsi="Times New Roman" w:cs="Times New Roman"/>
                <w:lang w:val="en-GB"/>
              </w:rPr>
            </w:pPr>
          </w:p>
        </w:tc>
        <w:tc>
          <w:tcPr>
            <w:tcW w:w="552" w:type="pct"/>
            <w:vAlign w:val="center"/>
          </w:tcPr>
          <w:p w14:paraId="626CF723">
            <w:pPr>
              <w:pStyle w:val="216"/>
              <w:tabs>
                <w:tab w:val="left" w:pos="1260"/>
              </w:tabs>
              <w:spacing w:line="400" w:lineRule="exact"/>
              <w:jc w:val="center"/>
              <w:rPr>
                <w:rFonts w:hint="default" w:ascii="Times New Roman" w:hAnsi="Times New Roman" w:cs="Times New Roman"/>
                <w:lang w:val="en-GB"/>
              </w:rPr>
            </w:pPr>
          </w:p>
        </w:tc>
        <w:tc>
          <w:tcPr>
            <w:tcW w:w="640" w:type="pct"/>
            <w:vAlign w:val="center"/>
          </w:tcPr>
          <w:p w14:paraId="2D490B67">
            <w:pPr>
              <w:pStyle w:val="216"/>
              <w:tabs>
                <w:tab w:val="left" w:pos="1260"/>
              </w:tabs>
              <w:spacing w:line="400" w:lineRule="exact"/>
              <w:jc w:val="center"/>
              <w:rPr>
                <w:rFonts w:hint="default" w:ascii="Times New Roman" w:hAnsi="Times New Roman" w:cs="Times New Roman"/>
                <w:lang w:val="en-GB"/>
              </w:rPr>
            </w:pPr>
          </w:p>
        </w:tc>
        <w:tc>
          <w:tcPr>
            <w:tcW w:w="844" w:type="pct"/>
            <w:gridSpan w:val="3"/>
            <w:vAlign w:val="center"/>
          </w:tcPr>
          <w:p w14:paraId="5BC27647">
            <w:pPr>
              <w:pStyle w:val="216"/>
              <w:tabs>
                <w:tab w:val="left" w:pos="1260"/>
              </w:tabs>
              <w:spacing w:line="400" w:lineRule="exact"/>
              <w:jc w:val="center"/>
              <w:rPr>
                <w:rFonts w:hint="default" w:ascii="Times New Roman" w:hAnsi="Times New Roman" w:cs="Times New Roman"/>
                <w:lang w:val="en-GB"/>
              </w:rPr>
            </w:pPr>
          </w:p>
        </w:tc>
        <w:tc>
          <w:tcPr>
            <w:tcW w:w="467" w:type="pct"/>
            <w:gridSpan w:val="2"/>
            <w:vAlign w:val="center"/>
          </w:tcPr>
          <w:p w14:paraId="1602D16E">
            <w:pPr>
              <w:pStyle w:val="216"/>
              <w:tabs>
                <w:tab w:val="left" w:pos="1260"/>
              </w:tabs>
              <w:spacing w:line="400" w:lineRule="exact"/>
              <w:jc w:val="center"/>
              <w:rPr>
                <w:rFonts w:hint="default" w:ascii="Times New Roman" w:hAnsi="Times New Roman" w:cs="Times New Roman"/>
                <w:lang w:val="en-GB"/>
              </w:rPr>
            </w:pPr>
          </w:p>
        </w:tc>
        <w:tc>
          <w:tcPr>
            <w:tcW w:w="485" w:type="pct"/>
            <w:vAlign w:val="center"/>
          </w:tcPr>
          <w:p w14:paraId="25F50044">
            <w:pPr>
              <w:pStyle w:val="216"/>
              <w:tabs>
                <w:tab w:val="left" w:pos="1260"/>
              </w:tabs>
              <w:spacing w:line="400" w:lineRule="exact"/>
              <w:jc w:val="center"/>
              <w:rPr>
                <w:rFonts w:hint="default" w:ascii="Times New Roman" w:hAnsi="Times New Roman" w:cs="Times New Roman"/>
                <w:lang w:val="en-GB"/>
              </w:rPr>
            </w:pPr>
          </w:p>
        </w:tc>
        <w:tc>
          <w:tcPr>
            <w:tcW w:w="441" w:type="pct"/>
            <w:vAlign w:val="center"/>
          </w:tcPr>
          <w:p w14:paraId="000E6EDB">
            <w:pPr>
              <w:pStyle w:val="216"/>
              <w:tabs>
                <w:tab w:val="left" w:pos="1260"/>
              </w:tabs>
              <w:spacing w:line="400" w:lineRule="exact"/>
              <w:jc w:val="center"/>
              <w:rPr>
                <w:rFonts w:hint="default" w:ascii="Times New Roman" w:hAnsi="Times New Roman" w:cs="Times New Roman"/>
                <w:lang w:val="en-GB"/>
              </w:rPr>
            </w:pPr>
          </w:p>
        </w:tc>
      </w:tr>
      <w:tr w14:paraId="2D3F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vAlign w:val="center"/>
          </w:tcPr>
          <w:p w14:paraId="6AD6821A">
            <w:pPr>
              <w:pStyle w:val="216"/>
              <w:tabs>
                <w:tab w:val="left" w:pos="1260"/>
              </w:tabs>
              <w:spacing w:line="400" w:lineRule="exact"/>
              <w:jc w:val="center"/>
              <w:rPr>
                <w:rFonts w:hint="default" w:ascii="Times New Roman" w:hAnsi="Times New Roman" w:cs="Times New Roman"/>
                <w:lang w:val="en-GB"/>
              </w:rPr>
            </w:pPr>
          </w:p>
        </w:tc>
        <w:tc>
          <w:tcPr>
            <w:tcW w:w="1016" w:type="pct"/>
            <w:vAlign w:val="center"/>
          </w:tcPr>
          <w:p w14:paraId="60BF9F93">
            <w:pPr>
              <w:pStyle w:val="216"/>
              <w:tabs>
                <w:tab w:val="left" w:pos="1260"/>
              </w:tabs>
              <w:spacing w:line="400" w:lineRule="exact"/>
              <w:jc w:val="center"/>
              <w:rPr>
                <w:rFonts w:hint="default" w:ascii="Times New Roman" w:hAnsi="Times New Roman" w:cs="Times New Roman"/>
                <w:lang w:val="en-GB"/>
              </w:rPr>
            </w:pPr>
          </w:p>
        </w:tc>
        <w:tc>
          <w:tcPr>
            <w:tcW w:w="552" w:type="pct"/>
            <w:vAlign w:val="center"/>
          </w:tcPr>
          <w:p w14:paraId="14E2EE35">
            <w:pPr>
              <w:pStyle w:val="216"/>
              <w:tabs>
                <w:tab w:val="left" w:pos="1260"/>
              </w:tabs>
              <w:spacing w:line="400" w:lineRule="exact"/>
              <w:jc w:val="center"/>
              <w:rPr>
                <w:rFonts w:hint="default" w:ascii="Times New Roman" w:hAnsi="Times New Roman" w:cs="Times New Roman"/>
                <w:lang w:val="en-GB"/>
              </w:rPr>
            </w:pPr>
          </w:p>
        </w:tc>
        <w:tc>
          <w:tcPr>
            <w:tcW w:w="640" w:type="pct"/>
            <w:vAlign w:val="center"/>
          </w:tcPr>
          <w:p w14:paraId="646B9FF6">
            <w:pPr>
              <w:pStyle w:val="216"/>
              <w:tabs>
                <w:tab w:val="left" w:pos="1260"/>
              </w:tabs>
              <w:spacing w:line="400" w:lineRule="exact"/>
              <w:jc w:val="center"/>
              <w:rPr>
                <w:rFonts w:hint="default" w:ascii="Times New Roman" w:hAnsi="Times New Roman" w:cs="Times New Roman"/>
                <w:lang w:val="en-GB"/>
              </w:rPr>
            </w:pPr>
          </w:p>
        </w:tc>
        <w:tc>
          <w:tcPr>
            <w:tcW w:w="844" w:type="pct"/>
            <w:gridSpan w:val="3"/>
            <w:vAlign w:val="center"/>
          </w:tcPr>
          <w:p w14:paraId="1271ED47">
            <w:pPr>
              <w:pStyle w:val="216"/>
              <w:tabs>
                <w:tab w:val="left" w:pos="1260"/>
              </w:tabs>
              <w:spacing w:line="400" w:lineRule="exact"/>
              <w:jc w:val="center"/>
              <w:rPr>
                <w:rFonts w:hint="default" w:ascii="Times New Roman" w:hAnsi="Times New Roman" w:cs="Times New Roman"/>
                <w:lang w:val="en-GB"/>
              </w:rPr>
            </w:pPr>
          </w:p>
        </w:tc>
        <w:tc>
          <w:tcPr>
            <w:tcW w:w="467" w:type="pct"/>
            <w:gridSpan w:val="2"/>
            <w:vAlign w:val="center"/>
          </w:tcPr>
          <w:p w14:paraId="7752A23D">
            <w:pPr>
              <w:pStyle w:val="216"/>
              <w:tabs>
                <w:tab w:val="left" w:pos="1260"/>
              </w:tabs>
              <w:spacing w:line="400" w:lineRule="exact"/>
              <w:jc w:val="center"/>
              <w:rPr>
                <w:rFonts w:hint="default" w:ascii="Times New Roman" w:hAnsi="Times New Roman" w:cs="Times New Roman"/>
                <w:lang w:val="en-GB"/>
              </w:rPr>
            </w:pPr>
          </w:p>
        </w:tc>
        <w:tc>
          <w:tcPr>
            <w:tcW w:w="485" w:type="pct"/>
            <w:vAlign w:val="center"/>
          </w:tcPr>
          <w:p w14:paraId="5E05AD12">
            <w:pPr>
              <w:pStyle w:val="216"/>
              <w:tabs>
                <w:tab w:val="left" w:pos="1260"/>
              </w:tabs>
              <w:spacing w:line="400" w:lineRule="exact"/>
              <w:jc w:val="center"/>
              <w:rPr>
                <w:rFonts w:hint="default" w:ascii="Times New Roman" w:hAnsi="Times New Roman" w:cs="Times New Roman"/>
                <w:lang w:val="en-GB"/>
              </w:rPr>
            </w:pPr>
          </w:p>
        </w:tc>
        <w:tc>
          <w:tcPr>
            <w:tcW w:w="441" w:type="pct"/>
            <w:vAlign w:val="center"/>
          </w:tcPr>
          <w:p w14:paraId="56BBC14A">
            <w:pPr>
              <w:pStyle w:val="216"/>
              <w:tabs>
                <w:tab w:val="left" w:pos="1260"/>
              </w:tabs>
              <w:spacing w:line="400" w:lineRule="exact"/>
              <w:jc w:val="center"/>
              <w:rPr>
                <w:rFonts w:hint="default" w:ascii="Times New Roman" w:hAnsi="Times New Roman" w:cs="Times New Roman"/>
                <w:lang w:val="en-GB"/>
              </w:rPr>
            </w:pPr>
          </w:p>
        </w:tc>
      </w:tr>
      <w:tr w14:paraId="2F2EA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50" w:type="pct"/>
            <w:vMerge w:val="continue"/>
            <w:vAlign w:val="center"/>
          </w:tcPr>
          <w:p w14:paraId="12F9BE03">
            <w:pPr>
              <w:pStyle w:val="216"/>
              <w:tabs>
                <w:tab w:val="left" w:pos="1260"/>
              </w:tabs>
              <w:spacing w:line="400" w:lineRule="exact"/>
              <w:jc w:val="center"/>
              <w:rPr>
                <w:rFonts w:hint="default" w:ascii="Times New Roman" w:hAnsi="Times New Roman" w:cs="Times New Roman"/>
                <w:lang w:val="en-GB"/>
              </w:rPr>
            </w:pPr>
          </w:p>
        </w:tc>
        <w:tc>
          <w:tcPr>
            <w:tcW w:w="4007" w:type="pct"/>
            <w:gridSpan w:val="9"/>
            <w:vAlign w:val="center"/>
          </w:tcPr>
          <w:p w14:paraId="4903E1B4">
            <w:pPr>
              <w:pStyle w:val="216"/>
              <w:tabs>
                <w:tab w:val="left" w:pos="1260"/>
              </w:tabs>
              <w:spacing w:line="400" w:lineRule="exact"/>
              <w:jc w:val="center"/>
              <w:rPr>
                <w:rFonts w:hint="default" w:ascii="Times New Roman" w:hAnsi="Times New Roman" w:cs="Times New Roman"/>
                <w:lang w:val="en-GB"/>
              </w:rPr>
            </w:pPr>
            <w:r>
              <w:rPr>
                <w:rFonts w:hint="default" w:ascii="Times New Roman" w:hAnsi="Times New Roman" w:cs="Times New Roman"/>
                <w:lang w:val="en-GB"/>
              </w:rPr>
              <w:t>环境标志产品金额总计（元）</w:t>
            </w:r>
          </w:p>
        </w:tc>
        <w:tc>
          <w:tcPr>
            <w:tcW w:w="441" w:type="pct"/>
            <w:vAlign w:val="center"/>
          </w:tcPr>
          <w:p w14:paraId="6E25CEE0">
            <w:pPr>
              <w:pStyle w:val="216"/>
              <w:tabs>
                <w:tab w:val="left" w:pos="1260"/>
              </w:tabs>
              <w:spacing w:line="400" w:lineRule="exact"/>
              <w:jc w:val="center"/>
              <w:rPr>
                <w:rFonts w:hint="default" w:ascii="Times New Roman" w:hAnsi="Times New Roman" w:cs="Times New Roman"/>
                <w:lang w:val="en-GB"/>
              </w:rPr>
            </w:pPr>
          </w:p>
        </w:tc>
      </w:tr>
    </w:tbl>
    <w:p w14:paraId="428966BB">
      <w:pPr>
        <w:ind w:left="561"/>
        <w:rPr>
          <w:rFonts w:hint="default" w:ascii="Times New Roman" w:hAnsi="Times New Roman" w:eastAsia="仿宋_GB2312" w:cs="Times New Roman"/>
          <w:b/>
          <w:color w:val="auto"/>
          <w:sz w:val="28"/>
          <w:szCs w:val="28"/>
          <w:lang w:val="en-GB" w:eastAsia="zh-CN"/>
        </w:rPr>
      </w:pPr>
      <w:r>
        <w:rPr>
          <w:rFonts w:hint="default" w:ascii="Times New Roman" w:hAnsi="Times New Roman" w:eastAsia="仿宋_GB2312" w:cs="Times New Roman"/>
          <w:b/>
          <w:color w:val="auto"/>
          <w:sz w:val="28"/>
          <w:szCs w:val="28"/>
          <w:lang w:val="en-GB" w:eastAsia="zh-CN"/>
        </w:rPr>
        <w:t>（后附相关认证证书）</w:t>
      </w:r>
    </w:p>
    <w:p w14:paraId="101B7198">
      <w:pPr>
        <w:pStyle w:val="12"/>
        <w:ind w:left="278"/>
        <w:rPr>
          <w:rFonts w:hint="default" w:ascii="Times New Roman" w:hAnsi="Times New Roman" w:cs="Times New Roman"/>
          <w:color w:val="auto"/>
          <w:lang w:val="en-GB" w:eastAsia="zh-CN"/>
        </w:rPr>
      </w:pPr>
    </w:p>
    <w:p w14:paraId="4B93C003">
      <w:pPr>
        <w:spacing w:line="360" w:lineRule="auto"/>
        <w:ind w:firstLine="482" w:firstLineChars="200"/>
        <w:rPr>
          <w:rFonts w:hint="default" w:ascii="Times New Roman" w:hAnsi="Times New Roman" w:eastAsia="仿宋_GB2312" w:cs="Times New Roman"/>
          <w:b/>
          <w:color w:val="auto"/>
          <w:sz w:val="24"/>
          <w:szCs w:val="24"/>
          <w:lang w:val="en-GB" w:eastAsia="zh-CN"/>
        </w:rPr>
      </w:pPr>
      <w:r>
        <w:rPr>
          <w:rFonts w:hint="default" w:ascii="Times New Roman" w:hAnsi="Times New Roman" w:eastAsia="仿宋_GB2312" w:cs="Times New Roman"/>
          <w:b/>
          <w:color w:val="auto"/>
          <w:sz w:val="24"/>
          <w:szCs w:val="24"/>
          <w:lang w:val="en-GB" w:eastAsia="zh-CN"/>
        </w:rPr>
        <w:t>填报要求：</w:t>
      </w:r>
    </w:p>
    <w:p w14:paraId="5F8B2A74">
      <w:pPr>
        <w:spacing w:line="360" w:lineRule="auto"/>
        <w:ind w:firstLine="482" w:firstLineChars="200"/>
        <w:rPr>
          <w:rFonts w:hint="default" w:ascii="Times New Roman" w:hAnsi="Times New Roman" w:eastAsia="仿宋_GB2312" w:cs="Times New Roman"/>
          <w:b/>
          <w:color w:val="auto"/>
          <w:sz w:val="24"/>
          <w:szCs w:val="24"/>
          <w:lang w:val="en-GB" w:eastAsia="zh-CN"/>
        </w:rPr>
      </w:pPr>
      <w:r>
        <w:rPr>
          <w:rFonts w:hint="default" w:ascii="Times New Roman" w:hAnsi="Times New Roman" w:eastAsia="仿宋_GB2312" w:cs="Times New Roman"/>
          <w:b/>
          <w:color w:val="auto"/>
          <w:sz w:val="24"/>
          <w:szCs w:val="24"/>
          <w:lang w:val="en-US" w:eastAsia="zh-CN"/>
        </w:rPr>
        <w:t>1</w:t>
      </w:r>
      <w:r>
        <w:rPr>
          <w:rFonts w:hint="default" w:ascii="Times New Roman" w:hAnsi="Times New Roman" w:eastAsia="仿宋_GB2312" w:cs="Times New Roman"/>
          <w:b/>
          <w:color w:val="auto"/>
          <w:sz w:val="24"/>
          <w:szCs w:val="24"/>
          <w:lang w:val="en-GB" w:eastAsia="zh-CN"/>
        </w:rPr>
        <w:t>、请根据</w:t>
      </w:r>
      <w:r>
        <w:rPr>
          <w:rFonts w:hint="default" w:ascii="Times New Roman" w:hAnsi="Times New Roman" w:eastAsia="仿宋_GB2312" w:cs="Times New Roman"/>
          <w:b/>
          <w:color w:val="auto"/>
          <w:sz w:val="24"/>
          <w:szCs w:val="24"/>
          <w:lang w:val="en-US" w:eastAsia="zh-CN"/>
        </w:rPr>
        <w:t>采购</w:t>
      </w:r>
      <w:r>
        <w:rPr>
          <w:rFonts w:hint="default" w:ascii="Times New Roman" w:hAnsi="Times New Roman" w:eastAsia="仿宋_GB2312" w:cs="Times New Roman"/>
          <w:b/>
          <w:color w:val="auto"/>
          <w:sz w:val="24"/>
          <w:szCs w:val="24"/>
          <w:lang w:val="en-GB" w:eastAsia="zh-CN"/>
        </w:rPr>
        <w:t>文件“第</w:t>
      </w:r>
      <w:r>
        <w:rPr>
          <w:rFonts w:hint="default" w:ascii="Times New Roman" w:hAnsi="Times New Roman" w:eastAsia="仿宋_GB2312" w:cs="Times New Roman"/>
          <w:b/>
          <w:color w:val="auto"/>
          <w:sz w:val="24"/>
          <w:szCs w:val="24"/>
          <w:lang w:val="en-US" w:eastAsia="zh-CN"/>
        </w:rPr>
        <w:t>五</w:t>
      </w:r>
      <w:r>
        <w:rPr>
          <w:rFonts w:hint="default" w:ascii="Times New Roman" w:hAnsi="Times New Roman" w:eastAsia="仿宋_GB2312" w:cs="Times New Roman"/>
          <w:b/>
          <w:color w:val="auto"/>
          <w:sz w:val="24"/>
          <w:szCs w:val="24"/>
          <w:lang w:val="en-GB" w:eastAsia="zh-CN"/>
        </w:rPr>
        <w:t>章项目需求及技术要求”要求的节能产品类型、环境标志产品类型，填写本表。</w:t>
      </w:r>
    </w:p>
    <w:p w14:paraId="68FD7925">
      <w:pPr>
        <w:spacing w:line="360" w:lineRule="auto"/>
        <w:ind w:firstLine="482" w:firstLineChars="200"/>
        <w:rPr>
          <w:rFonts w:hint="default" w:ascii="Times New Roman" w:hAnsi="Times New Roman" w:eastAsia="仿宋_GB2312" w:cs="Times New Roman"/>
          <w:b/>
          <w:color w:val="auto"/>
          <w:sz w:val="24"/>
          <w:szCs w:val="24"/>
          <w:lang w:val="en-GB" w:eastAsia="zh-CN"/>
        </w:rPr>
      </w:pPr>
      <w:r>
        <w:rPr>
          <w:rFonts w:hint="default" w:ascii="Times New Roman" w:hAnsi="Times New Roman" w:eastAsia="仿宋_GB2312" w:cs="Times New Roman"/>
          <w:b/>
          <w:color w:val="auto"/>
          <w:sz w:val="24"/>
          <w:szCs w:val="24"/>
          <w:lang w:val="en-US" w:eastAsia="zh-CN"/>
        </w:rPr>
        <w:t>2</w:t>
      </w:r>
      <w:r>
        <w:rPr>
          <w:rFonts w:hint="default" w:ascii="Times New Roman" w:hAnsi="Times New Roman" w:eastAsia="仿宋_GB2312" w:cs="Times New Roman"/>
          <w:b/>
          <w:color w:val="auto"/>
          <w:sz w:val="24"/>
          <w:szCs w:val="24"/>
          <w:lang w:val="en-GB" w:eastAsia="zh-CN"/>
        </w:rPr>
        <w:t>、本表的产品名称和品牌、型号、金额应与《磋商响应分项报价表》一致。</w:t>
      </w:r>
    </w:p>
    <w:p w14:paraId="0AD68BC7">
      <w:pPr>
        <w:spacing w:line="360" w:lineRule="auto"/>
        <w:ind w:firstLine="482" w:firstLineChars="200"/>
        <w:rPr>
          <w:rFonts w:hint="default" w:ascii="Times New Roman" w:hAnsi="Times New Roman" w:eastAsia="仿宋_GB2312" w:cs="Times New Roman"/>
          <w:b/>
          <w:color w:val="auto"/>
          <w:sz w:val="24"/>
          <w:szCs w:val="24"/>
          <w:lang w:val="en-GB" w:eastAsia="zh-CN"/>
        </w:rPr>
      </w:pPr>
      <w:r>
        <w:rPr>
          <w:rFonts w:hint="default" w:ascii="Times New Roman" w:hAnsi="Times New Roman" w:eastAsia="仿宋_GB2312" w:cs="Times New Roman"/>
          <w:b/>
          <w:color w:val="auto"/>
          <w:sz w:val="24"/>
          <w:szCs w:val="24"/>
          <w:lang w:val="en-US" w:eastAsia="zh-CN"/>
        </w:rPr>
        <w:t>3、</w:t>
      </w:r>
      <w:r>
        <w:rPr>
          <w:rFonts w:hint="default" w:ascii="Times New Roman" w:hAnsi="Times New Roman" w:eastAsia="仿宋_GB2312" w:cs="Times New Roman"/>
          <w:b/>
          <w:color w:val="auto"/>
          <w:sz w:val="24"/>
          <w:szCs w:val="24"/>
          <w:lang w:val="en-GB" w:eastAsia="zh-CN"/>
        </w:rPr>
        <w:t>请供应商正确填写本表，所填内容和后附的证明资料将作为评审的依据。其内容或数据应与对应的证明资料相符。未填写或未正确填写本表的，所提供的对应节能、环保证明资料不予认可。</w:t>
      </w:r>
    </w:p>
    <w:p w14:paraId="7BE30192">
      <w:pPr>
        <w:spacing w:line="360" w:lineRule="auto"/>
        <w:ind w:firstLine="482" w:firstLineChars="200"/>
        <w:rPr>
          <w:rFonts w:hint="default" w:ascii="Times New Roman" w:hAnsi="Times New Roman" w:eastAsia="仿宋_GB2312" w:cs="Times New Roman"/>
          <w:b/>
          <w:color w:val="auto"/>
          <w:sz w:val="24"/>
          <w:szCs w:val="24"/>
          <w:lang w:eastAsia="zh-CN"/>
        </w:rPr>
      </w:pPr>
      <w:r>
        <w:rPr>
          <w:rFonts w:hint="default" w:ascii="Times New Roman" w:hAnsi="Times New Roman" w:eastAsia="仿宋_GB2312" w:cs="Times New Roman"/>
          <w:b/>
          <w:color w:val="auto"/>
          <w:sz w:val="24"/>
          <w:szCs w:val="24"/>
          <w:lang w:val="en-US" w:eastAsia="zh-CN"/>
        </w:rPr>
        <w:t>4</w:t>
      </w:r>
      <w:r>
        <w:rPr>
          <w:rFonts w:hint="default" w:ascii="Times New Roman" w:hAnsi="Times New Roman" w:eastAsia="仿宋_GB2312" w:cs="Times New Roman"/>
          <w:b/>
          <w:color w:val="auto"/>
          <w:sz w:val="24"/>
          <w:szCs w:val="24"/>
          <w:lang w:val="en-GB" w:eastAsia="zh-CN"/>
        </w:rPr>
        <w:t>、无适用政府采购政策产品，可不填。</w:t>
      </w:r>
    </w:p>
    <w:p w14:paraId="4242AC29">
      <w:pPr>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br w:type="page"/>
      </w:r>
    </w:p>
    <w:p w14:paraId="10FC6E32">
      <w:pPr>
        <w:pStyle w:val="3"/>
        <w:spacing w:before="0" w:after="0" w:line="360" w:lineRule="auto"/>
        <w:jc w:val="center"/>
        <w:rPr>
          <w:rFonts w:hint="default" w:ascii="Times New Roman" w:hAnsi="Times New Roman" w:eastAsia="黑体" w:cs="Times New Roman"/>
          <w:b w:val="0"/>
          <w:bCs w:val="0"/>
          <w:color w:val="auto"/>
          <w:sz w:val="28"/>
          <w:szCs w:val="28"/>
          <w:lang w:eastAsia="zh-CN"/>
        </w:rPr>
      </w:pPr>
      <w:r>
        <w:rPr>
          <w:rFonts w:hint="default" w:ascii="Times New Roman" w:hAnsi="Times New Roman" w:eastAsia="黑体" w:cs="Times New Roman"/>
          <w:b w:val="0"/>
          <w:bCs w:val="0"/>
          <w:color w:val="auto"/>
          <w:sz w:val="28"/>
          <w:szCs w:val="28"/>
          <w:lang w:val="en-US" w:eastAsia="zh-CN"/>
        </w:rPr>
        <w:t>十六、</w:t>
      </w:r>
      <w:r>
        <w:rPr>
          <w:rFonts w:hint="default" w:ascii="Times New Roman" w:hAnsi="Times New Roman" w:eastAsia="黑体" w:cs="Times New Roman"/>
          <w:b w:val="0"/>
          <w:bCs w:val="0"/>
          <w:color w:val="auto"/>
          <w:sz w:val="28"/>
          <w:szCs w:val="28"/>
          <w:lang w:eastAsia="zh-CN"/>
        </w:rPr>
        <w:t>其他文件</w:t>
      </w:r>
      <w:bookmarkEnd w:id="233"/>
      <w:bookmarkEnd w:id="234"/>
      <w:bookmarkEnd w:id="235"/>
      <w:bookmarkEnd w:id="236"/>
      <w:bookmarkEnd w:id="237"/>
      <w:bookmarkEnd w:id="238"/>
      <w:bookmarkEnd w:id="239"/>
      <w:bookmarkEnd w:id="240"/>
      <w:bookmarkEnd w:id="241"/>
      <w:bookmarkEnd w:id="242"/>
      <w:bookmarkEnd w:id="243"/>
    </w:p>
    <w:p w14:paraId="2DF58DDF">
      <w:pPr>
        <w:pStyle w:val="199"/>
        <w:rPr>
          <w:rFonts w:hint="default" w:ascii="Times New Roman" w:hAnsi="Times New Roman" w:eastAsia="宋体" w:cs="Times New Roman"/>
          <w:color w:val="auto"/>
          <w:kern w:val="0"/>
          <w:lang w:eastAsia="zh-CN"/>
        </w:rPr>
      </w:pPr>
    </w:p>
    <w:p w14:paraId="71308DA8">
      <w:pPr>
        <w:pStyle w:val="199"/>
        <w:rPr>
          <w:rFonts w:hint="default" w:ascii="Times New Roman" w:hAnsi="Times New Roman" w:eastAsia="宋体" w:cs="Times New Roman"/>
          <w:color w:val="auto"/>
          <w:kern w:val="0"/>
          <w:lang w:eastAsia="zh-CN"/>
        </w:rPr>
      </w:pPr>
    </w:p>
    <w:p w14:paraId="6A78C02D">
      <w:pPr>
        <w:spacing w:line="360" w:lineRule="auto"/>
        <w:ind w:left="1080" w:hanging="540"/>
        <w:jc w:val="center"/>
        <w:rPr>
          <w:rFonts w:hint="default" w:ascii="Times New Roman" w:hAnsi="Times New Roman" w:eastAsia="宋体" w:cs="Times New Roman"/>
          <w:color w:val="auto"/>
          <w:lang w:eastAsia="zh-CN"/>
        </w:rPr>
        <w:sectPr>
          <w:pgSz w:w="11900" w:h="16840"/>
          <w:pgMar w:top="1440" w:right="1800" w:bottom="1440" w:left="1800" w:header="851" w:footer="992" w:gutter="0"/>
          <w:cols w:space="720" w:num="1"/>
        </w:sectPr>
      </w:pPr>
    </w:p>
    <w:p w14:paraId="42133C18">
      <w:pPr>
        <w:pStyle w:val="2"/>
        <w:spacing w:before="0" w:after="0" w:line="360" w:lineRule="auto"/>
        <w:jc w:val="center"/>
        <w:rPr>
          <w:rFonts w:hint="default" w:ascii="Times New Roman" w:hAnsi="Times New Roman" w:eastAsia="宋体" w:cs="Times New Roman"/>
          <w:color w:val="auto"/>
          <w:sz w:val="36"/>
          <w:szCs w:val="36"/>
          <w:lang w:eastAsia="zh-CN"/>
        </w:rPr>
      </w:pPr>
      <w:bookmarkStart w:id="244" w:name="_Toc475715562"/>
      <w:bookmarkStart w:id="245" w:name="_Toc2002228084_WPSOffice_Level1"/>
      <w:bookmarkStart w:id="246" w:name="_Toc978630003"/>
      <w:bookmarkStart w:id="247" w:name="_Toc2052941949"/>
      <w:bookmarkStart w:id="248" w:name="_Toc1841662741"/>
      <w:bookmarkStart w:id="249" w:name="_Toc732233689_WPSOffice_Level1"/>
      <w:bookmarkStart w:id="250" w:name="_Toc167060631"/>
      <w:bookmarkStart w:id="251" w:name="_Toc677628708_WPSOffice_Level1"/>
      <w:bookmarkStart w:id="252" w:name="_Toc456034163_WPSOffice_Level1"/>
      <w:bookmarkStart w:id="253" w:name="_Toc2147291260"/>
      <w:bookmarkStart w:id="254" w:name="_Toc17577"/>
      <w:bookmarkStart w:id="255" w:name="_Toc602951741"/>
      <w:bookmarkStart w:id="256" w:name="_Toc1681859708"/>
      <w:bookmarkStart w:id="257" w:name="_Toc245603268"/>
      <w:bookmarkStart w:id="258" w:name="_Toc55447974"/>
      <w:bookmarkStart w:id="259" w:name="_Toc342626813"/>
      <w:bookmarkStart w:id="260" w:name="_Toc725760307"/>
      <w:bookmarkStart w:id="261" w:name="_Toc1220109555_WPSOffice_Level1"/>
      <w:bookmarkStart w:id="262" w:name="_Toc577545602"/>
      <w:bookmarkStart w:id="263" w:name="_Toc235030748"/>
      <w:bookmarkStart w:id="264" w:name="_Toc1228469917"/>
      <w:bookmarkStart w:id="265" w:name="_Toc2103487907_WPSOffice_Level1"/>
      <w:bookmarkStart w:id="266" w:name="_Toc1658402222_WPSOffice_Level1"/>
      <w:bookmarkStart w:id="267" w:name="_Toc1278987015"/>
      <w:bookmarkStart w:id="268" w:name="_Toc1203796512"/>
      <w:bookmarkStart w:id="269" w:name="_Toc1281126177_WPSOffice_Level1"/>
      <w:bookmarkStart w:id="270" w:name="_Toc1364277335"/>
      <w:bookmarkStart w:id="271" w:name="_Toc450869757"/>
      <w:r>
        <w:rPr>
          <w:rFonts w:hint="default" w:ascii="Times New Roman" w:hAnsi="Times New Roman" w:eastAsia="宋体" w:cs="Times New Roman"/>
          <w:color w:val="auto"/>
          <w:sz w:val="36"/>
          <w:szCs w:val="36"/>
          <w:lang w:eastAsia="zh-CN"/>
        </w:rPr>
        <w:t xml:space="preserve">第五章 </w:t>
      </w:r>
      <w:bookmarkEnd w:id="244"/>
      <w:bookmarkEnd w:id="245"/>
      <w:bookmarkEnd w:id="246"/>
      <w:bookmarkEnd w:id="247"/>
      <w:bookmarkEnd w:id="248"/>
      <w:bookmarkEnd w:id="249"/>
      <w:bookmarkEnd w:id="250"/>
      <w:bookmarkEnd w:id="251"/>
      <w:bookmarkEnd w:id="252"/>
      <w:r>
        <w:rPr>
          <w:rFonts w:hint="default" w:ascii="Times New Roman" w:hAnsi="Times New Roman" w:eastAsia="宋体" w:cs="Times New Roman"/>
          <w:color w:val="auto"/>
          <w:sz w:val="36"/>
          <w:szCs w:val="36"/>
          <w:lang w:eastAsia="zh-CN"/>
        </w:rPr>
        <w:t>项目需求及技术要求</w:t>
      </w:r>
      <w:bookmarkEnd w:id="253"/>
      <w:bookmarkEnd w:id="254"/>
      <w:bookmarkEnd w:id="255"/>
      <w:bookmarkEnd w:id="256"/>
      <w:bookmarkEnd w:id="257"/>
      <w:bookmarkEnd w:id="258"/>
    </w:p>
    <w:p w14:paraId="28C1064B">
      <w:pPr>
        <w:spacing w:before="120" w:after="120"/>
        <w:outlineLvl w:val="1"/>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caps/>
          <w:color w:val="auto"/>
          <w:kern w:val="0"/>
          <w:sz w:val="28"/>
          <w:szCs w:val="28"/>
          <w:lang w:val="en-US" w:eastAsia="zh-CN"/>
        </w:rPr>
        <w:t>一、采购需求基本情况</w:t>
      </w:r>
    </w:p>
    <w:p w14:paraId="5338307E">
      <w:pPr>
        <w:pStyle w:val="70"/>
        <w:jc w:val="center"/>
        <w:outlineLvl w:val="2"/>
        <w:rPr>
          <w:rFonts w:hint="default" w:ascii="Times New Roman" w:hAnsi="Times New Roman" w:eastAsia="仿宋" w:cs="Times New Roman"/>
          <w:b/>
          <w:bCs/>
          <w:color w:val="auto"/>
          <w:sz w:val="32"/>
          <w:szCs w:val="32"/>
          <w:lang w:eastAsia="zh-CN"/>
        </w:rPr>
      </w:pPr>
      <w:r>
        <w:rPr>
          <w:rFonts w:hint="default" w:ascii="Times New Roman" w:hAnsi="Times New Roman" w:eastAsia="仿宋" w:cs="Times New Roman"/>
          <w:b/>
          <w:bCs/>
          <w:color w:val="auto"/>
          <w:sz w:val="32"/>
          <w:szCs w:val="32"/>
        </w:rPr>
        <w:t>表1 采购产品一览表（如存在前后不一致的情形，以此表为准）</w:t>
      </w:r>
    </w:p>
    <w:tbl>
      <w:tblPr>
        <w:tblStyle w:val="52"/>
        <w:tblW w:w="5001" w:type="pct"/>
        <w:jc w:val="center"/>
        <w:tblLayout w:type="autofit"/>
        <w:tblCellMar>
          <w:top w:w="0" w:type="dxa"/>
          <w:left w:w="108" w:type="dxa"/>
          <w:bottom w:w="0" w:type="dxa"/>
          <w:right w:w="108" w:type="dxa"/>
        </w:tblCellMar>
      </w:tblPr>
      <w:tblGrid>
        <w:gridCol w:w="634"/>
        <w:gridCol w:w="1845"/>
        <w:gridCol w:w="810"/>
        <w:gridCol w:w="862"/>
        <w:gridCol w:w="1387"/>
        <w:gridCol w:w="1524"/>
        <w:gridCol w:w="1342"/>
        <w:gridCol w:w="1344"/>
      </w:tblGrid>
      <w:tr w14:paraId="24834D88">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04303D20">
            <w:pPr>
              <w:jc w:val="center"/>
              <w:textAlignment w:val="center"/>
              <w:rPr>
                <w:rFonts w:hint="default" w:ascii="Times New Roman" w:hAnsi="Times New Roman" w:eastAsia="黑体" w:cs="Times New Roman"/>
                <w:color w:val="auto"/>
                <w:kern w:val="0"/>
                <w:sz w:val="24"/>
                <w:szCs w:val="24"/>
                <w:lang w:val="en-US" w:eastAsia="zh-CN" w:bidi="ar"/>
              </w:rPr>
            </w:pPr>
            <w:r>
              <w:rPr>
                <w:rFonts w:hint="default" w:ascii="Times New Roman" w:hAnsi="Times New Roman" w:eastAsia="黑体" w:cs="Times New Roman"/>
                <w:color w:val="auto"/>
                <w:kern w:val="0"/>
                <w:sz w:val="24"/>
                <w:szCs w:val="24"/>
                <w:lang w:val="en-US" w:eastAsia="zh-CN" w:bidi="ar"/>
              </w:rPr>
              <w:t>序号</w:t>
            </w:r>
          </w:p>
        </w:tc>
        <w:tc>
          <w:tcPr>
            <w:tcW w:w="946" w:type="pct"/>
            <w:tcBorders>
              <w:top w:val="single" w:color="000000" w:sz="4" w:space="0"/>
              <w:left w:val="single" w:color="000000" w:sz="4" w:space="0"/>
              <w:bottom w:val="single" w:color="000000" w:sz="4" w:space="0"/>
              <w:right w:val="single" w:color="000000" w:sz="4" w:space="0"/>
            </w:tcBorders>
            <w:vAlign w:val="center"/>
          </w:tcPr>
          <w:p w14:paraId="1F2A0A21">
            <w:pPr>
              <w:jc w:val="center"/>
              <w:textAlignment w:val="center"/>
              <w:rPr>
                <w:rFonts w:hint="default" w:ascii="Times New Roman" w:hAnsi="Times New Roman" w:eastAsia="黑体" w:cs="Times New Roman"/>
                <w:color w:val="auto"/>
                <w:kern w:val="0"/>
                <w:sz w:val="24"/>
                <w:szCs w:val="24"/>
                <w:lang w:val="en-US" w:eastAsia="zh-CN" w:bidi="ar"/>
              </w:rPr>
            </w:pPr>
            <w:r>
              <w:rPr>
                <w:rFonts w:hint="default" w:ascii="Times New Roman" w:hAnsi="Times New Roman" w:eastAsia="黑体" w:cs="Times New Roman"/>
                <w:color w:val="auto"/>
                <w:kern w:val="0"/>
                <w:sz w:val="24"/>
                <w:szCs w:val="24"/>
                <w:lang w:val="en-US" w:eastAsia="zh-CN" w:bidi="ar"/>
              </w:rPr>
              <w:t>名称</w:t>
            </w:r>
          </w:p>
        </w:tc>
        <w:tc>
          <w:tcPr>
            <w:tcW w:w="415" w:type="pct"/>
            <w:tcBorders>
              <w:top w:val="single" w:color="000000" w:sz="4" w:space="0"/>
              <w:left w:val="single" w:color="000000" w:sz="4" w:space="0"/>
              <w:bottom w:val="single" w:color="000000" w:sz="4" w:space="0"/>
              <w:right w:val="single" w:color="000000" w:sz="4" w:space="0"/>
            </w:tcBorders>
            <w:vAlign w:val="center"/>
          </w:tcPr>
          <w:p w14:paraId="56A4B27D">
            <w:pPr>
              <w:jc w:val="center"/>
              <w:textAlignment w:val="center"/>
              <w:rPr>
                <w:rFonts w:hint="default" w:ascii="Times New Roman" w:hAnsi="Times New Roman" w:eastAsia="黑体" w:cs="Times New Roman"/>
                <w:color w:val="auto"/>
                <w:kern w:val="0"/>
                <w:sz w:val="24"/>
                <w:szCs w:val="24"/>
                <w:lang w:val="en-US" w:eastAsia="zh-CN" w:bidi="ar"/>
              </w:rPr>
            </w:pPr>
            <w:r>
              <w:rPr>
                <w:rFonts w:hint="default" w:ascii="Times New Roman" w:hAnsi="Times New Roman" w:eastAsia="黑体" w:cs="Times New Roman"/>
                <w:color w:val="auto"/>
                <w:kern w:val="0"/>
                <w:sz w:val="24"/>
                <w:szCs w:val="24"/>
                <w:lang w:val="en-US" w:eastAsia="zh-CN" w:bidi="ar"/>
              </w:rPr>
              <w:t>单位</w:t>
            </w:r>
          </w:p>
        </w:tc>
        <w:tc>
          <w:tcPr>
            <w:tcW w:w="442" w:type="pct"/>
            <w:tcBorders>
              <w:top w:val="single" w:color="000000" w:sz="4" w:space="0"/>
              <w:left w:val="single" w:color="000000" w:sz="4" w:space="0"/>
              <w:bottom w:val="single" w:color="000000" w:sz="4" w:space="0"/>
              <w:right w:val="single" w:color="000000" w:sz="4" w:space="0"/>
            </w:tcBorders>
            <w:vAlign w:val="center"/>
          </w:tcPr>
          <w:p w14:paraId="1ADFADCE">
            <w:pPr>
              <w:jc w:val="center"/>
              <w:textAlignment w:val="center"/>
              <w:rPr>
                <w:rFonts w:hint="default" w:ascii="Times New Roman" w:hAnsi="Times New Roman" w:eastAsia="黑体" w:cs="Times New Roman"/>
                <w:color w:val="auto"/>
                <w:kern w:val="0"/>
                <w:sz w:val="24"/>
                <w:szCs w:val="24"/>
                <w:lang w:val="en-US" w:eastAsia="zh-CN" w:bidi="ar"/>
              </w:rPr>
            </w:pPr>
            <w:r>
              <w:rPr>
                <w:rFonts w:hint="default" w:ascii="Times New Roman" w:hAnsi="Times New Roman" w:eastAsia="黑体" w:cs="Times New Roman"/>
                <w:color w:val="auto"/>
                <w:kern w:val="0"/>
                <w:sz w:val="24"/>
                <w:szCs w:val="24"/>
                <w:lang w:val="en-US" w:eastAsia="zh-CN" w:bidi="ar"/>
              </w:rPr>
              <w:t>数量</w:t>
            </w:r>
          </w:p>
        </w:tc>
        <w:tc>
          <w:tcPr>
            <w:tcW w:w="711" w:type="pct"/>
            <w:tcBorders>
              <w:top w:val="single" w:color="000000" w:sz="4" w:space="0"/>
              <w:left w:val="single" w:color="000000" w:sz="4" w:space="0"/>
              <w:bottom w:val="single" w:color="000000" w:sz="4" w:space="0"/>
              <w:right w:val="single" w:color="000000" w:sz="4" w:space="0"/>
            </w:tcBorders>
            <w:vAlign w:val="center"/>
          </w:tcPr>
          <w:p w14:paraId="40CBB9EC">
            <w:pPr>
              <w:jc w:val="center"/>
              <w:textAlignment w:val="center"/>
              <w:rPr>
                <w:rFonts w:hint="default" w:ascii="Times New Roman" w:hAnsi="Times New Roman" w:eastAsia="黑体" w:cs="Times New Roman"/>
                <w:color w:val="auto"/>
                <w:kern w:val="0"/>
                <w:sz w:val="24"/>
                <w:szCs w:val="24"/>
                <w:lang w:val="en-US" w:eastAsia="zh-CN" w:bidi="ar"/>
              </w:rPr>
            </w:pPr>
            <w:r>
              <w:rPr>
                <w:rFonts w:hint="default" w:ascii="Times New Roman" w:hAnsi="Times New Roman" w:eastAsia="黑体" w:cs="Times New Roman"/>
                <w:color w:val="auto"/>
                <w:kern w:val="0"/>
                <w:sz w:val="24"/>
                <w:szCs w:val="24"/>
                <w:lang w:val="en-US" w:eastAsia="zh-CN" w:bidi="ar"/>
              </w:rPr>
              <w:t>所属行业</w:t>
            </w:r>
          </w:p>
        </w:tc>
        <w:tc>
          <w:tcPr>
            <w:tcW w:w="781" w:type="pct"/>
            <w:tcBorders>
              <w:top w:val="single" w:color="000000" w:sz="4" w:space="0"/>
              <w:left w:val="single" w:color="000000" w:sz="4" w:space="0"/>
              <w:bottom w:val="single" w:color="000000" w:sz="4" w:space="0"/>
              <w:right w:val="single" w:color="000000" w:sz="4" w:space="0"/>
            </w:tcBorders>
            <w:vAlign w:val="center"/>
          </w:tcPr>
          <w:p w14:paraId="3F90513C">
            <w:pPr>
              <w:jc w:val="center"/>
              <w:textAlignment w:val="center"/>
              <w:rPr>
                <w:rFonts w:hint="default" w:ascii="Times New Roman" w:hAnsi="Times New Roman" w:eastAsia="黑体" w:cs="Times New Roman"/>
                <w:color w:val="auto"/>
                <w:kern w:val="0"/>
                <w:sz w:val="24"/>
                <w:szCs w:val="24"/>
                <w:lang w:val="en-US" w:eastAsia="zh-CN" w:bidi="ar"/>
              </w:rPr>
            </w:pPr>
            <w:r>
              <w:rPr>
                <w:rFonts w:hint="default" w:ascii="Times New Roman" w:hAnsi="Times New Roman" w:eastAsia="黑体" w:cs="Times New Roman"/>
                <w:color w:val="auto"/>
                <w:kern w:val="0"/>
                <w:sz w:val="24"/>
                <w:szCs w:val="24"/>
                <w:lang w:val="en-US" w:eastAsia="zh-CN" w:bidi="ar"/>
              </w:rPr>
              <w:t>节能产品类型</w:t>
            </w:r>
          </w:p>
        </w:tc>
        <w:tc>
          <w:tcPr>
            <w:tcW w:w="688" w:type="pct"/>
            <w:tcBorders>
              <w:top w:val="single" w:color="000000" w:sz="4" w:space="0"/>
              <w:left w:val="single" w:color="000000" w:sz="4" w:space="0"/>
              <w:bottom w:val="single" w:color="000000" w:sz="4" w:space="0"/>
              <w:right w:val="single" w:color="000000" w:sz="4" w:space="0"/>
            </w:tcBorders>
            <w:vAlign w:val="center"/>
          </w:tcPr>
          <w:p w14:paraId="71AC0866">
            <w:pPr>
              <w:jc w:val="center"/>
              <w:textAlignment w:val="center"/>
              <w:rPr>
                <w:rFonts w:hint="default" w:ascii="Times New Roman" w:hAnsi="Times New Roman" w:eastAsia="黑体" w:cs="Times New Roman"/>
                <w:color w:val="auto"/>
                <w:kern w:val="0"/>
                <w:sz w:val="24"/>
                <w:szCs w:val="24"/>
                <w:lang w:val="en-US" w:eastAsia="zh-CN" w:bidi="ar"/>
              </w:rPr>
            </w:pPr>
            <w:r>
              <w:rPr>
                <w:rFonts w:hint="default" w:ascii="Times New Roman" w:hAnsi="Times New Roman" w:eastAsia="黑体" w:cs="Times New Roman"/>
                <w:color w:val="auto"/>
                <w:kern w:val="0"/>
                <w:sz w:val="24"/>
                <w:szCs w:val="24"/>
                <w:lang w:val="en-US" w:eastAsia="zh-CN" w:bidi="ar"/>
              </w:rPr>
              <w:t>环境标志产品类型</w:t>
            </w:r>
          </w:p>
        </w:tc>
        <w:tc>
          <w:tcPr>
            <w:tcW w:w="689" w:type="pct"/>
            <w:tcBorders>
              <w:top w:val="single" w:color="000000" w:sz="4" w:space="0"/>
              <w:left w:val="single" w:color="000000" w:sz="4" w:space="0"/>
              <w:bottom w:val="single" w:color="000000" w:sz="4" w:space="0"/>
              <w:right w:val="single" w:color="000000" w:sz="4" w:space="0"/>
            </w:tcBorders>
            <w:vAlign w:val="center"/>
          </w:tcPr>
          <w:p w14:paraId="301D02AC">
            <w:pPr>
              <w:jc w:val="center"/>
              <w:textAlignment w:val="center"/>
              <w:rPr>
                <w:rFonts w:hint="default" w:ascii="Times New Roman" w:hAnsi="Times New Roman" w:eastAsia="黑体" w:cs="Times New Roman"/>
                <w:color w:val="auto"/>
                <w:kern w:val="0"/>
                <w:sz w:val="24"/>
                <w:szCs w:val="24"/>
                <w:lang w:val="en-US" w:eastAsia="zh-CN" w:bidi="ar"/>
              </w:rPr>
            </w:pPr>
            <w:r>
              <w:rPr>
                <w:rFonts w:hint="default" w:ascii="Times New Roman" w:hAnsi="Times New Roman" w:eastAsia="黑体" w:cs="Times New Roman"/>
                <w:color w:val="auto"/>
                <w:kern w:val="0"/>
                <w:sz w:val="24"/>
                <w:szCs w:val="24"/>
                <w:lang w:val="en-US" w:eastAsia="zh-CN" w:bidi="ar"/>
              </w:rPr>
              <w:t>最高限价单价 （万元）</w:t>
            </w:r>
          </w:p>
        </w:tc>
      </w:tr>
      <w:tr w14:paraId="3C3F3663">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2610C543">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1</w:t>
            </w:r>
          </w:p>
        </w:tc>
        <w:tc>
          <w:tcPr>
            <w:tcW w:w="946" w:type="pct"/>
            <w:tcBorders>
              <w:top w:val="single" w:color="000000" w:sz="4" w:space="0"/>
              <w:left w:val="single" w:color="000000" w:sz="4" w:space="0"/>
              <w:bottom w:val="single" w:color="000000" w:sz="4" w:space="0"/>
              <w:right w:val="single" w:color="000000" w:sz="4" w:space="0"/>
            </w:tcBorders>
            <w:vAlign w:val="center"/>
          </w:tcPr>
          <w:p w14:paraId="543A894F">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智慧黑板</w:t>
            </w:r>
          </w:p>
        </w:tc>
        <w:tc>
          <w:tcPr>
            <w:tcW w:w="415" w:type="pct"/>
            <w:tcBorders>
              <w:top w:val="single" w:color="000000" w:sz="4" w:space="0"/>
              <w:left w:val="single" w:color="000000" w:sz="4" w:space="0"/>
              <w:bottom w:val="single" w:color="000000" w:sz="4" w:space="0"/>
              <w:right w:val="single" w:color="000000" w:sz="4" w:space="0"/>
            </w:tcBorders>
            <w:vAlign w:val="center"/>
          </w:tcPr>
          <w:p w14:paraId="60796A71">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0510F59F">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7</w:t>
            </w:r>
          </w:p>
        </w:tc>
        <w:tc>
          <w:tcPr>
            <w:tcW w:w="711" w:type="pct"/>
            <w:tcBorders>
              <w:top w:val="single" w:color="000000" w:sz="4" w:space="0"/>
              <w:left w:val="single" w:color="000000" w:sz="4" w:space="0"/>
              <w:bottom w:val="single" w:color="000000" w:sz="4" w:space="0"/>
              <w:right w:val="single" w:color="000000" w:sz="4" w:space="0"/>
            </w:tcBorders>
            <w:vAlign w:val="center"/>
          </w:tcPr>
          <w:p w14:paraId="4FDA6A1A">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5135B827">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强制节能</w:t>
            </w:r>
          </w:p>
        </w:tc>
        <w:tc>
          <w:tcPr>
            <w:tcW w:w="688" w:type="pct"/>
            <w:tcBorders>
              <w:top w:val="single" w:color="000000" w:sz="4" w:space="0"/>
              <w:left w:val="single" w:color="000000" w:sz="4" w:space="0"/>
              <w:bottom w:val="single" w:color="000000" w:sz="4" w:space="0"/>
              <w:right w:val="single" w:color="000000" w:sz="4" w:space="0"/>
            </w:tcBorders>
            <w:vAlign w:val="center"/>
          </w:tcPr>
          <w:p w14:paraId="0CE6747C">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优先环保</w:t>
            </w:r>
          </w:p>
        </w:tc>
        <w:tc>
          <w:tcPr>
            <w:tcW w:w="1344" w:type="dxa"/>
            <w:tcBorders>
              <w:top w:val="single" w:color="000000" w:sz="4" w:space="0"/>
              <w:left w:val="single" w:color="000000" w:sz="4" w:space="0"/>
              <w:bottom w:val="single" w:color="000000" w:sz="4" w:space="0"/>
              <w:right w:val="single" w:color="000000" w:sz="4" w:space="0"/>
            </w:tcBorders>
            <w:vAlign w:val="center"/>
          </w:tcPr>
          <w:p w14:paraId="7D4E711D">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2.3</w:t>
            </w:r>
          </w:p>
        </w:tc>
      </w:tr>
      <w:tr w14:paraId="136940B0">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11CF219F">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2</w:t>
            </w:r>
          </w:p>
        </w:tc>
        <w:tc>
          <w:tcPr>
            <w:tcW w:w="946" w:type="pct"/>
            <w:tcBorders>
              <w:top w:val="single" w:color="000000" w:sz="4" w:space="0"/>
              <w:left w:val="single" w:color="000000" w:sz="4" w:space="0"/>
              <w:bottom w:val="single" w:color="000000" w:sz="4" w:space="0"/>
              <w:right w:val="single" w:color="000000" w:sz="4" w:space="0"/>
            </w:tcBorders>
            <w:vAlign w:val="center"/>
          </w:tcPr>
          <w:p w14:paraId="032A63F0">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激光高清工程投影机 1</w:t>
            </w:r>
          </w:p>
        </w:tc>
        <w:tc>
          <w:tcPr>
            <w:tcW w:w="415" w:type="pct"/>
            <w:tcBorders>
              <w:top w:val="single" w:color="000000" w:sz="4" w:space="0"/>
              <w:left w:val="single" w:color="000000" w:sz="4" w:space="0"/>
              <w:bottom w:val="single" w:color="000000" w:sz="4" w:space="0"/>
              <w:right w:val="single" w:color="000000" w:sz="4" w:space="0"/>
            </w:tcBorders>
            <w:vAlign w:val="center"/>
          </w:tcPr>
          <w:p w14:paraId="180753CB">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0FC36B64">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7</w:t>
            </w:r>
          </w:p>
        </w:tc>
        <w:tc>
          <w:tcPr>
            <w:tcW w:w="711" w:type="pct"/>
            <w:tcBorders>
              <w:top w:val="single" w:color="000000" w:sz="4" w:space="0"/>
              <w:left w:val="single" w:color="000000" w:sz="4" w:space="0"/>
              <w:bottom w:val="single" w:color="000000" w:sz="4" w:space="0"/>
              <w:right w:val="single" w:color="000000" w:sz="4" w:space="0"/>
            </w:tcBorders>
            <w:vAlign w:val="center"/>
          </w:tcPr>
          <w:p w14:paraId="57D3C8DF">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641646E7">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优先节能</w:t>
            </w:r>
          </w:p>
        </w:tc>
        <w:tc>
          <w:tcPr>
            <w:tcW w:w="688" w:type="pct"/>
            <w:tcBorders>
              <w:top w:val="single" w:color="000000" w:sz="4" w:space="0"/>
              <w:left w:val="single" w:color="000000" w:sz="4" w:space="0"/>
              <w:bottom w:val="single" w:color="000000" w:sz="4" w:space="0"/>
              <w:right w:val="single" w:color="000000" w:sz="4" w:space="0"/>
            </w:tcBorders>
            <w:vAlign w:val="center"/>
          </w:tcPr>
          <w:p w14:paraId="4EC2A694">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优先环保</w:t>
            </w:r>
          </w:p>
        </w:tc>
        <w:tc>
          <w:tcPr>
            <w:tcW w:w="1344" w:type="dxa"/>
            <w:tcBorders>
              <w:top w:val="single" w:color="000000" w:sz="4" w:space="0"/>
              <w:left w:val="single" w:color="000000" w:sz="4" w:space="0"/>
              <w:bottom w:val="single" w:color="000000" w:sz="4" w:space="0"/>
              <w:right w:val="single" w:color="000000" w:sz="4" w:space="0"/>
            </w:tcBorders>
            <w:vAlign w:val="center"/>
          </w:tcPr>
          <w:p w14:paraId="465CA97C">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1.3</w:t>
            </w:r>
          </w:p>
        </w:tc>
      </w:tr>
      <w:tr w14:paraId="0B09EE45">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3641A8E3">
            <w:pPr>
              <w:jc w:val="center"/>
              <w:rPr>
                <w:rFonts w:hint="default" w:ascii="Times New Roman" w:hAnsi="Times New Roman" w:eastAsia="仿宋_GB2312" w:cs="Times New Roman"/>
                <w:color w:val="auto"/>
                <w:kern w:val="0"/>
                <w:sz w:val="24"/>
                <w:szCs w:val="24"/>
                <w:lang w:val="en-US" w:eastAsia="zh-CN" w:bidi="ar"/>
              </w:rPr>
            </w:pPr>
            <w:bookmarkStart w:id="272" w:name="_Hlk214272534"/>
            <w:r>
              <w:rPr>
                <w:rFonts w:hint="default" w:ascii="Times New Roman" w:hAnsi="Times New Roman" w:eastAsia="仿宋_GB2312" w:cs="Times New Roman"/>
                <w:sz w:val="24"/>
                <w:szCs w:val="24"/>
              </w:rPr>
              <w:t>3</w:t>
            </w:r>
          </w:p>
        </w:tc>
        <w:tc>
          <w:tcPr>
            <w:tcW w:w="946" w:type="pct"/>
            <w:tcBorders>
              <w:top w:val="single" w:color="000000" w:sz="4" w:space="0"/>
              <w:left w:val="single" w:color="000000" w:sz="4" w:space="0"/>
              <w:bottom w:val="single" w:color="000000" w:sz="4" w:space="0"/>
              <w:right w:val="single" w:color="000000" w:sz="4" w:space="0"/>
            </w:tcBorders>
            <w:vAlign w:val="center"/>
          </w:tcPr>
          <w:p w14:paraId="715F4FC6">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激光高清工程投影机 2</w:t>
            </w:r>
          </w:p>
        </w:tc>
        <w:tc>
          <w:tcPr>
            <w:tcW w:w="415" w:type="pct"/>
            <w:tcBorders>
              <w:top w:val="single" w:color="000000" w:sz="4" w:space="0"/>
              <w:left w:val="single" w:color="000000" w:sz="4" w:space="0"/>
              <w:bottom w:val="single" w:color="000000" w:sz="4" w:space="0"/>
              <w:right w:val="single" w:color="000000" w:sz="4" w:space="0"/>
            </w:tcBorders>
            <w:vAlign w:val="center"/>
          </w:tcPr>
          <w:p w14:paraId="273F7736">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148CF3FE">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8</w:t>
            </w:r>
          </w:p>
        </w:tc>
        <w:tc>
          <w:tcPr>
            <w:tcW w:w="711" w:type="pct"/>
            <w:tcBorders>
              <w:top w:val="single" w:color="000000" w:sz="4" w:space="0"/>
              <w:left w:val="single" w:color="000000" w:sz="4" w:space="0"/>
              <w:bottom w:val="single" w:color="000000" w:sz="4" w:space="0"/>
              <w:right w:val="single" w:color="000000" w:sz="4" w:space="0"/>
            </w:tcBorders>
            <w:vAlign w:val="center"/>
          </w:tcPr>
          <w:p w14:paraId="76B6488C">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0C1D8FE2">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优先节能</w:t>
            </w:r>
          </w:p>
        </w:tc>
        <w:tc>
          <w:tcPr>
            <w:tcW w:w="688" w:type="pct"/>
            <w:tcBorders>
              <w:top w:val="single" w:color="000000" w:sz="4" w:space="0"/>
              <w:left w:val="single" w:color="000000" w:sz="4" w:space="0"/>
              <w:bottom w:val="single" w:color="000000" w:sz="4" w:space="0"/>
              <w:right w:val="single" w:color="000000" w:sz="4" w:space="0"/>
            </w:tcBorders>
            <w:vAlign w:val="center"/>
          </w:tcPr>
          <w:p w14:paraId="0B7E638E">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优先环保</w:t>
            </w:r>
          </w:p>
        </w:tc>
        <w:tc>
          <w:tcPr>
            <w:tcW w:w="1344" w:type="dxa"/>
            <w:tcBorders>
              <w:top w:val="single" w:color="000000" w:sz="4" w:space="0"/>
              <w:left w:val="single" w:color="000000" w:sz="4" w:space="0"/>
              <w:bottom w:val="single" w:color="000000" w:sz="4" w:space="0"/>
              <w:right w:val="single" w:color="000000" w:sz="4" w:space="0"/>
            </w:tcBorders>
            <w:vAlign w:val="center"/>
          </w:tcPr>
          <w:p w14:paraId="49BF5830">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1.5</w:t>
            </w:r>
          </w:p>
        </w:tc>
      </w:tr>
      <w:tr w14:paraId="3B90FB2F">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54B4CE6A">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4</w:t>
            </w:r>
          </w:p>
        </w:tc>
        <w:tc>
          <w:tcPr>
            <w:tcW w:w="946" w:type="pct"/>
            <w:tcBorders>
              <w:top w:val="single" w:color="000000" w:sz="4" w:space="0"/>
              <w:left w:val="single" w:color="000000" w:sz="4" w:space="0"/>
              <w:bottom w:val="single" w:color="000000" w:sz="4" w:space="0"/>
              <w:right w:val="single" w:color="000000" w:sz="4" w:space="0"/>
            </w:tcBorders>
            <w:vAlign w:val="center"/>
          </w:tcPr>
          <w:p w14:paraId="4B03CF0D">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幕布 1</w:t>
            </w:r>
          </w:p>
        </w:tc>
        <w:tc>
          <w:tcPr>
            <w:tcW w:w="415" w:type="pct"/>
            <w:tcBorders>
              <w:top w:val="single" w:color="000000" w:sz="4" w:space="0"/>
              <w:left w:val="single" w:color="000000" w:sz="4" w:space="0"/>
              <w:bottom w:val="single" w:color="000000" w:sz="4" w:space="0"/>
              <w:right w:val="single" w:color="000000" w:sz="4" w:space="0"/>
            </w:tcBorders>
            <w:vAlign w:val="center"/>
          </w:tcPr>
          <w:p w14:paraId="0F74F671">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套</w:t>
            </w:r>
          </w:p>
        </w:tc>
        <w:tc>
          <w:tcPr>
            <w:tcW w:w="442" w:type="pct"/>
            <w:tcBorders>
              <w:top w:val="single" w:color="000000" w:sz="4" w:space="0"/>
              <w:left w:val="single" w:color="000000" w:sz="4" w:space="0"/>
              <w:bottom w:val="single" w:color="000000" w:sz="4" w:space="0"/>
              <w:right w:val="single" w:color="000000" w:sz="4" w:space="0"/>
            </w:tcBorders>
            <w:vAlign w:val="center"/>
          </w:tcPr>
          <w:p w14:paraId="2CFEA990">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7</w:t>
            </w:r>
          </w:p>
        </w:tc>
        <w:tc>
          <w:tcPr>
            <w:tcW w:w="711" w:type="pct"/>
            <w:tcBorders>
              <w:top w:val="single" w:color="000000" w:sz="4" w:space="0"/>
              <w:left w:val="single" w:color="000000" w:sz="4" w:space="0"/>
              <w:bottom w:val="single" w:color="000000" w:sz="4" w:space="0"/>
              <w:right w:val="single" w:color="000000" w:sz="4" w:space="0"/>
            </w:tcBorders>
            <w:vAlign w:val="center"/>
          </w:tcPr>
          <w:p w14:paraId="596516E8">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595EAE9F">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35F87944">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1C38F724">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0.11</w:t>
            </w:r>
          </w:p>
        </w:tc>
      </w:tr>
      <w:tr w14:paraId="37ECFCC0">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0C205D56">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5</w:t>
            </w:r>
          </w:p>
        </w:tc>
        <w:tc>
          <w:tcPr>
            <w:tcW w:w="946" w:type="pct"/>
            <w:tcBorders>
              <w:top w:val="single" w:color="000000" w:sz="4" w:space="0"/>
              <w:left w:val="single" w:color="000000" w:sz="4" w:space="0"/>
              <w:bottom w:val="single" w:color="000000" w:sz="4" w:space="0"/>
              <w:right w:val="single" w:color="000000" w:sz="4" w:space="0"/>
            </w:tcBorders>
            <w:vAlign w:val="center"/>
          </w:tcPr>
          <w:p w14:paraId="1417C0DC">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幕布 2</w:t>
            </w:r>
          </w:p>
        </w:tc>
        <w:tc>
          <w:tcPr>
            <w:tcW w:w="415" w:type="pct"/>
            <w:tcBorders>
              <w:top w:val="single" w:color="000000" w:sz="4" w:space="0"/>
              <w:left w:val="single" w:color="000000" w:sz="4" w:space="0"/>
              <w:bottom w:val="single" w:color="000000" w:sz="4" w:space="0"/>
              <w:right w:val="single" w:color="000000" w:sz="4" w:space="0"/>
            </w:tcBorders>
            <w:vAlign w:val="center"/>
          </w:tcPr>
          <w:p w14:paraId="608E1123">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套</w:t>
            </w:r>
          </w:p>
        </w:tc>
        <w:tc>
          <w:tcPr>
            <w:tcW w:w="442" w:type="pct"/>
            <w:tcBorders>
              <w:top w:val="single" w:color="000000" w:sz="4" w:space="0"/>
              <w:left w:val="single" w:color="000000" w:sz="4" w:space="0"/>
              <w:bottom w:val="single" w:color="000000" w:sz="4" w:space="0"/>
              <w:right w:val="single" w:color="000000" w:sz="4" w:space="0"/>
            </w:tcBorders>
            <w:vAlign w:val="center"/>
          </w:tcPr>
          <w:p w14:paraId="46E8B06D">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8</w:t>
            </w:r>
          </w:p>
        </w:tc>
        <w:tc>
          <w:tcPr>
            <w:tcW w:w="711" w:type="pct"/>
            <w:tcBorders>
              <w:top w:val="single" w:color="000000" w:sz="4" w:space="0"/>
              <w:left w:val="single" w:color="000000" w:sz="4" w:space="0"/>
              <w:bottom w:val="single" w:color="000000" w:sz="4" w:space="0"/>
              <w:right w:val="single" w:color="000000" w:sz="4" w:space="0"/>
            </w:tcBorders>
            <w:vAlign w:val="center"/>
          </w:tcPr>
          <w:p w14:paraId="70313099">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5D399DEC">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065CCC7A">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18A02AD8">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0.14</w:t>
            </w:r>
          </w:p>
        </w:tc>
      </w:tr>
      <w:tr w14:paraId="1F519B0B">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148D59B6">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6</w:t>
            </w:r>
          </w:p>
        </w:tc>
        <w:tc>
          <w:tcPr>
            <w:tcW w:w="946" w:type="pct"/>
            <w:tcBorders>
              <w:top w:val="single" w:color="000000" w:sz="4" w:space="0"/>
              <w:left w:val="single" w:color="000000" w:sz="4" w:space="0"/>
              <w:bottom w:val="single" w:color="000000" w:sz="4" w:space="0"/>
              <w:right w:val="single" w:color="000000" w:sz="4" w:space="0"/>
            </w:tcBorders>
            <w:vAlign w:val="center"/>
          </w:tcPr>
          <w:p w14:paraId="51C68C74">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高清触摸显示器</w:t>
            </w:r>
          </w:p>
        </w:tc>
        <w:tc>
          <w:tcPr>
            <w:tcW w:w="415" w:type="pct"/>
            <w:tcBorders>
              <w:top w:val="single" w:color="000000" w:sz="4" w:space="0"/>
              <w:left w:val="single" w:color="000000" w:sz="4" w:space="0"/>
              <w:bottom w:val="single" w:color="000000" w:sz="4" w:space="0"/>
              <w:right w:val="single" w:color="000000" w:sz="4" w:space="0"/>
            </w:tcBorders>
            <w:vAlign w:val="center"/>
          </w:tcPr>
          <w:p w14:paraId="32EE5C26">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39FABC66">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22</w:t>
            </w:r>
          </w:p>
        </w:tc>
        <w:tc>
          <w:tcPr>
            <w:tcW w:w="711" w:type="pct"/>
            <w:tcBorders>
              <w:top w:val="single" w:color="000000" w:sz="4" w:space="0"/>
              <w:left w:val="single" w:color="000000" w:sz="4" w:space="0"/>
              <w:bottom w:val="single" w:color="000000" w:sz="4" w:space="0"/>
              <w:right w:val="single" w:color="000000" w:sz="4" w:space="0"/>
            </w:tcBorders>
            <w:vAlign w:val="center"/>
          </w:tcPr>
          <w:p w14:paraId="385B1948">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7E4F5EB8">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强制节能</w:t>
            </w:r>
          </w:p>
        </w:tc>
        <w:tc>
          <w:tcPr>
            <w:tcW w:w="688" w:type="pct"/>
            <w:tcBorders>
              <w:top w:val="single" w:color="000000" w:sz="4" w:space="0"/>
              <w:left w:val="single" w:color="000000" w:sz="4" w:space="0"/>
              <w:bottom w:val="single" w:color="000000" w:sz="4" w:space="0"/>
              <w:right w:val="single" w:color="000000" w:sz="4" w:space="0"/>
            </w:tcBorders>
            <w:vAlign w:val="center"/>
          </w:tcPr>
          <w:p w14:paraId="3FA374E7">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优先环保</w:t>
            </w:r>
          </w:p>
        </w:tc>
        <w:tc>
          <w:tcPr>
            <w:tcW w:w="1344" w:type="dxa"/>
            <w:tcBorders>
              <w:top w:val="single" w:color="000000" w:sz="4" w:space="0"/>
              <w:left w:val="single" w:color="000000" w:sz="4" w:space="0"/>
              <w:bottom w:val="single" w:color="000000" w:sz="4" w:space="0"/>
              <w:right w:val="single" w:color="000000" w:sz="4" w:space="0"/>
            </w:tcBorders>
            <w:vAlign w:val="center"/>
          </w:tcPr>
          <w:p w14:paraId="0C4A7FCC">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0.19</w:t>
            </w:r>
          </w:p>
        </w:tc>
      </w:tr>
      <w:tr w14:paraId="5AB9B811">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0E13744F">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7</w:t>
            </w:r>
          </w:p>
        </w:tc>
        <w:tc>
          <w:tcPr>
            <w:tcW w:w="946" w:type="pct"/>
            <w:tcBorders>
              <w:top w:val="single" w:color="000000" w:sz="4" w:space="0"/>
              <w:left w:val="single" w:color="000000" w:sz="4" w:space="0"/>
              <w:bottom w:val="single" w:color="000000" w:sz="4" w:space="0"/>
              <w:right w:val="single" w:color="000000" w:sz="4" w:space="0"/>
            </w:tcBorders>
            <w:vAlign w:val="center"/>
          </w:tcPr>
          <w:p w14:paraId="44BC31AB">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多媒体智能终端</w:t>
            </w:r>
          </w:p>
        </w:tc>
        <w:tc>
          <w:tcPr>
            <w:tcW w:w="415" w:type="pct"/>
            <w:tcBorders>
              <w:top w:val="single" w:color="000000" w:sz="4" w:space="0"/>
              <w:left w:val="single" w:color="000000" w:sz="4" w:space="0"/>
              <w:bottom w:val="single" w:color="000000" w:sz="4" w:space="0"/>
              <w:right w:val="single" w:color="000000" w:sz="4" w:space="0"/>
            </w:tcBorders>
            <w:vAlign w:val="center"/>
          </w:tcPr>
          <w:p w14:paraId="2BA53E81">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0F603544">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22</w:t>
            </w:r>
          </w:p>
        </w:tc>
        <w:tc>
          <w:tcPr>
            <w:tcW w:w="711" w:type="pct"/>
            <w:tcBorders>
              <w:top w:val="single" w:color="000000" w:sz="4" w:space="0"/>
              <w:left w:val="single" w:color="000000" w:sz="4" w:space="0"/>
              <w:bottom w:val="single" w:color="000000" w:sz="4" w:space="0"/>
              <w:right w:val="single" w:color="000000" w:sz="4" w:space="0"/>
            </w:tcBorders>
            <w:vAlign w:val="center"/>
          </w:tcPr>
          <w:p w14:paraId="162BB9DC">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72CE73B7">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27EADAB9">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6EA889B9">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0.5</w:t>
            </w:r>
          </w:p>
        </w:tc>
      </w:tr>
      <w:tr w14:paraId="4D54741D">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0BC4FDAB">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8</w:t>
            </w:r>
          </w:p>
        </w:tc>
        <w:tc>
          <w:tcPr>
            <w:tcW w:w="946" w:type="pct"/>
            <w:tcBorders>
              <w:top w:val="single" w:color="000000" w:sz="4" w:space="0"/>
              <w:left w:val="single" w:color="000000" w:sz="4" w:space="0"/>
              <w:bottom w:val="single" w:color="000000" w:sz="4" w:space="0"/>
              <w:right w:val="single" w:color="000000" w:sz="4" w:space="0"/>
            </w:tcBorders>
            <w:vAlign w:val="center"/>
          </w:tcPr>
          <w:p w14:paraId="18FBF076">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交互式主机</w:t>
            </w:r>
          </w:p>
        </w:tc>
        <w:tc>
          <w:tcPr>
            <w:tcW w:w="415" w:type="pct"/>
            <w:tcBorders>
              <w:top w:val="single" w:color="000000" w:sz="4" w:space="0"/>
              <w:left w:val="single" w:color="000000" w:sz="4" w:space="0"/>
              <w:bottom w:val="single" w:color="000000" w:sz="4" w:space="0"/>
              <w:right w:val="single" w:color="000000" w:sz="4" w:space="0"/>
            </w:tcBorders>
            <w:vAlign w:val="center"/>
          </w:tcPr>
          <w:p w14:paraId="03D521F9">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07EA5387">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22</w:t>
            </w:r>
          </w:p>
        </w:tc>
        <w:tc>
          <w:tcPr>
            <w:tcW w:w="711" w:type="pct"/>
            <w:tcBorders>
              <w:top w:val="single" w:color="000000" w:sz="4" w:space="0"/>
              <w:left w:val="single" w:color="000000" w:sz="4" w:space="0"/>
              <w:bottom w:val="single" w:color="000000" w:sz="4" w:space="0"/>
              <w:right w:val="single" w:color="000000" w:sz="4" w:space="0"/>
            </w:tcBorders>
            <w:vAlign w:val="center"/>
          </w:tcPr>
          <w:p w14:paraId="631AEBDF">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50EFCEF9">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5A64EF45">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368F14BB">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0.25</w:t>
            </w:r>
          </w:p>
        </w:tc>
      </w:tr>
      <w:tr w14:paraId="06A91D17">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66673A24">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9</w:t>
            </w:r>
          </w:p>
        </w:tc>
        <w:tc>
          <w:tcPr>
            <w:tcW w:w="946" w:type="pct"/>
            <w:tcBorders>
              <w:top w:val="single" w:color="000000" w:sz="4" w:space="0"/>
              <w:left w:val="single" w:color="000000" w:sz="4" w:space="0"/>
              <w:bottom w:val="single" w:color="000000" w:sz="4" w:space="0"/>
              <w:right w:val="single" w:color="000000" w:sz="4" w:space="0"/>
            </w:tcBorders>
            <w:vAlign w:val="center"/>
          </w:tcPr>
          <w:p w14:paraId="1AE0CD22">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sz w:val="24"/>
                <w:szCs w:val="24"/>
              </w:rPr>
              <w:t>智慧教学录播终端（含终端管理软件）</w:t>
            </w:r>
          </w:p>
        </w:tc>
        <w:tc>
          <w:tcPr>
            <w:tcW w:w="415" w:type="pct"/>
            <w:tcBorders>
              <w:top w:val="single" w:color="000000" w:sz="4" w:space="0"/>
              <w:left w:val="single" w:color="000000" w:sz="4" w:space="0"/>
              <w:bottom w:val="single" w:color="000000" w:sz="4" w:space="0"/>
              <w:right w:val="single" w:color="000000" w:sz="4" w:space="0"/>
            </w:tcBorders>
            <w:vAlign w:val="center"/>
          </w:tcPr>
          <w:p w14:paraId="03966588">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47E263A4">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t>2</w:t>
            </w:r>
          </w:p>
        </w:tc>
        <w:tc>
          <w:tcPr>
            <w:tcW w:w="711" w:type="pct"/>
            <w:tcBorders>
              <w:top w:val="single" w:color="000000" w:sz="4" w:space="0"/>
              <w:left w:val="single" w:color="000000" w:sz="4" w:space="0"/>
              <w:bottom w:val="single" w:color="000000" w:sz="4" w:space="0"/>
              <w:right w:val="single" w:color="000000" w:sz="4" w:space="0"/>
            </w:tcBorders>
            <w:vAlign w:val="center"/>
          </w:tcPr>
          <w:p w14:paraId="3139DE54">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36FE1AD6">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4A79B915">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5572B0B5">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0.65</w:t>
            </w:r>
          </w:p>
        </w:tc>
      </w:tr>
      <w:tr w14:paraId="3AC18B86">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7777762B">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10</w:t>
            </w:r>
          </w:p>
        </w:tc>
        <w:tc>
          <w:tcPr>
            <w:tcW w:w="946" w:type="pct"/>
            <w:tcBorders>
              <w:top w:val="single" w:color="000000" w:sz="4" w:space="0"/>
              <w:left w:val="single" w:color="000000" w:sz="4" w:space="0"/>
              <w:bottom w:val="single" w:color="000000" w:sz="4" w:space="0"/>
              <w:right w:val="single" w:color="000000" w:sz="4" w:space="0"/>
            </w:tcBorders>
            <w:vAlign w:val="center"/>
          </w:tcPr>
          <w:p w14:paraId="0A6A0152">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智能AI分析主机（含智能课堂行为分析软件）</w:t>
            </w:r>
          </w:p>
        </w:tc>
        <w:tc>
          <w:tcPr>
            <w:tcW w:w="415" w:type="pct"/>
            <w:tcBorders>
              <w:top w:val="single" w:color="000000" w:sz="4" w:space="0"/>
              <w:left w:val="single" w:color="000000" w:sz="4" w:space="0"/>
              <w:bottom w:val="single" w:color="000000" w:sz="4" w:space="0"/>
              <w:right w:val="single" w:color="000000" w:sz="4" w:space="0"/>
            </w:tcBorders>
            <w:vAlign w:val="center"/>
          </w:tcPr>
          <w:p w14:paraId="4C6C62ED">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619B486D">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w:t>
            </w:r>
          </w:p>
        </w:tc>
        <w:tc>
          <w:tcPr>
            <w:tcW w:w="711" w:type="pct"/>
            <w:tcBorders>
              <w:top w:val="single" w:color="000000" w:sz="4" w:space="0"/>
              <w:left w:val="single" w:color="000000" w:sz="4" w:space="0"/>
              <w:bottom w:val="single" w:color="000000" w:sz="4" w:space="0"/>
              <w:right w:val="single" w:color="000000" w:sz="4" w:space="0"/>
            </w:tcBorders>
            <w:vAlign w:val="center"/>
          </w:tcPr>
          <w:p w14:paraId="137C7CD2">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55ED9B4F">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4E95FC42">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63866928">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4.8</w:t>
            </w:r>
          </w:p>
        </w:tc>
      </w:tr>
      <w:tr w14:paraId="2BD975F1">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617CA659">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11</w:t>
            </w:r>
          </w:p>
        </w:tc>
        <w:tc>
          <w:tcPr>
            <w:tcW w:w="946" w:type="pct"/>
            <w:tcBorders>
              <w:top w:val="single" w:color="000000" w:sz="4" w:space="0"/>
              <w:left w:val="single" w:color="000000" w:sz="4" w:space="0"/>
              <w:bottom w:val="single" w:color="000000" w:sz="4" w:space="0"/>
              <w:right w:val="single" w:color="000000" w:sz="4" w:space="0"/>
            </w:tcBorders>
            <w:vAlign w:val="center"/>
          </w:tcPr>
          <w:p w14:paraId="791BB5C3">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多媒体教室计算机云终端（管理端云桌面授权）</w:t>
            </w:r>
          </w:p>
        </w:tc>
        <w:tc>
          <w:tcPr>
            <w:tcW w:w="415" w:type="pct"/>
            <w:tcBorders>
              <w:top w:val="single" w:color="000000" w:sz="4" w:space="0"/>
              <w:left w:val="single" w:color="000000" w:sz="4" w:space="0"/>
              <w:bottom w:val="single" w:color="000000" w:sz="4" w:space="0"/>
              <w:right w:val="single" w:color="000000" w:sz="4" w:space="0"/>
            </w:tcBorders>
            <w:vAlign w:val="center"/>
          </w:tcPr>
          <w:p w14:paraId="5EFB46EF">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09A2DF6C">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15</w:t>
            </w:r>
          </w:p>
        </w:tc>
        <w:tc>
          <w:tcPr>
            <w:tcW w:w="711" w:type="pct"/>
            <w:tcBorders>
              <w:top w:val="single" w:color="000000" w:sz="4" w:space="0"/>
              <w:left w:val="single" w:color="000000" w:sz="4" w:space="0"/>
              <w:bottom w:val="single" w:color="000000" w:sz="4" w:space="0"/>
              <w:right w:val="single" w:color="000000" w:sz="4" w:space="0"/>
            </w:tcBorders>
            <w:vAlign w:val="center"/>
          </w:tcPr>
          <w:p w14:paraId="1C352767">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48E3D184">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746D625E">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59E71CBD">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0.65</w:t>
            </w:r>
          </w:p>
        </w:tc>
      </w:tr>
      <w:tr w14:paraId="0BA086EE">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5EA93527">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12</w:t>
            </w:r>
          </w:p>
        </w:tc>
        <w:tc>
          <w:tcPr>
            <w:tcW w:w="946" w:type="pct"/>
            <w:tcBorders>
              <w:top w:val="single" w:color="000000" w:sz="4" w:space="0"/>
              <w:left w:val="single" w:color="000000" w:sz="4" w:space="0"/>
              <w:bottom w:val="single" w:color="000000" w:sz="4" w:space="0"/>
              <w:right w:val="single" w:color="000000" w:sz="4" w:space="0"/>
            </w:tcBorders>
            <w:vAlign w:val="center"/>
          </w:tcPr>
          <w:p w14:paraId="73738833">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云桌面软件</w:t>
            </w:r>
          </w:p>
        </w:tc>
        <w:tc>
          <w:tcPr>
            <w:tcW w:w="415" w:type="pct"/>
            <w:tcBorders>
              <w:top w:val="single" w:color="000000" w:sz="4" w:space="0"/>
              <w:left w:val="single" w:color="000000" w:sz="4" w:space="0"/>
              <w:bottom w:val="single" w:color="000000" w:sz="4" w:space="0"/>
              <w:right w:val="single" w:color="000000" w:sz="4" w:space="0"/>
            </w:tcBorders>
            <w:vAlign w:val="center"/>
          </w:tcPr>
          <w:p w14:paraId="57C186D9">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套</w:t>
            </w:r>
          </w:p>
        </w:tc>
        <w:tc>
          <w:tcPr>
            <w:tcW w:w="442" w:type="pct"/>
            <w:tcBorders>
              <w:top w:val="single" w:color="000000" w:sz="4" w:space="0"/>
              <w:left w:val="single" w:color="000000" w:sz="4" w:space="0"/>
              <w:bottom w:val="single" w:color="000000" w:sz="4" w:space="0"/>
              <w:right w:val="single" w:color="000000" w:sz="4" w:space="0"/>
            </w:tcBorders>
            <w:vAlign w:val="center"/>
          </w:tcPr>
          <w:p w14:paraId="7495EAB7">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7</w:t>
            </w:r>
          </w:p>
        </w:tc>
        <w:tc>
          <w:tcPr>
            <w:tcW w:w="711" w:type="pct"/>
            <w:tcBorders>
              <w:top w:val="single" w:color="000000" w:sz="4" w:space="0"/>
              <w:left w:val="single" w:color="000000" w:sz="4" w:space="0"/>
              <w:bottom w:val="single" w:color="000000" w:sz="4" w:space="0"/>
              <w:right w:val="single" w:color="000000" w:sz="4" w:space="0"/>
            </w:tcBorders>
            <w:vAlign w:val="center"/>
          </w:tcPr>
          <w:p w14:paraId="203A4E5B">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软件和信息技术服务业</w:t>
            </w:r>
          </w:p>
        </w:tc>
        <w:tc>
          <w:tcPr>
            <w:tcW w:w="781" w:type="pct"/>
            <w:tcBorders>
              <w:top w:val="single" w:color="000000" w:sz="4" w:space="0"/>
              <w:left w:val="single" w:color="000000" w:sz="4" w:space="0"/>
              <w:bottom w:val="single" w:color="000000" w:sz="4" w:space="0"/>
              <w:right w:val="single" w:color="000000" w:sz="4" w:space="0"/>
            </w:tcBorders>
            <w:vAlign w:val="center"/>
          </w:tcPr>
          <w:p w14:paraId="6D52C9B5">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6665511B">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177D35E6">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0.065</w:t>
            </w:r>
          </w:p>
        </w:tc>
      </w:tr>
      <w:tr w14:paraId="2AEE5289">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4AB7A850">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13</w:t>
            </w:r>
          </w:p>
        </w:tc>
        <w:tc>
          <w:tcPr>
            <w:tcW w:w="946" w:type="pct"/>
            <w:tcBorders>
              <w:top w:val="single" w:color="000000" w:sz="4" w:space="0"/>
              <w:left w:val="single" w:color="000000" w:sz="4" w:space="0"/>
              <w:bottom w:val="single" w:color="000000" w:sz="4" w:space="0"/>
              <w:right w:val="single" w:color="000000" w:sz="4" w:space="0"/>
            </w:tcBorders>
            <w:vAlign w:val="center"/>
          </w:tcPr>
          <w:p w14:paraId="195C7436">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高清云台摄像机</w:t>
            </w:r>
          </w:p>
        </w:tc>
        <w:tc>
          <w:tcPr>
            <w:tcW w:w="415" w:type="pct"/>
            <w:tcBorders>
              <w:top w:val="single" w:color="000000" w:sz="4" w:space="0"/>
              <w:left w:val="single" w:color="000000" w:sz="4" w:space="0"/>
              <w:bottom w:val="single" w:color="000000" w:sz="4" w:space="0"/>
              <w:right w:val="single" w:color="000000" w:sz="4" w:space="0"/>
            </w:tcBorders>
            <w:vAlign w:val="center"/>
          </w:tcPr>
          <w:p w14:paraId="44F10367">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6BC183E3">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44</w:t>
            </w:r>
          </w:p>
        </w:tc>
        <w:tc>
          <w:tcPr>
            <w:tcW w:w="711" w:type="pct"/>
            <w:tcBorders>
              <w:top w:val="single" w:color="000000" w:sz="4" w:space="0"/>
              <w:left w:val="single" w:color="000000" w:sz="4" w:space="0"/>
              <w:bottom w:val="single" w:color="000000" w:sz="4" w:space="0"/>
              <w:right w:val="single" w:color="000000" w:sz="4" w:space="0"/>
            </w:tcBorders>
            <w:vAlign w:val="center"/>
          </w:tcPr>
          <w:p w14:paraId="29E4B98A">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343713FF">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78E8AC81">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1DDE985D">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0.145</w:t>
            </w:r>
          </w:p>
        </w:tc>
      </w:tr>
      <w:tr w14:paraId="3E43F4F8">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5F859735">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14</w:t>
            </w:r>
          </w:p>
        </w:tc>
        <w:tc>
          <w:tcPr>
            <w:tcW w:w="946" w:type="pct"/>
            <w:tcBorders>
              <w:top w:val="single" w:color="000000" w:sz="4" w:space="0"/>
              <w:left w:val="single" w:color="000000" w:sz="4" w:space="0"/>
              <w:bottom w:val="single" w:color="000000" w:sz="4" w:space="0"/>
              <w:right w:val="single" w:color="000000" w:sz="4" w:space="0"/>
            </w:tcBorders>
            <w:vAlign w:val="center"/>
          </w:tcPr>
          <w:p w14:paraId="6D586ED9">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智慧扩声主机</w:t>
            </w:r>
          </w:p>
        </w:tc>
        <w:tc>
          <w:tcPr>
            <w:tcW w:w="415" w:type="pct"/>
            <w:tcBorders>
              <w:top w:val="single" w:color="000000" w:sz="4" w:space="0"/>
              <w:left w:val="single" w:color="000000" w:sz="4" w:space="0"/>
              <w:bottom w:val="single" w:color="000000" w:sz="4" w:space="0"/>
              <w:right w:val="single" w:color="000000" w:sz="4" w:space="0"/>
            </w:tcBorders>
            <w:vAlign w:val="center"/>
          </w:tcPr>
          <w:p w14:paraId="14730505">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223EF2D2">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22</w:t>
            </w:r>
          </w:p>
        </w:tc>
        <w:tc>
          <w:tcPr>
            <w:tcW w:w="711" w:type="pct"/>
            <w:tcBorders>
              <w:top w:val="single" w:color="000000" w:sz="4" w:space="0"/>
              <w:left w:val="single" w:color="000000" w:sz="4" w:space="0"/>
              <w:bottom w:val="single" w:color="000000" w:sz="4" w:space="0"/>
              <w:right w:val="single" w:color="000000" w:sz="4" w:space="0"/>
            </w:tcBorders>
            <w:vAlign w:val="center"/>
          </w:tcPr>
          <w:p w14:paraId="6E3966D9">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2803725C">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480B1F1C">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22E127BA">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0.32</w:t>
            </w:r>
          </w:p>
        </w:tc>
      </w:tr>
      <w:tr w14:paraId="4A32F514">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7C150268">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15</w:t>
            </w:r>
          </w:p>
        </w:tc>
        <w:tc>
          <w:tcPr>
            <w:tcW w:w="946" w:type="pct"/>
            <w:tcBorders>
              <w:top w:val="single" w:color="000000" w:sz="4" w:space="0"/>
              <w:left w:val="single" w:color="000000" w:sz="4" w:space="0"/>
              <w:bottom w:val="single" w:color="000000" w:sz="4" w:space="0"/>
              <w:right w:val="single" w:color="000000" w:sz="4" w:space="0"/>
            </w:tcBorders>
            <w:vAlign w:val="center"/>
          </w:tcPr>
          <w:p w14:paraId="00662BFF">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壁挂式音箱</w:t>
            </w:r>
          </w:p>
        </w:tc>
        <w:tc>
          <w:tcPr>
            <w:tcW w:w="415" w:type="pct"/>
            <w:tcBorders>
              <w:top w:val="single" w:color="000000" w:sz="4" w:space="0"/>
              <w:left w:val="single" w:color="000000" w:sz="4" w:space="0"/>
              <w:bottom w:val="single" w:color="000000" w:sz="4" w:space="0"/>
              <w:right w:val="single" w:color="000000" w:sz="4" w:space="0"/>
            </w:tcBorders>
            <w:vAlign w:val="center"/>
          </w:tcPr>
          <w:p w14:paraId="21E9F200">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个</w:t>
            </w:r>
          </w:p>
        </w:tc>
        <w:tc>
          <w:tcPr>
            <w:tcW w:w="442" w:type="pct"/>
            <w:tcBorders>
              <w:top w:val="single" w:color="000000" w:sz="4" w:space="0"/>
              <w:left w:val="single" w:color="000000" w:sz="4" w:space="0"/>
              <w:bottom w:val="single" w:color="000000" w:sz="4" w:space="0"/>
              <w:right w:val="single" w:color="000000" w:sz="4" w:space="0"/>
            </w:tcBorders>
            <w:vAlign w:val="center"/>
          </w:tcPr>
          <w:p w14:paraId="18A7E340">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44</w:t>
            </w:r>
          </w:p>
        </w:tc>
        <w:tc>
          <w:tcPr>
            <w:tcW w:w="711" w:type="pct"/>
            <w:tcBorders>
              <w:top w:val="single" w:color="000000" w:sz="4" w:space="0"/>
              <w:left w:val="single" w:color="000000" w:sz="4" w:space="0"/>
              <w:bottom w:val="single" w:color="000000" w:sz="4" w:space="0"/>
              <w:right w:val="single" w:color="000000" w:sz="4" w:space="0"/>
            </w:tcBorders>
            <w:vAlign w:val="center"/>
          </w:tcPr>
          <w:p w14:paraId="6A808F0C">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4FCF88E8">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3A846709">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55411C39">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0.07</w:t>
            </w:r>
          </w:p>
        </w:tc>
      </w:tr>
      <w:tr w14:paraId="5B6B6E4C">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6E04F445">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16</w:t>
            </w:r>
          </w:p>
        </w:tc>
        <w:tc>
          <w:tcPr>
            <w:tcW w:w="946" w:type="pct"/>
            <w:tcBorders>
              <w:top w:val="single" w:color="000000" w:sz="4" w:space="0"/>
              <w:left w:val="single" w:color="000000" w:sz="4" w:space="0"/>
              <w:bottom w:val="single" w:color="000000" w:sz="4" w:space="0"/>
              <w:right w:val="single" w:color="000000" w:sz="4" w:space="0"/>
            </w:tcBorders>
            <w:vAlign w:val="center"/>
          </w:tcPr>
          <w:p w14:paraId="0CD053EC">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专业拾音麦</w:t>
            </w:r>
          </w:p>
        </w:tc>
        <w:tc>
          <w:tcPr>
            <w:tcW w:w="415" w:type="pct"/>
            <w:tcBorders>
              <w:top w:val="single" w:color="000000" w:sz="4" w:space="0"/>
              <w:left w:val="single" w:color="000000" w:sz="4" w:space="0"/>
              <w:bottom w:val="single" w:color="000000" w:sz="4" w:space="0"/>
              <w:right w:val="single" w:color="000000" w:sz="4" w:space="0"/>
            </w:tcBorders>
            <w:vAlign w:val="center"/>
          </w:tcPr>
          <w:p w14:paraId="2668097A">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2E6E15C8">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22</w:t>
            </w:r>
          </w:p>
        </w:tc>
        <w:tc>
          <w:tcPr>
            <w:tcW w:w="711" w:type="pct"/>
            <w:tcBorders>
              <w:top w:val="single" w:color="000000" w:sz="4" w:space="0"/>
              <w:left w:val="single" w:color="000000" w:sz="4" w:space="0"/>
              <w:bottom w:val="single" w:color="000000" w:sz="4" w:space="0"/>
              <w:right w:val="single" w:color="000000" w:sz="4" w:space="0"/>
            </w:tcBorders>
            <w:vAlign w:val="center"/>
          </w:tcPr>
          <w:p w14:paraId="1B957576">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557CC429">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1BF281AF">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2B1C69E0">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0.05</w:t>
            </w:r>
          </w:p>
        </w:tc>
      </w:tr>
      <w:tr w14:paraId="00799DE7">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05DDBC56">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17</w:t>
            </w:r>
          </w:p>
        </w:tc>
        <w:tc>
          <w:tcPr>
            <w:tcW w:w="946" w:type="pct"/>
            <w:tcBorders>
              <w:top w:val="single" w:color="000000" w:sz="4" w:space="0"/>
              <w:left w:val="single" w:color="000000" w:sz="4" w:space="0"/>
              <w:bottom w:val="single" w:color="000000" w:sz="4" w:space="0"/>
              <w:right w:val="single" w:color="000000" w:sz="4" w:space="0"/>
            </w:tcBorders>
            <w:vAlign w:val="center"/>
          </w:tcPr>
          <w:p w14:paraId="692D302A">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数字麦克风</w:t>
            </w:r>
          </w:p>
        </w:tc>
        <w:tc>
          <w:tcPr>
            <w:tcW w:w="415" w:type="pct"/>
            <w:tcBorders>
              <w:top w:val="single" w:color="000000" w:sz="4" w:space="0"/>
              <w:left w:val="single" w:color="000000" w:sz="4" w:space="0"/>
              <w:bottom w:val="single" w:color="000000" w:sz="4" w:space="0"/>
              <w:right w:val="single" w:color="000000" w:sz="4" w:space="0"/>
            </w:tcBorders>
            <w:vAlign w:val="center"/>
          </w:tcPr>
          <w:p w14:paraId="64CD3A0C">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套</w:t>
            </w:r>
          </w:p>
        </w:tc>
        <w:tc>
          <w:tcPr>
            <w:tcW w:w="442" w:type="pct"/>
            <w:tcBorders>
              <w:top w:val="single" w:color="000000" w:sz="4" w:space="0"/>
              <w:left w:val="single" w:color="000000" w:sz="4" w:space="0"/>
              <w:bottom w:val="single" w:color="000000" w:sz="4" w:space="0"/>
              <w:right w:val="single" w:color="000000" w:sz="4" w:space="0"/>
            </w:tcBorders>
            <w:vAlign w:val="center"/>
          </w:tcPr>
          <w:p w14:paraId="61E3364C">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22</w:t>
            </w:r>
          </w:p>
        </w:tc>
        <w:tc>
          <w:tcPr>
            <w:tcW w:w="711" w:type="pct"/>
            <w:tcBorders>
              <w:top w:val="single" w:color="000000" w:sz="4" w:space="0"/>
              <w:left w:val="single" w:color="000000" w:sz="4" w:space="0"/>
              <w:bottom w:val="single" w:color="000000" w:sz="4" w:space="0"/>
              <w:right w:val="single" w:color="000000" w:sz="4" w:space="0"/>
            </w:tcBorders>
            <w:vAlign w:val="center"/>
          </w:tcPr>
          <w:p w14:paraId="7DB6285B">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4B399099">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5AFBFEB7">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7BFFD3CD">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0.1</w:t>
            </w:r>
          </w:p>
        </w:tc>
      </w:tr>
      <w:tr w14:paraId="12E68D70">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211CE670">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18</w:t>
            </w:r>
          </w:p>
        </w:tc>
        <w:tc>
          <w:tcPr>
            <w:tcW w:w="946" w:type="pct"/>
            <w:tcBorders>
              <w:top w:val="single" w:color="000000" w:sz="4" w:space="0"/>
              <w:left w:val="single" w:color="000000" w:sz="4" w:space="0"/>
              <w:bottom w:val="single" w:color="000000" w:sz="4" w:space="0"/>
              <w:right w:val="single" w:color="000000" w:sz="4" w:space="0"/>
            </w:tcBorders>
            <w:vAlign w:val="center"/>
          </w:tcPr>
          <w:p w14:paraId="04A82DC3">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教师讲桌</w:t>
            </w:r>
          </w:p>
        </w:tc>
        <w:tc>
          <w:tcPr>
            <w:tcW w:w="415" w:type="pct"/>
            <w:tcBorders>
              <w:top w:val="single" w:color="000000" w:sz="4" w:space="0"/>
              <w:left w:val="single" w:color="000000" w:sz="4" w:space="0"/>
              <w:bottom w:val="single" w:color="000000" w:sz="4" w:space="0"/>
              <w:right w:val="single" w:color="000000" w:sz="4" w:space="0"/>
            </w:tcBorders>
            <w:vAlign w:val="center"/>
          </w:tcPr>
          <w:p w14:paraId="7DAEB2FA">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24981925">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21</w:t>
            </w:r>
          </w:p>
        </w:tc>
        <w:tc>
          <w:tcPr>
            <w:tcW w:w="711" w:type="pct"/>
            <w:tcBorders>
              <w:top w:val="single" w:color="000000" w:sz="4" w:space="0"/>
              <w:left w:val="single" w:color="000000" w:sz="4" w:space="0"/>
              <w:bottom w:val="single" w:color="000000" w:sz="4" w:space="0"/>
              <w:right w:val="single" w:color="000000" w:sz="4" w:space="0"/>
            </w:tcBorders>
            <w:vAlign w:val="center"/>
          </w:tcPr>
          <w:p w14:paraId="26985D4E">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74106B48">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0A0F2ECD">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17D957BF">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0.17</w:t>
            </w:r>
          </w:p>
        </w:tc>
      </w:tr>
      <w:tr w14:paraId="206FB306">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23CC993C">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19</w:t>
            </w:r>
          </w:p>
        </w:tc>
        <w:tc>
          <w:tcPr>
            <w:tcW w:w="946" w:type="pct"/>
            <w:tcBorders>
              <w:top w:val="single" w:color="000000" w:sz="4" w:space="0"/>
              <w:left w:val="single" w:color="000000" w:sz="4" w:space="0"/>
              <w:bottom w:val="single" w:color="000000" w:sz="4" w:space="0"/>
              <w:right w:val="single" w:color="000000" w:sz="4" w:space="0"/>
            </w:tcBorders>
            <w:vAlign w:val="center"/>
          </w:tcPr>
          <w:p w14:paraId="41635226">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8口入室POE交换机</w:t>
            </w:r>
          </w:p>
        </w:tc>
        <w:tc>
          <w:tcPr>
            <w:tcW w:w="415" w:type="pct"/>
            <w:tcBorders>
              <w:top w:val="single" w:color="000000" w:sz="4" w:space="0"/>
              <w:left w:val="single" w:color="000000" w:sz="4" w:space="0"/>
              <w:bottom w:val="single" w:color="000000" w:sz="4" w:space="0"/>
              <w:right w:val="single" w:color="000000" w:sz="4" w:space="0"/>
            </w:tcBorders>
            <w:vAlign w:val="center"/>
          </w:tcPr>
          <w:p w14:paraId="55A4DB03">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1A7484B2">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22</w:t>
            </w:r>
          </w:p>
        </w:tc>
        <w:tc>
          <w:tcPr>
            <w:tcW w:w="711" w:type="pct"/>
            <w:tcBorders>
              <w:top w:val="single" w:color="000000" w:sz="4" w:space="0"/>
              <w:left w:val="single" w:color="000000" w:sz="4" w:space="0"/>
              <w:bottom w:val="single" w:color="000000" w:sz="4" w:space="0"/>
              <w:right w:val="single" w:color="000000" w:sz="4" w:space="0"/>
            </w:tcBorders>
            <w:vAlign w:val="center"/>
          </w:tcPr>
          <w:p w14:paraId="43FF6351">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61BC0441">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5C3A4B85">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100EFEBD">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0.08</w:t>
            </w:r>
          </w:p>
        </w:tc>
      </w:tr>
      <w:tr w14:paraId="0A4D4681">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659A3539">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20</w:t>
            </w:r>
          </w:p>
        </w:tc>
        <w:tc>
          <w:tcPr>
            <w:tcW w:w="946" w:type="pct"/>
            <w:tcBorders>
              <w:top w:val="single" w:color="000000" w:sz="4" w:space="0"/>
              <w:left w:val="single" w:color="000000" w:sz="4" w:space="0"/>
              <w:bottom w:val="single" w:color="000000" w:sz="4" w:space="0"/>
              <w:right w:val="single" w:color="000000" w:sz="4" w:space="0"/>
            </w:tcBorders>
            <w:vAlign w:val="center"/>
          </w:tcPr>
          <w:p w14:paraId="08263E0D">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电源时序器</w:t>
            </w:r>
          </w:p>
        </w:tc>
        <w:tc>
          <w:tcPr>
            <w:tcW w:w="415" w:type="pct"/>
            <w:tcBorders>
              <w:top w:val="single" w:color="000000" w:sz="4" w:space="0"/>
              <w:left w:val="single" w:color="000000" w:sz="4" w:space="0"/>
              <w:bottom w:val="single" w:color="000000" w:sz="4" w:space="0"/>
              <w:right w:val="single" w:color="000000" w:sz="4" w:space="0"/>
            </w:tcBorders>
            <w:vAlign w:val="center"/>
          </w:tcPr>
          <w:p w14:paraId="351235DE">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6458B715">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22</w:t>
            </w:r>
          </w:p>
        </w:tc>
        <w:tc>
          <w:tcPr>
            <w:tcW w:w="711" w:type="pct"/>
            <w:tcBorders>
              <w:top w:val="single" w:color="000000" w:sz="4" w:space="0"/>
              <w:left w:val="single" w:color="000000" w:sz="4" w:space="0"/>
              <w:bottom w:val="single" w:color="000000" w:sz="4" w:space="0"/>
              <w:right w:val="single" w:color="000000" w:sz="4" w:space="0"/>
            </w:tcBorders>
            <w:vAlign w:val="center"/>
          </w:tcPr>
          <w:p w14:paraId="3C26E923">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07981E1D">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4B3346D9">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600D4AAB">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0.1</w:t>
            </w:r>
          </w:p>
        </w:tc>
      </w:tr>
      <w:tr w14:paraId="1FE4BF73">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63F055E8">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21</w:t>
            </w:r>
          </w:p>
        </w:tc>
        <w:tc>
          <w:tcPr>
            <w:tcW w:w="946" w:type="pct"/>
            <w:tcBorders>
              <w:top w:val="single" w:color="000000" w:sz="4" w:space="0"/>
              <w:left w:val="single" w:color="000000" w:sz="4" w:space="0"/>
              <w:bottom w:val="single" w:color="000000" w:sz="4" w:space="0"/>
              <w:right w:val="single" w:color="000000" w:sz="4" w:space="0"/>
            </w:tcBorders>
            <w:vAlign w:val="center"/>
          </w:tcPr>
          <w:p w14:paraId="656A1B7A">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核心交换机</w:t>
            </w:r>
          </w:p>
        </w:tc>
        <w:tc>
          <w:tcPr>
            <w:tcW w:w="415" w:type="pct"/>
            <w:tcBorders>
              <w:top w:val="single" w:color="000000" w:sz="4" w:space="0"/>
              <w:left w:val="single" w:color="000000" w:sz="4" w:space="0"/>
              <w:bottom w:val="single" w:color="000000" w:sz="4" w:space="0"/>
              <w:right w:val="single" w:color="000000" w:sz="4" w:space="0"/>
            </w:tcBorders>
            <w:vAlign w:val="center"/>
          </w:tcPr>
          <w:p w14:paraId="5C811B3A">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32279A25">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w:t>
            </w:r>
          </w:p>
        </w:tc>
        <w:tc>
          <w:tcPr>
            <w:tcW w:w="711" w:type="pct"/>
            <w:tcBorders>
              <w:top w:val="single" w:color="000000" w:sz="4" w:space="0"/>
              <w:left w:val="single" w:color="000000" w:sz="4" w:space="0"/>
              <w:bottom w:val="single" w:color="000000" w:sz="4" w:space="0"/>
              <w:right w:val="single" w:color="000000" w:sz="4" w:space="0"/>
            </w:tcBorders>
            <w:vAlign w:val="center"/>
          </w:tcPr>
          <w:p w14:paraId="7C64182E">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7C62A5BA">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364BD0A4">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36DAB92C">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1.56</w:t>
            </w:r>
          </w:p>
        </w:tc>
      </w:tr>
      <w:tr w14:paraId="2D2DFCFA">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1F45E37E">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22</w:t>
            </w:r>
          </w:p>
        </w:tc>
        <w:tc>
          <w:tcPr>
            <w:tcW w:w="946" w:type="pct"/>
            <w:tcBorders>
              <w:top w:val="single" w:color="000000" w:sz="4" w:space="0"/>
              <w:left w:val="single" w:color="000000" w:sz="4" w:space="0"/>
              <w:bottom w:val="single" w:color="000000" w:sz="4" w:space="0"/>
              <w:right w:val="single" w:color="000000" w:sz="4" w:space="0"/>
            </w:tcBorders>
            <w:vAlign w:val="center"/>
          </w:tcPr>
          <w:p w14:paraId="579CC506">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汇聚交换机</w:t>
            </w:r>
          </w:p>
        </w:tc>
        <w:tc>
          <w:tcPr>
            <w:tcW w:w="415" w:type="pct"/>
            <w:tcBorders>
              <w:top w:val="single" w:color="000000" w:sz="4" w:space="0"/>
              <w:left w:val="single" w:color="000000" w:sz="4" w:space="0"/>
              <w:bottom w:val="single" w:color="000000" w:sz="4" w:space="0"/>
              <w:right w:val="single" w:color="000000" w:sz="4" w:space="0"/>
            </w:tcBorders>
            <w:vAlign w:val="center"/>
          </w:tcPr>
          <w:p w14:paraId="241D1759">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5D10B89D">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w:t>
            </w:r>
          </w:p>
        </w:tc>
        <w:tc>
          <w:tcPr>
            <w:tcW w:w="711" w:type="pct"/>
            <w:tcBorders>
              <w:top w:val="single" w:color="000000" w:sz="4" w:space="0"/>
              <w:left w:val="single" w:color="000000" w:sz="4" w:space="0"/>
              <w:bottom w:val="single" w:color="000000" w:sz="4" w:space="0"/>
              <w:right w:val="single" w:color="000000" w:sz="4" w:space="0"/>
            </w:tcBorders>
            <w:vAlign w:val="center"/>
          </w:tcPr>
          <w:p w14:paraId="771CFD2D">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7F292DA6">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43E6464D">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658A0F9B">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1.1</w:t>
            </w:r>
          </w:p>
        </w:tc>
      </w:tr>
      <w:tr w14:paraId="520EA560">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601DC6B0">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23</w:t>
            </w:r>
          </w:p>
        </w:tc>
        <w:tc>
          <w:tcPr>
            <w:tcW w:w="946" w:type="pct"/>
            <w:tcBorders>
              <w:top w:val="single" w:color="000000" w:sz="4" w:space="0"/>
              <w:left w:val="single" w:color="000000" w:sz="4" w:space="0"/>
              <w:bottom w:val="single" w:color="000000" w:sz="4" w:space="0"/>
              <w:right w:val="single" w:color="000000" w:sz="4" w:space="0"/>
            </w:tcBorders>
            <w:vAlign w:val="center"/>
          </w:tcPr>
          <w:p w14:paraId="2ABAB498">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万兆光模块</w:t>
            </w:r>
          </w:p>
        </w:tc>
        <w:tc>
          <w:tcPr>
            <w:tcW w:w="415" w:type="pct"/>
            <w:tcBorders>
              <w:top w:val="single" w:color="000000" w:sz="4" w:space="0"/>
              <w:left w:val="single" w:color="000000" w:sz="4" w:space="0"/>
              <w:bottom w:val="single" w:color="000000" w:sz="4" w:space="0"/>
              <w:right w:val="single" w:color="000000" w:sz="4" w:space="0"/>
            </w:tcBorders>
            <w:vAlign w:val="center"/>
          </w:tcPr>
          <w:p w14:paraId="2B500501">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套</w:t>
            </w:r>
          </w:p>
        </w:tc>
        <w:tc>
          <w:tcPr>
            <w:tcW w:w="442" w:type="pct"/>
            <w:tcBorders>
              <w:top w:val="single" w:color="000000" w:sz="4" w:space="0"/>
              <w:left w:val="single" w:color="000000" w:sz="4" w:space="0"/>
              <w:bottom w:val="single" w:color="000000" w:sz="4" w:space="0"/>
              <w:right w:val="single" w:color="000000" w:sz="4" w:space="0"/>
            </w:tcBorders>
            <w:vAlign w:val="center"/>
          </w:tcPr>
          <w:p w14:paraId="6AECF7AE">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8</w:t>
            </w:r>
          </w:p>
        </w:tc>
        <w:tc>
          <w:tcPr>
            <w:tcW w:w="711" w:type="pct"/>
            <w:tcBorders>
              <w:top w:val="single" w:color="000000" w:sz="4" w:space="0"/>
              <w:left w:val="single" w:color="000000" w:sz="4" w:space="0"/>
              <w:bottom w:val="single" w:color="000000" w:sz="4" w:space="0"/>
              <w:right w:val="single" w:color="000000" w:sz="4" w:space="0"/>
            </w:tcBorders>
            <w:vAlign w:val="center"/>
          </w:tcPr>
          <w:p w14:paraId="15F88FA2">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1986FEAA">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39E939E0">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3F3CD7D3">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0.1</w:t>
            </w:r>
          </w:p>
        </w:tc>
      </w:tr>
      <w:tr w14:paraId="5D377B89">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1B43AF58">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24</w:t>
            </w:r>
          </w:p>
        </w:tc>
        <w:tc>
          <w:tcPr>
            <w:tcW w:w="946" w:type="pct"/>
            <w:tcBorders>
              <w:top w:val="single" w:color="000000" w:sz="4" w:space="0"/>
              <w:left w:val="single" w:color="000000" w:sz="4" w:space="0"/>
              <w:bottom w:val="single" w:color="000000" w:sz="4" w:space="0"/>
              <w:right w:val="single" w:color="000000" w:sz="4" w:space="0"/>
            </w:tcBorders>
            <w:vAlign w:val="center"/>
          </w:tcPr>
          <w:p w14:paraId="3B9C6EB9">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机柜</w:t>
            </w:r>
          </w:p>
        </w:tc>
        <w:tc>
          <w:tcPr>
            <w:tcW w:w="415" w:type="pct"/>
            <w:tcBorders>
              <w:top w:val="single" w:color="000000" w:sz="4" w:space="0"/>
              <w:left w:val="single" w:color="000000" w:sz="4" w:space="0"/>
              <w:bottom w:val="single" w:color="000000" w:sz="4" w:space="0"/>
              <w:right w:val="single" w:color="000000" w:sz="4" w:space="0"/>
            </w:tcBorders>
            <w:vAlign w:val="center"/>
          </w:tcPr>
          <w:p w14:paraId="7D3BE838">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个</w:t>
            </w:r>
          </w:p>
        </w:tc>
        <w:tc>
          <w:tcPr>
            <w:tcW w:w="442" w:type="pct"/>
            <w:tcBorders>
              <w:top w:val="single" w:color="000000" w:sz="4" w:space="0"/>
              <w:left w:val="single" w:color="000000" w:sz="4" w:space="0"/>
              <w:bottom w:val="single" w:color="000000" w:sz="4" w:space="0"/>
              <w:right w:val="single" w:color="000000" w:sz="4" w:space="0"/>
            </w:tcBorders>
            <w:vAlign w:val="center"/>
          </w:tcPr>
          <w:p w14:paraId="1690A783">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w:t>
            </w:r>
          </w:p>
        </w:tc>
        <w:tc>
          <w:tcPr>
            <w:tcW w:w="711" w:type="pct"/>
            <w:tcBorders>
              <w:top w:val="single" w:color="000000" w:sz="4" w:space="0"/>
              <w:left w:val="single" w:color="000000" w:sz="4" w:space="0"/>
              <w:bottom w:val="single" w:color="000000" w:sz="4" w:space="0"/>
              <w:right w:val="single" w:color="000000" w:sz="4" w:space="0"/>
            </w:tcBorders>
            <w:vAlign w:val="center"/>
          </w:tcPr>
          <w:p w14:paraId="4FD37931">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3F7B25FA">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5ED8E09A">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3E5E1B9B">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0.07</w:t>
            </w:r>
          </w:p>
        </w:tc>
      </w:tr>
      <w:tr w14:paraId="300CD60C">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11649D9E">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25</w:t>
            </w:r>
          </w:p>
        </w:tc>
        <w:tc>
          <w:tcPr>
            <w:tcW w:w="946" w:type="pct"/>
            <w:tcBorders>
              <w:top w:val="single" w:color="000000" w:sz="4" w:space="0"/>
              <w:left w:val="single" w:color="000000" w:sz="4" w:space="0"/>
              <w:bottom w:val="single" w:color="000000" w:sz="4" w:space="0"/>
              <w:right w:val="single" w:color="000000" w:sz="4" w:space="0"/>
            </w:tcBorders>
            <w:vAlign w:val="center"/>
          </w:tcPr>
          <w:p w14:paraId="31BCD2C4">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磁盘阵列</w:t>
            </w:r>
          </w:p>
        </w:tc>
        <w:tc>
          <w:tcPr>
            <w:tcW w:w="415" w:type="pct"/>
            <w:tcBorders>
              <w:top w:val="single" w:color="000000" w:sz="4" w:space="0"/>
              <w:left w:val="single" w:color="000000" w:sz="4" w:space="0"/>
              <w:bottom w:val="single" w:color="000000" w:sz="4" w:space="0"/>
              <w:right w:val="single" w:color="000000" w:sz="4" w:space="0"/>
            </w:tcBorders>
            <w:vAlign w:val="center"/>
          </w:tcPr>
          <w:p w14:paraId="0581DE1A">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套</w:t>
            </w:r>
          </w:p>
        </w:tc>
        <w:tc>
          <w:tcPr>
            <w:tcW w:w="442" w:type="pct"/>
            <w:tcBorders>
              <w:top w:val="single" w:color="000000" w:sz="4" w:space="0"/>
              <w:left w:val="single" w:color="000000" w:sz="4" w:space="0"/>
              <w:bottom w:val="single" w:color="000000" w:sz="4" w:space="0"/>
              <w:right w:val="single" w:color="000000" w:sz="4" w:space="0"/>
            </w:tcBorders>
            <w:vAlign w:val="center"/>
          </w:tcPr>
          <w:p w14:paraId="63D8BA7A">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w:t>
            </w:r>
          </w:p>
        </w:tc>
        <w:tc>
          <w:tcPr>
            <w:tcW w:w="711" w:type="pct"/>
            <w:tcBorders>
              <w:top w:val="single" w:color="000000" w:sz="4" w:space="0"/>
              <w:left w:val="single" w:color="000000" w:sz="4" w:space="0"/>
              <w:bottom w:val="single" w:color="000000" w:sz="4" w:space="0"/>
              <w:right w:val="single" w:color="000000" w:sz="4" w:space="0"/>
            </w:tcBorders>
            <w:vAlign w:val="center"/>
          </w:tcPr>
          <w:p w14:paraId="7374678C">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14499EA0">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513E074B">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优先环保</w:t>
            </w:r>
          </w:p>
        </w:tc>
        <w:tc>
          <w:tcPr>
            <w:tcW w:w="1344" w:type="dxa"/>
            <w:tcBorders>
              <w:top w:val="single" w:color="000000" w:sz="4" w:space="0"/>
              <w:left w:val="single" w:color="000000" w:sz="4" w:space="0"/>
              <w:bottom w:val="single" w:color="000000" w:sz="4" w:space="0"/>
              <w:right w:val="single" w:color="000000" w:sz="4" w:space="0"/>
            </w:tcBorders>
            <w:vAlign w:val="center"/>
          </w:tcPr>
          <w:p w14:paraId="2CEA4324">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5.2</w:t>
            </w:r>
          </w:p>
        </w:tc>
      </w:tr>
      <w:tr w14:paraId="35D1410E">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5AC9D274">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26</w:t>
            </w:r>
          </w:p>
        </w:tc>
        <w:tc>
          <w:tcPr>
            <w:tcW w:w="946" w:type="pct"/>
            <w:tcBorders>
              <w:top w:val="single" w:color="000000" w:sz="4" w:space="0"/>
              <w:left w:val="single" w:color="000000" w:sz="4" w:space="0"/>
              <w:bottom w:val="single" w:color="000000" w:sz="4" w:space="0"/>
              <w:right w:val="single" w:color="000000" w:sz="4" w:space="0"/>
            </w:tcBorders>
            <w:vAlign w:val="center"/>
          </w:tcPr>
          <w:p w14:paraId="51605995">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图文工作站</w:t>
            </w:r>
          </w:p>
        </w:tc>
        <w:tc>
          <w:tcPr>
            <w:tcW w:w="415" w:type="pct"/>
            <w:tcBorders>
              <w:top w:val="single" w:color="000000" w:sz="4" w:space="0"/>
              <w:left w:val="single" w:color="000000" w:sz="4" w:space="0"/>
              <w:bottom w:val="single" w:color="000000" w:sz="4" w:space="0"/>
              <w:right w:val="single" w:color="000000" w:sz="4" w:space="0"/>
            </w:tcBorders>
            <w:vAlign w:val="center"/>
          </w:tcPr>
          <w:p w14:paraId="4E5A675E">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43CD3DE7">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w:t>
            </w:r>
          </w:p>
        </w:tc>
        <w:tc>
          <w:tcPr>
            <w:tcW w:w="711" w:type="pct"/>
            <w:tcBorders>
              <w:top w:val="single" w:color="000000" w:sz="4" w:space="0"/>
              <w:left w:val="single" w:color="000000" w:sz="4" w:space="0"/>
              <w:bottom w:val="single" w:color="000000" w:sz="4" w:space="0"/>
              <w:right w:val="single" w:color="000000" w:sz="4" w:space="0"/>
            </w:tcBorders>
            <w:vAlign w:val="center"/>
          </w:tcPr>
          <w:p w14:paraId="2F92753E">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2B08CB44">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4710ABA1">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 w:cs="Times New Roman"/>
                <w:color w:val="auto"/>
                <w:sz w:val="24"/>
                <w:szCs w:val="24"/>
                <w:lang w:val="en-US" w:eastAsia="zh-CN"/>
              </w:rPr>
              <w:t>优先环保</w:t>
            </w:r>
          </w:p>
        </w:tc>
        <w:tc>
          <w:tcPr>
            <w:tcW w:w="1344" w:type="dxa"/>
            <w:tcBorders>
              <w:top w:val="single" w:color="000000" w:sz="4" w:space="0"/>
              <w:left w:val="single" w:color="000000" w:sz="4" w:space="0"/>
              <w:bottom w:val="single" w:color="000000" w:sz="4" w:space="0"/>
              <w:right w:val="single" w:color="000000" w:sz="4" w:space="0"/>
            </w:tcBorders>
            <w:vAlign w:val="center"/>
          </w:tcPr>
          <w:p w14:paraId="35C706D4">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1.05</w:t>
            </w:r>
          </w:p>
        </w:tc>
      </w:tr>
      <w:tr w14:paraId="7DC89201">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1EC6B3DB">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27</w:t>
            </w:r>
          </w:p>
        </w:tc>
        <w:tc>
          <w:tcPr>
            <w:tcW w:w="946" w:type="pct"/>
            <w:tcBorders>
              <w:top w:val="single" w:color="000000" w:sz="4" w:space="0"/>
              <w:left w:val="single" w:color="000000" w:sz="4" w:space="0"/>
              <w:bottom w:val="single" w:color="000000" w:sz="4" w:space="0"/>
              <w:right w:val="single" w:color="000000" w:sz="4" w:space="0"/>
            </w:tcBorders>
            <w:vAlign w:val="center"/>
          </w:tcPr>
          <w:p w14:paraId="0A7E265B">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高清显示器</w:t>
            </w:r>
          </w:p>
        </w:tc>
        <w:tc>
          <w:tcPr>
            <w:tcW w:w="415" w:type="pct"/>
            <w:tcBorders>
              <w:top w:val="single" w:color="000000" w:sz="4" w:space="0"/>
              <w:left w:val="single" w:color="000000" w:sz="4" w:space="0"/>
              <w:bottom w:val="single" w:color="000000" w:sz="4" w:space="0"/>
              <w:right w:val="single" w:color="000000" w:sz="4" w:space="0"/>
            </w:tcBorders>
            <w:vAlign w:val="center"/>
          </w:tcPr>
          <w:p w14:paraId="02BEDA64">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台</w:t>
            </w:r>
          </w:p>
        </w:tc>
        <w:tc>
          <w:tcPr>
            <w:tcW w:w="442" w:type="pct"/>
            <w:tcBorders>
              <w:top w:val="single" w:color="000000" w:sz="4" w:space="0"/>
              <w:left w:val="single" w:color="000000" w:sz="4" w:space="0"/>
              <w:bottom w:val="single" w:color="000000" w:sz="4" w:space="0"/>
              <w:right w:val="single" w:color="000000" w:sz="4" w:space="0"/>
            </w:tcBorders>
            <w:vAlign w:val="center"/>
          </w:tcPr>
          <w:p w14:paraId="6C935DAE">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4</w:t>
            </w:r>
          </w:p>
        </w:tc>
        <w:tc>
          <w:tcPr>
            <w:tcW w:w="711" w:type="pct"/>
            <w:tcBorders>
              <w:top w:val="single" w:color="000000" w:sz="4" w:space="0"/>
              <w:left w:val="single" w:color="000000" w:sz="4" w:space="0"/>
              <w:bottom w:val="single" w:color="000000" w:sz="4" w:space="0"/>
              <w:right w:val="single" w:color="000000" w:sz="4" w:space="0"/>
            </w:tcBorders>
            <w:vAlign w:val="center"/>
          </w:tcPr>
          <w:p w14:paraId="1CB6D17D">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580B411A">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强制节能</w:t>
            </w:r>
          </w:p>
        </w:tc>
        <w:tc>
          <w:tcPr>
            <w:tcW w:w="688" w:type="pct"/>
            <w:tcBorders>
              <w:top w:val="single" w:color="000000" w:sz="4" w:space="0"/>
              <w:left w:val="single" w:color="000000" w:sz="4" w:space="0"/>
              <w:bottom w:val="single" w:color="000000" w:sz="4" w:space="0"/>
              <w:right w:val="single" w:color="000000" w:sz="4" w:space="0"/>
            </w:tcBorders>
            <w:vAlign w:val="center"/>
          </w:tcPr>
          <w:p w14:paraId="0C0EB46B">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优先环保</w:t>
            </w:r>
          </w:p>
        </w:tc>
        <w:tc>
          <w:tcPr>
            <w:tcW w:w="1344" w:type="dxa"/>
            <w:tcBorders>
              <w:top w:val="single" w:color="000000" w:sz="4" w:space="0"/>
              <w:left w:val="single" w:color="000000" w:sz="4" w:space="0"/>
              <w:bottom w:val="single" w:color="000000" w:sz="4" w:space="0"/>
              <w:right w:val="single" w:color="000000" w:sz="4" w:space="0"/>
            </w:tcBorders>
            <w:vAlign w:val="center"/>
          </w:tcPr>
          <w:p w14:paraId="59C81BCD">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0.26</w:t>
            </w:r>
          </w:p>
        </w:tc>
      </w:tr>
      <w:tr w14:paraId="6EC047B2">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18378582">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28</w:t>
            </w:r>
          </w:p>
        </w:tc>
        <w:tc>
          <w:tcPr>
            <w:tcW w:w="946" w:type="pct"/>
            <w:tcBorders>
              <w:top w:val="single" w:color="000000" w:sz="4" w:space="0"/>
              <w:left w:val="single" w:color="000000" w:sz="4" w:space="0"/>
              <w:bottom w:val="single" w:color="000000" w:sz="4" w:space="0"/>
              <w:right w:val="single" w:color="000000" w:sz="4" w:space="0"/>
            </w:tcBorders>
            <w:vAlign w:val="center"/>
          </w:tcPr>
          <w:p w14:paraId="4E31E2AE">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桌椅</w:t>
            </w:r>
          </w:p>
        </w:tc>
        <w:tc>
          <w:tcPr>
            <w:tcW w:w="415" w:type="pct"/>
            <w:tcBorders>
              <w:top w:val="single" w:color="000000" w:sz="4" w:space="0"/>
              <w:left w:val="single" w:color="000000" w:sz="4" w:space="0"/>
              <w:bottom w:val="single" w:color="000000" w:sz="4" w:space="0"/>
              <w:right w:val="single" w:color="000000" w:sz="4" w:space="0"/>
            </w:tcBorders>
            <w:vAlign w:val="center"/>
          </w:tcPr>
          <w:p w14:paraId="17DE4CAF">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套</w:t>
            </w:r>
          </w:p>
        </w:tc>
        <w:tc>
          <w:tcPr>
            <w:tcW w:w="442" w:type="pct"/>
            <w:tcBorders>
              <w:top w:val="single" w:color="000000" w:sz="4" w:space="0"/>
              <w:left w:val="single" w:color="000000" w:sz="4" w:space="0"/>
              <w:bottom w:val="single" w:color="000000" w:sz="4" w:space="0"/>
              <w:right w:val="single" w:color="000000" w:sz="4" w:space="0"/>
            </w:tcBorders>
            <w:vAlign w:val="center"/>
          </w:tcPr>
          <w:p w14:paraId="1DF2667D">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60</w:t>
            </w:r>
          </w:p>
        </w:tc>
        <w:tc>
          <w:tcPr>
            <w:tcW w:w="711" w:type="pct"/>
            <w:tcBorders>
              <w:top w:val="single" w:color="000000" w:sz="4" w:space="0"/>
              <w:left w:val="single" w:color="000000" w:sz="4" w:space="0"/>
              <w:bottom w:val="single" w:color="000000" w:sz="4" w:space="0"/>
              <w:right w:val="single" w:color="000000" w:sz="4" w:space="0"/>
            </w:tcBorders>
            <w:vAlign w:val="center"/>
          </w:tcPr>
          <w:p w14:paraId="24D68206">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工业</w:t>
            </w:r>
          </w:p>
        </w:tc>
        <w:tc>
          <w:tcPr>
            <w:tcW w:w="781" w:type="pct"/>
            <w:tcBorders>
              <w:top w:val="single" w:color="000000" w:sz="4" w:space="0"/>
              <w:left w:val="single" w:color="000000" w:sz="4" w:space="0"/>
              <w:bottom w:val="single" w:color="000000" w:sz="4" w:space="0"/>
              <w:right w:val="single" w:color="000000" w:sz="4" w:space="0"/>
            </w:tcBorders>
            <w:vAlign w:val="center"/>
          </w:tcPr>
          <w:p w14:paraId="4AC83FED">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313E4595">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 w:cs="Times New Roman"/>
                <w:color w:val="auto"/>
                <w:sz w:val="24"/>
                <w:szCs w:val="24"/>
                <w:lang w:val="en-US" w:eastAsia="zh-CN"/>
              </w:rPr>
              <w:t>优先环保</w:t>
            </w:r>
          </w:p>
        </w:tc>
        <w:tc>
          <w:tcPr>
            <w:tcW w:w="1344" w:type="dxa"/>
            <w:tcBorders>
              <w:top w:val="single" w:color="000000" w:sz="4" w:space="0"/>
              <w:left w:val="single" w:color="000000" w:sz="4" w:space="0"/>
              <w:bottom w:val="single" w:color="000000" w:sz="4" w:space="0"/>
              <w:right w:val="single" w:color="000000" w:sz="4" w:space="0"/>
            </w:tcBorders>
            <w:vAlign w:val="center"/>
          </w:tcPr>
          <w:p w14:paraId="08FDE23A">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0.05</w:t>
            </w:r>
          </w:p>
        </w:tc>
      </w:tr>
      <w:tr w14:paraId="5C2FE2B7">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620CB973">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29</w:t>
            </w:r>
          </w:p>
        </w:tc>
        <w:tc>
          <w:tcPr>
            <w:tcW w:w="946" w:type="pct"/>
            <w:tcBorders>
              <w:top w:val="single" w:color="000000" w:sz="4" w:space="0"/>
              <w:left w:val="single" w:color="000000" w:sz="4" w:space="0"/>
              <w:bottom w:val="single" w:color="000000" w:sz="4" w:space="0"/>
              <w:right w:val="single" w:color="000000" w:sz="4" w:space="0"/>
            </w:tcBorders>
            <w:vAlign w:val="center"/>
          </w:tcPr>
          <w:p w14:paraId="264B565A">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前墙吸音板</w:t>
            </w:r>
          </w:p>
        </w:tc>
        <w:tc>
          <w:tcPr>
            <w:tcW w:w="415" w:type="pct"/>
            <w:tcBorders>
              <w:top w:val="single" w:color="000000" w:sz="4" w:space="0"/>
              <w:left w:val="single" w:color="000000" w:sz="4" w:space="0"/>
              <w:bottom w:val="single" w:color="000000" w:sz="4" w:space="0"/>
              <w:right w:val="single" w:color="000000" w:sz="4" w:space="0"/>
            </w:tcBorders>
            <w:vAlign w:val="center"/>
          </w:tcPr>
          <w:p w14:paraId="2B906B83">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间</w:t>
            </w:r>
          </w:p>
        </w:tc>
        <w:tc>
          <w:tcPr>
            <w:tcW w:w="442" w:type="pct"/>
            <w:tcBorders>
              <w:top w:val="single" w:color="000000" w:sz="4" w:space="0"/>
              <w:left w:val="single" w:color="000000" w:sz="4" w:space="0"/>
              <w:bottom w:val="single" w:color="000000" w:sz="4" w:space="0"/>
              <w:right w:val="single" w:color="000000" w:sz="4" w:space="0"/>
            </w:tcBorders>
            <w:vAlign w:val="center"/>
          </w:tcPr>
          <w:p w14:paraId="2A26ACF7">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21</w:t>
            </w:r>
          </w:p>
        </w:tc>
        <w:tc>
          <w:tcPr>
            <w:tcW w:w="711" w:type="pct"/>
            <w:tcBorders>
              <w:top w:val="single" w:color="000000" w:sz="4" w:space="0"/>
              <w:left w:val="single" w:color="000000" w:sz="4" w:space="0"/>
              <w:bottom w:val="single" w:color="000000" w:sz="4" w:space="0"/>
              <w:right w:val="single" w:color="000000" w:sz="4" w:space="0"/>
            </w:tcBorders>
            <w:vAlign w:val="center"/>
          </w:tcPr>
          <w:p w14:paraId="1411B229">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781" w:type="pct"/>
            <w:tcBorders>
              <w:top w:val="single" w:color="000000" w:sz="4" w:space="0"/>
              <w:left w:val="single" w:color="000000" w:sz="4" w:space="0"/>
              <w:bottom w:val="single" w:color="000000" w:sz="4" w:space="0"/>
              <w:right w:val="single" w:color="000000" w:sz="4" w:space="0"/>
            </w:tcBorders>
            <w:vAlign w:val="center"/>
          </w:tcPr>
          <w:p w14:paraId="542FBE42">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3274878C">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60D14881">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0.31</w:t>
            </w:r>
          </w:p>
        </w:tc>
      </w:tr>
      <w:tr w14:paraId="44C3179B">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74BEF948">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30</w:t>
            </w:r>
          </w:p>
        </w:tc>
        <w:tc>
          <w:tcPr>
            <w:tcW w:w="946" w:type="pct"/>
            <w:tcBorders>
              <w:top w:val="single" w:color="000000" w:sz="4" w:space="0"/>
              <w:left w:val="single" w:color="000000" w:sz="4" w:space="0"/>
              <w:bottom w:val="single" w:color="000000" w:sz="4" w:space="0"/>
              <w:right w:val="single" w:color="000000" w:sz="4" w:space="0"/>
            </w:tcBorders>
            <w:vAlign w:val="center"/>
          </w:tcPr>
          <w:p w14:paraId="0327EE18">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驻场运维服务</w:t>
            </w:r>
          </w:p>
        </w:tc>
        <w:tc>
          <w:tcPr>
            <w:tcW w:w="415" w:type="pct"/>
            <w:tcBorders>
              <w:top w:val="single" w:color="000000" w:sz="4" w:space="0"/>
              <w:left w:val="single" w:color="000000" w:sz="4" w:space="0"/>
              <w:bottom w:val="single" w:color="000000" w:sz="4" w:space="0"/>
              <w:right w:val="single" w:color="000000" w:sz="4" w:space="0"/>
            </w:tcBorders>
            <w:vAlign w:val="center"/>
          </w:tcPr>
          <w:p w14:paraId="1D04BD1B">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highlight w:val="none"/>
                <w:lang w:val="en-US" w:eastAsia="zh-CN"/>
              </w:rPr>
              <w:t>项</w:t>
            </w:r>
          </w:p>
        </w:tc>
        <w:tc>
          <w:tcPr>
            <w:tcW w:w="442" w:type="pct"/>
            <w:tcBorders>
              <w:top w:val="single" w:color="000000" w:sz="4" w:space="0"/>
              <w:left w:val="single" w:color="000000" w:sz="4" w:space="0"/>
              <w:bottom w:val="single" w:color="000000" w:sz="4" w:space="0"/>
              <w:right w:val="single" w:color="000000" w:sz="4" w:space="0"/>
            </w:tcBorders>
            <w:vAlign w:val="center"/>
          </w:tcPr>
          <w:p w14:paraId="31DE7604">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1</w:t>
            </w:r>
          </w:p>
        </w:tc>
        <w:tc>
          <w:tcPr>
            <w:tcW w:w="711" w:type="pct"/>
            <w:tcBorders>
              <w:top w:val="single" w:color="000000" w:sz="4" w:space="0"/>
              <w:left w:val="single" w:color="000000" w:sz="4" w:space="0"/>
              <w:bottom w:val="single" w:color="000000" w:sz="4" w:space="0"/>
              <w:right w:val="single" w:color="000000" w:sz="4" w:space="0"/>
            </w:tcBorders>
            <w:vAlign w:val="center"/>
          </w:tcPr>
          <w:p w14:paraId="6AFFE61B">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781" w:type="pct"/>
            <w:tcBorders>
              <w:top w:val="single" w:color="000000" w:sz="4" w:space="0"/>
              <w:left w:val="single" w:color="000000" w:sz="4" w:space="0"/>
              <w:bottom w:val="single" w:color="000000" w:sz="4" w:space="0"/>
              <w:right w:val="single" w:color="000000" w:sz="4" w:space="0"/>
            </w:tcBorders>
            <w:vAlign w:val="center"/>
          </w:tcPr>
          <w:p w14:paraId="6CF4D152">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15BBD7EB">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0527542F">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7.2</w:t>
            </w:r>
          </w:p>
        </w:tc>
      </w:tr>
      <w:tr w14:paraId="376C3469">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19393505">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31</w:t>
            </w:r>
          </w:p>
        </w:tc>
        <w:tc>
          <w:tcPr>
            <w:tcW w:w="946" w:type="pct"/>
            <w:tcBorders>
              <w:top w:val="single" w:color="000000" w:sz="4" w:space="0"/>
              <w:left w:val="single" w:color="000000" w:sz="4" w:space="0"/>
              <w:bottom w:val="single" w:color="000000" w:sz="4" w:space="0"/>
              <w:right w:val="single" w:color="000000" w:sz="4" w:space="0"/>
            </w:tcBorders>
            <w:vAlign w:val="center"/>
          </w:tcPr>
          <w:p w14:paraId="381493E2">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52平教室配件线材及系统集成1</w:t>
            </w:r>
          </w:p>
        </w:tc>
        <w:tc>
          <w:tcPr>
            <w:tcW w:w="415" w:type="pct"/>
            <w:tcBorders>
              <w:top w:val="single" w:color="000000" w:sz="4" w:space="0"/>
              <w:left w:val="single" w:color="000000" w:sz="4" w:space="0"/>
              <w:bottom w:val="single" w:color="000000" w:sz="4" w:space="0"/>
              <w:right w:val="single" w:color="000000" w:sz="4" w:space="0"/>
            </w:tcBorders>
            <w:vAlign w:val="center"/>
          </w:tcPr>
          <w:p w14:paraId="1B7F8E8A">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项</w:t>
            </w:r>
          </w:p>
        </w:tc>
        <w:tc>
          <w:tcPr>
            <w:tcW w:w="442" w:type="pct"/>
            <w:tcBorders>
              <w:top w:val="single" w:color="000000" w:sz="4" w:space="0"/>
              <w:left w:val="single" w:color="000000" w:sz="4" w:space="0"/>
              <w:bottom w:val="single" w:color="000000" w:sz="4" w:space="0"/>
              <w:right w:val="single" w:color="000000" w:sz="4" w:space="0"/>
            </w:tcBorders>
            <w:vAlign w:val="center"/>
          </w:tcPr>
          <w:p w14:paraId="35067E3C">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rPr>
              <w:t>2</w:t>
            </w:r>
          </w:p>
        </w:tc>
        <w:tc>
          <w:tcPr>
            <w:tcW w:w="711" w:type="pct"/>
            <w:tcBorders>
              <w:top w:val="single" w:color="000000" w:sz="4" w:space="0"/>
              <w:left w:val="single" w:color="000000" w:sz="4" w:space="0"/>
              <w:bottom w:val="single" w:color="000000" w:sz="4" w:space="0"/>
              <w:right w:val="single" w:color="000000" w:sz="4" w:space="0"/>
            </w:tcBorders>
            <w:vAlign w:val="center"/>
          </w:tcPr>
          <w:p w14:paraId="60E3CB1B">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781" w:type="pct"/>
            <w:tcBorders>
              <w:top w:val="single" w:color="000000" w:sz="4" w:space="0"/>
              <w:left w:val="single" w:color="000000" w:sz="4" w:space="0"/>
              <w:bottom w:val="single" w:color="000000" w:sz="4" w:space="0"/>
              <w:right w:val="single" w:color="000000" w:sz="4" w:space="0"/>
            </w:tcBorders>
            <w:vAlign w:val="center"/>
          </w:tcPr>
          <w:p w14:paraId="78EC1225">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5DFE45C1">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74BBCB29">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0.12</w:t>
            </w:r>
          </w:p>
        </w:tc>
      </w:tr>
      <w:tr w14:paraId="3910D8DF">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496428DE">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32</w:t>
            </w:r>
          </w:p>
        </w:tc>
        <w:tc>
          <w:tcPr>
            <w:tcW w:w="946" w:type="pct"/>
            <w:tcBorders>
              <w:top w:val="single" w:color="000000" w:sz="4" w:space="0"/>
              <w:left w:val="single" w:color="000000" w:sz="4" w:space="0"/>
              <w:bottom w:val="single" w:color="000000" w:sz="4" w:space="0"/>
              <w:right w:val="single" w:color="000000" w:sz="4" w:space="0"/>
            </w:tcBorders>
            <w:vAlign w:val="center"/>
          </w:tcPr>
          <w:p w14:paraId="52F0AED4">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60-74平教室配件线材及系统集成2</w:t>
            </w:r>
          </w:p>
        </w:tc>
        <w:tc>
          <w:tcPr>
            <w:tcW w:w="415" w:type="pct"/>
            <w:tcBorders>
              <w:top w:val="single" w:color="000000" w:sz="4" w:space="0"/>
              <w:left w:val="single" w:color="000000" w:sz="4" w:space="0"/>
              <w:bottom w:val="single" w:color="000000" w:sz="4" w:space="0"/>
              <w:right w:val="single" w:color="000000" w:sz="4" w:space="0"/>
            </w:tcBorders>
            <w:vAlign w:val="center"/>
          </w:tcPr>
          <w:p w14:paraId="7A399573">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项</w:t>
            </w:r>
          </w:p>
        </w:tc>
        <w:tc>
          <w:tcPr>
            <w:tcW w:w="442" w:type="pct"/>
            <w:tcBorders>
              <w:top w:val="single" w:color="000000" w:sz="4" w:space="0"/>
              <w:left w:val="single" w:color="000000" w:sz="4" w:space="0"/>
              <w:bottom w:val="single" w:color="000000" w:sz="4" w:space="0"/>
              <w:right w:val="single" w:color="000000" w:sz="4" w:space="0"/>
            </w:tcBorders>
            <w:vAlign w:val="center"/>
          </w:tcPr>
          <w:p w14:paraId="3EB158B8">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11</w:t>
            </w:r>
          </w:p>
        </w:tc>
        <w:tc>
          <w:tcPr>
            <w:tcW w:w="711" w:type="pct"/>
            <w:tcBorders>
              <w:top w:val="single" w:color="000000" w:sz="4" w:space="0"/>
              <w:left w:val="single" w:color="000000" w:sz="4" w:space="0"/>
              <w:bottom w:val="single" w:color="000000" w:sz="4" w:space="0"/>
              <w:right w:val="single" w:color="000000" w:sz="4" w:space="0"/>
            </w:tcBorders>
            <w:vAlign w:val="center"/>
          </w:tcPr>
          <w:p w14:paraId="6EE7DB4D">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781" w:type="pct"/>
            <w:tcBorders>
              <w:top w:val="single" w:color="000000" w:sz="4" w:space="0"/>
              <w:left w:val="single" w:color="000000" w:sz="4" w:space="0"/>
              <w:bottom w:val="single" w:color="000000" w:sz="4" w:space="0"/>
              <w:right w:val="single" w:color="000000" w:sz="4" w:space="0"/>
            </w:tcBorders>
            <w:vAlign w:val="center"/>
          </w:tcPr>
          <w:p w14:paraId="610BC8BD">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3C5BA80D">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0F5A6B62">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0.13</w:t>
            </w:r>
          </w:p>
        </w:tc>
      </w:tr>
      <w:tr w14:paraId="40C4AEA8">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7F691FDA">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33</w:t>
            </w:r>
          </w:p>
        </w:tc>
        <w:tc>
          <w:tcPr>
            <w:tcW w:w="946" w:type="pct"/>
            <w:tcBorders>
              <w:top w:val="single" w:color="000000" w:sz="4" w:space="0"/>
              <w:left w:val="single" w:color="000000" w:sz="4" w:space="0"/>
              <w:bottom w:val="single" w:color="000000" w:sz="4" w:space="0"/>
              <w:right w:val="single" w:color="000000" w:sz="4" w:space="0"/>
            </w:tcBorders>
            <w:vAlign w:val="center"/>
          </w:tcPr>
          <w:p w14:paraId="01322A78">
            <w:pPr>
              <w:keepNext w:val="0"/>
              <w:keepLines w:val="0"/>
              <w:pageBreakBefore w:val="0"/>
              <w:widowControl w:val="0"/>
              <w:kinsoku w:val="0"/>
              <w:wordWrap w:val="0"/>
              <w:overflowPunct/>
              <w:topLinePunct/>
              <w:autoSpaceDE w:val="0"/>
              <w:autoSpaceDN w:val="0"/>
              <w:bidi w:val="0"/>
              <w:adjustRightInd/>
              <w:snapToGrid/>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rPr>
              <w:t>80</w:t>
            </w:r>
            <w:r>
              <w:rPr>
                <w:rFonts w:hint="default" w:ascii="Times New Roman" w:hAnsi="Times New Roman" w:eastAsia="仿宋_GB2312" w:cs="Times New Roman"/>
                <w:sz w:val="24"/>
                <w:szCs w:val="24"/>
                <w:lang w:val="en-US" w:eastAsia="zh-CN"/>
              </w:rPr>
              <w:t>-120平教室配件线材及系统集成3</w:t>
            </w:r>
          </w:p>
        </w:tc>
        <w:tc>
          <w:tcPr>
            <w:tcW w:w="415" w:type="pct"/>
            <w:tcBorders>
              <w:top w:val="single" w:color="000000" w:sz="4" w:space="0"/>
              <w:left w:val="single" w:color="000000" w:sz="4" w:space="0"/>
              <w:bottom w:val="single" w:color="000000" w:sz="4" w:space="0"/>
              <w:right w:val="single" w:color="000000" w:sz="4" w:space="0"/>
            </w:tcBorders>
            <w:vAlign w:val="center"/>
          </w:tcPr>
          <w:p w14:paraId="7DDFF6C5">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项</w:t>
            </w:r>
          </w:p>
        </w:tc>
        <w:tc>
          <w:tcPr>
            <w:tcW w:w="442" w:type="pct"/>
            <w:tcBorders>
              <w:top w:val="single" w:color="000000" w:sz="4" w:space="0"/>
              <w:left w:val="single" w:color="000000" w:sz="4" w:space="0"/>
              <w:bottom w:val="single" w:color="000000" w:sz="4" w:space="0"/>
              <w:right w:val="single" w:color="000000" w:sz="4" w:space="0"/>
            </w:tcBorders>
            <w:vAlign w:val="center"/>
          </w:tcPr>
          <w:p w14:paraId="6AC12EA8">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8</w:t>
            </w:r>
          </w:p>
        </w:tc>
        <w:tc>
          <w:tcPr>
            <w:tcW w:w="711" w:type="pct"/>
            <w:tcBorders>
              <w:top w:val="single" w:color="000000" w:sz="4" w:space="0"/>
              <w:left w:val="single" w:color="000000" w:sz="4" w:space="0"/>
              <w:bottom w:val="single" w:color="000000" w:sz="4" w:space="0"/>
              <w:right w:val="single" w:color="000000" w:sz="4" w:space="0"/>
            </w:tcBorders>
            <w:vAlign w:val="center"/>
          </w:tcPr>
          <w:p w14:paraId="42BA1FC2">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781" w:type="pct"/>
            <w:tcBorders>
              <w:top w:val="single" w:color="000000" w:sz="4" w:space="0"/>
              <w:left w:val="single" w:color="000000" w:sz="4" w:space="0"/>
              <w:bottom w:val="single" w:color="000000" w:sz="4" w:space="0"/>
              <w:right w:val="single" w:color="000000" w:sz="4" w:space="0"/>
            </w:tcBorders>
            <w:vAlign w:val="center"/>
          </w:tcPr>
          <w:p w14:paraId="579C5847">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30B606D5">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5756AE8A">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0.15</w:t>
            </w:r>
          </w:p>
        </w:tc>
      </w:tr>
      <w:tr w14:paraId="5CBAED29">
        <w:tblPrEx>
          <w:tblCellMar>
            <w:top w:w="0" w:type="dxa"/>
            <w:left w:w="108" w:type="dxa"/>
            <w:bottom w:w="0" w:type="dxa"/>
            <w:right w:w="108" w:type="dxa"/>
          </w:tblCellMar>
        </w:tblPrEx>
        <w:trPr>
          <w:trHeight w:val="701"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7B7B946A">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34</w:t>
            </w:r>
          </w:p>
        </w:tc>
        <w:tc>
          <w:tcPr>
            <w:tcW w:w="946" w:type="pct"/>
            <w:tcBorders>
              <w:top w:val="single" w:color="000000" w:sz="4" w:space="0"/>
              <w:left w:val="single" w:color="000000" w:sz="4" w:space="0"/>
              <w:bottom w:val="single" w:color="000000" w:sz="4" w:space="0"/>
              <w:right w:val="single" w:color="000000" w:sz="4" w:space="0"/>
            </w:tcBorders>
            <w:vAlign w:val="center"/>
          </w:tcPr>
          <w:p w14:paraId="31A2900A">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8617（门牌号）教室</w:t>
            </w:r>
          </w:p>
          <w:p w14:paraId="61830730">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配件线材及系统集成4</w:t>
            </w:r>
          </w:p>
        </w:tc>
        <w:tc>
          <w:tcPr>
            <w:tcW w:w="415" w:type="pct"/>
            <w:tcBorders>
              <w:top w:val="single" w:color="000000" w:sz="4" w:space="0"/>
              <w:left w:val="single" w:color="000000" w:sz="4" w:space="0"/>
              <w:bottom w:val="single" w:color="000000" w:sz="4" w:space="0"/>
              <w:right w:val="single" w:color="000000" w:sz="4" w:space="0"/>
            </w:tcBorders>
            <w:vAlign w:val="center"/>
          </w:tcPr>
          <w:p w14:paraId="5DCA69BE">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项</w:t>
            </w:r>
          </w:p>
        </w:tc>
        <w:tc>
          <w:tcPr>
            <w:tcW w:w="442" w:type="pct"/>
            <w:tcBorders>
              <w:top w:val="single" w:color="000000" w:sz="4" w:space="0"/>
              <w:left w:val="single" w:color="000000" w:sz="4" w:space="0"/>
              <w:bottom w:val="single" w:color="000000" w:sz="4" w:space="0"/>
              <w:right w:val="single" w:color="000000" w:sz="4" w:space="0"/>
            </w:tcBorders>
            <w:vAlign w:val="center"/>
          </w:tcPr>
          <w:p w14:paraId="1FC9A38C">
            <w:pPr>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sz w:val="24"/>
                <w:szCs w:val="24"/>
                <w:lang w:val="en-US" w:eastAsia="zh-CN"/>
              </w:rPr>
              <w:t>1</w:t>
            </w:r>
          </w:p>
        </w:tc>
        <w:tc>
          <w:tcPr>
            <w:tcW w:w="711" w:type="pct"/>
            <w:tcBorders>
              <w:top w:val="single" w:color="000000" w:sz="4" w:space="0"/>
              <w:left w:val="single" w:color="000000" w:sz="4" w:space="0"/>
              <w:bottom w:val="single" w:color="000000" w:sz="4" w:space="0"/>
              <w:right w:val="single" w:color="000000" w:sz="4" w:space="0"/>
            </w:tcBorders>
            <w:vAlign w:val="center"/>
          </w:tcPr>
          <w:p w14:paraId="69F7273D">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781" w:type="pct"/>
            <w:tcBorders>
              <w:top w:val="single" w:color="000000" w:sz="4" w:space="0"/>
              <w:left w:val="single" w:color="000000" w:sz="4" w:space="0"/>
              <w:bottom w:val="single" w:color="000000" w:sz="4" w:space="0"/>
              <w:right w:val="single" w:color="000000" w:sz="4" w:space="0"/>
            </w:tcBorders>
            <w:vAlign w:val="center"/>
          </w:tcPr>
          <w:p w14:paraId="40DEEDED">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vAlign w:val="center"/>
          </w:tcPr>
          <w:p w14:paraId="76D6B1AE">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65918D4E">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0.12</w:t>
            </w:r>
          </w:p>
        </w:tc>
      </w:tr>
      <w:tr w14:paraId="126DF620">
        <w:tblPrEx>
          <w:tblCellMar>
            <w:top w:w="0" w:type="dxa"/>
            <w:left w:w="108" w:type="dxa"/>
            <w:bottom w:w="0" w:type="dxa"/>
            <w:right w:w="108" w:type="dxa"/>
          </w:tblCellMar>
        </w:tblPrEx>
        <w:trPr>
          <w:trHeight w:val="701"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163539CC">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35</w:t>
            </w:r>
          </w:p>
        </w:tc>
        <w:tc>
          <w:tcPr>
            <w:tcW w:w="1845" w:type="dxa"/>
            <w:tcBorders>
              <w:top w:val="single" w:color="000000" w:sz="4" w:space="0"/>
              <w:left w:val="single" w:color="000000" w:sz="4" w:space="0"/>
              <w:bottom w:val="single" w:color="000000" w:sz="4" w:space="0"/>
              <w:right w:val="single" w:color="000000" w:sz="4" w:space="0"/>
            </w:tcBorders>
            <w:vAlign w:val="center"/>
          </w:tcPr>
          <w:p w14:paraId="0C5B35CB">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综合布线</w:t>
            </w:r>
          </w:p>
        </w:tc>
        <w:tc>
          <w:tcPr>
            <w:tcW w:w="810" w:type="dxa"/>
            <w:tcBorders>
              <w:top w:val="single" w:color="000000" w:sz="4" w:space="0"/>
              <w:left w:val="single" w:color="000000" w:sz="4" w:space="0"/>
              <w:bottom w:val="single" w:color="000000" w:sz="4" w:space="0"/>
              <w:right w:val="single" w:color="000000" w:sz="4" w:space="0"/>
            </w:tcBorders>
            <w:vAlign w:val="center"/>
          </w:tcPr>
          <w:p w14:paraId="1CD28836">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项</w:t>
            </w:r>
          </w:p>
        </w:tc>
        <w:tc>
          <w:tcPr>
            <w:tcW w:w="862" w:type="dxa"/>
            <w:tcBorders>
              <w:top w:val="single" w:color="000000" w:sz="4" w:space="0"/>
              <w:left w:val="single" w:color="000000" w:sz="4" w:space="0"/>
              <w:bottom w:val="single" w:color="000000" w:sz="4" w:space="0"/>
              <w:right w:val="single" w:color="000000" w:sz="4" w:space="0"/>
            </w:tcBorders>
            <w:vAlign w:val="center"/>
          </w:tcPr>
          <w:p w14:paraId="68F1C2F6">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w:t>
            </w:r>
          </w:p>
        </w:tc>
        <w:tc>
          <w:tcPr>
            <w:tcW w:w="1387" w:type="dxa"/>
            <w:tcBorders>
              <w:top w:val="single" w:color="000000" w:sz="4" w:space="0"/>
              <w:left w:val="single" w:color="000000" w:sz="4" w:space="0"/>
              <w:bottom w:val="single" w:color="000000" w:sz="4" w:space="0"/>
              <w:right w:val="single" w:color="000000" w:sz="4" w:space="0"/>
            </w:tcBorders>
            <w:vAlign w:val="center"/>
          </w:tcPr>
          <w:p w14:paraId="59DD5EC5">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rPr>
              <w:t>/</w:t>
            </w:r>
          </w:p>
        </w:tc>
        <w:tc>
          <w:tcPr>
            <w:tcW w:w="1524" w:type="dxa"/>
            <w:tcBorders>
              <w:top w:val="single" w:color="000000" w:sz="4" w:space="0"/>
              <w:left w:val="single" w:color="000000" w:sz="4" w:space="0"/>
              <w:bottom w:val="single" w:color="000000" w:sz="4" w:space="0"/>
              <w:right w:val="single" w:color="000000" w:sz="4" w:space="0"/>
            </w:tcBorders>
            <w:vAlign w:val="center"/>
          </w:tcPr>
          <w:p w14:paraId="1A2C8C17">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rPr>
              <w:t>/</w:t>
            </w:r>
          </w:p>
        </w:tc>
        <w:tc>
          <w:tcPr>
            <w:tcW w:w="1342" w:type="dxa"/>
            <w:tcBorders>
              <w:top w:val="single" w:color="000000" w:sz="4" w:space="0"/>
              <w:left w:val="single" w:color="000000" w:sz="4" w:space="0"/>
              <w:bottom w:val="single" w:color="000000" w:sz="4" w:space="0"/>
              <w:right w:val="single" w:color="000000" w:sz="4" w:space="0"/>
            </w:tcBorders>
            <w:vAlign w:val="center"/>
          </w:tcPr>
          <w:p w14:paraId="3849F6CC">
            <w:pPr>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1761A7F4">
            <w:pPr>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2"/>
                <w:sz w:val="24"/>
                <w:szCs w:val="24"/>
                <w:lang w:val="en-US" w:eastAsia="zh-CN"/>
              </w:rPr>
              <w:t>1.6906</w:t>
            </w:r>
          </w:p>
        </w:tc>
      </w:tr>
      <w:bookmarkEnd w:id="272"/>
    </w:tbl>
    <w:p w14:paraId="6D895648">
      <w:pPr>
        <w:spacing w:after="160" w:line="278" w:lineRule="auto"/>
        <w:rPr>
          <w:rFonts w:hint="default" w:ascii="Times New Roman" w:hAnsi="Times New Roman" w:eastAsia="仿宋_GB2312" w:cs="Times New Roman"/>
          <w:bCs/>
          <w:color w:val="auto"/>
          <w:kern w:val="21"/>
          <w:sz w:val="28"/>
          <w:szCs w:val="28"/>
          <w:lang w:val="en-US" w:eastAsia="zh-CN"/>
        </w:rPr>
      </w:pPr>
      <w:r>
        <w:rPr>
          <w:rFonts w:hint="default" w:ascii="Times New Roman" w:hAnsi="Times New Roman" w:eastAsia="仿宋_GB2312" w:cs="Times New Roman"/>
          <w:bCs/>
          <w:color w:val="auto"/>
          <w:sz w:val="28"/>
          <w:szCs w:val="28"/>
          <w:lang w:val="en-US" w:eastAsia="zh-CN"/>
        </w:rPr>
        <w:t xml:space="preserve">指标按重要性分为 </w:t>
      </w:r>
      <w:r>
        <w:rPr>
          <w:rFonts w:hint="eastAsia" w:ascii="Times New Roman" w:hAnsi="Times New Roman" w:eastAsia="仿宋_GB2312" w:cs="Times New Roman"/>
          <w:bCs/>
          <w:color w:val="auto"/>
          <w:sz w:val="28"/>
          <w:szCs w:val="28"/>
          <w:lang w:val="en-US" w:eastAsia="zh-CN"/>
        </w:rPr>
        <w:t>“</w:t>
      </w:r>
      <w:r>
        <w:rPr>
          <w:rFonts w:hint="default" w:ascii="Times New Roman" w:hAnsi="Times New Roman" w:eastAsia="仿宋_GB2312" w:cs="Times New Roman"/>
          <w:bCs/>
          <w:color w:val="auto"/>
          <w:sz w:val="28"/>
          <w:szCs w:val="28"/>
          <w:lang w:val="en-US" w:eastAsia="zh-CN"/>
        </w:rPr>
        <w:t>★</w:t>
      </w:r>
      <w:r>
        <w:rPr>
          <w:rFonts w:hint="eastAsia" w:ascii="Times New Roman" w:hAnsi="Times New Roman" w:eastAsia="仿宋_GB2312" w:cs="Times New Roman"/>
          <w:bCs/>
          <w:color w:val="auto"/>
          <w:sz w:val="28"/>
          <w:szCs w:val="28"/>
          <w:lang w:val="en-US" w:eastAsia="zh-CN"/>
        </w:rPr>
        <w:t>”“</w:t>
      </w:r>
      <w:r>
        <w:rPr>
          <w:rFonts w:hint="default" w:ascii="Times New Roman" w:hAnsi="Times New Roman" w:eastAsia="仿宋_GB2312" w:cs="Times New Roman"/>
          <w:color w:val="auto"/>
          <w:sz w:val="24"/>
          <w:szCs w:val="24"/>
          <w:highlight w:val="none"/>
          <w:lang w:val="en-US" w:eastAsia="zh-CN"/>
        </w:rPr>
        <w:t>▲</w:t>
      </w:r>
      <w:r>
        <w:rPr>
          <w:rFonts w:hint="eastAsia" w:ascii="Times New Roman" w:hAnsi="Times New Roman" w:eastAsia="仿宋_GB2312" w:cs="Times New Roman"/>
          <w:bCs/>
          <w:color w:val="auto"/>
          <w:sz w:val="28"/>
          <w:szCs w:val="28"/>
          <w:lang w:val="en-US" w:eastAsia="zh-CN"/>
        </w:rPr>
        <w:t>”</w:t>
      </w:r>
      <w:r>
        <w:rPr>
          <w:rFonts w:hint="default" w:ascii="Times New Roman" w:hAnsi="Times New Roman" w:eastAsia="仿宋_GB2312" w:cs="Times New Roman"/>
          <w:bCs/>
          <w:color w:val="auto"/>
          <w:sz w:val="28"/>
          <w:szCs w:val="28"/>
          <w:lang w:val="en-US" w:eastAsia="zh-CN"/>
        </w:rPr>
        <w:t>和一般指标项。“★”代表实质性指标，不满足该指标项将导致投标被拒绝，“</w:t>
      </w:r>
      <w:r>
        <w:rPr>
          <w:rFonts w:hint="default" w:ascii="Times New Roman" w:hAnsi="Times New Roman" w:eastAsia="仿宋_GB2312" w:cs="Times New Roman"/>
          <w:color w:val="auto"/>
          <w:sz w:val="24"/>
          <w:szCs w:val="24"/>
          <w:highlight w:val="none"/>
          <w:lang w:val="en-US" w:eastAsia="zh-CN"/>
        </w:rPr>
        <w:t>▲</w:t>
      </w:r>
      <w:r>
        <w:rPr>
          <w:rFonts w:hint="default" w:ascii="Times New Roman" w:hAnsi="Times New Roman" w:eastAsia="仿宋_GB2312" w:cs="Times New Roman"/>
          <w:bCs/>
          <w:color w:val="auto"/>
          <w:sz w:val="28"/>
          <w:szCs w:val="28"/>
          <w:lang w:val="en-US" w:eastAsia="zh-CN"/>
        </w:rPr>
        <w:t>”代表重要指标，未加符号项则表示一般指标项。</w:t>
      </w:r>
      <w:r>
        <w:rPr>
          <w:rFonts w:hint="default" w:ascii="Times New Roman" w:hAnsi="Times New Roman" w:eastAsia="仿宋_GB2312" w:cs="Times New Roman"/>
          <w:bCs/>
          <w:color w:val="auto"/>
          <w:kern w:val="21"/>
          <w:sz w:val="28"/>
          <w:szCs w:val="28"/>
          <w:lang w:val="en-US" w:eastAsia="zh-CN"/>
        </w:rPr>
        <w:t xml:space="preserve">“/”表示不作要求。 </w:t>
      </w:r>
    </w:p>
    <w:p w14:paraId="2A13E187">
      <w:pPr>
        <w:pStyle w:val="24"/>
        <w:rPr>
          <w:rFonts w:hint="default" w:ascii="Times New Roman" w:hAnsi="Times New Roman" w:cs="Times New Roman"/>
        </w:rPr>
      </w:pPr>
    </w:p>
    <w:p w14:paraId="7F1197E8">
      <w:pPr>
        <w:pStyle w:val="70"/>
        <w:jc w:val="center"/>
        <w:outlineLvl w:val="2"/>
        <w:rPr>
          <w:rFonts w:hint="default" w:ascii="Times New Roman" w:hAnsi="Times New Roman" w:eastAsia="仿宋" w:cs="Times New Roman"/>
          <w:b/>
          <w:bCs/>
          <w:color w:val="auto"/>
          <w:sz w:val="32"/>
          <w:szCs w:val="32"/>
        </w:rPr>
      </w:pPr>
      <w:r>
        <w:rPr>
          <w:rFonts w:hint="default" w:ascii="Times New Roman" w:hAnsi="Times New Roman" w:eastAsia="仿宋" w:cs="Times New Roman"/>
          <w:b/>
          <w:bCs/>
          <w:color w:val="auto"/>
          <w:sz w:val="32"/>
          <w:szCs w:val="32"/>
        </w:rPr>
        <w:t>表2 技术参数及要求</w:t>
      </w:r>
    </w:p>
    <w:tbl>
      <w:tblPr>
        <w:tblStyle w:val="244"/>
        <w:tblW w:w="906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57" w:type="dxa"/>
        </w:tblCellMar>
      </w:tblPr>
      <w:tblGrid>
        <w:gridCol w:w="657"/>
        <w:gridCol w:w="1230"/>
        <w:gridCol w:w="7178"/>
      </w:tblGrid>
      <w:tr w14:paraId="614A5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16" w:hRule="atLeast"/>
          <w:tblHeader/>
          <w:jc w:val="center"/>
        </w:trPr>
        <w:tc>
          <w:tcPr>
            <w:tcW w:w="657" w:type="dxa"/>
            <w:vAlign w:val="center"/>
          </w:tcPr>
          <w:p w14:paraId="66C9D345">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序号</w:t>
            </w:r>
          </w:p>
        </w:tc>
        <w:tc>
          <w:tcPr>
            <w:tcW w:w="1230" w:type="dxa"/>
            <w:vAlign w:val="center"/>
          </w:tcPr>
          <w:p w14:paraId="5F7A3784">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设备名称</w:t>
            </w:r>
          </w:p>
        </w:tc>
        <w:tc>
          <w:tcPr>
            <w:tcW w:w="7178" w:type="dxa"/>
            <w:vAlign w:val="center"/>
          </w:tcPr>
          <w:p w14:paraId="64DCE99B">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型号规格</w:t>
            </w:r>
          </w:p>
        </w:tc>
      </w:tr>
      <w:tr w14:paraId="1EF6E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241" w:hRule="atLeast"/>
          <w:jc w:val="center"/>
        </w:trPr>
        <w:tc>
          <w:tcPr>
            <w:tcW w:w="657" w:type="dxa"/>
            <w:vAlign w:val="center"/>
          </w:tcPr>
          <w:p w14:paraId="1FC38829">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1230" w:type="dxa"/>
            <w:vAlign w:val="center"/>
          </w:tcPr>
          <w:p w14:paraId="06B70103">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智慧黑板</w:t>
            </w:r>
          </w:p>
        </w:tc>
        <w:tc>
          <w:tcPr>
            <w:tcW w:w="7178" w:type="dxa"/>
          </w:tcPr>
          <w:p w14:paraId="221F1574">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lang w:val="en-US" w:eastAsia="zh-CN"/>
              </w:rPr>
              <w:t>支持</w:t>
            </w:r>
            <w:r>
              <w:rPr>
                <w:rFonts w:hint="default" w:ascii="Times New Roman" w:hAnsi="Times New Roman" w:eastAsia="仿宋_GB2312" w:cs="Times New Roman"/>
                <w:sz w:val="24"/>
                <w:szCs w:val="24"/>
              </w:rPr>
              <w:t>嵌入式系统版本≥Android14；主频≥1.8GHz；整机支持Windows系统中进行40点或以上触控，支持 Android 系统中进行40点或以上触控。</w:t>
            </w:r>
          </w:p>
          <w:p w14:paraId="43066D18">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2.整机采用98英寸超高清LED液晶屏，显示比例16:9，分辨率≥3840×2160。</w:t>
            </w:r>
          </w:p>
          <w:p w14:paraId="4C28514E">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r>
              <w:rPr>
                <w:rFonts w:hint="default" w:ascii="Times New Roman" w:hAnsi="Times New Roman" w:eastAsia="仿宋_GB2312" w:cs="Times New Roman"/>
                <w:sz w:val="24"/>
                <w:szCs w:val="24"/>
                <w:lang w:eastAsia="zh-CN"/>
              </w:rPr>
              <w:t>CPU：核心数≥8 ，线程数≥12，主频≥2.0GHz，内存≥ 8GB DDR4。硬盘≥256GB SSD 固态硬盘</w:t>
            </w:r>
            <w:r>
              <w:rPr>
                <w:rFonts w:hint="default" w:ascii="Times New Roman" w:hAnsi="Times New Roman" w:eastAsia="仿宋_GB2312" w:cs="Times New Roman"/>
                <w:sz w:val="24"/>
                <w:szCs w:val="24"/>
              </w:rPr>
              <w:t>。</w:t>
            </w:r>
          </w:p>
          <w:p w14:paraId="6C1327BB">
            <w:pPr>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4.整机屏幕边缘采用金属圆角包边防护，整机背板采用金属材质，有效屏蔽内部电路器件辐射；防潮耐盐雾蚀锈，适应多种教学环境；整机设备副屏支持磁吸附功能，可以满足带有磁吸的板擦教具进行吸附在副屏上。</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5.整机可选择高级音效设置，支持在左右声道平衡显示范围中进行更改。中低频段可选择调节范围125Hz～1kHz，高频段可选择调节范围 2kHz～16kHz，分贝可选择调节范围-12dB～12dB。</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6.整机内置非独立外扩展的8阵列麦克风，拾音角度≥180°，可用于对教室环境音频进行采集，拾音距离≥12m。</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7.支持标准、听力、观影和AI空间感知音效模式，AI空间感知音效模式可通过内置麦克风采集教室物理环境声音，自动生成符合当前教室物理环境的频段、音量、音效。</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8.整机可视⻆度≥178°；屏幕采用≤4mm防眩光钢化玻璃保护，表面硬度≥9H，莫氏硬度≥7级。</w:t>
            </w:r>
          </w:p>
          <w:p w14:paraId="0778700E">
            <w:pPr>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9.整机背光系统支持DC调光方式，多级亮度调节，支持白颜色背景下最暗亮度≤100nit，用于提升显示对比度。</w:t>
            </w:r>
          </w:p>
          <w:p w14:paraId="538BFA03">
            <w:pP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color w:val="auto"/>
                <w:sz w:val="24"/>
                <w:szCs w:val="24"/>
                <w:lang w:val="en-US" w:eastAsia="zh-CN"/>
              </w:rPr>
              <w:t>10.整机屏幕蓝光占比（有害蓝光415～455nm能量综合）/（整体蓝光400～500nm能量综合）＜50%。</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11.整机听力模式下具备AI人声语言增强功能，支持三档强弱调节，通过AI算法提取视频/音频中的语言进行效果增强，在不增加音量的情况下提升语言清晰度，扩声系统语言传输指数（STIPA）≥0.75。</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12.整机支持蓝牙Bluetooth 5.4标准，固件版本号HCI13.0/LMP13.0。</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13.整机支持发出频率为18kHz-22kHz超声波信号，智能手机和笔记本电脑接收超声波信号后可以自动识别附近投屏设备，点击对应设备即可完成投屏操作。</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14.整机内置双Wi-Fi6无线网卡（不接受外接），在Android和Windows系统下，可实现Wi-Fi无线上网连接、AP无线热点发射。</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15.整机内置全视角背光增光膜，通过增光膜对背光光源进行均光，整机白场画面下亮度均匀性≥85%。</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1</w:t>
            </w:r>
            <w:r>
              <w:rPr>
                <w:rFonts w:hint="default" w:ascii="Times New Roman" w:hAnsi="Times New Roman" w:eastAsia="仿宋_GB2312" w:cs="Times New Roman"/>
                <w:color w:val="auto"/>
                <w:sz w:val="24"/>
                <w:szCs w:val="24"/>
                <w:lang w:val="en" w:eastAsia="zh-CN"/>
              </w:rPr>
              <w:t>6</w:t>
            </w:r>
            <w:r>
              <w:rPr>
                <w:rFonts w:hint="default" w:ascii="Times New Roman" w:hAnsi="Times New Roman" w:eastAsia="仿宋_GB2312" w:cs="Times New Roman"/>
                <w:color w:val="auto"/>
                <w:sz w:val="24"/>
                <w:szCs w:val="24"/>
                <w:lang w:val="en-US" w:eastAsia="zh-CN"/>
              </w:rPr>
              <w:t>.整机Windows通道支持文件传输应用，支持通过扫码、超声、wifi直连三种方式与手机进行握手连接，实现文件传输功能。</w:t>
            </w:r>
          </w:p>
        </w:tc>
      </w:tr>
      <w:tr w14:paraId="77B81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585" w:hRule="atLeast"/>
          <w:jc w:val="center"/>
        </w:trPr>
        <w:tc>
          <w:tcPr>
            <w:tcW w:w="657" w:type="dxa"/>
            <w:vAlign w:val="center"/>
          </w:tcPr>
          <w:p w14:paraId="4B214F1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230" w:type="dxa"/>
            <w:vAlign w:val="center"/>
          </w:tcPr>
          <w:p w14:paraId="3DE1E449">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激光高清工程投影机 1</w:t>
            </w:r>
          </w:p>
        </w:tc>
        <w:tc>
          <w:tcPr>
            <w:tcW w:w="7178" w:type="dxa"/>
          </w:tcPr>
          <w:p w14:paraId="5B01E094">
            <w:pPr>
              <w:rPr>
                <w:rFonts w:hint="eastAsia"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1.显示技术：3LCD液晶板尺寸：0.64英寸x 3</w:t>
            </w:r>
            <w:r>
              <w:rPr>
                <w:rFonts w:hint="eastAsia" w:ascii="Times New Roman" w:hAnsi="Times New Roman" w:eastAsia="仿宋_GB2312" w:cs="Times New Roman"/>
                <w:color w:val="auto"/>
                <w:sz w:val="24"/>
                <w:szCs w:val="24"/>
                <w:lang w:eastAsia="zh-CN"/>
              </w:rPr>
              <w:t>。</w:t>
            </w:r>
          </w:p>
          <w:p w14:paraId="0CE70211">
            <w:pPr>
              <w:rPr>
                <w:rFonts w:hint="eastAsia"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2.标准分辨率：1920x1200亮度：≥6000流明</w:t>
            </w:r>
            <w:r>
              <w:rPr>
                <w:rFonts w:hint="eastAsia" w:ascii="Times New Roman" w:hAnsi="Times New Roman" w:eastAsia="仿宋_GB2312" w:cs="Times New Roman"/>
                <w:color w:val="auto"/>
                <w:sz w:val="24"/>
                <w:szCs w:val="24"/>
                <w:lang w:eastAsia="zh-CN"/>
              </w:rPr>
              <w:t>。</w:t>
            </w:r>
          </w:p>
          <w:p w14:paraId="0105E42E">
            <w:pPr>
              <w:rPr>
                <w:rFonts w:hint="eastAsia"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3.光源：激光，寿命≥20000小时</w:t>
            </w:r>
            <w:r>
              <w:rPr>
                <w:rFonts w:hint="eastAsia" w:ascii="Times New Roman" w:hAnsi="Times New Roman" w:eastAsia="仿宋_GB2312" w:cs="Times New Roman"/>
                <w:color w:val="auto"/>
                <w:sz w:val="24"/>
                <w:szCs w:val="24"/>
                <w:lang w:eastAsia="zh-CN"/>
              </w:rPr>
              <w:t>。</w:t>
            </w:r>
          </w:p>
          <w:p w14:paraId="579973C5">
            <w:pPr>
              <w:rPr>
                <w:rFonts w:hint="eastAsia"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4.镜头投射比：1.35-1.64</w:t>
            </w:r>
            <w:r>
              <w:rPr>
                <w:rFonts w:hint="eastAsia" w:ascii="Times New Roman" w:hAnsi="Times New Roman" w:eastAsia="仿宋_GB2312" w:cs="Times New Roman"/>
                <w:color w:val="auto"/>
                <w:sz w:val="24"/>
                <w:szCs w:val="24"/>
                <w:lang w:eastAsia="zh-CN"/>
              </w:rPr>
              <w:t>。</w:t>
            </w:r>
          </w:p>
          <w:p w14:paraId="6CADB023">
            <w:pPr>
              <w:rPr>
                <w:rFonts w:hint="eastAsia"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5.输入端口：2个HDMI</w:t>
            </w:r>
            <w:r>
              <w:rPr>
                <w:rFonts w:hint="eastAsia"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输出端口</w:t>
            </w:r>
            <w:r>
              <w:rPr>
                <w:rFonts w:hint="eastAsia"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1个立体声微型插孔，控制端口：1个控制串口端口槽（D-Sub 9 针），1个RJ-45 端口USB端口：1个A型USB（5V/1.5A供电）,1个B型USB</w:t>
            </w:r>
            <w:r>
              <w:rPr>
                <w:rFonts w:hint="eastAsia" w:ascii="Times New Roman" w:hAnsi="Times New Roman" w:eastAsia="仿宋_GB2312" w:cs="Times New Roman"/>
                <w:color w:val="auto"/>
                <w:sz w:val="24"/>
                <w:szCs w:val="24"/>
                <w:lang w:eastAsia="zh-CN"/>
              </w:rPr>
              <w:t>。</w:t>
            </w:r>
          </w:p>
          <w:p w14:paraId="50BB7BF2">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6.CEL一级能效+高色域认证双重认证。节能减排的同时，保证优质色彩输出</w:t>
            </w:r>
            <w:r>
              <w:rPr>
                <w:rFonts w:hint="eastAsia" w:ascii="Times New Roman" w:hAnsi="Times New Roman" w:eastAsia="仿宋_GB2312" w:cs="Times New Roman"/>
                <w:color w:val="auto"/>
                <w:sz w:val="24"/>
                <w:szCs w:val="24"/>
                <w:lang w:eastAsia="zh-CN"/>
              </w:rPr>
              <w:t>。</w:t>
            </w:r>
          </w:p>
        </w:tc>
      </w:tr>
      <w:tr w14:paraId="1DFF15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0" w:hRule="atLeast"/>
          <w:jc w:val="center"/>
        </w:trPr>
        <w:tc>
          <w:tcPr>
            <w:tcW w:w="657" w:type="dxa"/>
            <w:vAlign w:val="center"/>
          </w:tcPr>
          <w:p w14:paraId="355DEC92">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1230" w:type="dxa"/>
            <w:vAlign w:val="center"/>
          </w:tcPr>
          <w:p w14:paraId="3C74E0DD">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激光高清工程投影机 2</w:t>
            </w:r>
          </w:p>
        </w:tc>
        <w:tc>
          <w:tcPr>
            <w:tcW w:w="7178" w:type="dxa"/>
          </w:tcPr>
          <w:p w14:paraId="36F54FA9">
            <w:pPr>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1.</w:t>
            </w:r>
            <w:r>
              <w:rPr>
                <w:rFonts w:hint="default" w:ascii="Times New Roman" w:hAnsi="Times New Roman" w:eastAsia="仿宋_GB2312" w:cs="Times New Roman"/>
                <w:color w:val="auto"/>
                <w:sz w:val="24"/>
                <w:szCs w:val="24"/>
              </w:rPr>
              <w:t>3LCD显示技术，液晶板尺寸≥0.64英寸。</w:t>
            </w:r>
          </w:p>
          <w:p w14:paraId="50953577">
            <w:pPr>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rPr>
              <w:t>亮度≥6200ISO流明；标准分辨率≥1920*1200。</w:t>
            </w:r>
          </w:p>
          <w:p w14:paraId="4A6ED596">
            <w:pPr>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3.</w:t>
            </w:r>
            <w:r>
              <w:rPr>
                <w:rFonts w:hint="default" w:ascii="Times New Roman" w:hAnsi="Times New Roman" w:eastAsia="仿宋_GB2312" w:cs="Times New Roman"/>
                <w:color w:val="auto"/>
                <w:sz w:val="24"/>
                <w:szCs w:val="24"/>
              </w:rPr>
              <w:t>光源采用激光二极管；寿命≥20000小时</w:t>
            </w:r>
            <w:r>
              <w:rPr>
                <w:rFonts w:hint="eastAsia" w:ascii="Times New Roman" w:hAnsi="Times New Roman" w:eastAsia="仿宋_GB2312" w:cs="Times New Roman"/>
                <w:color w:val="auto"/>
                <w:sz w:val="24"/>
                <w:szCs w:val="24"/>
                <w:lang w:eastAsia="zh-CN"/>
              </w:rPr>
              <w:t>。</w:t>
            </w:r>
          </w:p>
          <w:p w14:paraId="3F9FC753">
            <w:pPr>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4</w:t>
            </w:r>
            <w:r>
              <w:rPr>
                <w:rFonts w:hint="default" w:ascii="Times New Roman" w:hAnsi="Times New Roman" w:eastAsia="仿宋_GB2312" w:cs="Times New Roman"/>
                <w:color w:val="auto"/>
                <w:sz w:val="24"/>
                <w:szCs w:val="24"/>
              </w:rPr>
              <w:t>.光学变焦≥1.6倍；投射比1.2-2.0:1。</w:t>
            </w:r>
          </w:p>
          <w:p w14:paraId="382FF481">
            <w:pPr>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5</w:t>
            </w:r>
            <w:r>
              <w:rPr>
                <w:rFonts w:hint="default" w:ascii="Times New Roman" w:hAnsi="Times New Roman" w:eastAsia="仿宋_GB2312" w:cs="Times New Roman"/>
                <w:color w:val="auto"/>
                <w:sz w:val="24"/>
                <w:szCs w:val="24"/>
              </w:rPr>
              <w:t>.重量≥7.9KG；</w:t>
            </w:r>
          </w:p>
          <w:p w14:paraId="1E022F30">
            <w:pPr>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6.</w:t>
            </w:r>
            <w:r>
              <w:rPr>
                <w:rFonts w:hint="default" w:ascii="Times New Roman" w:hAnsi="Times New Roman" w:eastAsia="仿宋_GB2312" w:cs="Times New Roman"/>
                <w:color w:val="auto"/>
                <w:sz w:val="24"/>
                <w:szCs w:val="24"/>
              </w:rPr>
              <w:t>输入接口：HDMI输入*2，电脑输入（D-sub 15 针）*1，音频输入（3.5mm立体声微型插口）*1；输出接口：电脑输出（D-sub15针）*1，音频输出（3.5mm立体声微型插口）*1；其他接口：USB-A*1，USB-B*1，RJ-45端口*1，串口RS-232C</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D-sub9针）* 1。</w:t>
            </w:r>
          </w:p>
          <w:p w14:paraId="38C0C01D">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7.自定义激光控制功能，可自主调节光源输出功率，调整范围50%-100%</w:t>
            </w:r>
            <w:r>
              <w:rPr>
                <w:rFonts w:hint="eastAsia" w:ascii="Times New Roman" w:hAnsi="Times New Roman" w:eastAsia="仿宋_GB2312" w:cs="Times New Roman"/>
                <w:color w:val="auto"/>
                <w:sz w:val="24"/>
                <w:szCs w:val="24"/>
                <w:lang w:eastAsia="zh-CN"/>
              </w:rPr>
              <w:t>。</w:t>
            </w:r>
          </w:p>
        </w:tc>
      </w:tr>
      <w:tr w14:paraId="4BC6E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92" w:hRule="atLeast"/>
          <w:jc w:val="center"/>
        </w:trPr>
        <w:tc>
          <w:tcPr>
            <w:tcW w:w="657" w:type="dxa"/>
            <w:vAlign w:val="center"/>
          </w:tcPr>
          <w:p w14:paraId="0B018A9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w:t>
            </w:r>
          </w:p>
        </w:tc>
        <w:tc>
          <w:tcPr>
            <w:tcW w:w="1230" w:type="dxa"/>
            <w:vAlign w:val="center"/>
          </w:tcPr>
          <w:p w14:paraId="0D96015E">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幕布 1</w:t>
            </w:r>
          </w:p>
        </w:tc>
        <w:tc>
          <w:tcPr>
            <w:tcW w:w="7178" w:type="dxa"/>
            <w:vAlign w:val="center"/>
          </w:tcPr>
          <w:p w14:paraId="25C843A4">
            <w:pPr>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150 寸电动幕布，屏幕宽高比16:10</w:t>
            </w:r>
            <w:r>
              <w:rPr>
                <w:rFonts w:hint="default" w:ascii="Times New Roman" w:hAnsi="Times New Roman" w:eastAsia="仿宋_GB2312" w:cs="Times New Roman"/>
                <w:sz w:val="24"/>
                <w:szCs w:val="24"/>
                <w:lang w:eastAsia="zh-CN"/>
              </w:rPr>
              <w:t>。</w:t>
            </w:r>
          </w:p>
        </w:tc>
      </w:tr>
      <w:tr w14:paraId="5130E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16" w:hRule="atLeast"/>
          <w:jc w:val="center"/>
        </w:trPr>
        <w:tc>
          <w:tcPr>
            <w:tcW w:w="657" w:type="dxa"/>
            <w:vAlign w:val="center"/>
          </w:tcPr>
          <w:p w14:paraId="4554E029">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p>
        </w:tc>
        <w:tc>
          <w:tcPr>
            <w:tcW w:w="1230" w:type="dxa"/>
            <w:vAlign w:val="center"/>
          </w:tcPr>
          <w:p w14:paraId="6676E872">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幕布 2</w:t>
            </w:r>
          </w:p>
        </w:tc>
        <w:tc>
          <w:tcPr>
            <w:tcW w:w="7178" w:type="dxa"/>
            <w:vAlign w:val="center"/>
          </w:tcPr>
          <w:p w14:paraId="08B3893A">
            <w:pPr>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180 寸电动幕布，屏幕宽高比16:10</w:t>
            </w:r>
            <w:r>
              <w:rPr>
                <w:rFonts w:hint="default" w:ascii="Times New Roman" w:hAnsi="Times New Roman" w:eastAsia="仿宋_GB2312" w:cs="Times New Roman"/>
                <w:sz w:val="24"/>
                <w:szCs w:val="24"/>
                <w:lang w:eastAsia="zh-CN"/>
              </w:rPr>
              <w:t>。</w:t>
            </w:r>
          </w:p>
        </w:tc>
      </w:tr>
      <w:tr w14:paraId="3C2EE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24" w:hRule="atLeast"/>
          <w:jc w:val="center"/>
        </w:trPr>
        <w:tc>
          <w:tcPr>
            <w:tcW w:w="657" w:type="dxa"/>
            <w:vAlign w:val="center"/>
          </w:tcPr>
          <w:p w14:paraId="1EF72278">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w:t>
            </w:r>
          </w:p>
        </w:tc>
        <w:tc>
          <w:tcPr>
            <w:tcW w:w="1230" w:type="dxa"/>
            <w:vAlign w:val="center"/>
          </w:tcPr>
          <w:p w14:paraId="2B2FB8CA">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高清触摸显示器</w:t>
            </w:r>
          </w:p>
        </w:tc>
        <w:tc>
          <w:tcPr>
            <w:tcW w:w="7178" w:type="dxa"/>
            <w:vAlign w:val="center"/>
          </w:tcPr>
          <w:p w14:paraId="5A0DB5E7">
            <w:pPr>
              <w:jc w:val="both"/>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≥23.8寸触控高清</w:t>
            </w:r>
            <w:r>
              <w:rPr>
                <w:rFonts w:hint="default" w:ascii="Times New Roman" w:hAnsi="Times New Roman" w:eastAsia="仿宋_GB2312" w:cs="Times New Roman"/>
                <w:sz w:val="24"/>
                <w:szCs w:val="24"/>
                <w:highlight w:val="none"/>
              </w:rPr>
              <w:t>显示器</w:t>
            </w:r>
            <w:r>
              <w:rPr>
                <w:rFonts w:hint="default" w:ascii="Times New Roman" w:hAnsi="Times New Roman" w:eastAsia="仿宋_GB2312" w:cs="Times New Roman"/>
                <w:sz w:val="24"/>
                <w:szCs w:val="24"/>
                <w:lang w:eastAsia="zh-CN"/>
              </w:rPr>
              <w:t>。</w:t>
            </w:r>
          </w:p>
        </w:tc>
      </w:tr>
      <w:tr w14:paraId="5FE654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0" w:hRule="atLeast"/>
          <w:jc w:val="center"/>
        </w:trPr>
        <w:tc>
          <w:tcPr>
            <w:tcW w:w="657" w:type="dxa"/>
            <w:vAlign w:val="center"/>
          </w:tcPr>
          <w:p w14:paraId="61150984">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w:t>
            </w:r>
          </w:p>
        </w:tc>
        <w:tc>
          <w:tcPr>
            <w:tcW w:w="1230" w:type="dxa"/>
            <w:vAlign w:val="center"/>
          </w:tcPr>
          <w:p w14:paraId="551F7C64">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多媒体智能终端</w:t>
            </w:r>
          </w:p>
        </w:tc>
        <w:tc>
          <w:tcPr>
            <w:tcW w:w="7178" w:type="dxa"/>
          </w:tcPr>
          <w:p w14:paraId="43AACE56">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1.控制主机、控制面板要求分体设计，支持液晶交互控制面板，具备系统锁定功能，系统锁定后面板任何按键操作无效，解锁后面</w:t>
            </w:r>
            <w:r>
              <w:rPr>
                <w:rFonts w:hint="default" w:ascii="Times New Roman" w:hAnsi="Times New Roman" w:eastAsia="仿宋_GB2312" w:cs="Times New Roman"/>
                <w:sz w:val="24"/>
                <w:szCs w:val="24"/>
                <w:lang w:val="en-US" w:eastAsia="zh-CN"/>
              </w:rPr>
              <w:t>按键起作用。</w:t>
            </w:r>
          </w:p>
          <w:p w14:paraId="35753B95">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2.支持管理平台远程控制多媒体设备开关、信号切换、触控面板解锁、锁定等功能，具备计算机、笔记本、无线投屏音视频一键切换，一键开关系统。</w:t>
            </w:r>
          </w:p>
          <w:p w14:paraId="6E62252A">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4路HDMI输入，</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6路HDMI输出；支持4K高清信号传输</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1路音频输入，</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2路3.5mm立体声音频输出。</w:t>
            </w:r>
          </w:p>
          <w:p w14:paraId="049A6501">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7路RS232通讯接口；</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1路RS485接口；</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6路I/O接口；</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1路LAN网络接口；</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1路读卡器接口，接口形式采用RJ45模块插孔，支持为读卡器提供12V 供电，支持插卡和刷卡模式读卡器；</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2路交互控制面板接口，接口形式采用RJ45模块插孔，并支持控制面板提供12V供电。</w:t>
            </w:r>
          </w:p>
          <w:p w14:paraId="34373F71">
            <w:pPr>
              <w:rPr>
                <w:rFonts w:hint="default" w:ascii="Times New Roman" w:hAnsi="Times New Roman" w:eastAsia="仿宋_GB2312" w:cs="Times New Roman"/>
                <w:b/>
                <w:bCs/>
                <w:color w:val="auto"/>
                <w:sz w:val="24"/>
                <w:szCs w:val="24"/>
                <w:lang w:val="en-US" w:eastAsia="zh-CN"/>
              </w:rPr>
            </w:pPr>
            <w:r>
              <w:rPr>
                <w:rFonts w:hint="default" w:ascii="Times New Roman" w:hAnsi="Times New Roman" w:eastAsia="仿宋_GB2312" w:cs="Times New Roman"/>
                <w:color w:val="auto"/>
                <w:sz w:val="24"/>
                <w:szCs w:val="24"/>
                <w:lang w:val="en-US" w:eastAsia="zh-CN"/>
              </w:rPr>
              <w:t>5.可编程配置：需要支持通过浏览器或专用软件自定义功能键码、逻辑序列（如 “上、下课模式” 一键触信号切换等），支持终端设备IP地址、MAC地址扫描支持设备位置绑定；支持固件升级；支持云端配置数据备份。</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highlight w:val="none"/>
                <w:lang w:val="en-US" w:eastAsia="zh-CN"/>
              </w:rPr>
              <w:t>▲6.USB接口：≥4路USB输入，≥4路USB输出；需要具备4×4USB矩阵切换功能，支持同步、异步切换；支持USB KVM切换功能</w:t>
            </w:r>
            <w:r>
              <w:rPr>
                <w:rFonts w:hint="eastAsia" w:ascii="Times New Roman" w:hAnsi="Times New Roman" w:eastAsia="仿宋_GB2312" w:cs="Times New Roman"/>
                <w:color w:val="auto"/>
                <w:sz w:val="24"/>
                <w:szCs w:val="24"/>
                <w:highlight w:val="none"/>
                <w:lang w:val="en-US" w:eastAsia="zh-CN"/>
              </w:rPr>
              <w:t>。</w:t>
            </w:r>
            <w:r>
              <w:rPr>
                <w:rFonts w:hint="default" w:ascii="Times New Roman" w:hAnsi="Times New Roman" w:eastAsia="仿宋_GB2312" w:cs="Times New Roman"/>
                <w:b w:val="0"/>
                <w:bCs w:val="0"/>
                <w:color w:val="auto"/>
                <w:sz w:val="24"/>
                <w:szCs w:val="24"/>
                <w:highlight w:val="none"/>
                <w:lang w:val="en-US" w:eastAsia="zh-CN"/>
              </w:rPr>
              <w:t>（需提供厂家产品彩页或技术白皮书）</w:t>
            </w:r>
            <w:r>
              <w:rPr>
                <w:rFonts w:hint="eastAsia" w:ascii="Times New Roman" w:hAnsi="Times New Roman" w:eastAsia="仿宋_GB2312" w:cs="Times New Roman"/>
                <w:b w:val="0"/>
                <w:bCs w:val="0"/>
                <w:color w:val="auto"/>
                <w:sz w:val="24"/>
                <w:szCs w:val="24"/>
                <w:highlight w:val="none"/>
                <w:lang w:val="en-US" w:eastAsia="zh-CN"/>
              </w:rPr>
              <w:t>.</w:t>
            </w:r>
          </w:p>
          <w:p w14:paraId="0B205687">
            <w:pPr>
              <w:rPr>
                <w:rFonts w:hint="default" w:ascii="Times New Roman" w:hAnsi="Times New Roman" w:eastAsia="仿宋_GB2312" w:cs="Times New Roman"/>
                <w:color w:val="FF0000"/>
                <w:sz w:val="24"/>
                <w:szCs w:val="24"/>
                <w:lang w:val="en-US" w:eastAsia="zh-CN"/>
              </w:rPr>
            </w:pPr>
            <w:r>
              <w:rPr>
                <w:rFonts w:hint="default" w:ascii="Times New Roman" w:hAnsi="Times New Roman" w:eastAsia="仿宋_GB2312" w:cs="Times New Roman"/>
                <w:color w:val="auto"/>
                <w:sz w:val="24"/>
                <w:szCs w:val="24"/>
                <w:highlight w:val="none"/>
                <w:lang w:val="en-US" w:eastAsia="zh-CN"/>
              </w:rPr>
              <w:t>▲</w:t>
            </w:r>
            <w:r>
              <w:rPr>
                <w:rFonts w:hint="default" w:ascii="Times New Roman" w:hAnsi="Times New Roman" w:eastAsia="仿宋_GB2312" w:cs="Times New Roman"/>
                <w:color w:val="auto"/>
                <w:sz w:val="24"/>
                <w:szCs w:val="24"/>
                <w:lang w:val="en-US" w:eastAsia="zh-CN"/>
              </w:rPr>
              <w:t>7.要求所投产品需无缝接入我校现有的智慧教学融合管理平台。实现全校多媒体教室统一管控、统一状态监测、统一身份授权管理、统一运维管理；提供所投产品制造商出具与我校前期系统平台无缝对接承诺函，保证设备统一管理；需提供制造厂家针对本项目不少于三年的售后服务承诺函。</w:t>
            </w:r>
          </w:p>
        </w:tc>
      </w:tr>
      <w:tr w14:paraId="7DC42D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jc w:val="center"/>
        </w:trPr>
        <w:tc>
          <w:tcPr>
            <w:tcW w:w="657" w:type="dxa"/>
            <w:vAlign w:val="center"/>
          </w:tcPr>
          <w:p w14:paraId="6BDC308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8</w:t>
            </w:r>
          </w:p>
        </w:tc>
        <w:tc>
          <w:tcPr>
            <w:tcW w:w="1230" w:type="dxa"/>
            <w:vAlign w:val="center"/>
          </w:tcPr>
          <w:p w14:paraId="4AA2542A">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交互式主机</w:t>
            </w:r>
          </w:p>
        </w:tc>
        <w:tc>
          <w:tcPr>
            <w:tcW w:w="7178" w:type="dxa"/>
          </w:tcPr>
          <w:p w14:paraId="1EDA0E8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1.要求</w:t>
            </w:r>
            <w:r>
              <w:rPr>
                <w:rFonts w:hint="default" w:ascii="Times New Roman" w:hAnsi="Times New Roman" w:eastAsia="仿宋_GB2312" w:cs="Times New Roman"/>
                <w:sz w:val="24"/>
                <w:szCs w:val="24"/>
                <w:lang w:val="en-US" w:eastAsia="zh-CN"/>
              </w:rPr>
              <w:t>支持</w:t>
            </w:r>
            <w:r>
              <w:rPr>
                <w:rFonts w:hint="default" w:ascii="Times New Roman" w:hAnsi="Times New Roman" w:eastAsia="仿宋_GB2312" w:cs="Times New Roman"/>
                <w:sz w:val="24"/>
                <w:szCs w:val="24"/>
              </w:rPr>
              <w:t>Android11或以上版本操作系统，电容触摸屏 ，尺寸</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7英寸；分辨率</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1024x600；对比度</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800:1</w:t>
            </w:r>
            <w:r>
              <w:rPr>
                <w:rFonts w:hint="default" w:ascii="Times New Roman" w:hAnsi="Times New Roman" w:eastAsia="仿宋_GB2312" w:cs="Times New Roman"/>
                <w:b w:val="0"/>
                <w:bCs w:val="0"/>
                <w:color w:val="auto"/>
                <w:sz w:val="24"/>
                <w:szCs w:val="24"/>
              </w:rPr>
              <w:t>（需提供检测报告）</w:t>
            </w:r>
            <w:r>
              <w:rPr>
                <w:rFonts w:hint="default" w:ascii="Times New Roman" w:hAnsi="Times New Roman" w:eastAsia="仿宋_GB2312" w:cs="Times New Roman"/>
                <w:color w:val="auto"/>
                <w:sz w:val="24"/>
                <w:szCs w:val="24"/>
              </w:rPr>
              <w:t>。</w:t>
            </w:r>
          </w:p>
          <w:p w14:paraId="2A7659F2">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2.需要具备LAN以太网通讯端口，</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1路RS485接口，</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1路USB接口；支持无线Wi-Fi。</w:t>
            </w:r>
          </w:p>
          <w:p w14:paraId="144CFACA">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3.显示背景、操作界面和功能按键可根据用户需求自定义编程配置，支持联动控制编程，支持个性化图片、图标、颜色配置，支持锁屏背景图设置。</w:t>
            </w:r>
          </w:p>
          <w:p w14:paraId="3229BCAC">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4.与多媒体智能终端配合，可以对录播、互动等设备进行管控，自定义界面和控制逻辑。</w:t>
            </w:r>
          </w:p>
          <w:p w14:paraId="7930A2D5">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5.需要支持通过设置平台网络远程配置，支持IP地址、MAC地址扫描，支持IP地址设置，支持远程固件升级；需支持配置程序云端备份。</w:t>
            </w:r>
          </w:p>
          <w:p w14:paraId="5B2D10E6">
            <w:pP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sz w:val="24"/>
                <w:szCs w:val="24"/>
              </w:rPr>
              <w:t>6.需支持IP语音对讲功能，具备拾音麦和喇叭；支持分机号码配置，接入IP语音服务器后可实现各教室与控制室IP 语音通话功能；</w:t>
            </w:r>
            <w:r>
              <w:rPr>
                <w:rFonts w:hint="default" w:ascii="Times New Roman" w:hAnsi="Times New Roman" w:eastAsia="仿宋_GB2312" w:cs="Times New Roman"/>
                <w:b w:val="0"/>
                <w:bCs w:val="0"/>
                <w:color w:val="auto"/>
                <w:sz w:val="24"/>
                <w:szCs w:val="24"/>
              </w:rPr>
              <w:t>（需提供检测报告）</w:t>
            </w:r>
          </w:p>
          <w:p w14:paraId="6B6C1F3C">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7.需要支持动态二维码显示，和老师统一身份数据对接后，二维码可用于手机扫码身份权限验证，实现扫码上课。</w:t>
            </w:r>
          </w:p>
        </w:tc>
      </w:tr>
      <w:tr w14:paraId="4BF57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0" w:hRule="atLeast"/>
          <w:jc w:val="center"/>
        </w:trPr>
        <w:tc>
          <w:tcPr>
            <w:tcW w:w="657" w:type="dxa"/>
            <w:vAlign w:val="center"/>
          </w:tcPr>
          <w:p w14:paraId="2CED5D6A">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9</w:t>
            </w:r>
          </w:p>
        </w:tc>
        <w:tc>
          <w:tcPr>
            <w:tcW w:w="1230" w:type="dxa"/>
            <w:vAlign w:val="center"/>
          </w:tcPr>
          <w:p w14:paraId="51007F4E">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智慧教学录播终端（含终端管理软件）</w:t>
            </w:r>
          </w:p>
        </w:tc>
        <w:tc>
          <w:tcPr>
            <w:tcW w:w="7178" w:type="dxa"/>
            <w:vAlign w:val="center"/>
          </w:tcPr>
          <w:p w14:paraId="3AA4A40A">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一、硬件要求</w:t>
            </w:r>
          </w:p>
          <w:p w14:paraId="45CBF4CC">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1.具备≥10英寸高清显示屏幕。</w:t>
            </w:r>
          </w:p>
          <w:p w14:paraId="42D59F4F">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2.控制功能：支持对课堂录播巡课终端的开关机、休眠、录制、远程互动、资源管理等功能。</w:t>
            </w:r>
          </w:p>
          <w:p w14:paraId="541DC1AB">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 支持通过触控面板实时预览录制信号画面，进行导播操作。</w:t>
            </w:r>
          </w:p>
          <w:p w14:paraId="07C1FB72">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4.支持快速拨号呼叫功能，输入用户短号实现快速呼叫，支持实时预览互动画面，并对直播互动进行控制。</w:t>
            </w:r>
          </w:p>
          <w:p w14:paraId="7E10B671">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5.支持录像资源管理，通过直观呈现当前录播主机的录像资源信息，并支持选择相关的录课资源进行回放。</w:t>
            </w:r>
          </w:p>
          <w:p w14:paraId="69EE348F">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6.支持录制资源下载操作，将文件下载至U 盘进行移动共享。</w:t>
            </w:r>
          </w:p>
          <w:p w14:paraId="1DAB3ED7">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7.具备AI实时分析能力。</w:t>
            </w:r>
          </w:p>
          <w:p w14:paraId="0D255B83">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二、软件要求</w:t>
            </w:r>
          </w:p>
          <w:p w14:paraId="4C9EA70B">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需支持对主机后台设置管理员用户与普通用户两种使用权限，普通用户无法进行相关参数与配置修改；同时支持在导播界面实时查看主机当前CPU温度、磁盘空间占用情况、视频录制的参数配置和正在录制的视频时长与大小等信息。</w:t>
            </w:r>
          </w:p>
          <w:p w14:paraId="21ECA5A0">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2.需支持录像文件循环覆盖功能，系统在存储接近满载的情况时，将自动清理系统内录制日期最老的录像文件。</w:t>
            </w:r>
          </w:p>
          <w:p w14:paraId="1BCA32BB">
            <w:pPr>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3.为保证视频拍摄质量，要求内置智能音频处理算法包括AEC回声抑制、AGC自动增益、ANS噪声抑制、EQ智能均衡等。</w:t>
            </w:r>
          </w:p>
          <w:p w14:paraId="0207A862">
            <w:pPr>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4.要求系统在自定义布局、多信号录制直播的情况下所有信号画面保持绝对同步无延迟的拍摄效果满足最佳的使用体验。</w:t>
            </w:r>
          </w:p>
        </w:tc>
      </w:tr>
      <w:tr w14:paraId="10C78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0" w:hRule="atLeast"/>
          <w:jc w:val="center"/>
        </w:trPr>
        <w:tc>
          <w:tcPr>
            <w:tcW w:w="657" w:type="dxa"/>
            <w:vAlign w:val="center"/>
          </w:tcPr>
          <w:p w14:paraId="4B963E14">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p>
        </w:tc>
        <w:tc>
          <w:tcPr>
            <w:tcW w:w="1230" w:type="dxa"/>
            <w:vAlign w:val="center"/>
          </w:tcPr>
          <w:p w14:paraId="0BECFB7D">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智能AI分析主机（含智能课堂行为分析软件）</w:t>
            </w:r>
          </w:p>
        </w:tc>
        <w:tc>
          <w:tcPr>
            <w:tcW w:w="7178" w:type="dxa"/>
            <w:vAlign w:val="center"/>
          </w:tcPr>
          <w:p w14:paraId="7501D26C">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一、</w:t>
            </w:r>
            <w:r>
              <w:rPr>
                <w:rFonts w:hint="default" w:ascii="Times New Roman" w:hAnsi="Times New Roman" w:eastAsia="仿宋_GB2312" w:cs="Times New Roman"/>
                <w:sz w:val="24"/>
                <w:szCs w:val="24"/>
              </w:rPr>
              <w:t>硬件要求</w:t>
            </w:r>
          </w:p>
          <w:p w14:paraId="4094BB48">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1.硬件外观：标准1U机架式设备，便于安装部署。</w:t>
            </w:r>
          </w:p>
          <w:p w14:paraId="348F7333">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2.硬件结构：采用嵌入式架构设计，采用SOC解决方案，高稳定性、低功耗。采用内置NPU高端处理器，具备智能学习特性，充分保障AI处理能力。</w:t>
            </w:r>
          </w:p>
          <w:p w14:paraId="373E29A2">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3.操作系统：</w:t>
            </w:r>
            <w:r>
              <w:rPr>
                <w:rFonts w:hint="default" w:ascii="Times New Roman" w:hAnsi="Times New Roman" w:eastAsia="仿宋_GB2312" w:cs="Times New Roman"/>
                <w:sz w:val="24"/>
                <w:szCs w:val="24"/>
                <w:lang w:val="en-US" w:eastAsia="zh-CN"/>
              </w:rPr>
              <w:t>支持</w:t>
            </w:r>
            <w:r>
              <w:rPr>
                <w:rFonts w:hint="default" w:ascii="Times New Roman" w:hAnsi="Times New Roman" w:eastAsia="仿宋_GB2312" w:cs="Times New Roman"/>
                <w:sz w:val="24"/>
                <w:szCs w:val="24"/>
              </w:rPr>
              <w:t>Linux。</w:t>
            </w:r>
          </w:p>
          <w:p w14:paraId="4CDB4E2B">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4.内置存储：不低于2TB机械硬盘，7200rpm转速。</w:t>
            </w:r>
          </w:p>
          <w:p w14:paraId="47572539">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 网络：标准RJ45网络接口，10M/100M/1000M自适应LAN口x1，要求支持IPv4 、IPv6 双协议栈。</w:t>
            </w:r>
          </w:p>
          <w:p w14:paraId="2F870523">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6.其他接口：USB2.0、HDMI。</w:t>
            </w:r>
          </w:p>
          <w:p w14:paraId="37FFAD71">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7.设备复位：支持一键 Reset复位。</w:t>
            </w:r>
          </w:p>
          <w:p w14:paraId="267FE7E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8.工作电压：采用不高于DC36V安全电压供电。</w:t>
            </w:r>
          </w:p>
          <w:p w14:paraId="26AD3C49">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9</w:t>
            </w:r>
            <w:r>
              <w:rPr>
                <w:rFonts w:hint="default" w:ascii="Times New Roman" w:hAnsi="Times New Roman" w:eastAsia="仿宋_GB2312" w:cs="Times New Roman"/>
                <w:color w:val="auto"/>
                <w:sz w:val="24"/>
                <w:szCs w:val="24"/>
              </w:rPr>
              <w:t>.功耗：额定功率</w:t>
            </w:r>
            <w:r>
              <w:rPr>
                <w:rFonts w:hint="default" w:ascii="Arial" w:hAnsi="Arial" w:cs="Arial"/>
              </w:rPr>
              <w:t>≤</w:t>
            </w:r>
            <w:r>
              <w:rPr>
                <w:rFonts w:hint="default" w:ascii="Times New Roman" w:hAnsi="Times New Roman" w:eastAsia="仿宋_GB2312" w:cs="Times New Roman"/>
                <w:color w:val="auto"/>
                <w:sz w:val="24"/>
                <w:szCs w:val="24"/>
              </w:rPr>
              <w:t>24W。</w:t>
            </w:r>
          </w:p>
          <w:p w14:paraId="7EEBD356">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10.工作温度：10℃~35℃。</w:t>
            </w:r>
          </w:p>
          <w:p w14:paraId="32968FD9">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11.工作湿度：20%～80%。</w:t>
            </w:r>
          </w:p>
          <w:p w14:paraId="2142C3EC">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12.协议标准：支持RTP/RTSP/RTMP/</w:t>
            </w: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"HTTP/TCP/UDP"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HTTP/TCP/UDP</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rPr>
              <w:t>。</w:t>
            </w:r>
          </w:p>
          <w:p w14:paraId="73CFDA7D">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13.编码标准：视频支持H.264HP编解码协议，音频支持AAC编码协议。支持1080P @30fps、720P@30fps格式视频接入进行分析。</w:t>
            </w:r>
          </w:p>
          <w:p w14:paraId="1E9EE11B">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14.接入认证：支持录播主机的接入认证，认证过的录播主机方能导入视音频文件数据进行分析。</w:t>
            </w:r>
          </w:p>
          <w:p w14:paraId="7588C996">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15.数据导入：支持基于网络方式。</w:t>
            </w:r>
          </w:p>
          <w:p w14:paraId="21EE929C">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16.分析数据模式：支持自动获取平台排课预约推送视频与手动导入视频分析的两种方式。</w:t>
            </w:r>
          </w:p>
          <w:p w14:paraId="0628BDD1">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17.分析视频类型：支持同时分析课室教师授课、学生听课两种维度的视频文件，并同时根据视频场景间的联动进行整体课室授课场景分析。</w:t>
            </w:r>
          </w:p>
          <w:p w14:paraId="7791A737">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18.本地分析能力：支持分析能力落在本地主机，内网连接即可用，无需连接互联网云端能力，最大程度保障数据安全。</w:t>
            </w:r>
          </w:p>
          <w:p w14:paraId="6203E4F7">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19.分析模型：支持基于课堂教学的人脸表情、肢体骨骼、行为动作分析能力模型。</w:t>
            </w:r>
          </w:p>
          <w:p w14:paraId="528D0229">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分析能力：支持视觉分析能力，包括出勤人数、出勤率、教师行为模型、师生互动指数模型、教师行动轨迹热点模型、师生S-T行为模型、学生课堂动作与师生理答模型等。支持语音分析能力，包括语音转写、语速分析、高频词分析、敏感词提取、教师提问频次等。</w:t>
            </w:r>
          </w:p>
          <w:p w14:paraId="74844A14">
            <w:pP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二、</w:t>
            </w:r>
            <w:r>
              <w:rPr>
                <w:rFonts w:hint="default" w:ascii="Times New Roman" w:hAnsi="Times New Roman" w:eastAsia="仿宋_GB2312" w:cs="Times New Roman"/>
                <w:sz w:val="24"/>
                <w:szCs w:val="24"/>
              </w:rPr>
              <w:t>软件要求</w:t>
            </w:r>
          </w:p>
          <w:p w14:paraId="2B0696D4">
            <w:pP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val="en-US" w:eastAsia="zh-CN"/>
              </w:rPr>
              <w:t>▲</w:t>
            </w:r>
            <w:r>
              <w:rPr>
                <w:rFonts w:hint="default" w:ascii="Times New Roman" w:hAnsi="Times New Roman" w:eastAsia="仿宋_GB2312" w:cs="Times New Roman"/>
                <w:color w:val="auto"/>
                <w:sz w:val="24"/>
                <w:szCs w:val="24"/>
                <w:highlight w:val="none"/>
              </w:rPr>
              <w:t>1.兼容对接:配套智慧教学录播系统支持与学校现有教学视频资源管理平台无缝对接，</w:t>
            </w:r>
            <w:r>
              <w:rPr>
                <w:rFonts w:hint="default" w:ascii="Times New Roman" w:hAnsi="Times New Roman" w:eastAsia="仿宋_GB2312" w:cs="Times New Roman"/>
                <w:color w:val="auto"/>
                <w:sz w:val="24"/>
                <w:szCs w:val="24"/>
                <w:highlight w:val="none"/>
                <w:lang w:val="en-US" w:eastAsia="zh-CN"/>
              </w:rPr>
              <w:t>需</w:t>
            </w:r>
            <w:r>
              <w:rPr>
                <w:rFonts w:hint="default" w:ascii="Times New Roman" w:hAnsi="Times New Roman" w:eastAsia="仿宋_GB2312" w:cs="Times New Roman"/>
                <w:color w:val="auto"/>
                <w:sz w:val="24"/>
                <w:szCs w:val="24"/>
                <w:highlight w:val="none"/>
              </w:rPr>
              <w:t>提供所投产品制造商出具的对接承诺函，保证设备统一管理，可将视频数据通过平台进行数据展示。</w:t>
            </w:r>
            <w:r>
              <w:rPr>
                <w:rFonts w:hint="default" w:ascii="Times New Roman" w:hAnsi="Times New Roman" w:eastAsia="仿宋_GB2312" w:cs="Times New Roman"/>
                <w:color w:val="auto"/>
                <w:sz w:val="24"/>
                <w:szCs w:val="24"/>
                <w:highlight w:val="none"/>
                <w:lang w:val="en-US" w:eastAsia="zh-CN"/>
              </w:rPr>
              <w:t>需</w:t>
            </w:r>
            <w:r>
              <w:rPr>
                <w:rFonts w:hint="default" w:ascii="Times New Roman" w:hAnsi="Times New Roman" w:eastAsia="仿宋_GB2312" w:cs="Times New Roman"/>
                <w:color w:val="auto"/>
                <w:sz w:val="24"/>
                <w:szCs w:val="24"/>
                <w:highlight w:val="none"/>
              </w:rPr>
              <w:t>提供制造厂家针对本项目不少于三年的售后服务承诺函。</w:t>
            </w:r>
          </w:p>
          <w:p w14:paraId="012B7195">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2.多维分析：支持多维度课堂分析数据，包括“课堂类型”</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highlight w:val="none"/>
              </w:rPr>
              <w:t>“学生专注度”</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“理</w:t>
            </w:r>
            <w:r>
              <w:rPr>
                <w:rFonts w:hint="default" w:ascii="Times New Roman" w:hAnsi="Times New Roman" w:eastAsia="仿宋_GB2312" w:cs="Times New Roman"/>
                <w:sz w:val="24"/>
                <w:szCs w:val="24"/>
              </w:rPr>
              <w:t>答分析”</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“出勤人数”</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教师轨迹</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课堂高频词”等维度数据。</w:t>
            </w:r>
          </w:p>
          <w:p w14:paraId="124F4449">
            <w:pPr>
              <w:rPr>
                <w:rFonts w:hint="default" w:ascii="Times New Roman" w:hAnsi="Times New Roman" w:eastAsia="仿宋_GB2312" w:cs="Times New Roman"/>
                <w:sz w:val="24"/>
                <w:szCs w:val="24"/>
              </w:rPr>
            </w:pPr>
            <w:r>
              <w:rPr>
                <w:rFonts w:hint="default" w:ascii="Times New Roman" w:hAnsi="Times New Roman" w:eastAsia="仿宋_GB2312" w:cs="Times New Roman"/>
                <w:color w:val="auto"/>
                <w:sz w:val="24"/>
                <w:szCs w:val="24"/>
                <w:lang w:val="en-US" w:eastAsia="zh-CN"/>
              </w:rPr>
              <w:t>3</w:t>
            </w:r>
            <w:r>
              <w:rPr>
                <w:rFonts w:hint="default" w:ascii="Times New Roman" w:hAnsi="Times New Roman" w:eastAsia="仿宋_GB2312" w:cs="Times New Roman"/>
                <w:color w:val="auto"/>
                <w:sz w:val="24"/>
                <w:szCs w:val="24"/>
              </w:rPr>
              <w:t>.课</w:t>
            </w:r>
            <w:r>
              <w:rPr>
                <w:rFonts w:hint="default" w:ascii="Times New Roman" w:hAnsi="Times New Roman" w:eastAsia="仿宋_GB2312" w:cs="Times New Roman"/>
                <w:sz w:val="24"/>
                <w:szCs w:val="24"/>
              </w:rPr>
              <w:t>堂质量报告：软件通过分析结果对每个课堂视频自动形成“课堂质量报告”，包含对课堂教情数据（包括教师提问、语速、关键词、轨迹、S-T分析、互动指数、RT-CH等）、课堂学情数据（包括学生出勤、课堂专注曲线、学生动作表情）等数据的多维度分析结果。</w:t>
            </w:r>
          </w:p>
          <w:p w14:paraId="7CF5362D">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4.教学行为分析：支持“教师讲授”</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“指导学生”</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“学生展示汇报”</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“教师板书”</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“师生互动”</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“学生讨论”</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en-US" w:eastAsia="zh-CN"/>
              </w:rPr>
              <w:t>学</w:t>
            </w:r>
            <w:r>
              <w:rPr>
                <w:rFonts w:hint="default" w:ascii="Times New Roman" w:hAnsi="Times New Roman" w:eastAsia="仿宋_GB2312" w:cs="Times New Roman"/>
                <w:sz w:val="24"/>
                <w:szCs w:val="24"/>
              </w:rPr>
              <w:t>生互动”</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“课件展示”和“教学资源展示”多种维度的教学行为识别。</w:t>
            </w:r>
          </w:p>
          <w:p w14:paraId="0F097F62">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5.展示模型：支持以秒为颗粒度对各种类型的教学行为进行基于AI功能的全自动伴随式分析，以课堂时间为轴线形成课堂教学评估数据，并以图表形式直观展示课堂每个时刻的行为类型和持续时长。</w:t>
            </w:r>
          </w:p>
          <w:p w14:paraId="047924C2">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6.互动指数：支持生成师生互动指数热力图，通过互动指数展示一节课堂中师生互动情况。</w:t>
            </w:r>
          </w:p>
          <w:p w14:paraId="7FF62DA0">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7.支持弗兰德斯教学行为分析法（S-T）：要求支持根据图像识别全自动跟踪数据生成S-T曲线图，帮助用户进行教学技能提升和评估。</w:t>
            </w:r>
          </w:p>
          <w:p w14:paraId="2D85FD63">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8.RT-CH教学模型：引入RT-CH教学分析模型，系统自动生成矩阵图，并判定授课类型属于对话型、练习型、混合型、讲授型。</w:t>
            </w:r>
          </w:p>
          <w:p w14:paraId="0A8FE07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9.教师轨迹分析：支持统计整个课节时间内授课教师的授课行动轨迹并形成教师轨迹热力分布图，要求轨迹图以教室横纵坐标形式直观呈现教师授课过程中的授课位置数据。</w:t>
            </w:r>
          </w:p>
          <w:p w14:paraId="186EA036">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10.教师巡视分析：要求支持教师巡视情况统计并形成教师巡视分析图，分析数据应包括教师课堂巡视次数、时长、巡视区域时长占比等数据。</w:t>
            </w:r>
          </w:p>
          <w:p w14:paraId="173E0244">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11.课堂时间分配分析：要求支持对课堂教学行为占比时长进行智能识别与拆分，判断课堂教师讲授时间占比与学生活动时间占比。</w:t>
            </w:r>
          </w:p>
          <w:p w14:paraId="1D37B785">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12.师生理答分析：支持对师生课堂过程当中的总提问数以及应答次数进行智能分析与呈现。</w:t>
            </w:r>
          </w:p>
          <w:p w14:paraId="29F2B0EB">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13.教师可查看每节课的课堂实录，可根据不同的教学行为时序进行智能打点切片，形成行为时序图，可自动定位到课堂实录的特定时刻，方便进行快速回顾教学环节。</w:t>
            </w:r>
          </w:p>
          <w:p w14:paraId="6E417AB2">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14.班级出勤率统计：以班级维度进行班级出勤人数统计，包括应出席人数、实际出席人数、迟到人数、早退人数等。</w:t>
            </w:r>
          </w:p>
          <w:p w14:paraId="1F28E884">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15.学生专注度分析：支持以课堂时间为轴线，对各个时刻学生的抬头率进行分析统计，形成学生观课专注度曲线变化数据统计。</w:t>
            </w:r>
          </w:p>
          <w:p w14:paraId="719563FB">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16.支持学生课堂动作分析，包括趴桌子、举手、站立等肢体语言，可对各类动作进行实时检测。以课堂时间为轴线通过图表形象展示课堂中每个时刻各类动作的学生人数。</w:t>
            </w:r>
          </w:p>
          <w:p w14:paraId="06E8EFB9">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17.支持对整节课堂实现学生动作的统计分析，通过图表展示整节课堂每种学生动作的峰值时刻、峰值占比和峰值人数，点击该峰值时刻即跳转到当前时刻查看详细数据。</w:t>
            </w:r>
          </w:p>
          <w:p w14:paraId="73D1B4BE">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18.支持学生课堂表情分析，包括高兴、惊讶、生气、难过、疑惑、害怕等表情。并支持对各类表情进行实时检测，以课堂时间为轴线通过图表形象展示课堂中每个时刻各类表情的学生人数。</w:t>
            </w:r>
          </w:p>
          <w:p w14:paraId="4989392A">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19.支持对整节课堂实现学生表情的统计分析，通过图表展示整节课堂每种学生表情的峰值时刻、峰值占比和峰值人数，点击该峰值时刻即跳转到当前时刻查看详细数据。</w:t>
            </w:r>
          </w:p>
          <w:p w14:paraId="69755260">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20.支持学生学习行为占比分析，将学生学习行为分为实践、讨论、演示、视听、阅读、听讲等行为，结合图表的形式判断本节课学生对学习内容的平均留存率。</w:t>
            </w:r>
          </w:p>
          <w:p w14:paraId="2740C610">
            <w:pP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21.支持学生课堂表现分析，分析呈现学生专注度均值，以及学生注意力集中阶段、注意力涣散阶段、学生课堂活跃度时间段。轨迹”“课堂高频词”</w:t>
            </w:r>
            <w:r>
              <w:rPr>
                <w:rFonts w:hint="default" w:ascii="Times New Roman" w:hAnsi="Times New Roman" w:eastAsia="仿宋_GB2312" w:cs="Times New Roman"/>
                <w:sz w:val="24"/>
                <w:szCs w:val="24"/>
                <w:lang w:val="en-US" w:eastAsia="zh-CN"/>
              </w:rPr>
              <w:t>等维度数据。</w:t>
            </w:r>
          </w:p>
          <w:p w14:paraId="7C2B0DE8">
            <w:pPr>
              <w:rPr>
                <w:rFonts w:hint="default" w:ascii="Times New Roman" w:hAnsi="Times New Roman" w:cs="Times New Roman"/>
                <w:lang w:val="en-US" w:eastAsia="zh-CN"/>
              </w:rPr>
            </w:pPr>
            <w:r>
              <w:rPr>
                <w:rFonts w:hint="default" w:ascii="Times New Roman" w:hAnsi="Times New Roman" w:eastAsia="仿宋_GB2312" w:cs="Times New Roman"/>
                <w:color w:val="auto"/>
                <w:sz w:val="24"/>
                <w:szCs w:val="24"/>
                <w:lang w:val="en-US" w:eastAsia="zh-CN"/>
              </w:rPr>
              <w:t>22.教师普通话分析：需支持对教师授课音频进行自适应分段，并分析每个段落教师授课过程中的普通话水平、语速、音量以及关键词。</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23.教师音量分析：要求支持分析本堂课教师平均的授课音量，以及根据时间推移呈现音量波动的变化图表。</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24.课堂高频词分析：支持通过AI语音识别能力，抓取授课过程中出现的高频词汇，并统计出现频次以及出现来源，包括但不限于PPT、板书、教师音频，精准判断课堂教学重点。</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25.课堂语气词分析：支持通过进行课堂语音识别，判断老师教学过程中出现的常规语气词出现频次，如“嗯”、“啊”等语气词，辅助老师调整教学过程中的不良习惯。</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26.课堂语音转写：需支持基于语音语义识别完成课堂音频的文字转换，实现课堂教学过程语音全记录。</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27.教师语速分析：需支持通过语音识别能力进行教师课堂授课语速分析，呈现数据需包括教师课堂说话字数以及平均语速。</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28.教师情感表达：需支持通过分析教师授课语音中的积极与消极词汇，判断出教师此刻的情感状态，并用开心、平静等指标加以记录，绘制出本堂课的情感表达曲线图。</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29.纪律管理：支持通过分析教师授课语音中的课堂纪律提醒词汇，分析统计出本堂课教师纪律提醒次数，并以时间轴的形式记录。</w:t>
            </w:r>
          </w:p>
        </w:tc>
      </w:tr>
      <w:tr w14:paraId="731CE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5116" w:hRule="atLeast"/>
          <w:tblHeader/>
          <w:jc w:val="center"/>
        </w:trPr>
        <w:tc>
          <w:tcPr>
            <w:tcW w:w="657" w:type="dxa"/>
            <w:vAlign w:val="center"/>
          </w:tcPr>
          <w:p w14:paraId="3DD8DADC">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11</w:t>
            </w:r>
          </w:p>
        </w:tc>
        <w:tc>
          <w:tcPr>
            <w:tcW w:w="1230" w:type="dxa"/>
            <w:vAlign w:val="center"/>
          </w:tcPr>
          <w:p w14:paraId="74007DCB">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多媒体教室计算机云终端（管理端云桌面授权）</w:t>
            </w:r>
          </w:p>
        </w:tc>
        <w:tc>
          <w:tcPr>
            <w:tcW w:w="7178" w:type="dxa"/>
            <w:vAlign w:val="center"/>
          </w:tcPr>
          <w:p w14:paraId="781D5B95">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1.为保证教学软件及考试系统运行的兼容稳定，</w:t>
            </w:r>
            <w:r>
              <w:rPr>
                <w:rFonts w:hint="default" w:ascii="Times New Roman" w:hAnsi="Times New Roman" w:eastAsia="仿宋_GB2312" w:cs="Times New Roman"/>
                <w:sz w:val="24"/>
                <w:szCs w:val="24"/>
                <w:lang w:val="en-US" w:eastAsia="zh-CN"/>
              </w:rPr>
              <w:t>支持</w:t>
            </w:r>
            <w:r>
              <w:rPr>
                <w:rFonts w:hint="default" w:ascii="Times New Roman" w:hAnsi="Times New Roman" w:eastAsia="仿宋_GB2312" w:cs="Times New Roman"/>
                <w:sz w:val="24"/>
                <w:szCs w:val="24"/>
              </w:rPr>
              <w:t>X86架构的胖终端。</w:t>
            </w:r>
          </w:p>
          <w:p w14:paraId="6EF82D62">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2.CPU</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color w:val="auto"/>
                <w:sz w:val="24"/>
                <w:szCs w:val="24"/>
                <w:lang w:eastAsia="zh-CN"/>
              </w:rPr>
              <w:t>睿频</w:t>
            </w:r>
            <w:r>
              <w:rPr>
                <w:rFonts w:hint="default" w:ascii="Times New Roman" w:hAnsi="Times New Roman" w:eastAsia="仿宋_GB2312" w:cs="Times New Roman"/>
                <w:color w:val="auto"/>
                <w:sz w:val="24"/>
                <w:szCs w:val="24"/>
                <w:lang w:val="en-US" w:eastAsia="zh-CN"/>
              </w:rPr>
              <w:t>不低于</w:t>
            </w:r>
            <w:r>
              <w:rPr>
                <w:rFonts w:hint="default" w:ascii="Times New Roman" w:hAnsi="Times New Roman" w:eastAsia="仿宋_GB2312" w:cs="Times New Roman"/>
                <w:color w:val="auto"/>
                <w:sz w:val="24"/>
                <w:szCs w:val="24"/>
              </w:rPr>
              <w:t>≥4.9GHz</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10</w:t>
            </w:r>
            <w:r>
              <w:rPr>
                <w:rFonts w:hint="default" w:ascii="Times New Roman" w:hAnsi="Times New Roman" w:eastAsia="仿宋_GB2312" w:cs="Times New Roman"/>
                <w:color w:val="auto"/>
                <w:sz w:val="24"/>
                <w:szCs w:val="24"/>
              </w:rPr>
              <w:t>核</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16</w:t>
            </w:r>
            <w:r>
              <w:rPr>
                <w:rFonts w:hint="default" w:ascii="Times New Roman" w:hAnsi="Times New Roman" w:eastAsia="仿宋_GB2312" w:cs="Times New Roman"/>
                <w:color w:val="auto"/>
                <w:sz w:val="24"/>
                <w:szCs w:val="24"/>
              </w:rPr>
              <w:t>线程</w:t>
            </w:r>
            <w:r>
              <w:rPr>
                <w:rFonts w:hint="default" w:ascii="Times New Roman" w:hAnsi="Times New Roman" w:eastAsia="仿宋_GB2312" w:cs="Times New Roman"/>
                <w:sz w:val="24"/>
                <w:szCs w:val="24"/>
              </w:rPr>
              <w:t xml:space="preserve"> 。</w:t>
            </w:r>
          </w:p>
          <w:p w14:paraId="3DEC0C01">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3.内存</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16GDDR4，支持DDR4双通道内存设计，最大支持32GB，后盖独立开盖设计，内存易拆易升级。</w:t>
            </w:r>
          </w:p>
          <w:p w14:paraId="304B37C1">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4.硬盘：≥512G SSD;  </w:t>
            </w:r>
            <w:r>
              <w:rPr>
                <w:rFonts w:hint="default" w:ascii="Times New Roman" w:hAnsi="Times New Roman" w:eastAsia="仿宋_GB2312" w:cs="Times New Roman"/>
                <w:b/>
                <w:bCs/>
                <w:color w:val="auto"/>
                <w:sz w:val="24"/>
                <w:szCs w:val="24"/>
                <w:highlight w:val="none"/>
              </w:rPr>
              <w:t>支持</w:t>
            </w:r>
            <w:r>
              <w:rPr>
                <w:rFonts w:hint="default" w:ascii="Times New Roman" w:hAnsi="Times New Roman" w:eastAsia="仿宋_GB2312" w:cs="Times New Roman"/>
                <w:b w:val="0"/>
                <w:bCs w:val="0"/>
                <w:color w:val="auto"/>
                <w:sz w:val="24"/>
                <w:szCs w:val="24"/>
                <w:highlight w:val="none"/>
              </w:rPr>
              <w:t>M.2/mSATA</w:t>
            </w:r>
            <w:r>
              <w:rPr>
                <w:rFonts w:hint="default" w:ascii="Times New Roman" w:hAnsi="Times New Roman" w:eastAsia="仿宋_GB2312" w:cs="Times New Roman"/>
                <w:b/>
                <w:bCs/>
                <w:color w:val="auto"/>
                <w:sz w:val="24"/>
                <w:szCs w:val="24"/>
                <w:highlight w:val="none"/>
              </w:rPr>
              <w:t>多种存储方式</w:t>
            </w:r>
            <w:r>
              <w:rPr>
                <w:rFonts w:hint="default" w:ascii="Times New Roman" w:hAnsi="Times New Roman" w:eastAsia="仿宋_GB2312" w:cs="Times New Roman"/>
                <w:sz w:val="24"/>
                <w:szCs w:val="24"/>
              </w:rPr>
              <w:t>。</w:t>
            </w:r>
          </w:p>
          <w:p w14:paraId="671C25BA">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5.显卡：集成高清显卡。</w:t>
            </w:r>
          </w:p>
          <w:p w14:paraId="625087D2">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6.I/O端口：≥8个USB端口（至少包含4个USB3.0端口），≥1*VGA, 1*HDMI，2对音频输入输出接口。</w:t>
            </w:r>
          </w:p>
          <w:p w14:paraId="30E0787C">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7.特性：支持上电自启动，支持远程唤醒。</w:t>
            </w:r>
          </w:p>
          <w:p w14:paraId="68BC78C6">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8.平台支持下发 windows和linux系统，在为教室分配桌面时，能够手动选择配置好的windows和linux模板，能够单独设定桌面系统盘/数据盘的还原属性，支持不还原/每次还原/每周还原/每月还原，支持自动更新桌面。</w:t>
            </w:r>
          </w:p>
          <w:p w14:paraId="0245112A">
            <w:pPr>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highlight w:val="none"/>
                <w:lang w:val="en-US" w:eastAsia="zh-CN"/>
              </w:rPr>
              <w:t>9.可针对每间</w:t>
            </w:r>
            <w:r>
              <w:rPr>
                <w:rFonts w:hint="eastAsia" w:ascii="Times New Roman" w:hAnsi="Times New Roman" w:eastAsia="仿宋_GB2312" w:cs="Times New Roman"/>
                <w:color w:val="auto"/>
                <w:sz w:val="24"/>
                <w:szCs w:val="24"/>
                <w:highlight w:val="none"/>
                <w:lang w:val="en-US" w:eastAsia="zh-CN"/>
              </w:rPr>
              <w:t>教室</w:t>
            </w:r>
            <w:r>
              <w:rPr>
                <w:rFonts w:hint="default" w:ascii="Times New Roman" w:hAnsi="Times New Roman" w:eastAsia="仿宋_GB2312" w:cs="Times New Roman"/>
                <w:color w:val="auto"/>
                <w:sz w:val="24"/>
                <w:szCs w:val="24"/>
                <w:highlight w:val="none"/>
                <w:lang w:val="en-US" w:eastAsia="zh-CN"/>
              </w:rPr>
              <w:t>或每台电脑终端自定义标签，管理员可以按标签的类别来搜索</w:t>
            </w:r>
            <w:r>
              <w:rPr>
                <w:rFonts w:hint="eastAsia" w:ascii="Times New Roman" w:hAnsi="Times New Roman" w:eastAsia="仿宋_GB2312" w:cs="Times New Roman"/>
                <w:color w:val="auto"/>
                <w:sz w:val="24"/>
                <w:szCs w:val="24"/>
                <w:highlight w:val="none"/>
                <w:lang w:val="en-US" w:eastAsia="zh-CN"/>
              </w:rPr>
              <w:t>教</w:t>
            </w:r>
            <w:r>
              <w:rPr>
                <w:rFonts w:hint="default" w:ascii="Times New Roman" w:hAnsi="Times New Roman" w:eastAsia="仿宋_GB2312" w:cs="Times New Roman"/>
                <w:color w:val="auto"/>
                <w:sz w:val="24"/>
                <w:szCs w:val="24"/>
                <w:highlight w:val="none"/>
                <w:lang w:val="en-US" w:eastAsia="zh-CN"/>
              </w:rPr>
              <w:t>室或终端电脑。标签可设置为使用场景、使用班级、单双号等类别</w:t>
            </w:r>
            <w:r>
              <w:rPr>
                <w:rFonts w:hint="default" w:ascii="Times New Roman" w:hAnsi="Times New Roman" w:eastAsia="仿宋_GB2312" w:cs="Times New Roman"/>
                <w:b w:val="0"/>
                <w:bCs w:val="0"/>
                <w:color w:val="auto"/>
                <w:sz w:val="24"/>
                <w:szCs w:val="24"/>
                <w:highlight w:val="none"/>
                <w:lang w:val="en-US" w:eastAsia="zh-CN"/>
              </w:rPr>
              <w:t>（需提供功能截图）。</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10.可统计学生自主安装软件名称、安装次数以及安装的版本信息，为管理员下次统一部署提供决策支撑。</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11.可对指定的终端和机房发送文件，可以查询到历史的文件发送记录，支持按文件名进行搜索。</w:t>
            </w:r>
          </w:p>
          <w:p w14:paraId="566A4B03">
            <w:pPr>
              <w:rPr>
                <w:rFonts w:hint="default" w:ascii="Times New Roman" w:hAnsi="Times New Roman" w:eastAsia="仿宋_GB2312" w:cs="Times New Roman"/>
                <w:sz w:val="24"/>
                <w:szCs w:val="24"/>
              </w:rPr>
            </w:pPr>
            <w:r>
              <w:rPr>
                <w:rFonts w:hint="default" w:ascii="Times New Roman" w:hAnsi="Times New Roman" w:eastAsia="仿宋_GB2312" w:cs="Times New Roman"/>
                <w:color w:val="auto"/>
                <w:sz w:val="24"/>
                <w:szCs w:val="24"/>
                <w:lang w:val="en-US" w:eastAsia="zh-CN"/>
              </w:rPr>
              <w:t>▲12.可设置</w:t>
            </w:r>
            <w:r>
              <w:rPr>
                <w:rFonts w:hint="eastAsia" w:ascii="Times New Roman" w:hAnsi="Times New Roman" w:eastAsia="仿宋_GB2312" w:cs="Times New Roman"/>
                <w:color w:val="auto"/>
                <w:sz w:val="24"/>
                <w:szCs w:val="24"/>
                <w:highlight w:val="none"/>
                <w:lang w:val="en-US" w:eastAsia="zh-CN"/>
              </w:rPr>
              <w:t>教室</w:t>
            </w:r>
            <w:r>
              <w:rPr>
                <w:rFonts w:hint="default" w:ascii="Times New Roman" w:hAnsi="Times New Roman" w:eastAsia="仿宋_GB2312" w:cs="Times New Roman"/>
                <w:color w:val="auto"/>
                <w:sz w:val="24"/>
                <w:szCs w:val="24"/>
                <w:lang w:val="en-US" w:eastAsia="zh-CN"/>
              </w:rPr>
              <w:t>电脑终端的登录方式，可设置免登录的完全开放模式和输入账号密码的登录模式。登录模式可以选择全校全体师生和部分院系师生</w:t>
            </w:r>
            <w:r>
              <w:rPr>
                <w:rFonts w:hint="default" w:ascii="Times New Roman" w:hAnsi="Times New Roman" w:eastAsia="仿宋_GB2312" w:cs="Times New Roman"/>
                <w:b w:val="0"/>
                <w:bCs w:val="0"/>
                <w:color w:val="auto"/>
                <w:sz w:val="24"/>
                <w:szCs w:val="24"/>
                <w:lang w:val="en-US" w:eastAsia="zh-CN"/>
              </w:rPr>
              <w:t>（需提供功能截图）。</w:t>
            </w:r>
          </w:p>
        </w:tc>
      </w:tr>
      <w:tr w14:paraId="078D6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47" w:hRule="atLeast"/>
          <w:jc w:val="center"/>
        </w:trPr>
        <w:tc>
          <w:tcPr>
            <w:tcW w:w="657" w:type="dxa"/>
            <w:vAlign w:val="center"/>
          </w:tcPr>
          <w:p w14:paraId="6E05C791">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12</w:t>
            </w:r>
          </w:p>
        </w:tc>
        <w:tc>
          <w:tcPr>
            <w:tcW w:w="1230" w:type="dxa"/>
            <w:vAlign w:val="center"/>
          </w:tcPr>
          <w:p w14:paraId="47FFC5CB">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云桌面软件</w:t>
            </w:r>
          </w:p>
        </w:tc>
        <w:tc>
          <w:tcPr>
            <w:tcW w:w="7178" w:type="dxa"/>
            <w:vAlign w:val="center"/>
          </w:tcPr>
          <w:p w14:paraId="384FA0E6">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1.支持跨校区分散部署，云服务器可部署在不同的校区，单一IP地址即可访问和管理所有区域，支持多区域切换管理，支持新增区域，便于构建校级云桌面</w:t>
            </w:r>
            <w:r>
              <w:rPr>
                <w:rFonts w:hint="default" w:ascii="Times New Roman" w:hAnsi="Times New Roman" w:eastAsia="仿宋_GB2312" w:cs="Times New Roman"/>
                <w:sz w:val="24"/>
                <w:szCs w:val="24"/>
                <w:lang w:eastAsia="zh-CN"/>
              </w:rPr>
              <w:t>统一</w:t>
            </w:r>
            <w:r>
              <w:rPr>
                <w:rFonts w:hint="default" w:ascii="Times New Roman" w:hAnsi="Times New Roman" w:eastAsia="仿宋_GB2312" w:cs="Times New Roman"/>
                <w:sz w:val="24"/>
                <w:szCs w:val="24"/>
              </w:rPr>
              <w:t>管理平台，满足跨校区云桌面建设。</w:t>
            </w:r>
          </w:p>
          <w:p w14:paraId="1869F458">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2.支持端对端数据智能传输，可将已有镜像的终端作为发送端，给同教室内其他终端下发镜像，提升系统下发效率。</w:t>
            </w:r>
          </w:p>
          <w:p w14:paraId="12CDF4A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3.系统下发支持分盘下发，可同时下发系统盘和数据盘数据，也可独立分发系统盘数据，满足系统盘更新同时保留数据盘数据的需求，提升系统下发的灵活性。</w:t>
            </w:r>
          </w:p>
          <w:p w14:paraId="5FBA8B6C">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4.支持在WEB管理平台上直接对服务器SSD硬盘进行性能测试，不依赖第三方测试工具，可获取SSD硬盘 16K随机读、顺序写数值，并给出测试评级结果，便于管理员定位系统故障。</w:t>
            </w:r>
          </w:p>
          <w:p w14:paraId="6D391F81">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支持下发windows和linux系统，在为教室分配桌面时，能够手动选择配置好的windows和linux模板，桌面创建支持自动编排终端的计算机名及编号，能够单独设定桌面系统盘/数据盘的还原属性，支持不还原/每次还原/每周还原/每月还原，支持自动更新桌面。</w:t>
            </w:r>
          </w:p>
          <w:p w14:paraId="33DD1540">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支持桌面还原属性修改，桌面创建完成后，可随时在管理平台根据教学需求修改教学桌面还原属性，可单独分别为系统盘和数据盘设置每次还原，每天还原，每周还原、每月还原或不还原，也可对场景中的任意数量的桌面实现还原，满足教学桌面还原和考试环境数据保存等需求。</w:t>
            </w:r>
          </w:p>
          <w:p w14:paraId="7E76C4DD">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7.支持硬件虚拟化功能，开启后针对硬件识别码的软件可实现软件统一注册，大幅度降低激活软件带来的工作量。</w:t>
            </w:r>
          </w:p>
          <w:p w14:paraId="32D5AEA0">
            <w:pPr>
              <w:rPr>
                <w:rFonts w:hint="default" w:ascii="Times New Roman" w:hAnsi="Times New Roman" w:eastAsia="仿宋_GB2312" w:cs="Times New Roman"/>
                <w:b w:val="0"/>
                <w:bCs w:val="0"/>
                <w:color w:val="auto"/>
                <w:sz w:val="24"/>
                <w:szCs w:val="24"/>
              </w:rPr>
            </w:pPr>
            <w:r>
              <w:rPr>
                <w:rFonts w:hint="default" w:ascii="Times New Roman" w:hAnsi="Times New Roman" w:eastAsia="仿宋_GB2312" w:cs="Times New Roman"/>
                <w:sz w:val="24"/>
                <w:szCs w:val="24"/>
              </w:rPr>
              <w:t>8.单个终端可部署多个操作系统，支持在管理平台上设置终端数据盘，可任意选定可使用共享盘的操作系统数量，可设置终端数据盘的空间大小，并能设定清除策略，包含不清除/每周清除/每月清除</w:t>
            </w:r>
            <w:r>
              <w:rPr>
                <w:rFonts w:hint="default" w:ascii="Times New Roman" w:hAnsi="Times New Roman" w:eastAsia="仿宋_GB2312" w:cs="Times New Roman"/>
                <w:b w:val="0"/>
                <w:bCs w:val="0"/>
                <w:color w:val="auto"/>
                <w:sz w:val="24"/>
                <w:szCs w:val="24"/>
              </w:rPr>
              <w:t>（提供功能截图）。</w:t>
            </w:r>
          </w:p>
          <w:p w14:paraId="26C316A4">
            <w:pPr>
              <w:jc w:val="left"/>
              <w:rPr>
                <w:rFonts w:hint="default" w:ascii="Times New Roman" w:hAnsi="Times New Roman" w:eastAsia="仿宋_GB2312" w:cs="Times New Roman"/>
                <w:sz w:val="24"/>
                <w:szCs w:val="24"/>
              </w:rPr>
            </w:pPr>
            <w:r>
              <w:rPr>
                <w:rFonts w:hint="default" w:ascii="Times New Roman" w:hAnsi="Times New Roman" w:eastAsia="仿宋_GB2312" w:cs="Times New Roman"/>
                <w:color w:val="auto"/>
                <w:sz w:val="24"/>
                <w:szCs w:val="24"/>
              </w:rPr>
              <w:t>9.为了保证服务器不因拉闸断电导致硬件</w:t>
            </w:r>
            <w:r>
              <w:rPr>
                <w:rFonts w:hint="default" w:ascii="Times New Roman" w:hAnsi="Times New Roman" w:eastAsia="仿宋_GB2312" w:cs="Times New Roman"/>
                <w:sz w:val="24"/>
                <w:szCs w:val="24"/>
              </w:rPr>
              <w:t>损坏，能够通过平台设置服务器定时关机策略，能够设定周一至周五，服务器自动关机的时间，能够精确到分钟。</w:t>
            </w:r>
          </w:p>
          <w:p w14:paraId="667B7BB2">
            <w:pPr>
              <w:numPr>
                <w:ilvl w:val="0"/>
                <w:numId w:val="11"/>
              </w:numPr>
              <w:ind w:left="0" w:leftChars="0" w:firstLine="0" w:firstLineChars="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提供系统操作日志功能，可独立查看管理日志和用户日志（包括操作内容，操作者，操作时间，登录主机 IP，操作对象等），便于管理员精确定位操作记录，可设置日志的保留时间，如一个月，一年，永久等，支持对日志文件的备份，包括立即备份和自动备份，可设置自动备份周期、备份时间、备份文件保留数量。</w:t>
            </w:r>
          </w:p>
          <w:p w14:paraId="0F940B5F">
            <w:pPr>
              <w:numPr>
                <w:ilvl w:val="0"/>
                <w:numId w:val="11"/>
              </w:numPr>
              <w:ind w:left="0" w:leftChars="0" w:firstLine="0" w:firstLineChars="0"/>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支持跨校区多区域资源汇总分析，可统计所有区域的桌面云部署信息，至少包括服务器数量，CPU、内存、存储使用率，教室数量，终端数量，桌面数量等，也可统计分析区域内桌面使用次数，桌面场景使用时长，机房日均使用时长等信息，便于学校掌握桌面云整体建设使用情况。</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12.支持系统环境的批量部署，可根据不同专业的教学、考试要求，快速创建多套教学环境，使用时开放，不使用时随时回收。</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13.终端支持裸机部署模式，本地无操作系统也可连接服务器部署客户端，且局域网内任意安装好VOI底层客户端的终端，都可以给其他终端传底层客户端系统，便于终端和服务器处在跨VLAN环境下的环境部署。</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14.系统下发支持BT和广播两种模式，广播支持跨VLAN环境且无需第三方软硬件设备，以提升系统下发效率。</w:t>
            </w:r>
          </w:p>
          <w:p w14:paraId="77D5E99C">
            <w:pPr>
              <w:numPr>
                <w:ilvl w:val="0"/>
                <w:numId w:val="0"/>
              </w:numPr>
              <w:ind w:leftChars="0"/>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15.制作系统模板时支持样机制作方式，可在教室任意选择一台样机，系统和软件安装完成后将样机模板上传到服务器端；同时支持web平台制作方式，无需到教室寻找样机，直接在管理平台上通过虚拟机制作模板然后下发，提高样机制作便捷度。</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16.支持软件方式实现跨VLAN环境下的终端网络唤醒，无需第三方硬件设备。</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17.为了应对学校网络调整，可在管理平台上灵活修改服务器的ip地址，无需重启服务器，使用更改后的ip地址即可访问平台，平台原有模板、桌面信息、网络配置无变化。</w:t>
            </w:r>
          </w:p>
          <w:p w14:paraId="15D88D02">
            <w:pPr>
              <w:numPr>
                <w:ilvl w:val="0"/>
                <w:numId w:val="0"/>
              </w:numPr>
              <w:ind w:left="0" w:leftChars="0" w:firstLine="0" w:firstLineChars="0"/>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kern w:val="2"/>
                <w:sz w:val="24"/>
                <w:szCs w:val="24"/>
                <w:lang w:val="en-US" w:eastAsia="zh-CN" w:bidi="ar-SA"/>
              </w:rPr>
              <w:t>18.</w:t>
            </w:r>
            <w:r>
              <w:rPr>
                <w:rFonts w:hint="default" w:ascii="Times New Roman" w:hAnsi="Times New Roman" w:eastAsia="仿宋_GB2312" w:cs="Times New Roman"/>
                <w:color w:val="auto"/>
                <w:sz w:val="24"/>
                <w:szCs w:val="24"/>
                <w:lang w:val="en-US" w:eastAsia="zh-CN"/>
              </w:rPr>
              <w:t>支持将服务器映射到公网，可将服务器运维托管于DC机房，解决跨校区分散终端环境的统一管理。</w:t>
            </w:r>
          </w:p>
          <w:p w14:paraId="3165C597">
            <w:pPr>
              <w:numPr>
                <w:ilvl w:val="0"/>
                <w:numId w:val="0"/>
              </w:numPr>
              <w:ind w:left="0" w:leftChars="0" w:firstLine="0" w:firstLineChars="0"/>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kern w:val="2"/>
                <w:sz w:val="24"/>
                <w:szCs w:val="24"/>
                <w:lang w:val="en-US" w:eastAsia="zh-CN" w:bidi="ar-SA"/>
              </w:rPr>
              <w:t>19.</w:t>
            </w:r>
            <w:r>
              <w:rPr>
                <w:rFonts w:hint="default" w:ascii="Times New Roman" w:hAnsi="Times New Roman" w:eastAsia="仿宋_GB2312" w:cs="Times New Roman"/>
                <w:color w:val="auto"/>
                <w:sz w:val="24"/>
                <w:szCs w:val="24"/>
                <w:lang w:val="en-US" w:eastAsia="zh-CN"/>
              </w:rPr>
              <w:t>单个终端可同时支持教学桌面和个人桌面两种使用方式，教学桌面开机无需账号直接进入桌面，个人桌面开机须输入账号密码进入桌面；管理台可控制允许终端进入的桌面类型，包括仅使用教学桌面，仅使用个人桌面，混合登录三种方式。</w:t>
            </w:r>
          </w:p>
          <w:p w14:paraId="151CD72C">
            <w:pPr>
              <w:numPr>
                <w:ilvl w:val="0"/>
                <w:numId w:val="0"/>
              </w:numPr>
              <w:ind w:left="0" w:leftChars="0" w:firstLine="0" w:firstLineChars="0"/>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kern w:val="2"/>
                <w:sz w:val="24"/>
                <w:szCs w:val="24"/>
                <w:lang w:val="en-US" w:eastAsia="zh-CN" w:bidi="ar-SA"/>
              </w:rPr>
              <w:t>20.</w:t>
            </w:r>
            <w:r>
              <w:rPr>
                <w:rFonts w:hint="default" w:ascii="Times New Roman" w:hAnsi="Times New Roman" w:eastAsia="仿宋_GB2312" w:cs="Times New Roman"/>
                <w:color w:val="auto"/>
                <w:sz w:val="24"/>
                <w:szCs w:val="24"/>
                <w:lang w:val="en-US" w:eastAsia="zh-CN"/>
              </w:rPr>
              <w:t xml:space="preserve">针对教室桌面，能够设定独立的场景数据盘，并自动挂载到终端操作系统，针对场景数据盘能够设定清空策略，支持不清空/每周清空/每月清空等方式，满足单个专业环境下的数据存储要求。    </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21.支持windows系统下的屏幕水印功能，可设置水印显示位置、字体大小、颜色、透明度，可设置显示内容，包括桌面计算机名，终端序号，桌面IP地址，MAC地址，还原方式等信息，还可自定义显示内容，进入系统后，桌面右上角可置顶显示设置的信息水印，便于管理员维护时快速查找对应的终端</w:t>
            </w:r>
            <w:r>
              <w:rPr>
                <w:rFonts w:hint="default" w:ascii="Times New Roman" w:hAnsi="Times New Roman" w:eastAsia="仿宋_GB2312" w:cs="Times New Roman"/>
                <w:b w:val="0"/>
                <w:bCs w:val="0"/>
                <w:color w:val="auto"/>
                <w:sz w:val="24"/>
                <w:szCs w:val="24"/>
                <w:lang w:val="en-US" w:eastAsia="zh-CN"/>
              </w:rPr>
              <w:t>（需提供功能截图）。</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22.支持模板管理，可针对不同的教学要求提供windows、linux等多套教学模板，支持在web平台对模板进行新增，编辑，注册，删除等操作。</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23.支持模板更新点管理，可默认保留不少于三个时间点的更新进度，可对更新点进行合并、删除，减少资源占用。</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highlight w:val="none"/>
                <w:lang w:val="en-US" w:eastAsia="zh-CN"/>
              </w:rPr>
              <w:t>24.支持模板分享链接，管理员可以将编辑模板的链接分享给需要编辑模板的用户，在浏览器中直接输入链接地址即可对模板进行编辑，支持分享日期、分享链接的失效期设置</w:t>
            </w:r>
            <w:r>
              <w:rPr>
                <w:rFonts w:hint="default" w:ascii="Times New Roman" w:hAnsi="Times New Roman" w:eastAsia="仿宋_GB2312" w:cs="Times New Roman"/>
                <w:b w:val="0"/>
                <w:bCs w:val="0"/>
                <w:color w:val="auto"/>
                <w:sz w:val="24"/>
                <w:szCs w:val="24"/>
                <w:highlight w:val="none"/>
                <w:lang w:val="en-US" w:eastAsia="zh-CN"/>
              </w:rPr>
              <w:t>（需提供功能截图）</w:t>
            </w:r>
            <w:r>
              <w:rPr>
                <w:rFonts w:hint="default" w:ascii="Times New Roman" w:hAnsi="Times New Roman" w:eastAsia="仿宋_GB2312" w:cs="Times New Roman"/>
                <w:b w:val="0"/>
                <w:bCs w:val="0"/>
                <w:color w:val="auto"/>
                <w:sz w:val="24"/>
                <w:szCs w:val="24"/>
                <w:lang w:val="en-US" w:eastAsia="zh-CN"/>
              </w:rPr>
              <w:t>。</w:t>
            </w:r>
            <w:r>
              <w:rPr>
                <w:rFonts w:hint="default"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25.支持设定公共的硬件模板，包括CPU核数、内存、系统盘容量、数据盘容量，便于创建虚拟机搭建考试服务等应用系统。</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26.支持在一个界面展示终端名称、IP地址、MAC地址，运行状态、磁盘剩余容量、下发状态等信息，可通过管理平台对终端执行唤醒、重启、关机，系统场景切换等操作。</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27.支持终端的快速筛选，</w:t>
            </w:r>
            <w:r>
              <w:rPr>
                <w:rFonts w:hint="default" w:ascii="Times New Roman" w:hAnsi="Times New Roman" w:eastAsia="仿宋_GB2312" w:cs="Times New Roman"/>
                <w:color w:val="auto"/>
                <w:sz w:val="24"/>
                <w:szCs w:val="24"/>
                <w:highlight w:val="none"/>
                <w:lang w:val="en-US" w:eastAsia="zh-CN"/>
              </w:rPr>
              <w:t>如在隔位考试的</w:t>
            </w:r>
            <w:r>
              <w:rPr>
                <w:rFonts w:hint="default" w:ascii="Times New Roman" w:hAnsi="Times New Roman" w:eastAsia="仿宋_GB2312" w:cs="Times New Roman"/>
                <w:color w:val="auto"/>
                <w:sz w:val="24"/>
                <w:szCs w:val="24"/>
                <w:lang w:val="en-US" w:eastAsia="zh-CN"/>
              </w:rPr>
              <w:t>情况下，可通过单双号方式，快速筛选定位所要查看的终端。</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28.针对终端可设置定时开关机计划，可按周期在固定时间唤醒和关闭对应的教学桌面终端，日期精确到天、时间精确到分钟，并可以指定开机的范围所对应的终端教室。</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29.可针对不同的功能模块和教室范围进行权限角色的划分，可授权管理员能操作的管理平台功能，权限细分到每一个功能菜单操作；可授权管理员可管理的教室范围</w:t>
            </w:r>
            <w:r>
              <w:rPr>
                <w:rFonts w:hint="default" w:ascii="Times New Roman" w:hAnsi="Times New Roman" w:eastAsia="仿宋_GB2312" w:cs="Times New Roman"/>
                <w:b w:val="0"/>
                <w:bCs w:val="0"/>
                <w:color w:val="auto"/>
                <w:sz w:val="24"/>
                <w:szCs w:val="24"/>
                <w:lang w:val="en-US" w:eastAsia="zh-CN"/>
              </w:rPr>
              <w:t>（需提供功能截图）。</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▲30.支持在虚拟桌面管理平台上编辑学期课表 （无需依赖第三方软件或脚本），可设置学期开始和结束时间、每节课起始时间（支持单双周排课），可直接将桌面模板拖拽到课表中，并按课表时间自动启动桌面环境，便于桌面的灵活切换</w:t>
            </w:r>
            <w:r>
              <w:rPr>
                <w:rFonts w:hint="default" w:ascii="Times New Roman" w:hAnsi="Times New Roman" w:eastAsia="仿宋_GB2312" w:cs="Times New Roman"/>
                <w:b w:val="0"/>
                <w:bCs w:val="0"/>
                <w:color w:val="auto"/>
                <w:sz w:val="24"/>
                <w:szCs w:val="24"/>
                <w:lang w:val="en-US" w:eastAsia="zh-CN"/>
              </w:rPr>
              <w:t>（需提供功能截图）。</w:t>
            </w:r>
            <w:r>
              <w:rPr>
                <w:rFonts w:hint="default"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31.支持保留最少一周内的桌面下发记录，包括下发的终端名称，桌面名称，起止时间，下发状态等信息，便于后期可追溯</w:t>
            </w:r>
            <w:r>
              <w:rPr>
                <w:rFonts w:hint="default" w:ascii="Times New Roman" w:hAnsi="Times New Roman" w:eastAsia="仿宋_GB2312" w:cs="Times New Roman"/>
                <w:b w:val="0"/>
                <w:bCs w:val="0"/>
                <w:color w:val="auto"/>
                <w:sz w:val="24"/>
                <w:szCs w:val="24"/>
                <w:lang w:val="en-US" w:eastAsia="zh-CN"/>
              </w:rPr>
              <w:t>（需提供功能截图）。</w:t>
            </w:r>
            <w:r>
              <w:rPr>
                <w:rFonts w:hint="default" w:ascii="Times New Roman" w:hAnsi="Times New Roman" w:eastAsia="仿宋_GB2312" w:cs="Times New Roman"/>
                <w:b w:val="0"/>
                <w:bCs w:val="0"/>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32.不限定终端类型，支持各种品牌PC，兼容PC机等异构设备的统一管理，一个桌面模板自动适配所有异构设备，需提供所投产品制造商出具与我校前期系统平台无缝对接承诺函，保证设备统一管理；提供制造厂家针对本项目不少于三年的售后服务承诺函。</w:t>
            </w:r>
          </w:p>
          <w:p w14:paraId="2FD8A502">
            <w:pPr>
              <w:numPr>
                <w:ilvl w:val="0"/>
                <w:numId w:val="0"/>
              </w:numPr>
              <w:ind w:left="0" w:leftChars="0" w:firstLine="0" w:firstLineChars="0"/>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lang w:val="en-US" w:eastAsia="zh-CN"/>
              </w:rPr>
              <w:t>33.支持usb急救恢复，无需通过管理平台或者样机模式下发桌面，直接在终端插入专用急救u盘，即可快速恢复操作系统，恢复以后仍可被管理平台识别和管理。</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highlight w:val="none"/>
                <w:lang w:val="en-US" w:eastAsia="zh-CN"/>
              </w:rPr>
              <w:t>▲34.提供桌面自维护工具，包括IP查看、防火墙设置、网络检测、快速调整最佳分辨率、重启打印机、清除无效快捷方式等，便于用户快速自主解决桌面问题</w:t>
            </w:r>
            <w:r>
              <w:rPr>
                <w:rFonts w:hint="default" w:ascii="Times New Roman" w:hAnsi="Times New Roman" w:eastAsia="仿宋_GB2312" w:cs="Times New Roman"/>
                <w:b w:val="0"/>
                <w:bCs w:val="0"/>
                <w:color w:val="auto"/>
                <w:sz w:val="24"/>
                <w:szCs w:val="24"/>
                <w:highlight w:val="none"/>
                <w:lang w:val="en-US" w:eastAsia="zh-CN"/>
              </w:rPr>
              <w:t>（需提供功能截图）。</w:t>
            </w:r>
          </w:p>
          <w:p w14:paraId="37F6FE61">
            <w:pPr>
              <w:numPr>
                <w:ilvl w:val="0"/>
                <w:numId w:val="0"/>
              </w:numPr>
              <w:ind w:left="0" w:leftChars="0" w:firstLine="0" w:firstLineChars="0"/>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35.充分考虑多媒体教室双显示器，外接大屏的使用需求，可以在管理端对任意终端音频输入、输出设置使用设备；对单屏、双屏使用所涉及的克隆、扩展、主屏幕以及每块屏幕的分辨率、缩放比进行设置（提供功能截图）</w:t>
            </w:r>
            <w:r>
              <w:rPr>
                <w:rFonts w:hint="eastAsia" w:ascii="Times New Roman" w:hAnsi="Times New Roman" w:eastAsia="仿宋_GB2312" w:cs="Times New Roman"/>
                <w:color w:val="auto"/>
                <w:sz w:val="24"/>
                <w:szCs w:val="24"/>
                <w:highlight w:val="none"/>
                <w:lang w:val="en-US" w:eastAsia="zh-CN"/>
              </w:rPr>
              <w:t>。</w:t>
            </w:r>
          </w:p>
          <w:p w14:paraId="2E017325">
            <w:pPr>
              <w:numPr>
                <w:ilvl w:val="0"/>
                <w:numId w:val="0"/>
              </w:numPr>
              <w:ind w:left="0" w:leftChars="0" w:firstLine="0" w:firstLineChars="0"/>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36.</w:t>
            </w:r>
            <w:r>
              <w:rPr>
                <w:rFonts w:hint="default" w:ascii="Times New Roman" w:hAnsi="Times New Roman" w:eastAsia="仿宋_GB2312" w:cs="Times New Roman"/>
                <w:color w:val="auto"/>
                <w:sz w:val="24"/>
                <w:szCs w:val="24"/>
                <w:highlight w:val="none"/>
                <w:lang w:val="en-US" w:eastAsia="zh-CN"/>
              </w:rPr>
              <w:t>具备数据统计功能，可自定义时间段展示教室终端软件使用时长和次数的TOP5排行榜，充分考虑学校关注点，对无需关注的软件进行屏蔽，不参与排行（提供功能截图）。</w:t>
            </w:r>
          </w:p>
          <w:p w14:paraId="6A8A4A8C">
            <w:pPr>
              <w:numPr>
                <w:ilvl w:val="0"/>
                <w:numId w:val="0"/>
              </w:numPr>
              <w:ind w:left="0" w:leftChars="0" w:firstLine="0" w:firstLineChars="0"/>
              <w:rPr>
                <w:rFonts w:hint="eastAsia"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37.云平台支持桌面地图，云服务器在地图中可以显示位置所在，管理员可连接到服务器查看并管理终端的情况，提供给用户远程到服务器的功能，包括VNC连接、WEB连接和mstsc连接三种方式（提供功能截图）。</w:t>
            </w:r>
          </w:p>
          <w:p w14:paraId="7F94427E">
            <w:pPr>
              <w:numPr>
                <w:ilvl w:val="0"/>
                <w:numId w:val="0"/>
              </w:numPr>
              <w:ind w:left="0" w:leftChars="0" w:firstLine="0" w:firstLineChars="0"/>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highlight w:val="none"/>
                <w:lang w:val="en-US" w:eastAsia="zh-CN"/>
              </w:rPr>
              <w:t>▲3</w:t>
            </w:r>
            <w:r>
              <w:rPr>
                <w:rFonts w:hint="eastAsia" w:ascii="Times New Roman" w:hAnsi="Times New Roman" w:eastAsia="仿宋_GB2312" w:cs="Times New Roman"/>
                <w:color w:val="auto"/>
                <w:sz w:val="24"/>
                <w:szCs w:val="24"/>
                <w:highlight w:val="none"/>
                <w:lang w:val="en-US" w:eastAsia="zh-CN"/>
              </w:rPr>
              <w:t>8</w:t>
            </w:r>
            <w:r>
              <w:rPr>
                <w:rFonts w:hint="default" w:ascii="Times New Roman" w:hAnsi="Times New Roman" w:eastAsia="仿宋_GB2312" w:cs="Times New Roman"/>
                <w:color w:val="auto"/>
                <w:sz w:val="24"/>
                <w:szCs w:val="24"/>
                <w:highlight w:val="none"/>
                <w:lang w:val="en-US" w:eastAsia="zh-CN"/>
              </w:rPr>
              <w:t>.支持运维系统数据大屏展示，对运维平台中所有云服务器及终端设备的运行和资产情况，进行数据分析和统计，包括云服务器设备使用资源，教室数量、在线终端数量、桌面数量、服务师生人数、使用时长，镜像及快照数等数据的展示，并对CPU 、主板、机型 、操作系统种类等数据做图形化展示</w:t>
            </w:r>
            <w:r>
              <w:rPr>
                <w:rFonts w:hint="default" w:ascii="Times New Roman" w:hAnsi="Times New Roman" w:eastAsia="仿宋_GB2312" w:cs="Times New Roman"/>
                <w:b w:val="0"/>
                <w:bCs w:val="0"/>
                <w:color w:val="auto"/>
                <w:sz w:val="24"/>
                <w:szCs w:val="24"/>
                <w:highlight w:val="none"/>
                <w:lang w:val="en-US" w:eastAsia="zh-CN"/>
              </w:rPr>
              <w:t>（提供功能截图</w:t>
            </w:r>
            <w:r>
              <w:rPr>
                <w:rFonts w:hint="eastAsia" w:ascii="Times New Roman" w:hAnsi="Times New Roman" w:eastAsia="仿宋_GB2312" w:cs="Times New Roman"/>
                <w:b w:val="0"/>
                <w:bCs w:val="0"/>
                <w:color w:val="auto"/>
                <w:sz w:val="24"/>
                <w:szCs w:val="24"/>
                <w:highlight w:val="none"/>
                <w:lang w:val="en-US" w:eastAsia="zh-CN"/>
              </w:rPr>
              <w:t>）。</w:t>
            </w:r>
          </w:p>
        </w:tc>
      </w:tr>
      <w:tr w14:paraId="35B00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1107" w:hRule="atLeast"/>
          <w:jc w:val="center"/>
        </w:trPr>
        <w:tc>
          <w:tcPr>
            <w:tcW w:w="657" w:type="dxa"/>
            <w:vAlign w:val="center"/>
          </w:tcPr>
          <w:p w14:paraId="23D5A4D2">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13</w:t>
            </w:r>
          </w:p>
        </w:tc>
        <w:tc>
          <w:tcPr>
            <w:tcW w:w="1230" w:type="dxa"/>
            <w:vAlign w:val="center"/>
          </w:tcPr>
          <w:p w14:paraId="706F4F0C">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高清云台摄像机</w:t>
            </w:r>
          </w:p>
        </w:tc>
        <w:tc>
          <w:tcPr>
            <w:tcW w:w="7178" w:type="dxa"/>
          </w:tcPr>
          <w:p w14:paraId="5F53E04A">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1.要求内置双目摄像镜头，有效像素≥1300万；最大可支持3840×2160并向下兼容1920×1080、1280×720。</w:t>
            </w:r>
          </w:p>
          <w:p w14:paraId="0660C292">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2.数字视频一线通：要求与搭配的录播主机可实现基于 RJ45双绞线的一线通连接，完成摄像机供电、云台控制以及视频信号传输。</w:t>
            </w:r>
          </w:p>
          <w:p w14:paraId="11DCBF3D">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3.内置不少于2TOPSAI边缘AI算力，支持AI</w:t>
            </w:r>
            <w:r>
              <w:rPr>
                <w:rFonts w:hint="default" w:ascii="Times New Roman" w:hAnsi="Times New Roman" w:eastAsia="仿宋_GB2312" w:cs="Times New Roman"/>
                <w:color w:val="000000" w:themeColor="text1"/>
                <w:sz w:val="24"/>
                <w:szCs w:val="24"/>
                <w14:textFill>
                  <w14:solidFill>
                    <w14:schemeClr w14:val="tx1"/>
                  </w14:solidFill>
                </w14:textFill>
              </w:rPr>
              <w:t>视觉</w:t>
            </w:r>
            <w:r>
              <w:rPr>
                <w:rFonts w:hint="default" w:ascii="Times New Roman" w:hAnsi="Times New Roman" w:eastAsia="仿宋_GB2312" w:cs="Times New Roman"/>
                <w:sz w:val="24"/>
                <w:szCs w:val="24"/>
              </w:rPr>
              <w:t>实时分析、人物跟踪拍摄。</w:t>
            </w:r>
          </w:p>
          <w:p w14:paraId="60085EEC">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4.支持噪声抑制设置功能，支持摄像机图像质量调节功能，包括亮度、对比度、色调、饱和度等。</w:t>
            </w:r>
          </w:p>
          <w:p w14:paraId="1BD4F4A6">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5.支持摄像机控制功能，包括变焦摄像头控制、预置位设置与调用、焦距调节等。</w:t>
            </w:r>
          </w:p>
          <w:p w14:paraId="11F4ABE8">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6.摄像机内置 AI 课堂分析模型，支持老师行为AI分析功能，拍摄老师时具备识别授课轨迹、姿态、表情、目光注视方向、板书行为的能力。</w:t>
            </w:r>
          </w:p>
          <w:p w14:paraId="59BE787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7.支持老师AI跟踪拍摄，摄像机内无额外辅助摄像头也无需增加任何设备即可实现人像自动跟踪，包括水平运动、俯仰运动、变焦、聚焦四维实时跟踪。</w:t>
            </w:r>
          </w:p>
          <w:p w14:paraId="6CAAC73D">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8.支持AI抗干扰。</w:t>
            </w:r>
          </w:p>
          <w:p w14:paraId="190B13D6">
            <w:pPr>
              <w:rPr>
                <w:rFonts w:hint="default" w:ascii="Times New Roman" w:hAnsi="Times New Roman" w:eastAsia="仿宋_GB2312" w:cs="Times New Roman"/>
                <w:sz w:val="24"/>
                <w:szCs w:val="24"/>
              </w:rPr>
            </w:pPr>
            <w:r>
              <w:rPr>
                <w:rFonts w:hint="default" w:ascii="Times New Roman" w:hAnsi="Times New Roman" w:eastAsia="仿宋_GB2312" w:cs="Times New Roman"/>
                <w:color w:val="auto"/>
                <w:sz w:val="24"/>
                <w:szCs w:val="24"/>
                <w:lang w:val="en-US" w:eastAsia="zh-CN"/>
              </w:rPr>
              <w:t>▲9.内置AI智能跟踪算法，通过单个摄像机即可完成人脸与肢体的AI识别并完成全程自动跟拍</w:t>
            </w:r>
            <w:r>
              <w:rPr>
                <w:rFonts w:hint="default" w:ascii="Times New Roman" w:hAnsi="Times New Roman" w:eastAsia="仿宋_GB2312" w:cs="Times New Roman"/>
                <w:b w:val="0"/>
                <w:bCs w:val="0"/>
                <w:color w:val="auto"/>
                <w:sz w:val="24"/>
                <w:szCs w:val="24"/>
                <w:lang w:val="en-US" w:eastAsia="zh-CN"/>
              </w:rPr>
              <w:t>（需提供检测报告）。</w:t>
            </w:r>
            <w:r>
              <w:rPr>
                <w:rFonts w:hint="default" w:ascii="Times New Roman" w:hAnsi="Times New Roman" w:eastAsia="仿宋_GB2312" w:cs="Times New Roman"/>
                <w:color w:val="auto"/>
                <w:sz w:val="24"/>
                <w:szCs w:val="24"/>
                <w:lang w:val="en-US" w:eastAsia="zh-CN"/>
              </w:rPr>
              <w:br w:type="textWrapping"/>
            </w:r>
            <w:r>
              <w:rPr>
                <w:rFonts w:hint="default" w:ascii="Times New Roman" w:hAnsi="Times New Roman" w:eastAsia="仿宋_GB2312" w:cs="Times New Roman"/>
                <w:color w:val="auto"/>
                <w:sz w:val="24"/>
                <w:szCs w:val="24"/>
                <w:lang w:val="en-US" w:eastAsia="zh-CN"/>
              </w:rPr>
              <w:t>▲10.支持内置AI肢体识别技术，在识别面部特征基础上结合肢体分析实现交叉识别，确保拍摄多人场景时不跟丢、不误跟，持续锁定跟拍对象</w:t>
            </w:r>
            <w:r>
              <w:rPr>
                <w:rFonts w:hint="default" w:ascii="Times New Roman" w:hAnsi="Times New Roman" w:eastAsia="仿宋_GB2312" w:cs="Times New Roman"/>
                <w:b w:val="0"/>
                <w:bCs w:val="0"/>
                <w:color w:val="auto"/>
                <w:sz w:val="24"/>
                <w:szCs w:val="24"/>
                <w:lang w:val="en-US" w:eastAsia="zh-CN"/>
              </w:rPr>
              <w:t>（需提供检测报告）。</w:t>
            </w:r>
          </w:p>
        </w:tc>
      </w:tr>
      <w:tr w14:paraId="4C0BA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0" w:hRule="atLeast"/>
          <w:jc w:val="center"/>
        </w:trPr>
        <w:tc>
          <w:tcPr>
            <w:tcW w:w="657" w:type="dxa"/>
            <w:vAlign w:val="center"/>
          </w:tcPr>
          <w:p w14:paraId="3B81952B">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14</w:t>
            </w:r>
          </w:p>
        </w:tc>
        <w:tc>
          <w:tcPr>
            <w:tcW w:w="1230" w:type="dxa"/>
            <w:vAlign w:val="center"/>
          </w:tcPr>
          <w:p w14:paraId="170F43EF">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智慧扩声主机</w:t>
            </w:r>
          </w:p>
        </w:tc>
        <w:tc>
          <w:tcPr>
            <w:tcW w:w="7178" w:type="dxa"/>
          </w:tcPr>
          <w:p w14:paraId="3CBB7604">
            <w:pP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.全SMT贴片技术</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一块主板成型</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CLASS-D数字功放</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高效低发热</w:t>
            </w:r>
            <w:r>
              <w:rPr>
                <w:rFonts w:hint="eastAsia" w:ascii="Times New Roman" w:hAnsi="Times New Roman" w:eastAsia="仿宋_GB2312" w:cs="Times New Roman"/>
                <w:sz w:val="24"/>
                <w:szCs w:val="24"/>
                <w:lang w:eastAsia="zh-CN"/>
              </w:rPr>
              <w:t>。</w:t>
            </w:r>
          </w:p>
          <w:p w14:paraId="2F4B9570">
            <w:pP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专业级防啸叫功能</w:t>
            </w:r>
            <w:r>
              <w:rPr>
                <w:rFonts w:hint="default" w:ascii="Times New Roman" w:hAnsi="Times New Roman" w:eastAsia="仿宋_GB2312" w:cs="Times New Roman"/>
                <w:sz w:val="24"/>
                <w:szCs w:val="24"/>
                <w:lang w:eastAsia="zh-CN"/>
              </w:rPr>
              <w:t>。</w:t>
            </w:r>
          </w:p>
          <w:p w14:paraId="3BB0EF15">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t>.频率模式</w:t>
            </w:r>
            <w:r>
              <w:rPr>
                <w:rFonts w:hint="default" w:ascii="Times New Roman" w:hAnsi="Times New Roman" w:eastAsia="仿宋_GB2312" w:cs="Times New Roman"/>
                <w:color w:val="auto"/>
                <w:sz w:val="24"/>
                <w:szCs w:val="24"/>
                <w:lang w:val="en-US" w:eastAsia="zh-CN"/>
              </w:rPr>
              <w:t>5</w:t>
            </w:r>
            <w:r>
              <w:rPr>
                <w:rFonts w:hint="default" w:ascii="Times New Roman" w:hAnsi="Times New Roman" w:eastAsia="仿宋_GB2312" w:cs="Times New Roman"/>
                <w:color w:val="auto"/>
                <w:sz w:val="24"/>
                <w:szCs w:val="24"/>
              </w:rPr>
              <w:t>0</w:t>
            </w:r>
            <w:r>
              <w:rPr>
                <w:rFonts w:hint="default" w:ascii="Times New Roman" w:hAnsi="Times New Roman" w:eastAsia="仿宋_GB2312" w:cs="Times New Roman"/>
                <w:sz w:val="24"/>
                <w:szCs w:val="24"/>
              </w:rPr>
              <w:t>Hz-20KHz.(+0.5.-0.5db</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w:t>
            </w:r>
          </w:p>
          <w:p w14:paraId="20C2B7E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t>.输入灵敏度：音乐220mv/话筒8.5mv。</w:t>
            </w:r>
          </w:p>
          <w:p w14:paraId="723BCE90">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4</w:t>
            </w:r>
            <w:r>
              <w:rPr>
                <w:rFonts w:hint="default" w:ascii="Times New Roman" w:hAnsi="Times New Roman" w:eastAsia="仿宋_GB2312" w:cs="Times New Roman"/>
                <w:sz w:val="24"/>
                <w:szCs w:val="24"/>
              </w:rPr>
              <w:t>.输入阻抗：22KΩ。</w:t>
            </w:r>
          </w:p>
          <w:p w14:paraId="20390DBA">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5</w:t>
            </w:r>
            <w:r>
              <w:rPr>
                <w:rFonts w:hint="default" w:ascii="Times New Roman" w:hAnsi="Times New Roman" w:eastAsia="仿宋_GB2312" w:cs="Times New Roman"/>
                <w:sz w:val="24"/>
                <w:szCs w:val="24"/>
              </w:rPr>
              <w:t>.信噪比</w:t>
            </w:r>
            <w:r>
              <w:rPr>
                <w:rFonts w:hint="default" w:ascii="Times New Roman" w:hAnsi="Times New Roman" w:eastAsia="仿宋_GB2312" w:cs="Times New Roman"/>
                <w:sz w:val="24"/>
                <w:szCs w:val="24"/>
                <w:lang w:val="en-US" w:eastAsia="zh-CN"/>
              </w:rPr>
              <w:t>≥90</w:t>
            </w:r>
            <w:r>
              <w:rPr>
                <w:rFonts w:hint="default" w:ascii="Times New Roman" w:hAnsi="Times New Roman" w:eastAsia="仿宋_GB2312" w:cs="Times New Roman"/>
                <w:sz w:val="24"/>
                <w:szCs w:val="24"/>
              </w:rPr>
              <w:t>dB。</w:t>
            </w:r>
          </w:p>
          <w:p w14:paraId="5094BE99">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t>.总谐波失真&lt;0.05%。</w:t>
            </w:r>
          </w:p>
          <w:p w14:paraId="7AB7D1B5">
            <w:pPr>
              <w:pStyle w:val="16"/>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7.数字信号传输技术，具备RJ45接口≥1路</w:t>
            </w:r>
            <w:r>
              <w:rPr>
                <w:rFonts w:hint="eastAsia" w:ascii="Times New Roman" w:hAnsi="Times New Roman" w:eastAsia="仿宋_GB2312" w:cs="Times New Roman"/>
                <w:sz w:val="24"/>
                <w:szCs w:val="24"/>
                <w:lang w:val="en-US" w:eastAsia="zh-CN"/>
              </w:rPr>
              <w:t>。</w:t>
            </w:r>
          </w:p>
          <w:p w14:paraId="2904AEF1">
            <w:pPr>
              <w:pStyle w:val="16"/>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8.信号辐射半径≥25m，抗阳光及环境光干扰。</w:t>
            </w:r>
          </w:p>
          <w:p w14:paraId="1B456232">
            <w:pPr>
              <w:pStyle w:val="16"/>
              <w:rPr>
                <w:rFonts w:hint="default" w:ascii="Times New Roman" w:hAnsi="Times New Roman" w:eastAsia="仿宋_GB2312" w:cs="Times New Roman"/>
                <w:lang w:val="en-US" w:eastAsia="zh-CN"/>
              </w:rPr>
            </w:pPr>
            <w:r>
              <w:rPr>
                <w:rFonts w:hint="default" w:ascii="Times New Roman" w:hAnsi="Times New Roman" w:eastAsia="仿宋_GB2312" w:cs="Times New Roman"/>
                <w:sz w:val="24"/>
                <w:szCs w:val="24"/>
                <w:lang w:val="en-US" w:eastAsia="zh-CN"/>
              </w:rPr>
              <w:t>9.红外线波长≥870nm。</w:t>
            </w:r>
          </w:p>
        </w:tc>
      </w:tr>
      <w:tr w14:paraId="1EF83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1341" w:hRule="atLeast"/>
          <w:jc w:val="center"/>
        </w:trPr>
        <w:tc>
          <w:tcPr>
            <w:tcW w:w="657" w:type="dxa"/>
            <w:vAlign w:val="center"/>
          </w:tcPr>
          <w:p w14:paraId="52D274C3">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15</w:t>
            </w:r>
          </w:p>
        </w:tc>
        <w:tc>
          <w:tcPr>
            <w:tcW w:w="1230" w:type="dxa"/>
            <w:vAlign w:val="center"/>
          </w:tcPr>
          <w:p w14:paraId="6EC040A6">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壁挂式音箱</w:t>
            </w:r>
          </w:p>
        </w:tc>
        <w:tc>
          <w:tcPr>
            <w:tcW w:w="7178" w:type="dxa"/>
          </w:tcPr>
          <w:p w14:paraId="48FFCBEA">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1.音柱结构，全频设计，</w:t>
            </w:r>
            <w:r>
              <w:rPr>
                <w:rFonts w:hint="default" w:ascii="Times New Roman" w:hAnsi="Times New Roman" w:eastAsia="仿宋_GB2312" w:cs="Times New Roman"/>
                <w:color w:val="auto"/>
                <w:sz w:val="24"/>
                <w:szCs w:val="24"/>
                <w:highlight w:val="none"/>
              </w:rPr>
              <w:t>中低音≥4.5寸低音*2，高音≥3寸高音*1</w:t>
            </w:r>
            <w:r>
              <w:rPr>
                <w:rFonts w:hint="default" w:ascii="Times New Roman" w:hAnsi="Times New Roman" w:eastAsia="仿宋_GB2312" w:cs="Times New Roman"/>
                <w:sz w:val="24"/>
                <w:szCs w:val="24"/>
              </w:rPr>
              <w:t>，采用线性音箱技术，传输距离更远。</w:t>
            </w:r>
          </w:p>
          <w:p w14:paraId="4DB1B28D">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2.频率响应范围：50Hz-20kHz，阻抗≥8Ω</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额定功率≥</w:t>
            </w:r>
            <w:r>
              <w:rPr>
                <w:rFonts w:hint="default" w:ascii="Times New Roman" w:hAnsi="Times New Roman" w:eastAsia="仿宋_GB2312" w:cs="Times New Roman"/>
                <w:color w:val="auto"/>
                <w:sz w:val="24"/>
                <w:szCs w:val="24"/>
                <w:lang w:val="en-US" w:eastAsia="zh-CN"/>
              </w:rPr>
              <w:t>30</w:t>
            </w:r>
            <w:r>
              <w:rPr>
                <w:rFonts w:hint="default" w:ascii="Times New Roman" w:hAnsi="Times New Roman" w:eastAsia="仿宋_GB2312" w:cs="Times New Roman"/>
                <w:color w:val="auto"/>
                <w:sz w:val="24"/>
                <w:szCs w:val="24"/>
              </w:rPr>
              <w:t>W</w:t>
            </w:r>
            <w:r>
              <w:rPr>
                <w:rFonts w:hint="default" w:ascii="Times New Roman" w:hAnsi="Times New Roman" w:eastAsia="仿宋_GB2312" w:cs="Times New Roman"/>
                <w:sz w:val="24"/>
                <w:szCs w:val="24"/>
              </w:rPr>
              <w:t>。</w:t>
            </w:r>
          </w:p>
          <w:p w14:paraId="534F4CB2">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3.灵敏度≥87dB，最大声压级≥</w:t>
            </w:r>
            <w:r>
              <w:rPr>
                <w:rFonts w:hint="default" w:ascii="Times New Roman" w:hAnsi="Times New Roman" w:eastAsia="仿宋_GB2312" w:cs="Times New Roman"/>
                <w:color w:val="auto"/>
                <w:sz w:val="24"/>
                <w:szCs w:val="24"/>
                <w:highlight w:val="none"/>
              </w:rPr>
              <w:t>110dB</w:t>
            </w:r>
            <w:r>
              <w:rPr>
                <w:rFonts w:hint="default" w:ascii="Times New Roman" w:hAnsi="Times New Roman" w:eastAsia="仿宋_GB2312" w:cs="Times New Roman"/>
                <w:sz w:val="24"/>
                <w:szCs w:val="24"/>
              </w:rPr>
              <w:t>。</w:t>
            </w:r>
          </w:p>
        </w:tc>
      </w:tr>
      <w:tr w14:paraId="6707E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85" w:hRule="atLeast"/>
          <w:jc w:val="center"/>
        </w:trPr>
        <w:tc>
          <w:tcPr>
            <w:tcW w:w="657" w:type="dxa"/>
            <w:vAlign w:val="center"/>
          </w:tcPr>
          <w:p w14:paraId="77F88FC0">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16</w:t>
            </w:r>
          </w:p>
        </w:tc>
        <w:tc>
          <w:tcPr>
            <w:tcW w:w="1230" w:type="dxa"/>
            <w:vAlign w:val="center"/>
          </w:tcPr>
          <w:p w14:paraId="092EBD6F">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专业拾音麦</w:t>
            </w:r>
          </w:p>
        </w:tc>
        <w:tc>
          <w:tcPr>
            <w:tcW w:w="7178" w:type="dxa"/>
          </w:tcPr>
          <w:p w14:paraId="3EB24703">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1.采用超心形指向音头，拾音距离5—8米，信噪比≥80dB。</w:t>
            </w:r>
          </w:p>
          <w:p w14:paraId="09FE88D5">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2.频率响应：20-20KHZ ，输出阻抗</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200Ω</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最大声压级：135dBSPL。</w:t>
            </w:r>
          </w:p>
          <w:p w14:paraId="6FED9E0C">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3.内置嵌入式数字麦克风软件。</w:t>
            </w:r>
          </w:p>
        </w:tc>
      </w:tr>
      <w:tr w14:paraId="3AB0D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0" w:hRule="atLeast"/>
          <w:jc w:val="center"/>
        </w:trPr>
        <w:tc>
          <w:tcPr>
            <w:tcW w:w="657" w:type="dxa"/>
            <w:vAlign w:val="center"/>
          </w:tcPr>
          <w:p w14:paraId="68BF8DE5">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17</w:t>
            </w:r>
          </w:p>
        </w:tc>
        <w:tc>
          <w:tcPr>
            <w:tcW w:w="1230" w:type="dxa"/>
            <w:shd w:val="clear" w:color="auto" w:fill="auto"/>
            <w:vAlign w:val="center"/>
          </w:tcPr>
          <w:p w14:paraId="1E6BDD38">
            <w:pPr>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数字麦克风</w:t>
            </w:r>
          </w:p>
        </w:tc>
        <w:tc>
          <w:tcPr>
            <w:tcW w:w="7178" w:type="dxa"/>
            <w:shd w:val="clear" w:color="auto" w:fill="auto"/>
            <w:vAlign w:val="top"/>
          </w:tcPr>
          <w:p w14:paraId="3BA92A35">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1.支持按键音量加减调节，方便使用者进行控制</w:t>
            </w:r>
            <w:r>
              <w:rPr>
                <w:rFonts w:hint="default" w:ascii="Times New Roman" w:hAnsi="Times New Roman" w:eastAsia="仿宋_GB2312" w:cs="Times New Roman"/>
                <w:sz w:val="24"/>
                <w:szCs w:val="24"/>
                <w:lang w:eastAsia="zh-CN"/>
              </w:rPr>
              <w:t>。</w:t>
            </w:r>
          </w:p>
          <w:p w14:paraId="428BFCBB">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2.支持手持扩声，也支持头戴麦克风接入，用户可灵活选择使用方式</w:t>
            </w:r>
            <w:r>
              <w:rPr>
                <w:rFonts w:hint="default" w:ascii="Times New Roman" w:hAnsi="Times New Roman" w:eastAsia="仿宋_GB2312" w:cs="Times New Roman"/>
                <w:sz w:val="24"/>
                <w:szCs w:val="24"/>
                <w:lang w:eastAsia="zh-CN"/>
              </w:rPr>
              <w:t>。</w:t>
            </w:r>
          </w:p>
          <w:p w14:paraId="3DC61ABE">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t>.支持充电底座磁吸充电，方便固定在教室进行使用</w:t>
            </w:r>
            <w:r>
              <w:rPr>
                <w:rFonts w:hint="default" w:ascii="Times New Roman" w:hAnsi="Times New Roman" w:eastAsia="仿宋_GB2312" w:cs="Times New Roman"/>
                <w:sz w:val="24"/>
                <w:szCs w:val="24"/>
                <w:lang w:eastAsia="zh-CN"/>
              </w:rPr>
              <w:t>。</w:t>
            </w:r>
          </w:p>
          <w:p w14:paraId="43289721">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4</w:t>
            </w:r>
            <w:r>
              <w:rPr>
                <w:rFonts w:hint="default" w:ascii="Times New Roman" w:hAnsi="Times New Roman" w:eastAsia="仿宋_GB2312" w:cs="Times New Roman"/>
                <w:sz w:val="24"/>
                <w:szCs w:val="24"/>
              </w:rPr>
              <w:t>.扩声延时低，抗干扰能力强。多个教室同时使用互相无干</w:t>
            </w:r>
            <w:r>
              <w:rPr>
                <w:rFonts w:hint="default" w:ascii="Times New Roman" w:hAnsi="Times New Roman" w:eastAsia="仿宋_GB2312" w:cs="Times New Roman"/>
                <w:color w:val="auto"/>
                <w:sz w:val="24"/>
                <w:szCs w:val="24"/>
              </w:rPr>
              <w:t>扰</w:t>
            </w:r>
            <w:r>
              <w:rPr>
                <w:rFonts w:hint="default" w:ascii="Times New Roman" w:hAnsi="Times New Roman" w:eastAsia="仿宋_GB2312" w:cs="Times New Roman"/>
                <w:color w:val="auto"/>
                <w:sz w:val="24"/>
                <w:szCs w:val="24"/>
                <w:lang w:eastAsia="zh-CN"/>
              </w:rPr>
              <w:t>。</w:t>
            </w:r>
          </w:p>
          <w:p w14:paraId="5465917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5</w:t>
            </w:r>
            <w:r>
              <w:rPr>
                <w:rFonts w:hint="default" w:ascii="Times New Roman" w:hAnsi="Times New Roman" w:eastAsia="仿宋_GB2312" w:cs="Times New Roman"/>
                <w:sz w:val="24"/>
                <w:szCs w:val="24"/>
              </w:rPr>
              <w:t>.使用红外进行对频，在教室中开机即可自动和教室中的音箱完成对频。无需额外操作</w:t>
            </w:r>
            <w:r>
              <w:rPr>
                <w:rFonts w:hint="default" w:ascii="Times New Roman" w:hAnsi="Times New Roman" w:eastAsia="仿宋_GB2312" w:cs="Times New Roman"/>
                <w:sz w:val="24"/>
                <w:szCs w:val="24"/>
                <w:lang w:eastAsia="zh-CN"/>
              </w:rPr>
              <w:t>。</w:t>
            </w:r>
          </w:p>
          <w:p w14:paraId="047032F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t>.采用大振膜驻极体麦克风，声音采集真实细腻</w:t>
            </w:r>
            <w:r>
              <w:rPr>
                <w:rFonts w:hint="default" w:ascii="Times New Roman" w:hAnsi="Times New Roman" w:eastAsia="仿宋_GB2312" w:cs="Times New Roman"/>
                <w:sz w:val="24"/>
                <w:szCs w:val="24"/>
                <w:lang w:eastAsia="zh-CN"/>
              </w:rPr>
              <w:t>。</w:t>
            </w:r>
          </w:p>
          <w:p w14:paraId="387FFED2">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7</w:t>
            </w:r>
            <w:r>
              <w:rPr>
                <w:rFonts w:hint="default" w:ascii="Times New Roman" w:hAnsi="Times New Roman" w:eastAsia="仿宋_GB2312" w:cs="Times New Roman"/>
                <w:sz w:val="24"/>
                <w:szCs w:val="24"/>
              </w:rPr>
              <w:t>.采用可充电锂离子电池，避免重复换电池带来维护困难</w:t>
            </w:r>
            <w:r>
              <w:rPr>
                <w:rFonts w:hint="default" w:ascii="Times New Roman" w:hAnsi="Times New Roman" w:eastAsia="仿宋_GB2312" w:cs="Times New Roman"/>
                <w:sz w:val="24"/>
                <w:szCs w:val="24"/>
                <w:lang w:eastAsia="zh-CN"/>
              </w:rPr>
              <w:t>。</w:t>
            </w:r>
          </w:p>
          <w:p w14:paraId="0ECA3C15">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8</w:t>
            </w:r>
            <w:r>
              <w:rPr>
                <w:rFonts w:hint="default" w:ascii="Times New Roman" w:hAnsi="Times New Roman" w:eastAsia="仿宋_GB2312" w:cs="Times New Roman"/>
                <w:sz w:val="24"/>
                <w:szCs w:val="24"/>
              </w:rPr>
              <w:t>.充满电可续航8小时，满足一天教学时长需求</w:t>
            </w:r>
            <w:r>
              <w:rPr>
                <w:rFonts w:hint="default" w:ascii="Times New Roman" w:hAnsi="Times New Roman" w:eastAsia="仿宋_GB2312" w:cs="Times New Roman"/>
                <w:sz w:val="24"/>
                <w:szCs w:val="24"/>
                <w:lang w:eastAsia="zh-CN"/>
              </w:rPr>
              <w:t>。</w:t>
            </w:r>
          </w:p>
          <w:p w14:paraId="3DE4D570">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9</w:t>
            </w:r>
            <w:r>
              <w:rPr>
                <w:rFonts w:hint="default" w:ascii="Times New Roman" w:hAnsi="Times New Roman" w:eastAsia="仿宋_GB2312" w:cs="Times New Roman"/>
                <w:sz w:val="24"/>
                <w:szCs w:val="24"/>
              </w:rPr>
              <w:t>.支持一键静音功能</w:t>
            </w:r>
            <w:r>
              <w:rPr>
                <w:rFonts w:hint="default" w:ascii="Times New Roman" w:hAnsi="Times New Roman" w:eastAsia="仿宋_GB2312" w:cs="Times New Roman"/>
                <w:sz w:val="24"/>
                <w:szCs w:val="24"/>
                <w:lang w:eastAsia="zh-CN"/>
              </w:rPr>
              <w:t>。</w:t>
            </w:r>
          </w:p>
        </w:tc>
      </w:tr>
      <w:tr w14:paraId="603CD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0" w:hRule="atLeast"/>
          <w:jc w:val="center"/>
        </w:trPr>
        <w:tc>
          <w:tcPr>
            <w:tcW w:w="657" w:type="dxa"/>
            <w:shd w:val="clear" w:color="auto" w:fill="auto"/>
            <w:vAlign w:val="center"/>
          </w:tcPr>
          <w:p w14:paraId="390038A7">
            <w:pPr>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18</w:t>
            </w:r>
          </w:p>
        </w:tc>
        <w:tc>
          <w:tcPr>
            <w:tcW w:w="1230" w:type="dxa"/>
            <w:shd w:val="clear" w:color="auto" w:fill="auto"/>
            <w:vAlign w:val="center"/>
          </w:tcPr>
          <w:p w14:paraId="0CBB1758">
            <w:pPr>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教师讲桌</w:t>
            </w:r>
          </w:p>
        </w:tc>
        <w:tc>
          <w:tcPr>
            <w:tcW w:w="7178" w:type="dxa"/>
            <w:shd w:val="clear" w:color="auto" w:fill="auto"/>
            <w:vAlign w:val="top"/>
          </w:tcPr>
          <w:p w14:paraId="101715A3">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1.讲桌为钢木结合设计，采用冷轧钢板桌体，钢板厚度≥1.0mm；讲桌采用双层木质桌面设计，上下层桌体木板厚度≥18mm。</w:t>
            </w:r>
          </w:p>
          <w:p w14:paraId="2B26AD41">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2.讲桌最大承重为≥120kg，讲桌具备垂直平面水平位置≥110N推力位移仍不超过5mm的移动。</w:t>
            </w:r>
          </w:p>
          <w:p w14:paraId="7E135DD6">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sz w:val="24"/>
                <w:szCs w:val="24"/>
              </w:rPr>
              <w:t>3.讲桌尺寸设计为长×宽×高≥1217mm</w:t>
            </w:r>
            <w:r>
              <w:rPr>
                <w:rFonts w:hint="default" w:ascii="Times New Roman" w:hAnsi="Times New Roman" w:eastAsia="仿宋_GB2312" w:cs="Times New Roman"/>
                <w:sz w:val="24"/>
                <w:szCs w:val="24"/>
                <w:highlight w:val="none"/>
              </w:rPr>
              <w:t>×60</w:t>
            </w:r>
            <w:r>
              <w:rPr>
                <w:rFonts w:hint="default" w:ascii="Times New Roman" w:hAnsi="Times New Roman" w:eastAsia="仿宋_GB2312" w:cs="Times New Roman"/>
                <w:sz w:val="24"/>
                <w:szCs w:val="24"/>
                <w:highlight w:val="none"/>
                <w:lang w:val="en-US" w:eastAsia="zh-CN"/>
              </w:rPr>
              <w:t>0</w:t>
            </w:r>
            <w:r>
              <w:rPr>
                <w:rFonts w:hint="default" w:ascii="Times New Roman" w:hAnsi="Times New Roman" w:eastAsia="仿宋_GB2312" w:cs="Times New Roman"/>
                <w:sz w:val="24"/>
                <w:szCs w:val="24"/>
                <w:highlight w:val="none"/>
              </w:rPr>
              <w:t>mm</w:t>
            </w:r>
            <w:r>
              <w:rPr>
                <w:rFonts w:hint="default" w:ascii="Times New Roman" w:hAnsi="Times New Roman" w:eastAsia="仿宋_GB2312" w:cs="Times New Roman"/>
                <w:sz w:val="24"/>
                <w:szCs w:val="24"/>
              </w:rPr>
              <w:t>×987mm，环抱</w:t>
            </w:r>
            <w:r>
              <w:rPr>
                <w:rFonts w:hint="default" w:ascii="Times New Roman" w:hAnsi="Times New Roman" w:eastAsia="仿宋_GB2312" w:cs="Times New Roman"/>
                <w:color w:val="auto"/>
                <w:sz w:val="24"/>
                <w:szCs w:val="24"/>
              </w:rPr>
              <w:t>老师式设计，根据人体力学设计，讲台桌面高度合适老师放置教学用品。</w:t>
            </w:r>
          </w:p>
          <w:p w14:paraId="3C1E21F0">
            <w:pPr>
              <w:keepNext w:val="0"/>
              <w:keepLines w:val="0"/>
              <w:pageBreakBefore w:val="0"/>
              <w:widowControl w:val="0"/>
              <w:kinsoku w:val="0"/>
              <w:wordWrap w:val="0"/>
              <w:overflowPunct/>
              <w:topLinePunct/>
              <w:autoSpaceDE w:val="0"/>
              <w:autoSpaceDN w:val="0"/>
              <w:bidi w:val="0"/>
              <w:adjustRightInd/>
              <w:snapToGrid/>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color w:val="auto"/>
                <w:sz w:val="24"/>
                <w:szCs w:val="24"/>
              </w:rPr>
              <w:t>4.底部机柜尺寸设计为长×宽×高≥1100mm×545mm×520mm，机柜容量≥10U，可适装标准19英寸系列网络、通讯类产品，机柜内部带有标准机架和标准电脑主机空间，主机柜门带有磁吸式小门，无需打开柜门即可开关电脑。机柜门采用大面积散热孔设计，易于</w:t>
            </w:r>
            <w:r>
              <w:rPr>
                <w:rFonts w:hint="default" w:ascii="Times New Roman" w:hAnsi="Times New Roman" w:eastAsia="仿宋_GB2312" w:cs="Times New Roman"/>
                <w:sz w:val="24"/>
                <w:szCs w:val="24"/>
              </w:rPr>
              <w:t>柜内设备的通风散热，避免设备损坏。前后门都可以打开，方便设备安装及维护，前后门只需要一把钥匙管理。</w:t>
            </w:r>
          </w:p>
        </w:tc>
      </w:tr>
      <w:tr w14:paraId="44034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39" w:hRule="atLeast"/>
          <w:jc w:val="center"/>
        </w:trPr>
        <w:tc>
          <w:tcPr>
            <w:tcW w:w="657" w:type="dxa"/>
            <w:vAlign w:val="center"/>
          </w:tcPr>
          <w:p w14:paraId="7339716F">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19</w:t>
            </w:r>
          </w:p>
        </w:tc>
        <w:tc>
          <w:tcPr>
            <w:tcW w:w="1230" w:type="dxa"/>
            <w:vAlign w:val="center"/>
          </w:tcPr>
          <w:p w14:paraId="76DFAD99">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8口入室POE交换机</w:t>
            </w:r>
          </w:p>
        </w:tc>
        <w:tc>
          <w:tcPr>
            <w:tcW w:w="7178" w:type="dxa"/>
          </w:tcPr>
          <w:p w14:paraId="17323E2C">
            <w:pP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千兆10口轻网管交换机，8个千兆POE+1个千兆电口+1个千兆上行光口，无风扇AC 220V，POE功率70W，桌面式安装。</w:t>
            </w:r>
          </w:p>
        </w:tc>
      </w:tr>
      <w:tr w14:paraId="407D70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0" w:hRule="atLeast"/>
          <w:jc w:val="center"/>
        </w:trPr>
        <w:tc>
          <w:tcPr>
            <w:tcW w:w="657" w:type="dxa"/>
            <w:vAlign w:val="center"/>
          </w:tcPr>
          <w:p w14:paraId="363E6EE3">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20</w:t>
            </w:r>
          </w:p>
        </w:tc>
        <w:tc>
          <w:tcPr>
            <w:tcW w:w="1230" w:type="dxa"/>
            <w:vAlign w:val="center"/>
          </w:tcPr>
          <w:p w14:paraId="46DCC681">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电源时序器</w:t>
            </w:r>
          </w:p>
        </w:tc>
        <w:tc>
          <w:tcPr>
            <w:tcW w:w="7178" w:type="dxa"/>
          </w:tcPr>
          <w:p w14:paraId="48EAA2AC">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1.配置RS232、RS485接口，支持外部中控设备控制。</w:t>
            </w:r>
          </w:p>
          <w:p w14:paraId="4D7D1334">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2.485接口可用于时序器之间的级联和管理，即系统的扩充，支持</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16台设备级联顺序控制。</w:t>
            </w:r>
          </w:p>
          <w:p w14:paraId="1805E777">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内置时钟芯片，可根据日期时间定时设置自动开关机，无须人为操作。支持周一到周日任意时间的定时器开关，还支持设置特定日期、特定时间的非循环或者循环开关。定时时间可精确到年、月、日、时、分、秒</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适用性广，实用性强。</w:t>
            </w:r>
          </w:p>
          <w:p w14:paraId="40DCD70E">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4.8组设备开关场景数据保存/调用，场景管理应用简单便捷。可因应开会、培训、演讲、K歌、电影、离开等不同场景需求分别设置受控通道、开关延时等参数，保存到对应的模式，随时可以调取场景</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同时，场景模式支持重命名。</w:t>
            </w:r>
          </w:p>
          <w:p w14:paraId="6B980BCB">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5.可对输入电源、负载设备进行电压监控。</w:t>
            </w:r>
          </w:p>
          <w:p w14:paraId="5973374C">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6.提供专业PC软件、平板APP软件，支持有线和无线软件调控，可对设备参数进行精确、有效地设置。</w:t>
            </w:r>
          </w:p>
          <w:p w14:paraId="26A71F4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7.每台时序器自带ID设置和检测，接入网络后可实现远程云端管理。利用我司提供的专业PC软件，可以打破远距离的障碍，对任何地方、任何场景的设备进行有效地监控、调试和维护。</w:t>
            </w:r>
          </w:p>
          <w:p w14:paraId="143549E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8.PC软件支持模式保存、调用、通道开关状态、开关机延时设置、过压欠压保护、电压校准等功能设置。</w:t>
            </w:r>
          </w:p>
          <w:p w14:paraId="3124A5A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9.支持云端管理，可对机器进行远端的控制及维护。</w:t>
            </w:r>
          </w:p>
          <w:p w14:paraId="0ECF6B25">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10.支持上电自启功能，机器给电自动开机无需再次手动控制。</w:t>
            </w:r>
          </w:p>
          <w:p w14:paraId="5A728E6E">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11.在延时设置页面下，当开延时选项设成无穷大，即表示此通道永远不会接通，当关延时选项设成无穷大，即表示此通道永远不会关闭。</w:t>
            </w:r>
          </w:p>
          <w:p w14:paraId="5834BC8C">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12.总功率6600W，额定总输出电流30A，单路额定输出电流13A。</w:t>
            </w:r>
          </w:p>
          <w:p w14:paraId="7848F40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13.支持8路时序开关功能，每路延时开启和关闭时间可自由设置0-999秒。</w:t>
            </w:r>
          </w:p>
        </w:tc>
      </w:tr>
      <w:tr w14:paraId="7681DE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1254" w:hRule="atLeast"/>
          <w:jc w:val="center"/>
        </w:trPr>
        <w:tc>
          <w:tcPr>
            <w:tcW w:w="657" w:type="dxa"/>
            <w:vAlign w:val="center"/>
          </w:tcPr>
          <w:p w14:paraId="3C872711">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21</w:t>
            </w:r>
          </w:p>
        </w:tc>
        <w:tc>
          <w:tcPr>
            <w:tcW w:w="1230" w:type="dxa"/>
            <w:vAlign w:val="center"/>
          </w:tcPr>
          <w:p w14:paraId="09BEDB3F">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核心交换机</w:t>
            </w:r>
          </w:p>
        </w:tc>
        <w:tc>
          <w:tcPr>
            <w:tcW w:w="7178" w:type="dxa"/>
          </w:tcPr>
          <w:p w14:paraId="64206DF3">
            <w:pPr>
              <w:keepNext w:val="0"/>
              <w:keepLines w:val="0"/>
              <w:pageBreakBefore w:val="0"/>
              <w:widowControl w:val="0"/>
              <w:kinsoku/>
              <w:wordWrap w:val="0"/>
              <w:overflowPunct/>
              <w:topLinePunct/>
              <w:autoSpaceDE w:val="0"/>
              <w:autoSpaceDN w:val="0"/>
              <w:bidi w:val="0"/>
              <w:adjustRightInd/>
              <w:snapToGrid/>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sz w:val="24"/>
                <w:szCs w:val="24"/>
              </w:rPr>
              <w:t>1.交换容量≥2.56Tbps/25.6Tbps，</w:t>
            </w:r>
            <w:r>
              <w:rPr>
                <w:rFonts w:hint="default" w:ascii="Times New Roman" w:hAnsi="Times New Roman" w:eastAsia="仿宋_GB2312" w:cs="Times New Roman"/>
                <w:color w:val="auto"/>
                <w:sz w:val="24"/>
                <w:szCs w:val="24"/>
              </w:rPr>
              <w:t>包转发率≥810Mpps/1260Mpps。</w:t>
            </w:r>
          </w:p>
          <w:p w14:paraId="09154231">
            <w:pPr>
              <w:widowControl w:val="0"/>
              <w:wordWrap w:val="0"/>
              <w:topLinePunct/>
              <w:autoSpaceDE w:val="0"/>
              <w:autoSpaceDN w:val="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2.万兆 SFP+光口≥24个，40GQSFP+光口≥2个。</w:t>
            </w:r>
          </w:p>
          <w:p w14:paraId="584ACF34">
            <w:pPr>
              <w:widowControl w:val="0"/>
              <w:wordWrap w:val="0"/>
              <w:topLinePunct/>
              <w:autoSpaceDE w:val="0"/>
              <w:autoSpaceDN w:val="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3.为保障关键设备的稳定性，设备需支持电源数量≥2 个。</w:t>
            </w:r>
          </w:p>
          <w:p w14:paraId="7A1F119B">
            <w:pPr>
              <w:widowControl w:val="0"/>
              <w:wordWrap w:val="0"/>
              <w:topLinePunct/>
              <w:autoSpaceDE w:val="0"/>
              <w:autoSpaceDN w:val="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4.支持 STP、RSTP、MSTP防环协议。</w:t>
            </w:r>
          </w:p>
          <w:p w14:paraId="473B8C62">
            <w:pPr>
              <w:widowControl w:val="0"/>
              <w:wordWrap w:val="0"/>
              <w:topLinePunct/>
              <w:autoSpaceDE w:val="0"/>
              <w:autoSpaceDN w:val="0"/>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5.支持静态路由、RIPv1/2、OSPF、策略路由</w:t>
            </w:r>
            <w:r>
              <w:rPr>
                <w:rFonts w:hint="default" w:ascii="Times New Roman" w:hAnsi="Times New Roman" w:eastAsia="仿宋_GB2312" w:cs="Times New Roman"/>
                <w:sz w:val="24"/>
                <w:szCs w:val="24"/>
                <w:lang w:eastAsia="zh-CN"/>
              </w:rPr>
              <w:t>。</w:t>
            </w:r>
          </w:p>
          <w:p w14:paraId="2FB84FC3">
            <w:pPr>
              <w:widowControl w:val="0"/>
              <w:wordWrap w:val="0"/>
              <w:topLinePunct/>
              <w:autoSpaceDE w:val="0"/>
              <w:autoSpaceDN w:val="0"/>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6.支持SNMPv1/v2c/v</w:t>
            </w: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t>、支持Console、Telnet、SSH</w:t>
            </w:r>
            <w:r>
              <w:rPr>
                <w:rFonts w:hint="default" w:ascii="Times New Roman" w:hAnsi="Times New Roman" w:eastAsia="仿宋_GB2312" w:cs="Times New Roman"/>
                <w:sz w:val="24"/>
                <w:szCs w:val="24"/>
                <w:lang w:val="en-US" w:eastAsia="zh-CN"/>
              </w:rPr>
              <w:t>。</w:t>
            </w:r>
          </w:p>
          <w:p w14:paraId="66729C9B">
            <w:pPr>
              <w:widowControl w:val="0"/>
              <w:wordWrap w:val="0"/>
              <w:topLinePunct/>
              <w:autoSpaceDE w:val="0"/>
              <w:autoSpaceDN w:val="0"/>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7.ARP表项≥128K，支持M-LAG,支持堆叠，支持IGMPv1/v2/v3,支持IGMPv1/v2/v3 Snooping,MLD Snooping，支持ERPS以太环保护协议（G.8032）。</w:t>
            </w:r>
          </w:p>
        </w:tc>
      </w:tr>
      <w:tr w14:paraId="28CD1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0" w:hRule="atLeast"/>
          <w:jc w:val="center"/>
        </w:trPr>
        <w:tc>
          <w:tcPr>
            <w:tcW w:w="657" w:type="dxa"/>
            <w:vAlign w:val="center"/>
          </w:tcPr>
          <w:p w14:paraId="4486E010">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22</w:t>
            </w:r>
          </w:p>
        </w:tc>
        <w:tc>
          <w:tcPr>
            <w:tcW w:w="1230" w:type="dxa"/>
            <w:vAlign w:val="center"/>
          </w:tcPr>
          <w:p w14:paraId="78D770FF">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汇聚交换机</w:t>
            </w:r>
          </w:p>
        </w:tc>
        <w:tc>
          <w:tcPr>
            <w:tcW w:w="7178" w:type="dxa"/>
          </w:tcPr>
          <w:p w14:paraId="52D43388">
            <w:pPr>
              <w:keepNext w:val="0"/>
              <w:keepLines w:val="0"/>
              <w:pageBreakBefore w:val="0"/>
              <w:widowControl w:val="0"/>
              <w:kinsoku/>
              <w:wordWrap w:val="0"/>
              <w:overflowPunct/>
              <w:topLinePunct/>
              <w:autoSpaceDE w:val="0"/>
              <w:autoSpaceDN w:val="0"/>
              <w:bidi w:val="0"/>
              <w:adjustRightInd/>
              <w:snapToGrid/>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1.交换容量≥2.56Tbps/25.6Tbps</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包转发率≥810Mpps/1260Mpps。</w:t>
            </w:r>
          </w:p>
          <w:p w14:paraId="1C26EB60">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2.万兆SFP+光口≥24个，40GQSFP+光口≥2个。</w:t>
            </w:r>
          </w:p>
          <w:p w14:paraId="1D79C351">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3.为保障关键设备的稳定性，设备需支持电源数量≥2 个。</w:t>
            </w:r>
          </w:p>
          <w:p w14:paraId="41A8E2B6">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4.支持STP、RSTP、MSTP防环协议。</w:t>
            </w:r>
          </w:p>
          <w:p w14:paraId="636D1E0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5.支持静态路由、RIPv1/2、OSPF、策略路由。</w:t>
            </w:r>
          </w:p>
          <w:p w14:paraId="2D0BBD94">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6.支持SNMPv1/v2c/v3、支持Console、Telnet、SSH。</w:t>
            </w:r>
          </w:p>
        </w:tc>
      </w:tr>
      <w:tr w14:paraId="206EF2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628" w:hRule="atLeast"/>
          <w:jc w:val="center"/>
        </w:trPr>
        <w:tc>
          <w:tcPr>
            <w:tcW w:w="657" w:type="dxa"/>
            <w:vAlign w:val="center"/>
          </w:tcPr>
          <w:p w14:paraId="6E50392E">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23</w:t>
            </w:r>
          </w:p>
        </w:tc>
        <w:tc>
          <w:tcPr>
            <w:tcW w:w="1230" w:type="dxa"/>
            <w:vAlign w:val="center"/>
          </w:tcPr>
          <w:p w14:paraId="61773F3F">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万兆光模块</w:t>
            </w:r>
          </w:p>
        </w:tc>
        <w:tc>
          <w:tcPr>
            <w:tcW w:w="7178" w:type="dxa"/>
          </w:tcPr>
          <w:p w14:paraId="33D326B8">
            <w:pP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SFP+万兆单模光模块，单模，1310nm，最大传输距离 10km，接头类型：LC</w:t>
            </w:r>
            <w:r>
              <w:rPr>
                <w:rFonts w:hint="default" w:ascii="Times New Roman" w:hAnsi="Times New Roman" w:eastAsia="仿宋_GB2312" w:cs="Times New Roman"/>
                <w:sz w:val="24"/>
                <w:szCs w:val="24"/>
                <w:lang w:eastAsia="zh-CN"/>
              </w:rPr>
              <w:t>。</w:t>
            </w:r>
          </w:p>
        </w:tc>
      </w:tr>
      <w:tr w14:paraId="24A13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0" w:hRule="atLeast"/>
          <w:jc w:val="center"/>
        </w:trPr>
        <w:tc>
          <w:tcPr>
            <w:tcW w:w="657" w:type="dxa"/>
            <w:vAlign w:val="center"/>
          </w:tcPr>
          <w:p w14:paraId="34A3E699">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24</w:t>
            </w:r>
          </w:p>
        </w:tc>
        <w:tc>
          <w:tcPr>
            <w:tcW w:w="1230" w:type="dxa"/>
            <w:vAlign w:val="center"/>
          </w:tcPr>
          <w:p w14:paraId="14365974">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机柜</w:t>
            </w:r>
          </w:p>
        </w:tc>
        <w:tc>
          <w:tcPr>
            <w:tcW w:w="7178" w:type="dxa"/>
          </w:tcPr>
          <w:p w14:paraId="59AD1D7F">
            <w:pPr>
              <w:rPr>
                <w:rFonts w:hint="eastAsia"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施工现场实际定制设计网络安装柜</w:t>
            </w:r>
            <w:r>
              <w:rPr>
                <w:rFonts w:hint="eastAsia" w:ascii="Times New Roman" w:hAnsi="Times New Roman" w:eastAsia="仿宋_GB2312" w:cs="Times New Roman"/>
                <w:sz w:val="24"/>
                <w:szCs w:val="24"/>
                <w:lang w:eastAsia="zh-CN"/>
              </w:rPr>
              <w:t>。</w:t>
            </w:r>
          </w:p>
        </w:tc>
      </w:tr>
      <w:tr w14:paraId="256AB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62" w:hRule="atLeast"/>
          <w:jc w:val="center"/>
        </w:trPr>
        <w:tc>
          <w:tcPr>
            <w:tcW w:w="657" w:type="dxa"/>
            <w:vAlign w:val="center"/>
          </w:tcPr>
          <w:p w14:paraId="29839A03">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25</w:t>
            </w:r>
          </w:p>
        </w:tc>
        <w:tc>
          <w:tcPr>
            <w:tcW w:w="1230" w:type="dxa"/>
            <w:vAlign w:val="center"/>
          </w:tcPr>
          <w:p w14:paraId="6460D6F6">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磁盘阵列</w:t>
            </w:r>
          </w:p>
        </w:tc>
        <w:tc>
          <w:tcPr>
            <w:tcW w:w="7178" w:type="dxa"/>
          </w:tcPr>
          <w:p w14:paraId="306D668C">
            <w:pPr>
              <w:rPr>
                <w:rFonts w:hint="default" w:ascii="Times New Roman" w:hAnsi="Times New Roman" w:eastAsia="仿宋_GB2312" w:cs="Times New Roman"/>
                <w:b/>
                <w:bCs/>
                <w:sz w:val="24"/>
                <w:szCs w:val="24"/>
                <w:lang w:eastAsia="zh-CN"/>
              </w:rPr>
            </w:pPr>
            <w:r>
              <w:rPr>
                <w:rFonts w:hint="default" w:ascii="Times New Roman" w:hAnsi="Times New Roman" w:eastAsia="仿宋_GB2312" w:cs="Times New Roman"/>
                <w:b/>
                <w:bCs/>
                <w:sz w:val="24"/>
                <w:szCs w:val="24"/>
              </w:rPr>
              <w:t>详见附表</w:t>
            </w:r>
            <w:r>
              <w:rPr>
                <w:rFonts w:hint="default" w:ascii="Times New Roman" w:hAnsi="Times New Roman" w:eastAsia="仿宋_GB2312" w:cs="Times New Roman"/>
                <w:b/>
                <w:bCs/>
                <w:sz w:val="24"/>
                <w:szCs w:val="24"/>
                <w:lang w:val="en-US" w:eastAsia="zh-CN"/>
              </w:rPr>
              <w:t>1</w:t>
            </w:r>
          </w:p>
        </w:tc>
      </w:tr>
      <w:tr w14:paraId="4135A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92" w:hRule="atLeast"/>
          <w:jc w:val="center"/>
        </w:trPr>
        <w:tc>
          <w:tcPr>
            <w:tcW w:w="657" w:type="dxa"/>
            <w:vAlign w:val="center"/>
          </w:tcPr>
          <w:p w14:paraId="684C3B4C">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26</w:t>
            </w:r>
          </w:p>
        </w:tc>
        <w:tc>
          <w:tcPr>
            <w:tcW w:w="1230" w:type="dxa"/>
            <w:vAlign w:val="center"/>
          </w:tcPr>
          <w:p w14:paraId="434D2158">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图文工作站</w:t>
            </w:r>
          </w:p>
        </w:tc>
        <w:tc>
          <w:tcPr>
            <w:tcW w:w="7178" w:type="dxa"/>
          </w:tcPr>
          <w:p w14:paraId="016F75EA">
            <w:pPr>
              <w:rPr>
                <w:rFonts w:hint="default" w:ascii="Times New Roman" w:hAnsi="Times New Roman" w:eastAsia="仿宋_GB2312" w:cs="Times New Roman"/>
                <w:b/>
                <w:bCs/>
                <w:sz w:val="24"/>
                <w:szCs w:val="24"/>
                <w:lang w:eastAsia="zh-CN"/>
              </w:rPr>
            </w:pPr>
            <w:r>
              <w:rPr>
                <w:rFonts w:hint="default" w:ascii="Times New Roman" w:hAnsi="Times New Roman" w:eastAsia="仿宋_GB2312" w:cs="Times New Roman"/>
                <w:b/>
                <w:bCs/>
                <w:sz w:val="24"/>
                <w:szCs w:val="24"/>
              </w:rPr>
              <w:t>详见附表</w:t>
            </w:r>
            <w:r>
              <w:rPr>
                <w:rFonts w:hint="default" w:ascii="Times New Roman" w:hAnsi="Times New Roman" w:eastAsia="仿宋_GB2312" w:cs="Times New Roman"/>
                <w:b/>
                <w:bCs/>
                <w:sz w:val="24"/>
                <w:szCs w:val="24"/>
                <w:lang w:val="en-US" w:eastAsia="zh-CN"/>
              </w:rPr>
              <w:t>2</w:t>
            </w:r>
          </w:p>
        </w:tc>
      </w:tr>
      <w:tr w14:paraId="363FE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38" w:hRule="atLeast"/>
          <w:jc w:val="center"/>
        </w:trPr>
        <w:tc>
          <w:tcPr>
            <w:tcW w:w="657" w:type="dxa"/>
            <w:vAlign w:val="center"/>
          </w:tcPr>
          <w:p w14:paraId="63522EBD">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27</w:t>
            </w:r>
          </w:p>
        </w:tc>
        <w:tc>
          <w:tcPr>
            <w:tcW w:w="1230" w:type="dxa"/>
            <w:vAlign w:val="center"/>
          </w:tcPr>
          <w:p w14:paraId="1DE68691">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高清显示器</w:t>
            </w:r>
          </w:p>
        </w:tc>
        <w:tc>
          <w:tcPr>
            <w:tcW w:w="7178" w:type="dxa"/>
          </w:tcPr>
          <w:p w14:paraId="56CC20D4">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1.屏幕尺寸≥31.5英寸。</w:t>
            </w:r>
          </w:p>
          <w:p w14:paraId="7992F1E7">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2.屏幕比例≥16:9。</w:t>
            </w:r>
          </w:p>
          <w:p w14:paraId="09C76BB7">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3.分辨率≥3840×2160（4K UHD）。</w:t>
            </w:r>
          </w:p>
        </w:tc>
      </w:tr>
      <w:tr w14:paraId="26DB8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0" w:hRule="atLeast"/>
          <w:jc w:val="center"/>
        </w:trPr>
        <w:tc>
          <w:tcPr>
            <w:tcW w:w="657" w:type="dxa"/>
            <w:vAlign w:val="center"/>
          </w:tcPr>
          <w:p w14:paraId="447B6488">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28</w:t>
            </w:r>
          </w:p>
        </w:tc>
        <w:tc>
          <w:tcPr>
            <w:tcW w:w="1230" w:type="dxa"/>
            <w:vAlign w:val="center"/>
          </w:tcPr>
          <w:p w14:paraId="4B8C041C">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桌椅</w:t>
            </w:r>
          </w:p>
        </w:tc>
        <w:tc>
          <w:tcPr>
            <w:tcW w:w="7178" w:type="dxa"/>
          </w:tcPr>
          <w:p w14:paraId="2F044944">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课桌参数：</w:t>
            </w:r>
          </w:p>
          <w:p w14:paraId="100A41AD">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1.尺寸：课桌长度1200mm×宽度600mm×高度 750mm，尺寸误差±3mm。</w:t>
            </w:r>
          </w:p>
          <w:p w14:paraId="4334933B">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2.桌面：采用25mm厚E0级环保高密度板，双面贴三聚氰胺饰面，耐磨、防刮、防火、防水，边缘经圆角封边处理，无毛刺、无尖锐棱角。</w:t>
            </w:r>
          </w:p>
          <w:p w14:paraId="071B115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3.桌架：采用优质方钢焊接成型，钢管壁厚≥1.2mm，表面经静电喷塑、高温固化处理，防锈、耐腐蚀、承重性强。</w:t>
            </w:r>
          </w:p>
          <w:p w14:paraId="08EC7126">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4.结构：桌下设有抽屉或储物空间，可放置书本、文具等物品；底部设有稳固横撑，防止晃动，整体承重≥50kg。</w:t>
            </w:r>
          </w:p>
          <w:p w14:paraId="1B7E0DFC">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5.适用：双人位标准教室课桌，适合高校教室使用。</w:t>
            </w:r>
          </w:p>
          <w:p w14:paraId="389A3058">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椅子参数：</w:t>
            </w:r>
          </w:p>
          <w:p w14:paraId="5663D6E5">
            <w:pPr>
              <w:numPr>
                <w:ilvl w:val="0"/>
                <w:numId w:val="0"/>
              </w:num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尺寸：座面宽度420mm×深度 380mm，座高 450mm，靠背高度420mm。</w:t>
            </w:r>
          </w:p>
          <w:p w14:paraId="3FB8C73A">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2.座背板：采用18mm厚E0级环保板材，饰面同桌面一致，舒适透气，边缘圆角处理。</w:t>
            </w:r>
          </w:p>
          <w:p w14:paraId="48534986">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3.椅架：采用壁厚≥1.2mm优质钢管，焊接牢固，静电喷塑防锈处理。</w:t>
            </w:r>
          </w:p>
          <w:p w14:paraId="22A074CB">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4.结构：靠背弧形贴合人体曲线，底部设有防滑脚垫，静音、防刮地面，稳固不晃动。</w:t>
            </w:r>
          </w:p>
          <w:p w14:paraId="257FDC6B">
            <w:pPr>
              <w:numPr>
                <w:ilvl w:val="0"/>
                <w:numId w:val="0"/>
              </w:num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5.承重：座椅静态承重≥100kg，经久耐用，适合长期校园使用。</w:t>
            </w:r>
          </w:p>
        </w:tc>
      </w:tr>
      <w:tr w14:paraId="5D0B1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0" w:hRule="atLeast"/>
          <w:jc w:val="center"/>
        </w:trPr>
        <w:tc>
          <w:tcPr>
            <w:tcW w:w="657" w:type="dxa"/>
            <w:vAlign w:val="center"/>
          </w:tcPr>
          <w:p w14:paraId="39CD73CD">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29</w:t>
            </w:r>
          </w:p>
        </w:tc>
        <w:tc>
          <w:tcPr>
            <w:tcW w:w="1230" w:type="dxa"/>
            <w:vAlign w:val="center"/>
          </w:tcPr>
          <w:p w14:paraId="50BCD194">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前墙吸音板</w:t>
            </w:r>
          </w:p>
        </w:tc>
        <w:tc>
          <w:tcPr>
            <w:tcW w:w="7178" w:type="dxa"/>
          </w:tcPr>
          <w:p w14:paraId="7FFEA9E8">
            <w:pPr>
              <w:keepNext w:val="0"/>
              <w:keepLines w:val="0"/>
              <w:pageBreakBefore w:val="0"/>
              <w:widowControl w:val="0"/>
              <w:kinsoku w:val="0"/>
              <w:wordWrap w:val="0"/>
              <w:overflowPunct/>
              <w:topLinePunct/>
              <w:autoSpaceDE w:val="0"/>
              <w:autoSpaceDN w:val="0"/>
              <w:bidi w:val="0"/>
              <w:adjustRightInd/>
              <w:snapToGrid/>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1.产品类型：聚酯纤维吸音板或布艺软包吸音板。</w:t>
            </w:r>
          </w:p>
          <w:p w14:paraId="670A0486">
            <w:pPr>
              <w:keepNext w:val="0"/>
              <w:keepLines w:val="0"/>
              <w:pageBreakBefore w:val="0"/>
              <w:widowControl w:val="0"/>
              <w:kinsoku w:val="0"/>
              <w:wordWrap w:val="0"/>
              <w:overflowPunct/>
              <w:topLinePunct/>
              <w:autoSpaceDE w:val="0"/>
              <w:autoSpaceDN w:val="0"/>
              <w:bidi w:val="0"/>
              <w:adjustRightInd/>
              <w:snapToGrid/>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2.规格尺寸：1200mm×600mm×15mm，可现场裁切适配。</w:t>
            </w:r>
          </w:p>
          <w:p w14:paraId="111D0142">
            <w:pPr>
              <w:keepNext w:val="0"/>
              <w:keepLines w:val="0"/>
              <w:pageBreakBefore w:val="0"/>
              <w:widowControl w:val="0"/>
              <w:kinsoku w:val="0"/>
              <w:wordWrap w:val="0"/>
              <w:overflowPunct/>
              <w:topLinePunct/>
              <w:autoSpaceDE w:val="0"/>
              <w:autoSpaceDN w:val="0"/>
              <w:bidi w:val="0"/>
              <w:adjustRightInd/>
              <w:snapToGrid/>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3.材质：高密度聚酯纤维材质，环保无甲醛，符合E</w:t>
            </w:r>
            <w:r>
              <w:rPr>
                <w:rFonts w:hint="default" w:ascii="Times New Roman" w:hAnsi="Times New Roman" w:eastAsia="仿宋_GB2312" w:cs="Times New Roman"/>
                <w:color w:val="auto"/>
                <w:sz w:val="24"/>
                <w:szCs w:val="24"/>
                <w:lang w:val="en-US" w:eastAsia="zh-CN"/>
              </w:rPr>
              <w:t>0</w:t>
            </w:r>
            <w:r>
              <w:rPr>
                <w:rFonts w:hint="default" w:ascii="Times New Roman" w:hAnsi="Times New Roman" w:eastAsia="仿宋_GB2312" w:cs="Times New Roman"/>
                <w:color w:val="auto"/>
                <w:sz w:val="24"/>
                <w:szCs w:val="24"/>
              </w:rPr>
              <w:t>级环保标准。</w:t>
            </w:r>
          </w:p>
          <w:p w14:paraId="0C91DD67">
            <w:pPr>
              <w:keepNext w:val="0"/>
              <w:keepLines w:val="0"/>
              <w:pageBreakBefore w:val="0"/>
              <w:widowControl w:val="0"/>
              <w:kinsoku w:val="0"/>
              <w:wordWrap w:val="0"/>
              <w:overflowPunct/>
              <w:topLinePunct/>
              <w:autoSpaceDE w:val="0"/>
              <w:autoSpaceDN w:val="0"/>
              <w:bidi w:val="0"/>
              <w:adjustRightInd/>
              <w:snapToGrid/>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4.防火等级：B1级难燃，满足公共场所消防要求。</w:t>
            </w:r>
          </w:p>
          <w:p w14:paraId="5C20BD84">
            <w:pPr>
              <w:keepNext w:val="0"/>
              <w:keepLines w:val="0"/>
              <w:pageBreakBefore w:val="0"/>
              <w:widowControl w:val="0"/>
              <w:kinsoku w:val="0"/>
              <w:wordWrap w:val="0"/>
              <w:overflowPunct/>
              <w:topLinePunct/>
              <w:autoSpaceDE w:val="0"/>
              <w:autoSpaceDN w:val="0"/>
              <w:bidi w:val="0"/>
              <w:adjustRightInd/>
              <w:snapToGrid/>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5.降噪系数：NRC≥0.75，</w:t>
            </w:r>
            <w:r>
              <w:rPr>
                <w:rFonts w:hint="default" w:ascii="Times New Roman" w:hAnsi="Times New Roman" w:eastAsia="仿宋_GB2312" w:cs="Times New Roman"/>
                <w:color w:val="auto"/>
                <w:sz w:val="24"/>
                <w:szCs w:val="24"/>
                <w:lang w:eastAsia="zh-CN"/>
              </w:rPr>
              <w:t>吸声</w:t>
            </w:r>
            <w:r>
              <w:rPr>
                <w:rFonts w:hint="default" w:ascii="Times New Roman" w:hAnsi="Times New Roman" w:eastAsia="仿宋_GB2312" w:cs="Times New Roman"/>
                <w:color w:val="auto"/>
                <w:sz w:val="24"/>
                <w:szCs w:val="24"/>
              </w:rPr>
              <w:t>效果稳定，有效降低混响、回声。</w:t>
            </w:r>
          </w:p>
          <w:p w14:paraId="69879055">
            <w:pPr>
              <w:keepNext w:val="0"/>
              <w:keepLines w:val="0"/>
              <w:pageBreakBefore w:val="0"/>
              <w:widowControl w:val="0"/>
              <w:kinsoku w:val="0"/>
              <w:wordWrap w:val="0"/>
              <w:overflowPunct/>
              <w:topLinePunct/>
              <w:autoSpaceDE w:val="0"/>
              <w:autoSpaceDN w:val="0"/>
              <w:bidi w:val="0"/>
              <w:adjustRightInd/>
              <w:snapToGrid/>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6.物理性能：防潮、防霉、防变形，抗冲击，不易起皱脱落。</w:t>
            </w:r>
          </w:p>
          <w:p w14:paraId="07AD1A04">
            <w:pPr>
              <w:keepNext w:val="0"/>
              <w:keepLines w:val="0"/>
              <w:pageBreakBefore w:val="0"/>
              <w:widowControl w:val="0"/>
              <w:kinsoku w:val="0"/>
              <w:wordWrap w:val="0"/>
              <w:overflowPunct/>
              <w:topLinePunct/>
              <w:autoSpaceDE w:val="0"/>
              <w:autoSpaceDN w:val="0"/>
              <w:bidi w:val="0"/>
              <w:adjustRightInd/>
              <w:snapToGrid/>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7.安装方式：胶黏或龙骨固定，表面平整，拼接严密无缝隙。</w:t>
            </w:r>
          </w:p>
          <w:p w14:paraId="11FD5128">
            <w:pPr>
              <w:keepNext w:val="0"/>
              <w:keepLines w:val="0"/>
              <w:pageBreakBefore w:val="0"/>
              <w:widowControl w:val="0"/>
              <w:kinsoku w:val="0"/>
              <w:wordWrap w:val="0"/>
              <w:overflowPunct/>
              <w:topLinePunct/>
              <w:autoSpaceDE w:val="0"/>
              <w:autoSpaceDN w:val="0"/>
              <w:bidi w:val="0"/>
              <w:adjustRightInd/>
              <w:snapToGrid/>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8.颜色外观：哑光浅色系，无反光，不影响投影及多媒体显示。</w:t>
            </w:r>
          </w:p>
          <w:p w14:paraId="242B7F62">
            <w:pPr>
              <w:keepNext w:val="0"/>
              <w:keepLines w:val="0"/>
              <w:pageBreakBefore w:val="0"/>
              <w:widowControl w:val="0"/>
              <w:kinsoku w:val="0"/>
              <w:wordWrap w:val="0"/>
              <w:overflowPunct/>
              <w:topLinePunct/>
              <w:autoSpaceDE w:val="0"/>
              <w:autoSpaceDN w:val="0"/>
              <w:bidi w:val="0"/>
              <w:adjustRightInd/>
              <w:snapToGrid/>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9.环保性能：不含胶水异味，低挥发，适合教室长期使用。</w:t>
            </w:r>
          </w:p>
          <w:p w14:paraId="42481E1A">
            <w:pPr>
              <w:keepNext w:val="0"/>
              <w:keepLines w:val="0"/>
              <w:pageBreakBefore w:val="0"/>
              <w:widowControl w:val="0"/>
              <w:kinsoku w:val="0"/>
              <w:wordWrap w:val="0"/>
              <w:overflowPunct/>
              <w:topLinePunct/>
              <w:autoSpaceDE w:val="0"/>
              <w:autoSpaceDN w:val="0"/>
              <w:bidi w:val="0"/>
              <w:adjustRightInd/>
              <w:snapToGrid/>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auto"/>
                <w:sz w:val="24"/>
                <w:szCs w:val="24"/>
              </w:rPr>
              <w:t>10.使用位置：教室前墙、讲台区域全墙面铺设，提升语音清晰度。</w:t>
            </w:r>
          </w:p>
        </w:tc>
      </w:tr>
      <w:tr w14:paraId="6B4EEE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1261" w:hRule="atLeast"/>
          <w:jc w:val="center"/>
        </w:trPr>
        <w:tc>
          <w:tcPr>
            <w:tcW w:w="657" w:type="dxa"/>
            <w:vAlign w:val="center"/>
          </w:tcPr>
          <w:p w14:paraId="744DFF5E">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30</w:t>
            </w:r>
          </w:p>
        </w:tc>
        <w:tc>
          <w:tcPr>
            <w:tcW w:w="1230" w:type="dxa"/>
            <w:vAlign w:val="center"/>
          </w:tcPr>
          <w:p w14:paraId="5CA16B36">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驻场运维服务</w:t>
            </w:r>
          </w:p>
        </w:tc>
        <w:tc>
          <w:tcPr>
            <w:tcW w:w="7178" w:type="dxa"/>
          </w:tcPr>
          <w:p w14:paraId="67E41BF2">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提供3年驻场技术人员</w:t>
            </w:r>
            <w:r>
              <w:rPr>
                <w:rFonts w:hint="default" w:ascii="Times New Roman" w:hAnsi="Times New Roman" w:eastAsia="仿宋_GB2312" w:cs="Times New Roman"/>
                <w:sz w:val="24"/>
                <w:szCs w:val="24"/>
                <w:lang w:val="en-US" w:eastAsia="zh-CN"/>
              </w:rPr>
              <w:t>1人</w:t>
            </w:r>
            <w:r>
              <w:rPr>
                <w:rFonts w:hint="default" w:ascii="Times New Roman" w:hAnsi="Times New Roman" w:eastAsia="仿宋_GB2312" w:cs="Times New Roman"/>
                <w:sz w:val="24"/>
                <w:szCs w:val="24"/>
              </w:rPr>
              <w:t>，负责项目内所有软硬件设备日常巡检、故障处理与运行保障。服务内容包含设备维护、系统调试、故障抢修、日常保洁、操作培训及应急保障。保障教学等业务7×12小时稳定运行，服务态度规范，服从现场管理。驻场人员具备相关设备运维经验。</w:t>
            </w:r>
          </w:p>
        </w:tc>
      </w:tr>
      <w:tr w14:paraId="6E69D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536" w:hRule="atLeast"/>
          <w:jc w:val="center"/>
        </w:trPr>
        <w:tc>
          <w:tcPr>
            <w:tcW w:w="657" w:type="dxa"/>
            <w:vAlign w:val="center"/>
          </w:tcPr>
          <w:p w14:paraId="2A440BDB">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31</w:t>
            </w:r>
          </w:p>
        </w:tc>
        <w:tc>
          <w:tcPr>
            <w:tcW w:w="1230" w:type="dxa"/>
            <w:vAlign w:val="center"/>
          </w:tcPr>
          <w:p w14:paraId="247F4D58">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52平教室配件线材及系统集成1</w:t>
            </w:r>
          </w:p>
        </w:tc>
        <w:tc>
          <w:tcPr>
            <w:tcW w:w="7178" w:type="dxa"/>
          </w:tcPr>
          <w:p w14:paraId="552C33EA">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1.线材含HDMI线、</w:t>
            </w:r>
            <w:r>
              <w:rPr>
                <w:rFonts w:hint="default" w:ascii="Times New Roman" w:hAnsi="Times New Roman" w:eastAsia="仿宋_GB2312" w:cs="Times New Roman"/>
                <w:color w:val="auto"/>
                <w:sz w:val="24"/>
                <w:szCs w:val="24"/>
              </w:rPr>
              <w:t>VGA线</w:t>
            </w:r>
            <w:r>
              <w:rPr>
                <w:rFonts w:hint="default" w:ascii="Times New Roman" w:hAnsi="Times New Roman" w:eastAsia="仿宋_GB2312" w:cs="Times New Roman"/>
                <w:sz w:val="24"/>
                <w:szCs w:val="24"/>
              </w:rPr>
              <w:t>、音频线、超六类网线、国标电源线、强弱电线管及扎带、膨胀螺丝等辅材，满足教室全设备布线需求。</w:t>
            </w:r>
          </w:p>
          <w:p w14:paraId="27B4FBF9">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2.配备防雷插排、音视频转接头、设备安装支架等配件，接口兼容稳定。</w:t>
            </w:r>
          </w:p>
          <w:p w14:paraId="73B8136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3.负责所有设备安装、强弱电规范布线、设备调试及系统联调，实现音视频正常播放、无杂音无啸叫。</w:t>
            </w:r>
          </w:p>
          <w:p w14:paraId="397FB707">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4.施工符合校园安全规范，走线整齐隐蔽，设备运行稳定，交付即可正常使用。</w:t>
            </w:r>
          </w:p>
        </w:tc>
      </w:tr>
      <w:tr w14:paraId="199B1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0" w:hRule="atLeast"/>
          <w:jc w:val="center"/>
        </w:trPr>
        <w:tc>
          <w:tcPr>
            <w:tcW w:w="657" w:type="dxa"/>
            <w:vAlign w:val="center"/>
          </w:tcPr>
          <w:p w14:paraId="1B4B7AE0">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32</w:t>
            </w:r>
          </w:p>
        </w:tc>
        <w:tc>
          <w:tcPr>
            <w:tcW w:w="1230" w:type="dxa"/>
            <w:vAlign w:val="center"/>
          </w:tcPr>
          <w:p w14:paraId="2ECEA9B5">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60-74平教室配件线材及系统集成2</w:t>
            </w:r>
          </w:p>
        </w:tc>
        <w:tc>
          <w:tcPr>
            <w:tcW w:w="7178" w:type="dxa"/>
          </w:tcPr>
          <w:p w14:paraId="38F702FE">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1.含HDMI高清线、</w:t>
            </w:r>
            <w:r>
              <w:rPr>
                <w:rFonts w:hint="default" w:ascii="Times New Roman" w:hAnsi="Times New Roman" w:eastAsia="仿宋_GB2312" w:cs="Times New Roman"/>
                <w:color w:val="auto"/>
                <w:sz w:val="24"/>
                <w:szCs w:val="24"/>
              </w:rPr>
              <w:t>VGA线</w:t>
            </w:r>
            <w:r>
              <w:rPr>
                <w:rFonts w:hint="default" w:ascii="Times New Roman" w:hAnsi="Times New Roman" w:eastAsia="仿宋_GB2312" w:cs="Times New Roman"/>
                <w:sz w:val="24"/>
                <w:szCs w:val="24"/>
              </w:rPr>
              <w:t>、音频线、超六类网线、国标电源线、PVC线管、扎带、螺丝等全套辅材。</w:t>
            </w:r>
          </w:p>
          <w:p w14:paraId="233DFC63">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2.含防雷插排、音视频转接头、安装吊架、固定挂件等配套配件。</w:t>
            </w:r>
          </w:p>
          <w:p w14:paraId="19FF651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3.完成全教室设备安装、强弱电规范布线、隐蔽施工、线路整理。</w:t>
            </w:r>
          </w:p>
          <w:p w14:paraId="7186632A">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4.负责系统整体调试，保证音视频清晰、无啸叫无干扰，设备运行稳定。</w:t>
            </w:r>
          </w:p>
          <w:p w14:paraId="102D2E9C">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5.施工符合校园安全及消防规范，交付即可正常教学使用。</w:t>
            </w:r>
          </w:p>
        </w:tc>
      </w:tr>
      <w:tr w14:paraId="603B8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292" w:hRule="atLeast"/>
          <w:jc w:val="center"/>
        </w:trPr>
        <w:tc>
          <w:tcPr>
            <w:tcW w:w="657" w:type="dxa"/>
            <w:vAlign w:val="center"/>
          </w:tcPr>
          <w:p w14:paraId="3E5EC467">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33</w:t>
            </w:r>
          </w:p>
        </w:tc>
        <w:tc>
          <w:tcPr>
            <w:tcW w:w="1230" w:type="dxa"/>
            <w:vAlign w:val="center"/>
          </w:tcPr>
          <w:p w14:paraId="20C6521F">
            <w:pPr>
              <w:keepNext w:val="0"/>
              <w:keepLines w:val="0"/>
              <w:pageBreakBefore w:val="0"/>
              <w:widowControl w:val="0"/>
              <w:kinsoku w:val="0"/>
              <w:wordWrap w:val="0"/>
              <w:overflowPunct/>
              <w:topLinePunct/>
              <w:autoSpaceDE w:val="0"/>
              <w:autoSpaceDN w:val="0"/>
              <w:bidi w:val="0"/>
              <w:adjustRightInd/>
              <w:snapToGrid/>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color w:val="auto"/>
                <w:kern w:val="0"/>
                <w:sz w:val="24"/>
                <w:szCs w:val="24"/>
                <w:lang w:val="en-US" w:eastAsia="zh-CN"/>
              </w:rPr>
              <w:t>80</w:t>
            </w:r>
            <w:r>
              <w:rPr>
                <w:rFonts w:hint="default" w:ascii="Times New Roman" w:hAnsi="Times New Roman" w:eastAsia="仿宋_GB2312" w:cs="Times New Roman"/>
                <w:sz w:val="24"/>
                <w:szCs w:val="24"/>
                <w:lang w:val="en-US" w:eastAsia="zh-CN"/>
              </w:rPr>
              <w:t>-120平教室配件线材及系统集成3</w:t>
            </w:r>
          </w:p>
        </w:tc>
        <w:tc>
          <w:tcPr>
            <w:tcW w:w="7178" w:type="dxa"/>
          </w:tcPr>
          <w:p w14:paraId="6208C00A">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1.含HDMI高清线、</w:t>
            </w:r>
            <w:r>
              <w:rPr>
                <w:rFonts w:hint="default" w:ascii="Times New Roman" w:hAnsi="Times New Roman" w:eastAsia="仿宋_GB2312" w:cs="Times New Roman"/>
                <w:color w:val="auto"/>
                <w:sz w:val="24"/>
                <w:szCs w:val="24"/>
              </w:rPr>
              <w:t>VGA线</w:t>
            </w:r>
            <w:r>
              <w:rPr>
                <w:rFonts w:hint="default" w:ascii="Times New Roman" w:hAnsi="Times New Roman" w:eastAsia="仿宋_GB2312" w:cs="Times New Roman"/>
                <w:sz w:val="24"/>
                <w:szCs w:val="24"/>
              </w:rPr>
              <w:t>、音频线、音箱线、超六类网线、国标电源线、PVC阻燃线管、扎带、螺丝等全套辅材。</w:t>
            </w:r>
          </w:p>
          <w:p w14:paraId="7C2A07CD">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2.含防雷插排、音视频转接头、安装吊架、壁挂支架等配套配件。</w:t>
            </w:r>
          </w:p>
          <w:p w14:paraId="12D772B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3.完成全教室设备安装、强弱电规范布线、隐蔽施工、线路整理。</w:t>
            </w:r>
          </w:p>
          <w:p w14:paraId="5E6A5BEB">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4.负责系统整体联调，保证音视频清晰、覆盖均匀、无啸叫无干扰，设备运行稳定。</w:t>
            </w:r>
          </w:p>
          <w:p w14:paraId="3F82A491">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5.施工符合校园安全及消防规范，交付即可正常教学使用。</w:t>
            </w:r>
          </w:p>
        </w:tc>
      </w:tr>
      <w:tr w14:paraId="632DE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0" w:hRule="atLeast"/>
          <w:jc w:val="center"/>
        </w:trPr>
        <w:tc>
          <w:tcPr>
            <w:tcW w:w="657" w:type="dxa"/>
            <w:vAlign w:val="center"/>
          </w:tcPr>
          <w:p w14:paraId="1BB85909">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34</w:t>
            </w:r>
          </w:p>
        </w:tc>
        <w:tc>
          <w:tcPr>
            <w:tcW w:w="1230" w:type="dxa"/>
            <w:vAlign w:val="center"/>
          </w:tcPr>
          <w:p w14:paraId="66E62FEF">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8617</w:t>
            </w:r>
            <w:r>
              <w:rPr>
                <w:rFonts w:hint="eastAsia" w:ascii="Times New Roman" w:hAnsi="Times New Roman" w:eastAsia="仿宋_GB2312" w:cs="Times New Roman"/>
                <w:color w:val="auto"/>
                <w:sz w:val="24"/>
                <w:szCs w:val="24"/>
                <w:highlight w:val="none"/>
                <w:lang w:val="en-US" w:eastAsia="zh-CN"/>
              </w:rPr>
              <w:t>（门牌号）</w:t>
            </w:r>
            <w:r>
              <w:rPr>
                <w:rFonts w:hint="default" w:ascii="Times New Roman" w:hAnsi="Times New Roman" w:eastAsia="仿宋_GB2312" w:cs="Times New Roman"/>
                <w:sz w:val="24"/>
                <w:szCs w:val="24"/>
                <w:lang w:val="en-US" w:eastAsia="zh-CN"/>
              </w:rPr>
              <w:t>教室</w:t>
            </w:r>
          </w:p>
          <w:p w14:paraId="6D9A6E1A">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配件线材及系统集成4</w:t>
            </w:r>
          </w:p>
        </w:tc>
        <w:tc>
          <w:tcPr>
            <w:tcW w:w="7178" w:type="dxa"/>
            <w:vAlign w:val="top"/>
          </w:tcPr>
          <w:p w14:paraId="61270A65">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1.含HDMI高清线、</w:t>
            </w:r>
            <w:r>
              <w:rPr>
                <w:rFonts w:hint="default" w:ascii="Times New Roman" w:hAnsi="Times New Roman" w:eastAsia="仿宋_GB2312" w:cs="Times New Roman"/>
                <w:color w:val="auto"/>
                <w:sz w:val="24"/>
                <w:szCs w:val="24"/>
              </w:rPr>
              <w:t>VGA线</w:t>
            </w:r>
            <w:r>
              <w:rPr>
                <w:rFonts w:hint="default" w:ascii="Times New Roman" w:hAnsi="Times New Roman" w:eastAsia="仿宋_GB2312" w:cs="Times New Roman"/>
                <w:sz w:val="24"/>
                <w:szCs w:val="24"/>
              </w:rPr>
              <w:t>、音频线、音箱线、超六类网线、国标电源线、PVC阻燃线管、扎带、螺丝等全套辅材。</w:t>
            </w:r>
          </w:p>
          <w:p w14:paraId="2AFB2CAB">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2.含防雷插排、音视频转接头、安装吊架、壁挂支架等配套配件。</w:t>
            </w:r>
          </w:p>
          <w:p w14:paraId="309836EE">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3.完成全教室设备安装、强弱电规范布线、隐蔽施工、线路整理。</w:t>
            </w:r>
          </w:p>
          <w:p w14:paraId="3A02C0EF">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4.负责系统整体联调，保证音视频清晰、覆盖均匀、无啸叫无干扰，设备运行稳定。</w:t>
            </w:r>
          </w:p>
          <w:p w14:paraId="06850017">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5.施工符合校园安全及消防规范，交付即可正常教学使用。</w:t>
            </w:r>
          </w:p>
        </w:tc>
      </w:tr>
      <w:tr w14:paraId="29526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858" w:hRule="atLeast"/>
          <w:jc w:val="center"/>
        </w:trPr>
        <w:tc>
          <w:tcPr>
            <w:tcW w:w="657" w:type="dxa"/>
            <w:vAlign w:val="center"/>
          </w:tcPr>
          <w:p w14:paraId="4A91DEB1">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35</w:t>
            </w:r>
          </w:p>
        </w:tc>
        <w:tc>
          <w:tcPr>
            <w:tcW w:w="1230" w:type="dxa"/>
            <w:vAlign w:val="center"/>
          </w:tcPr>
          <w:p w14:paraId="501C0177">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综合布线</w:t>
            </w:r>
          </w:p>
        </w:tc>
        <w:tc>
          <w:tcPr>
            <w:tcW w:w="7178" w:type="dxa"/>
          </w:tcPr>
          <w:p w14:paraId="6FA568AE">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项目部署实施配套的相关配件、线材，根据项目实际情况确定配套内容和数量。</w:t>
            </w:r>
          </w:p>
          <w:p w14:paraId="07FEB00C">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1.采用超六类非屏蔽网线，无氧铜芯，</w:t>
            </w:r>
            <w:r>
              <w:rPr>
                <w:rFonts w:hint="default" w:ascii="Times New Roman" w:hAnsi="Times New Roman" w:eastAsia="仿宋_GB2312" w:cs="Times New Roman"/>
                <w:sz w:val="24"/>
                <w:szCs w:val="24"/>
                <w:lang w:val="en-US" w:eastAsia="zh-CN"/>
              </w:rPr>
              <w:t>支持</w:t>
            </w:r>
            <w:r>
              <w:rPr>
                <w:rFonts w:hint="default" w:ascii="Times New Roman" w:hAnsi="Times New Roman" w:eastAsia="仿宋_GB2312" w:cs="Times New Roman"/>
                <w:sz w:val="24"/>
                <w:szCs w:val="24"/>
              </w:rPr>
              <w:t>千兆网络传输，符合国家综合布线标准。</w:t>
            </w:r>
          </w:p>
          <w:p w14:paraId="4A773FF0">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2.配置标准网络模块、信息面板、配线架，接口规整，标识清晰。</w:t>
            </w:r>
          </w:p>
          <w:p w14:paraId="1908A053">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3.强弱电分离布线，使用 PVC阻燃线管防护，走线规范、隐蔽、牢固。</w:t>
            </w:r>
          </w:p>
          <w:p w14:paraId="0AA28C69">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4.所有线路无接头、无破损、无干扰，满足教室长期稳定使用。</w:t>
            </w:r>
          </w:p>
          <w:p w14:paraId="12443545">
            <w:pP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5.施工符合校园电气安全及消防规范，验收合格后交付使用</w:t>
            </w:r>
            <w:r>
              <w:rPr>
                <w:rFonts w:hint="default" w:ascii="Times New Roman" w:hAnsi="Times New Roman" w:eastAsia="仿宋_GB2312" w:cs="Times New Roman"/>
                <w:sz w:val="24"/>
                <w:szCs w:val="24"/>
                <w:lang w:eastAsia="zh-CN"/>
              </w:rPr>
              <w:t>。</w:t>
            </w:r>
          </w:p>
        </w:tc>
      </w:tr>
    </w:tbl>
    <w:p w14:paraId="7FEF702B">
      <w:pPr>
        <w:rPr>
          <w:rFonts w:hint="default" w:ascii="Times New Roman" w:hAnsi="Times New Roman" w:eastAsia="仿宋_GB2312" w:cs="Times New Roman"/>
          <w:color w:val="auto"/>
          <w:kern w:val="0"/>
          <w:sz w:val="24"/>
          <w:lang w:val="en-US" w:eastAsia="zh-CN" w:bidi="ar"/>
        </w:rPr>
      </w:pPr>
    </w:p>
    <w:p w14:paraId="2D7E0E36">
      <w:pPr>
        <w:pStyle w:val="70"/>
        <w:jc w:val="center"/>
        <w:outlineLvl w:val="2"/>
        <w:rPr>
          <w:rFonts w:hint="default" w:ascii="Times New Roman" w:hAnsi="Times New Roman" w:eastAsia="仿宋" w:cs="Times New Roman"/>
          <w:b/>
          <w:bCs/>
          <w:color w:val="auto"/>
          <w:sz w:val="32"/>
          <w:szCs w:val="32"/>
        </w:rPr>
        <w:sectPr>
          <w:footerReference r:id="rId9" w:type="default"/>
          <w:pgSz w:w="11906" w:h="16838"/>
          <w:pgMar w:top="1440" w:right="1080" w:bottom="1440" w:left="1080" w:header="851" w:footer="992" w:gutter="0"/>
          <w:cols w:space="720" w:num="1"/>
          <w:docGrid w:type="lines" w:linePitch="312" w:charSpace="0"/>
        </w:sectPr>
      </w:pPr>
    </w:p>
    <w:p w14:paraId="2A11CF89">
      <w:pPr>
        <w:pStyle w:val="70"/>
        <w:jc w:val="both"/>
        <w:outlineLvl w:val="2"/>
        <w:rPr>
          <w:rFonts w:hint="default" w:ascii="Times New Roman" w:hAnsi="Times New Roman" w:cs="Times New Roman"/>
          <w:b/>
          <w:bCs/>
          <w:color w:val="auto"/>
          <w:sz w:val="28"/>
          <w:szCs w:val="28"/>
        </w:rPr>
      </w:pPr>
      <w:r>
        <w:rPr>
          <w:rFonts w:hint="default" w:ascii="Times New Roman" w:hAnsi="Times New Roman" w:eastAsia="仿宋" w:cs="Times New Roman"/>
          <w:b/>
          <w:bCs/>
          <w:color w:val="auto"/>
          <w:sz w:val="32"/>
          <w:szCs w:val="32"/>
        </w:rPr>
        <w:t>附表</w:t>
      </w:r>
      <w:r>
        <w:rPr>
          <w:rFonts w:hint="default" w:ascii="Times New Roman" w:hAnsi="Times New Roman" w:eastAsia="仿宋" w:cs="Times New Roman"/>
          <w:b/>
          <w:bCs/>
          <w:color w:val="auto"/>
          <w:sz w:val="32"/>
          <w:szCs w:val="32"/>
          <w:lang w:val="en-US" w:eastAsia="zh-CN"/>
        </w:rPr>
        <w:t>1</w:t>
      </w:r>
      <w:r>
        <w:rPr>
          <w:rFonts w:hint="default" w:ascii="Times New Roman" w:hAnsi="Times New Roman" w:eastAsia="仿宋" w:cs="Times New Roman"/>
          <w:b/>
          <w:bCs/>
          <w:color w:val="auto"/>
          <w:sz w:val="32"/>
          <w:szCs w:val="32"/>
        </w:rPr>
        <w:t xml:space="preserve"> 磁盘阵列技术参数</w:t>
      </w:r>
    </w:p>
    <w:tbl>
      <w:tblPr>
        <w:tblStyle w:val="52"/>
        <w:tblW w:w="96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623"/>
        <w:gridCol w:w="1309"/>
        <w:gridCol w:w="1201"/>
        <w:gridCol w:w="1163"/>
        <w:gridCol w:w="3495"/>
        <w:gridCol w:w="1055"/>
      </w:tblGrid>
      <w:tr w14:paraId="1C7D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5CDF950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重要程度</w:t>
            </w:r>
          </w:p>
        </w:tc>
        <w:tc>
          <w:tcPr>
            <w:tcW w:w="623" w:type="dxa"/>
            <w:vAlign w:val="center"/>
          </w:tcPr>
          <w:p w14:paraId="510F2BF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序号</w:t>
            </w:r>
          </w:p>
        </w:tc>
        <w:tc>
          <w:tcPr>
            <w:tcW w:w="1309" w:type="dxa"/>
            <w:vAlign w:val="center"/>
          </w:tcPr>
          <w:p w14:paraId="4314A6B8">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指标分类</w:t>
            </w:r>
          </w:p>
        </w:tc>
        <w:tc>
          <w:tcPr>
            <w:tcW w:w="1201" w:type="dxa"/>
            <w:vAlign w:val="center"/>
          </w:tcPr>
          <w:p w14:paraId="62A8203A">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一级指标</w:t>
            </w:r>
          </w:p>
        </w:tc>
        <w:tc>
          <w:tcPr>
            <w:tcW w:w="1163" w:type="dxa"/>
            <w:vAlign w:val="center"/>
          </w:tcPr>
          <w:p w14:paraId="6BFDA58C">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二级指标</w:t>
            </w:r>
          </w:p>
        </w:tc>
        <w:tc>
          <w:tcPr>
            <w:tcW w:w="3495" w:type="dxa"/>
            <w:vAlign w:val="center"/>
          </w:tcPr>
          <w:p w14:paraId="26F93F3A">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指标要求</w:t>
            </w:r>
          </w:p>
        </w:tc>
        <w:tc>
          <w:tcPr>
            <w:tcW w:w="1055" w:type="dxa"/>
            <w:vAlign w:val="center"/>
          </w:tcPr>
          <w:p w14:paraId="7C9A4522">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证明材料要求</w:t>
            </w:r>
          </w:p>
        </w:tc>
      </w:tr>
      <w:tr w14:paraId="3E80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04" w:type="dxa"/>
            <w:vAlign w:val="center"/>
          </w:tcPr>
          <w:p w14:paraId="097090E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4278E38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w:t>
            </w:r>
          </w:p>
        </w:tc>
        <w:tc>
          <w:tcPr>
            <w:tcW w:w="1309" w:type="dxa"/>
            <w:vAlign w:val="center"/>
          </w:tcPr>
          <w:p w14:paraId="481696B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05D0335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*CPU规格</w:t>
            </w:r>
          </w:p>
        </w:tc>
        <w:tc>
          <w:tcPr>
            <w:tcW w:w="1163" w:type="dxa"/>
            <w:vAlign w:val="center"/>
          </w:tcPr>
          <w:p w14:paraId="3834950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*CPU 信息</w:t>
            </w:r>
          </w:p>
        </w:tc>
        <w:tc>
          <w:tcPr>
            <w:tcW w:w="3495" w:type="dxa"/>
            <w:vAlign w:val="center"/>
          </w:tcPr>
          <w:p w14:paraId="16B860F5">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eastAsia="zh-CN" w:bidi="ar"/>
              </w:rPr>
              <w:t>供应商给出CPU 信息，包含 CPU 型号、物理核心数、主频、末级缓存容量、线程数、热设计功耗及支持内存的最高速率、通道数和位宽</w:t>
            </w:r>
            <w:r>
              <w:rPr>
                <w:rFonts w:hint="default" w:ascii="Times New Roman" w:hAnsi="Times New Roman" w:eastAsia="MS Gothic" w:cs="Times New Roman"/>
                <w:color w:val="FF0000"/>
                <w:kern w:val="0"/>
                <w:sz w:val="24"/>
                <w:szCs w:val="24"/>
                <w:lang w:bidi="ar"/>
              </w:rPr>
              <w:t>‌</w:t>
            </w:r>
          </w:p>
        </w:tc>
        <w:tc>
          <w:tcPr>
            <w:tcW w:w="1055" w:type="dxa"/>
            <w:vAlign w:val="center"/>
          </w:tcPr>
          <w:p w14:paraId="4DC1A4ED">
            <w:pPr>
              <w:adjustRightInd w:val="0"/>
              <w:snapToGrid w:val="0"/>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r>
      <w:tr w14:paraId="2B1C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3EDF7D5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32953AE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2</w:t>
            </w:r>
          </w:p>
        </w:tc>
        <w:tc>
          <w:tcPr>
            <w:tcW w:w="1309" w:type="dxa"/>
            <w:vAlign w:val="center"/>
          </w:tcPr>
          <w:p w14:paraId="02608EC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47D5D32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*主板规格</w:t>
            </w:r>
          </w:p>
        </w:tc>
        <w:tc>
          <w:tcPr>
            <w:tcW w:w="1163" w:type="dxa"/>
            <w:vAlign w:val="center"/>
          </w:tcPr>
          <w:p w14:paraId="0A724417">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*主板支持的 CPU 和内存情况</w:t>
            </w:r>
          </w:p>
        </w:tc>
        <w:tc>
          <w:tcPr>
            <w:tcW w:w="3495" w:type="dxa"/>
            <w:vAlign w:val="center"/>
          </w:tcPr>
          <w:p w14:paraId="0652FBA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供应商给出主板支持的CPU 和内存的型号数量</w:t>
            </w:r>
          </w:p>
        </w:tc>
        <w:tc>
          <w:tcPr>
            <w:tcW w:w="1055" w:type="dxa"/>
            <w:vAlign w:val="center"/>
          </w:tcPr>
          <w:p w14:paraId="0B51FAE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EB0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41C0E18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612D667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3</w:t>
            </w:r>
          </w:p>
        </w:tc>
        <w:tc>
          <w:tcPr>
            <w:tcW w:w="1309" w:type="dxa"/>
            <w:vAlign w:val="center"/>
          </w:tcPr>
          <w:p w14:paraId="7E54CFB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0FDAC8D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*主板规格</w:t>
            </w:r>
          </w:p>
        </w:tc>
        <w:tc>
          <w:tcPr>
            <w:tcW w:w="1163" w:type="dxa"/>
            <w:vAlign w:val="center"/>
          </w:tcPr>
          <w:p w14:paraId="7A16DF3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*主板内存槽数量</w:t>
            </w:r>
          </w:p>
        </w:tc>
        <w:tc>
          <w:tcPr>
            <w:tcW w:w="3495" w:type="dxa"/>
            <w:vAlign w:val="center"/>
          </w:tcPr>
          <w:p w14:paraId="66E4399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 xml:space="preserve">非板载内存的可扩展插槽数量不少于 </w:t>
            </w:r>
            <w:r>
              <w:rPr>
                <w:rFonts w:hint="default" w:ascii="Times New Roman" w:hAnsi="Times New Roman" w:eastAsia="仿宋_GB2312" w:cs="Times New Roman"/>
                <w:color w:val="auto"/>
                <w:kern w:val="0"/>
                <w:sz w:val="24"/>
                <w:szCs w:val="24"/>
                <w:lang w:val="en" w:eastAsia="zh-CN" w:bidi="ar"/>
              </w:rPr>
              <w:t>8</w:t>
            </w:r>
            <w:r>
              <w:rPr>
                <w:rFonts w:hint="default" w:ascii="Times New Roman" w:hAnsi="Times New Roman" w:eastAsia="仿宋_GB2312" w:cs="Times New Roman"/>
                <w:color w:val="auto"/>
                <w:kern w:val="0"/>
                <w:sz w:val="24"/>
                <w:szCs w:val="24"/>
                <w:lang w:eastAsia="zh-CN" w:bidi="ar"/>
              </w:rPr>
              <w:t>个</w:t>
            </w:r>
          </w:p>
        </w:tc>
        <w:tc>
          <w:tcPr>
            <w:tcW w:w="1055" w:type="dxa"/>
            <w:vAlign w:val="center"/>
          </w:tcPr>
          <w:p w14:paraId="01D7924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43CE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56DFB68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2EC0960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4</w:t>
            </w:r>
          </w:p>
        </w:tc>
        <w:tc>
          <w:tcPr>
            <w:tcW w:w="1309" w:type="dxa"/>
            <w:vAlign w:val="center"/>
          </w:tcPr>
          <w:p w14:paraId="73DA7BB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2DE9B89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*主板规格</w:t>
            </w:r>
          </w:p>
        </w:tc>
        <w:tc>
          <w:tcPr>
            <w:tcW w:w="1163" w:type="dxa"/>
            <w:vAlign w:val="center"/>
          </w:tcPr>
          <w:p w14:paraId="63949F6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*主板存储接口</w:t>
            </w:r>
          </w:p>
        </w:tc>
        <w:tc>
          <w:tcPr>
            <w:tcW w:w="3495" w:type="dxa"/>
            <w:vAlign w:val="center"/>
          </w:tcPr>
          <w:p w14:paraId="4B3C5D87">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至少支持 SATA、SAS、M.2、U.2 等存储接口中的 1 种</w:t>
            </w:r>
          </w:p>
        </w:tc>
        <w:tc>
          <w:tcPr>
            <w:tcW w:w="1055" w:type="dxa"/>
            <w:vAlign w:val="center"/>
          </w:tcPr>
          <w:p w14:paraId="601205D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61776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714AADB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2C7E006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5</w:t>
            </w:r>
          </w:p>
        </w:tc>
        <w:tc>
          <w:tcPr>
            <w:tcW w:w="1309" w:type="dxa"/>
            <w:vAlign w:val="center"/>
          </w:tcPr>
          <w:p w14:paraId="7C3889E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29D426E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*主板规格</w:t>
            </w:r>
          </w:p>
        </w:tc>
        <w:tc>
          <w:tcPr>
            <w:tcW w:w="1163" w:type="dxa"/>
            <w:vAlign w:val="center"/>
          </w:tcPr>
          <w:p w14:paraId="5BCEFC1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*PCIe 插槽接口</w:t>
            </w:r>
          </w:p>
        </w:tc>
        <w:tc>
          <w:tcPr>
            <w:tcW w:w="3495" w:type="dxa"/>
            <w:vAlign w:val="center"/>
          </w:tcPr>
          <w:p w14:paraId="16B194C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符合 PCIe3.0 或以上的高速串行计算机扩展总线标准，PCIe 的接口速率与位宽需保证向下兼容</w:t>
            </w:r>
          </w:p>
        </w:tc>
        <w:tc>
          <w:tcPr>
            <w:tcW w:w="1055" w:type="dxa"/>
            <w:vAlign w:val="center"/>
          </w:tcPr>
          <w:p w14:paraId="75C0923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A69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3C4532E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71D322A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6</w:t>
            </w:r>
          </w:p>
        </w:tc>
        <w:tc>
          <w:tcPr>
            <w:tcW w:w="1309" w:type="dxa"/>
            <w:vAlign w:val="center"/>
          </w:tcPr>
          <w:p w14:paraId="0730769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6A4E915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*主板规格</w:t>
            </w:r>
          </w:p>
        </w:tc>
        <w:tc>
          <w:tcPr>
            <w:tcW w:w="1163" w:type="dxa"/>
            <w:vAlign w:val="center"/>
          </w:tcPr>
          <w:p w14:paraId="63F4B26F">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*主板 PCIe插槽数量及规格</w:t>
            </w:r>
          </w:p>
        </w:tc>
        <w:tc>
          <w:tcPr>
            <w:tcW w:w="3495" w:type="dxa"/>
            <w:vAlign w:val="center"/>
          </w:tcPr>
          <w:p w14:paraId="450B4D6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高度大于44.45mm 双路或以上服务器 PCIe 插槽或接口不少于</w:t>
            </w:r>
            <w:r>
              <w:rPr>
                <w:rFonts w:hint="default" w:ascii="Times New Roman" w:hAnsi="Times New Roman" w:eastAsia="仿宋_GB2312" w:cs="Times New Roman"/>
                <w:color w:val="auto"/>
                <w:kern w:val="0"/>
                <w:sz w:val="24"/>
                <w:szCs w:val="24"/>
                <w:lang w:val="en" w:eastAsia="zh-CN" w:bidi="ar"/>
              </w:rPr>
              <w:t>5</w:t>
            </w:r>
            <w:r>
              <w:rPr>
                <w:rFonts w:hint="default" w:ascii="Times New Roman" w:hAnsi="Times New Roman" w:eastAsia="仿宋_GB2312" w:cs="Times New Roman"/>
                <w:color w:val="auto"/>
                <w:kern w:val="0"/>
                <w:sz w:val="24"/>
                <w:szCs w:val="24"/>
                <w:lang w:eastAsia="zh-CN" w:bidi="ar"/>
              </w:rPr>
              <w:t>个</w:t>
            </w:r>
          </w:p>
        </w:tc>
        <w:tc>
          <w:tcPr>
            <w:tcW w:w="1055" w:type="dxa"/>
            <w:vAlign w:val="center"/>
          </w:tcPr>
          <w:p w14:paraId="71867B4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BCB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804" w:type="dxa"/>
            <w:vAlign w:val="center"/>
          </w:tcPr>
          <w:p w14:paraId="3D377F54">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0760C2C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7</w:t>
            </w:r>
          </w:p>
        </w:tc>
        <w:tc>
          <w:tcPr>
            <w:tcW w:w="1309" w:type="dxa"/>
            <w:vAlign w:val="center"/>
          </w:tcPr>
          <w:p w14:paraId="15E0E6C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3730A76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*主板规格</w:t>
            </w:r>
          </w:p>
        </w:tc>
        <w:tc>
          <w:tcPr>
            <w:tcW w:w="1163" w:type="dxa"/>
            <w:vAlign w:val="center"/>
          </w:tcPr>
          <w:p w14:paraId="0A94D6E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特殊孔位及接口</w:t>
            </w:r>
          </w:p>
        </w:tc>
        <w:tc>
          <w:tcPr>
            <w:tcW w:w="3495" w:type="dxa"/>
            <w:vAlign w:val="center"/>
          </w:tcPr>
          <w:p w14:paraId="4CA25044">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3DF5C17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6A57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49877388">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1A102AB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8</w:t>
            </w:r>
          </w:p>
        </w:tc>
        <w:tc>
          <w:tcPr>
            <w:tcW w:w="1309" w:type="dxa"/>
            <w:vAlign w:val="center"/>
          </w:tcPr>
          <w:p w14:paraId="1958D8F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43D74C9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*主板规格</w:t>
            </w:r>
          </w:p>
        </w:tc>
        <w:tc>
          <w:tcPr>
            <w:tcW w:w="1163" w:type="dxa"/>
            <w:vAlign w:val="center"/>
          </w:tcPr>
          <w:p w14:paraId="4E45C81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板载网络接口</w:t>
            </w:r>
          </w:p>
        </w:tc>
        <w:tc>
          <w:tcPr>
            <w:tcW w:w="3495" w:type="dxa"/>
            <w:vAlign w:val="center"/>
          </w:tcPr>
          <w:p w14:paraId="7B781E4B">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6D396DB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76A2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47378EDD">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5FAEDA9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9</w:t>
            </w:r>
          </w:p>
        </w:tc>
        <w:tc>
          <w:tcPr>
            <w:tcW w:w="1309" w:type="dxa"/>
            <w:vAlign w:val="center"/>
          </w:tcPr>
          <w:p w14:paraId="503A427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409E25E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*主板规格</w:t>
            </w:r>
          </w:p>
        </w:tc>
        <w:tc>
          <w:tcPr>
            <w:tcW w:w="1163" w:type="dxa"/>
            <w:vAlign w:val="center"/>
          </w:tcPr>
          <w:p w14:paraId="5A5367C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 OCP 插槽数量</w:t>
            </w:r>
          </w:p>
        </w:tc>
        <w:tc>
          <w:tcPr>
            <w:tcW w:w="3495" w:type="dxa"/>
            <w:vAlign w:val="center"/>
          </w:tcPr>
          <w:p w14:paraId="3D421DDD">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0E7D68C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2BA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7F1D1B7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71FCF07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10</w:t>
            </w:r>
          </w:p>
        </w:tc>
        <w:tc>
          <w:tcPr>
            <w:tcW w:w="1309" w:type="dxa"/>
            <w:vAlign w:val="center"/>
          </w:tcPr>
          <w:p w14:paraId="4824640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78CB87D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*内存规格</w:t>
            </w:r>
          </w:p>
        </w:tc>
        <w:tc>
          <w:tcPr>
            <w:tcW w:w="1163" w:type="dxa"/>
            <w:vAlign w:val="center"/>
          </w:tcPr>
          <w:p w14:paraId="2887E03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*内存数量</w:t>
            </w:r>
          </w:p>
        </w:tc>
        <w:tc>
          <w:tcPr>
            <w:tcW w:w="3495" w:type="dxa"/>
            <w:vAlign w:val="center"/>
          </w:tcPr>
          <w:p w14:paraId="7E33681E">
            <w:pPr>
              <w:adjustRightInd w:val="0"/>
              <w:snapToGrid w:val="0"/>
              <w:textAlignment w:val="center"/>
              <w:rPr>
                <w:rFonts w:hint="default" w:ascii="Times New Roman" w:hAnsi="Times New Roman" w:eastAsia="仿宋_GB2312" w:cs="Times New Roman"/>
                <w:color w:val="auto"/>
                <w:kern w:val="0"/>
                <w:sz w:val="24"/>
                <w:szCs w:val="24"/>
                <w:lang w:val="en" w:bidi="ar"/>
              </w:rPr>
            </w:pPr>
            <w:r>
              <w:rPr>
                <w:rFonts w:hint="default" w:ascii="Times New Roman" w:hAnsi="Times New Roman" w:eastAsia="仿宋_GB2312" w:cs="Times New Roman"/>
                <w:color w:val="auto"/>
                <w:kern w:val="0"/>
                <w:sz w:val="24"/>
                <w:szCs w:val="24"/>
                <w:lang w:bidi="ar"/>
              </w:rPr>
              <w:t>≥</w:t>
            </w:r>
            <w:r>
              <w:rPr>
                <w:rFonts w:hint="default" w:ascii="Times New Roman" w:hAnsi="Times New Roman" w:eastAsia="仿宋_GB2312" w:cs="Times New Roman"/>
                <w:color w:val="auto"/>
                <w:kern w:val="0"/>
                <w:sz w:val="24"/>
                <w:szCs w:val="24"/>
                <w:lang w:val="en" w:bidi="ar"/>
              </w:rPr>
              <w:t>4</w:t>
            </w:r>
          </w:p>
        </w:tc>
        <w:tc>
          <w:tcPr>
            <w:tcW w:w="1055" w:type="dxa"/>
            <w:vAlign w:val="center"/>
          </w:tcPr>
          <w:p w14:paraId="6F732E9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018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0324DE3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036B856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11</w:t>
            </w:r>
          </w:p>
        </w:tc>
        <w:tc>
          <w:tcPr>
            <w:tcW w:w="1309" w:type="dxa"/>
            <w:vAlign w:val="center"/>
          </w:tcPr>
          <w:p w14:paraId="51E0713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4119C5B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*内存规格</w:t>
            </w:r>
          </w:p>
        </w:tc>
        <w:tc>
          <w:tcPr>
            <w:tcW w:w="1163" w:type="dxa"/>
            <w:vAlign w:val="center"/>
          </w:tcPr>
          <w:p w14:paraId="20674B1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*内存规格</w:t>
            </w:r>
          </w:p>
        </w:tc>
        <w:tc>
          <w:tcPr>
            <w:tcW w:w="3495" w:type="dxa"/>
            <w:vAlign w:val="center"/>
          </w:tcPr>
          <w:p w14:paraId="52332975">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≥DDR4</w:t>
            </w:r>
          </w:p>
        </w:tc>
        <w:tc>
          <w:tcPr>
            <w:tcW w:w="1055" w:type="dxa"/>
            <w:vAlign w:val="center"/>
          </w:tcPr>
          <w:p w14:paraId="1635327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31EE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04" w:type="dxa"/>
            <w:vAlign w:val="center"/>
          </w:tcPr>
          <w:p w14:paraId="4237644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723F258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12</w:t>
            </w:r>
          </w:p>
        </w:tc>
        <w:tc>
          <w:tcPr>
            <w:tcW w:w="1309" w:type="dxa"/>
            <w:vAlign w:val="center"/>
          </w:tcPr>
          <w:p w14:paraId="3B455A4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6ED0750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*内存规格</w:t>
            </w:r>
          </w:p>
        </w:tc>
        <w:tc>
          <w:tcPr>
            <w:tcW w:w="1163" w:type="dxa"/>
            <w:vAlign w:val="center"/>
          </w:tcPr>
          <w:p w14:paraId="1D08819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*内存通道</w:t>
            </w:r>
          </w:p>
        </w:tc>
        <w:tc>
          <w:tcPr>
            <w:tcW w:w="3495" w:type="dxa"/>
            <w:vAlign w:val="center"/>
          </w:tcPr>
          <w:p w14:paraId="2BD3A46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支持多个内存接口通道，每个通道可支持 1DPC 或 2DPC，当支持 2DPC时，印制电路板上应具备插槽的序号标识，具体通道数应在随机文件中明确。</w:t>
            </w:r>
          </w:p>
        </w:tc>
        <w:tc>
          <w:tcPr>
            <w:tcW w:w="1055" w:type="dxa"/>
            <w:vAlign w:val="center"/>
          </w:tcPr>
          <w:p w14:paraId="76E165F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C7FA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301ABC2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5C4BD29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13</w:t>
            </w:r>
          </w:p>
        </w:tc>
        <w:tc>
          <w:tcPr>
            <w:tcW w:w="1309" w:type="dxa"/>
            <w:vAlign w:val="center"/>
          </w:tcPr>
          <w:p w14:paraId="1CC0342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308276D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*存储规格</w:t>
            </w:r>
          </w:p>
        </w:tc>
        <w:tc>
          <w:tcPr>
            <w:tcW w:w="1163" w:type="dxa"/>
            <w:vAlign w:val="center"/>
          </w:tcPr>
          <w:p w14:paraId="72364B2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硬盘类型</w:t>
            </w:r>
          </w:p>
        </w:tc>
        <w:tc>
          <w:tcPr>
            <w:tcW w:w="3495" w:type="dxa"/>
            <w:vAlign w:val="center"/>
          </w:tcPr>
          <w:p w14:paraId="25F4A6C0">
            <w:pPr>
              <w:adjustRightInd w:val="0"/>
              <w:snapToGrid w:val="0"/>
              <w:textAlignment w:val="center"/>
              <w:rPr>
                <w:rFonts w:hint="default" w:ascii="Times New Roman" w:hAnsi="Times New Roman" w:eastAsia="仿宋_GB2312" w:cs="Times New Roman"/>
                <w:color w:val="auto"/>
                <w:kern w:val="0"/>
                <w:sz w:val="24"/>
                <w:szCs w:val="24"/>
                <w:lang w:val="en" w:bidi="ar"/>
              </w:rPr>
            </w:pPr>
            <w:r>
              <w:rPr>
                <w:rFonts w:hint="default" w:ascii="Times New Roman" w:hAnsi="Times New Roman" w:eastAsia="仿宋_GB2312" w:cs="Times New Roman"/>
                <w:color w:val="auto"/>
                <w:kern w:val="0"/>
                <w:sz w:val="24"/>
                <w:szCs w:val="24"/>
                <w:lang w:bidi="ar"/>
              </w:rPr>
              <w:t>≥</w:t>
            </w:r>
            <w:r>
              <w:rPr>
                <w:rFonts w:hint="default" w:ascii="Times New Roman" w:hAnsi="Times New Roman" w:eastAsia="仿宋_GB2312" w:cs="Times New Roman"/>
                <w:color w:val="auto"/>
                <w:kern w:val="0"/>
                <w:sz w:val="24"/>
                <w:szCs w:val="24"/>
                <w:lang w:eastAsia="zh-CN" w:bidi="ar"/>
              </w:rPr>
              <w:t>16TB</w:t>
            </w:r>
            <w:r>
              <w:rPr>
                <w:rFonts w:hint="default" w:ascii="Times New Roman" w:hAnsi="Times New Roman" w:eastAsia="仿宋_GB2312" w:cs="Times New Roman"/>
                <w:color w:val="auto"/>
                <w:kern w:val="0"/>
                <w:sz w:val="24"/>
                <w:szCs w:val="24"/>
                <w:lang w:bidi="ar"/>
              </w:rPr>
              <w:t xml:space="preserve"> SATA 硬盘</w:t>
            </w:r>
            <w:r>
              <w:rPr>
                <w:rFonts w:hint="default" w:ascii="Times New Roman" w:hAnsi="Times New Roman" w:eastAsia="仿宋_GB2312" w:cs="Times New Roman"/>
                <w:color w:val="auto"/>
                <w:kern w:val="0"/>
                <w:sz w:val="24"/>
                <w:szCs w:val="24"/>
                <w:lang w:val="en" w:bidi="ar"/>
              </w:rPr>
              <w:t>,供应商给出服务器支持硬磁盘</w:t>
            </w:r>
            <w:r>
              <w:rPr>
                <w:rFonts w:hint="default" w:ascii="Times New Roman" w:hAnsi="Times New Roman" w:eastAsia="仿宋_GB2312" w:cs="Times New Roman"/>
                <w:color w:val="auto"/>
                <w:kern w:val="0"/>
                <w:sz w:val="24"/>
                <w:szCs w:val="24"/>
                <w:highlight w:val="none"/>
                <w:lang w:val="en" w:bidi="ar"/>
              </w:rPr>
              <w:t>类型及规格</w:t>
            </w:r>
          </w:p>
        </w:tc>
        <w:tc>
          <w:tcPr>
            <w:tcW w:w="1055" w:type="dxa"/>
            <w:vAlign w:val="center"/>
          </w:tcPr>
          <w:p w14:paraId="583D47C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17171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804" w:type="dxa"/>
            <w:vAlign w:val="center"/>
          </w:tcPr>
          <w:p w14:paraId="26AC0CA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06403DE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14</w:t>
            </w:r>
          </w:p>
        </w:tc>
        <w:tc>
          <w:tcPr>
            <w:tcW w:w="1309" w:type="dxa"/>
            <w:vAlign w:val="center"/>
          </w:tcPr>
          <w:p w14:paraId="569CB85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118A214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*存储规格</w:t>
            </w:r>
          </w:p>
        </w:tc>
        <w:tc>
          <w:tcPr>
            <w:tcW w:w="1163" w:type="dxa"/>
            <w:vAlign w:val="center"/>
          </w:tcPr>
          <w:p w14:paraId="418A3CC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*硬磁盘实配容量</w:t>
            </w:r>
          </w:p>
        </w:tc>
        <w:tc>
          <w:tcPr>
            <w:tcW w:w="3495" w:type="dxa"/>
            <w:vAlign w:val="center"/>
          </w:tcPr>
          <w:p w14:paraId="61C3A0E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配备</w:t>
            </w:r>
            <w:r>
              <w:rPr>
                <w:rFonts w:hint="default" w:ascii="Times New Roman" w:hAnsi="Times New Roman" w:eastAsia="仿宋_GB2312" w:cs="Times New Roman"/>
                <w:color w:val="auto"/>
                <w:kern w:val="0"/>
                <w:sz w:val="24"/>
                <w:szCs w:val="24"/>
                <w:lang w:val="en-US" w:eastAsia="zh-CN" w:bidi="ar"/>
              </w:rPr>
              <w:t>硬磁盘</w:t>
            </w:r>
            <w:r>
              <w:rPr>
                <w:rFonts w:hint="default" w:ascii="Times New Roman" w:hAnsi="Times New Roman" w:eastAsia="仿宋_GB2312" w:cs="Times New Roman"/>
                <w:color w:val="auto"/>
                <w:kern w:val="0"/>
                <w:sz w:val="24"/>
                <w:szCs w:val="24"/>
                <w:lang w:eastAsia="zh-CN" w:bidi="ar"/>
              </w:rPr>
              <w:t>，实配单盘可用容量不小于 16TB</w:t>
            </w:r>
          </w:p>
        </w:tc>
        <w:tc>
          <w:tcPr>
            <w:tcW w:w="1055" w:type="dxa"/>
            <w:vAlign w:val="center"/>
          </w:tcPr>
          <w:p w14:paraId="5DE17AC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C8C2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651BC92">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7B51596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15</w:t>
            </w:r>
          </w:p>
        </w:tc>
        <w:tc>
          <w:tcPr>
            <w:tcW w:w="1309" w:type="dxa"/>
            <w:vAlign w:val="center"/>
          </w:tcPr>
          <w:p w14:paraId="4BE5CA4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5F4EF05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*存储规格</w:t>
            </w:r>
          </w:p>
        </w:tc>
        <w:tc>
          <w:tcPr>
            <w:tcW w:w="1163" w:type="dxa"/>
            <w:vAlign w:val="center"/>
          </w:tcPr>
          <w:p w14:paraId="54BDB3F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硬盘接口类型</w:t>
            </w:r>
          </w:p>
        </w:tc>
        <w:tc>
          <w:tcPr>
            <w:tcW w:w="3495" w:type="dxa"/>
            <w:vAlign w:val="center"/>
          </w:tcPr>
          <w:p w14:paraId="01BB8ADC">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101F55D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54D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804" w:type="dxa"/>
            <w:vAlign w:val="center"/>
          </w:tcPr>
          <w:p w14:paraId="1E2E0F1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1AF7DFF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16</w:t>
            </w:r>
          </w:p>
        </w:tc>
        <w:tc>
          <w:tcPr>
            <w:tcW w:w="1309" w:type="dxa"/>
            <w:vAlign w:val="center"/>
          </w:tcPr>
          <w:p w14:paraId="75DDFF4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77E0E7E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*存储规格</w:t>
            </w:r>
          </w:p>
        </w:tc>
        <w:tc>
          <w:tcPr>
            <w:tcW w:w="1163" w:type="dxa"/>
            <w:vAlign w:val="center"/>
          </w:tcPr>
          <w:p w14:paraId="03656AF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*硬盘实配数量</w:t>
            </w:r>
          </w:p>
        </w:tc>
        <w:tc>
          <w:tcPr>
            <w:tcW w:w="3495" w:type="dxa"/>
            <w:vAlign w:val="center"/>
          </w:tcPr>
          <w:p w14:paraId="2FEB3AB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 xml:space="preserve">配备硬磁盘，服务器提供的实配硬磁盘数量应不小于 </w:t>
            </w:r>
            <w:r>
              <w:rPr>
                <w:rFonts w:hint="default" w:ascii="Times New Roman" w:hAnsi="Times New Roman" w:eastAsia="仿宋_GB2312" w:cs="Times New Roman"/>
                <w:color w:val="auto"/>
                <w:kern w:val="0"/>
                <w:sz w:val="24"/>
                <w:szCs w:val="24"/>
                <w:lang w:val="en-US" w:eastAsia="zh-CN" w:bidi="ar"/>
              </w:rPr>
              <w:t>8</w:t>
            </w:r>
            <w:r>
              <w:rPr>
                <w:rFonts w:hint="default" w:ascii="Times New Roman" w:hAnsi="Times New Roman" w:eastAsia="仿宋_GB2312" w:cs="Times New Roman"/>
                <w:color w:val="auto"/>
                <w:kern w:val="0"/>
                <w:sz w:val="24"/>
                <w:szCs w:val="24"/>
                <w:lang w:eastAsia="zh-CN" w:bidi="ar"/>
              </w:rPr>
              <w:t xml:space="preserve"> 块，可实现互为备份</w:t>
            </w:r>
          </w:p>
        </w:tc>
        <w:tc>
          <w:tcPr>
            <w:tcW w:w="1055" w:type="dxa"/>
            <w:vAlign w:val="center"/>
          </w:tcPr>
          <w:p w14:paraId="1A4EA9A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458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3" w:hRule="atLeast"/>
          <w:jc w:val="center"/>
        </w:trPr>
        <w:tc>
          <w:tcPr>
            <w:tcW w:w="804" w:type="dxa"/>
            <w:vAlign w:val="center"/>
          </w:tcPr>
          <w:p w14:paraId="13C7761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3365077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17</w:t>
            </w:r>
          </w:p>
        </w:tc>
        <w:tc>
          <w:tcPr>
            <w:tcW w:w="1309" w:type="dxa"/>
            <w:vAlign w:val="center"/>
          </w:tcPr>
          <w:p w14:paraId="2177885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5038021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*存储规格</w:t>
            </w:r>
          </w:p>
        </w:tc>
        <w:tc>
          <w:tcPr>
            <w:tcW w:w="1163" w:type="dxa"/>
            <w:vAlign w:val="center"/>
          </w:tcPr>
          <w:p w14:paraId="2F9B674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*硬盘插槽数量及规格</w:t>
            </w:r>
          </w:p>
        </w:tc>
        <w:tc>
          <w:tcPr>
            <w:tcW w:w="3495" w:type="dxa"/>
            <w:vAlign w:val="center"/>
          </w:tcPr>
          <w:p w14:paraId="1798E968">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eastAsia="zh-CN" w:bidi="ar"/>
              </w:rPr>
              <w:t>a) 供应商应给出配置的硬盘尺寸，如 2.5 英寸、3.5 英寸硬磁盘；</w:t>
            </w:r>
          </w:p>
          <w:p w14:paraId="58C0CE6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highlight w:val="none"/>
                <w:lang w:eastAsia="zh-CN" w:bidi="ar"/>
              </w:rPr>
              <w:t>b) 机箱高度为 88.9mm 的服务器可支持的硬盘数量应不少于 8 块，机箱高度为 44.45mm 的服务器可支持的硬盘数量应不少于 4 块。</w:t>
            </w:r>
          </w:p>
        </w:tc>
        <w:tc>
          <w:tcPr>
            <w:tcW w:w="1055" w:type="dxa"/>
            <w:vAlign w:val="center"/>
          </w:tcPr>
          <w:p w14:paraId="5C439C0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E3A9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3E0794C8">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1DF5060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18</w:t>
            </w:r>
          </w:p>
        </w:tc>
        <w:tc>
          <w:tcPr>
            <w:tcW w:w="1309" w:type="dxa"/>
            <w:vAlign w:val="center"/>
          </w:tcPr>
          <w:p w14:paraId="69288FE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7DEB158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*存储规格</w:t>
            </w:r>
          </w:p>
        </w:tc>
        <w:tc>
          <w:tcPr>
            <w:tcW w:w="1163" w:type="dxa"/>
            <w:vAlign w:val="center"/>
          </w:tcPr>
          <w:p w14:paraId="18FDAE2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硬盘其他参数要求</w:t>
            </w:r>
          </w:p>
        </w:tc>
        <w:tc>
          <w:tcPr>
            <w:tcW w:w="3495" w:type="dxa"/>
            <w:vAlign w:val="center"/>
          </w:tcPr>
          <w:p w14:paraId="669D2B84">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71DB5B1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611E2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04" w:type="dxa"/>
            <w:vAlign w:val="center"/>
          </w:tcPr>
          <w:p w14:paraId="1EE6A4D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01EB56F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19</w:t>
            </w:r>
          </w:p>
        </w:tc>
        <w:tc>
          <w:tcPr>
            <w:tcW w:w="1309" w:type="dxa"/>
            <w:vAlign w:val="center"/>
          </w:tcPr>
          <w:p w14:paraId="43BF79D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686E941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RAID卡规格（若支持RAID卡）</w:t>
            </w:r>
          </w:p>
        </w:tc>
        <w:tc>
          <w:tcPr>
            <w:tcW w:w="1163" w:type="dxa"/>
            <w:vAlign w:val="center"/>
          </w:tcPr>
          <w:p w14:paraId="25ADAE8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RAID 卡支持的 SAS接口数</w:t>
            </w:r>
          </w:p>
        </w:tc>
        <w:tc>
          <w:tcPr>
            <w:tcW w:w="3495" w:type="dxa"/>
            <w:vAlign w:val="center"/>
          </w:tcPr>
          <w:p w14:paraId="66062657">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≥8</w:t>
            </w:r>
          </w:p>
        </w:tc>
        <w:tc>
          <w:tcPr>
            <w:tcW w:w="1055" w:type="dxa"/>
            <w:vAlign w:val="center"/>
          </w:tcPr>
          <w:p w14:paraId="27164CD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EFC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04" w:type="dxa"/>
            <w:vAlign w:val="center"/>
          </w:tcPr>
          <w:p w14:paraId="7ECF8151">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48FF531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20</w:t>
            </w:r>
          </w:p>
        </w:tc>
        <w:tc>
          <w:tcPr>
            <w:tcW w:w="1309" w:type="dxa"/>
            <w:vAlign w:val="center"/>
          </w:tcPr>
          <w:p w14:paraId="0ACB012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3A2B7F5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SAS 直通卡规格(若支持 SAS直通卡)</w:t>
            </w:r>
          </w:p>
        </w:tc>
        <w:tc>
          <w:tcPr>
            <w:tcW w:w="1163" w:type="dxa"/>
            <w:vAlign w:val="center"/>
          </w:tcPr>
          <w:p w14:paraId="70E42D5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SAS 直通卡 SAS 接口数量</w:t>
            </w:r>
          </w:p>
        </w:tc>
        <w:tc>
          <w:tcPr>
            <w:tcW w:w="3495" w:type="dxa"/>
            <w:vAlign w:val="center"/>
          </w:tcPr>
          <w:p w14:paraId="58A8F630">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12FD10A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1EE1D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04" w:type="dxa"/>
            <w:vAlign w:val="center"/>
          </w:tcPr>
          <w:p w14:paraId="70D4ABBC">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251DEB8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21</w:t>
            </w:r>
          </w:p>
        </w:tc>
        <w:tc>
          <w:tcPr>
            <w:tcW w:w="1309" w:type="dxa"/>
            <w:vAlign w:val="center"/>
          </w:tcPr>
          <w:p w14:paraId="0523BF3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6A54074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HBA 卡规格(若支持 HBA直通卡)</w:t>
            </w:r>
          </w:p>
        </w:tc>
        <w:tc>
          <w:tcPr>
            <w:tcW w:w="1163" w:type="dxa"/>
            <w:vAlign w:val="center"/>
          </w:tcPr>
          <w:p w14:paraId="2894229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HBA 卡端口数量</w:t>
            </w:r>
          </w:p>
        </w:tc>
        <w:tc>
          <w:tcPr>
            <w:tcW w:w="3495" w:type="dxa"/>
            <w:vAlign w:val="center"/>
          </w:tcPr>
          <w:p w14:paraId="359D94AB">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7CA845A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59C7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75863CB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28DBE40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22</w:t>
            </w:r>
          </w:p>
        </w:tc>
        <w:tc>
          <w:tcPr>
            <w:tcW w:w="1309" w:type="dxa"/>
            <w:vAlign w:val="center"/>
          </w:tcPr>
          <w:p w14:paraId="7BF307F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6604E69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*网络规格</w:t>
            </w:r>
          </w:p>
        </w:tc>
        <w:tc>
          <w:tcPr>
            <w:tcW w:w="1163" w:type="dxa"/>
            <w:vAlign w:val="center"/>
          </w:tcPr>
          <w:p w14:paraId="30FF3E0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*网口速率和数量</w:t>
            </w:r>
          </w:p>
        </w:tc>
        <w:tc>
          <w:tcPr>
            <w:tcW w:w="3495" w:type="dxa"/>
            <w:vAlign w:val="center"/>
          </w:tcPr>
          <w:p w14:paraId="479A98F7">
            <w:pPr>
              <w:pStyle w:val="16"/>
              <w:rPr>
                <w:rFonts w:hint="default" w:ascii="Times New Roman" w:hAnsi="Times New Roman" w:cs="Times New Roman"/>
              </w:rPr>
            </w:pPr>
            <w:r>
              <w:rPr>
                <w:rFonts w:hint="default" w:ascii="Times New Roman" w:hAnsi="Times New Roman" w:eastAsia="仿宋_GB2312" w:cs="Times New Roman"/>
                <w:color w:val="auto"/>
                <w:kern w:val="0"/>
                <w:sz w:val="24"/>
                <w:szCs w:val="24"/>
                <w:lang w:val="zh-TW" w:eastAsia="zh-TW" w:bidi="ar"/>
              </w:rPr>
              <w:t xml:space="preserve">配备网口数量不少于 </w:t>
            </w:r>
            <w:r>
              <w:rPr>
                <w:rFonts w:hint="default" w:ascii="Times New Roman" w:hAnsi="Times New Roman" w:eastAsia="仿宋_GB2312" w:cs="Times New Roman"/>
                <w:color w:val="auto"/>
                <w:kern w:val="0"/>
                <w:sz w:val="24"/>
                <w:szCs w:val="24"/>
                <w:lang w:val="en" w:eastAsia="zh-TW" w:bidi="ar"/>
              </w:rPr>
              <w:t>2</w:t>
            </w:r>
            <w:r>
              <w:rPr>
                <w:rFonts w:hint="default" w:ascii="Times New Roman" w:hAnsi="Times New Roman" w:eastAsia="仿宋_GB2312" w:cs="Times New Roman"/>
                <w:color w:val="auto"/>
                <w:kern w:val="0"/>
                <w:sz w:val="24"/>
                <w:szCs w:val="24"/>
                <w:lang w:val="zh-TW" w:eastAsia="zh-TW" w:bidi="ar"/>
              </w:rPr>
              <w:t>个，且网口速率不少于 1GE</w:t>
            </w:r>
          </w:p>
        </w:tc>
        <w:tc>
          <w:tcPr>
            <w:tcW w:w="1055" w:type="dxa"/>
            <w:vAlign w:val="center"/>
          </w:tcPr>
          <w:p w14:paraId="292C7A5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1301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7B618D50">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0E08A5C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23</w:t>
            </w:r>
          </w:p>
        </w:tc>
        <w:tc>
          <w:tcPr>
            <w:tcW w:w="1309" w:type="dxa"/>
            <w:vAlign w:val="center"/>
          </w:tcPr>
          <w:p w14:paraId="6B442FF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34B1BF5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*网络规格</w:t>
            </w:r>
          </w:p>
        </w:tc>
        <w:tc>
          <w:tcPr>
            <w:tcW w:w="1163" w:type="dxa"/>
            <w:vAlign w:val="center"/>
          </w:tcPr>
          <w:p w14:paraId="18E4CDF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存储型服务器网口速率和数量</w:t>
            </w:r>
          </w:p>
        </w:tc>
        <w:tc>
          <w:tcPr>
            <w:tcW w:w="3495" w:type="dxa"/>
            <w:vAlign w:val="center"/>
          </w:tcPr>
          <w:p w14:paraId="7656BD91">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219AE88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587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6E47E3FB">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39D111A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24</w:t>
            </w:r>
          </w:p>
        </w:tc>
        <w:tc>
          <w:tcPr>
            <w:tcW w:w="1309" w:type="dxa"/>
            <w:vAlign w:val="center"/>
          </w:tcPr>
          <w:p w14:paraId="41A4199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0FD0799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*网络规格</w:t>
            </w:r>
          </w:p>
        </w:tc>
        <w:tc>
          <w:tcPr>
            <w:tcW w:w="1163" w:type="dxa"/>
            <w:vAlign w:val="center"/>
          </w:tcPr>
          <w:p w14:paraId="2F36455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独立网卡网口数量</w:t>
            </w:r>
          </w:p>
        </w:tc>
        <w:tc>
          <w:tcPr>
            <w:tcW w:w="3495" w:type="dxa"/>
            <w:vAlign w:val="center"/>
          </w:tcPr>
          <w:p w14:paraId="30A946D9">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224F08E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8116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055F2D00">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3CA8B15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25</w:t>
            </w:r>
          </w:p>
        </w:tc>
        <w:tc>
          <w:tcPr>
            <w:tcW w:w="1309" w:type="dxa"/>
            <w:vAlign w:val="center"/>
          </w:tcPr>
          <w:p w14:paraId="2D0B4A0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1466465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*网络规格</w:t>
            </w:r>
          </w:p>
        </w:tc>
        <w:tc>
          <w:tcPr>
            <w:tcW w:w="1163" w:type="dxa"/>
            <w:vAlign w:val="center"/>
          </w:tcPr>
          <w:p w14:paraId="54FE6E2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独立网卡接口类型</w:t>
            </w:r>
          </w:p>
        </w:tc>
        <w:tc>
          <w:tcPr>
            <w:tcW w:w="3495" w:type="dxa"/>
            <w:vAlign w:val="center"/>
          </w:tcPr>
          <w:p w14:paraId="707ECFEA">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126D642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8DE6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4EA6EB0C">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229D39D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26</w:t>
            </w:r>
          </w:p>
        </w:tc>
        <w:tc>
          <w:tcPr>
            <w:tcW w:w="1309" w:type="dxa"/>
            <w:vAlign w:val="center"/>
          </w:tcPr>
          <w:p w14:paraId="12D9F04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4591EC6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*网络规格</w:t>
            </w:r>
          </w:p>
        </w:tc>
        <w:tc>
          <w:tcPr>
            <w:tcW w:w="1163" w:type="dxa"/>
            <w:vAlign w:val="center"/>
          </w:tcPr>
          <w:p w14:paraId="00A64CD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板载网卡接口类型</w:t>
            </w:r>
          </w:p>
        </w:tc>
        <w:tc>
          <w:tcPr>
            <w:tcW w:w="3495" w:type="dxa"/>
            <w:vAlign w:val="center"/>
          </w:tcPr>
          <w:p w14:paraId="5473516D">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64E54B1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1647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342D8B7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2048CA6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27</w:t>
            </w:r>
          </w:p>
        </w:tc>
        <w:tc>
          <w:tcPr>
            <w:tcW w:w="1309" w:type="dxa"/>
            <w:vAlign w:val="center"/>
          </w:tcPr>
          <w:p w14:paraId="023BDA6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554FDFC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*网络规格</w:t>
            </w:r>
          </w:p>
        </w:tc>
        <w:tc>
          <w:tcPr>
            <w:tcW w:w="1163" w:type="dxa"/>
            <w:vAlign w:val="center"/>
          </w:tcPr>
          <w:p w14:paraId="2E8055F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*显示接口</w:t>
            </w:r>
          </w:p>
        </w:tc>
        <w:tc>
          <w:tcPr>
            <w:tcW w:w="3495" w:type="dxa"/>
            <w:vAlign w:val="center"/>
          </w:tcPr>
          <w:p w14:paraId="73E643AB">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显示接口类型应不少于 1 种，如：VGA、DP、HDMI 等</w:t>
            </w:r>
          </w:p>
        </w:tc>
        <w:tc>
          <w:tcPr>
            <w:tcW w:w="1055" w:type="dxa"/>
            <w:vAlign w:val="center"/>
          </w:tcPr>
          <w:p w14:paraId="4A5E02E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2AF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315BBAE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57F2380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28</w:t>
            </w:r>
          </w:p>
        </w:tc>
        <w:tc>
          <w:tcPr>
            <w:tcW w:w="1309" w:type="dxa"/>
            <w:vAlign w:val="center"/>
          </w:tcPr>
          <w:p w14:paraId="64F8B52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27F70AA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*网络规格</w:t>
            </w:r>
          </w:p>
        </w:tc>
        <w:tc>
          <w:tcPr>
            <w:tcW w:w="1163" w:type="dxa"/>
            <w:vAlign w:val="center"/>
          </w:tcPr>
          <w:p w14:paraId="4200C15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*USB 接口</w:t>
            </w:r>
          </w:p>
        </w:tc>
        <w:tc>
          <w:tcPr>
            <w:tcW w:w="3495" w:type="dxa"/>
            <w:vAlign w:val="center"/>
          </w:tcPr>
          <w:p w14:paraId="3BFFE14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≥2个USB 3.0接口、1个COM口</w:t>
            </w:r>
          </w:p>
        </w:tc>
        <w:tc>
          <w:tcPr>
            <w:tcW w:w="1055" w:type="dxa"/>
            <w:vAlign w:val="center"/>
          </w:tcPr>
          <w:p w14:paraId="70AFA60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1030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23BCFB13">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2316B9B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29</w:t>
            </w:r>
          </w:p>
        </w:tc>
        <w:tc>
          <w:tcPr>
            <w:tcW w:w="1309" w:type="dxa"/>
            <w:vAlign w:val="center"/>
          </w:tcPr>
          <w:p w14:paraId="74E45D4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258CE18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*网络规格</w:t>
            </w:r>
          </w:p>
        </w:tc>
        <w:tc>
          <w:tcPr>
            <w:tcW w:w="1163" w:type="dxa"/>
            <w:vAlign w:val="center"/>
          </w:tcPr>
          <w:p w14:paraId="66D441F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特殊接口及孔位</w:t>
            </w:r>
          </w:p>
        </w:tc>
        <w:tc>
          <w:tcPr>
            <w:tcW w:w="3495" w:type="dxa"/>
            <w:vAlign w:val="center"/>
          </w:tcPr>
          <w:p w14:paraId="639F0C1B">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3580EF2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543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1039CEFC">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41573BF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30</w:t>
            </w:r>
          </w:p>
        </w:tc>
        <w:tc>
          <w:tcPr>
            <w:tcW w:w="1309" w:type="dxa"/>
            <w:vAlign w:val="center"/>
          </w:tcPr>
          <w:p w14:paraId="3FA376AD">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1201" w:type="dxa"/>
            <w:vAlign w:val="center"/>
          </w:tcPr>
          <w:p w14:paraId="3CE4856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*网络规格</w:t>
            </w:r>
          </w:p>
        </w:tc>
        <w:tc>
          <w:tcPr>
            <w:tcW w:w="1163" w:type="dxa"/>
            <w:vAlign w:val="center"/>
          </w:tcPr>
          <w:p w14:paraId="6CEF3A2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其他接口</w:t>
            </w:r>
          </w:p>
        </w:tc>
        <w:tc>
          <w:tcPr>
            <w:tcW w:w="3495" w:type="dxa"/>
            <w:vAlign w:val="center"/>
          </w:tcPr>
          <w:p w14:paraId="789BA499">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6D5FFFE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D18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4D2A110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0F735E6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31</w:t>
            </w:r>
          </w:p>
        </w:tc>
        <w:tc>
          <w:tcPr>
            <w:tcW w:w="1309" w:type="dxa"/>
            <w:vAlign w:val="center"/>
          </w:tcPr>
          <w:p w14:paraId="7CBF29E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0BCA02C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*电源规格</w:t>
            </w:r>
          </w:p>
        </w:tc>
        <w:tc>
          <w:tcPr>
            <w:tcW w:w="1163" w:type="dxa"/>
            <w:vAlign w:val="center"/>
          </w:tcPr>
          <w:p w14:paraId="6794624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电源冗余模式</w:t>
            </w:r>
          </w:p>
        </w:tc>
        <w:tc>
          <w:tcPr>
            <w:tcW w:w="3495" w:type="dxa"/>
            <w:vAlign w:val="center"/>
          </w:tcPr>
          <w:p w14:paraId="15F9D80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整机电源模块按 1+1 冗余或N+1 冗余配置</w:t>
            </w:r>
          </w:p>
        </w:tc>
        <w:tc>
          <w:tcPr>
            <w:tcW w:w="1055" w:type="dxa"/>
            <w:vAlign w:val="center"/>
          </w:tcPr>
          <w:p w14:paraId="1E4FE38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57E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08565EF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6BA552A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32</w:t>
            </w:r>
          </w:p>
        </w:tc>
        <w:tc>
          <w:tcPr>
            <w:tcW w:w="1309" w:type="dxa"/>
            <w:vAlign w:val="center"/>
          </w:tcPr>
          <w:p w14:paraId="5FF9902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61A4F47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*电源规格</w:t>
            </w:r>
          </w:p>
        </w:tc>
        <w:tc>
          <w:tcPr>
            <w:tcW w:w="1163" w:type="dxa"/>
            <w:vAlign w:val="center"/>
          </w:tcPr>
          <w:p w14:paraId="4FB68E8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*电源模块数量</w:t>
            </w:r>
          </w:p>
        </w:tc>
        <w:tc>
          <w:tcPr>
            <w:tcW w:w="3495" w:type="dxa"/>
            <w:vAlign w:val="center"/>
          </w:tcPr>
          <w:p w14:paraId="1E3D8E2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bidi="ar"/>
              </w:rPr>
              <w:t>≥</w:t>
            </w:r>
            <w:r>
              <w:rPr>
                <w:rFonts w:hint="default" w:ascii="Times New Roman" w:hAnsi="Times New Roman" w:eastAsia="仿宋_GB2312" w:cs="Times New Roman"/>
                <w:color w:val="auto"/>
                <w:kern w:val="0"/>
                <w:sz w:val="24"/>
                <w:szCs w:val="24"/>
                <w:lang w:val="en-US" w:eastAsia="zh-CN" w:bidi="ar"/>
              </w:rPr>
              <w:t>2</w:t>
            </w:r>
          </w:p>
        </w:tc>
        <w:tc>
          <w:tcPr>
            <w:tcW w:w="1055" w:type="dxa"/>
            <w:vAlign w:val="center"/>
          </w:tcPr>
          <w:p w14:paraId="4400005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6FDB8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1C955EB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3978801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33</w:t>
            </w:r>
          </w:p>
        </w:tc>
        <w:tc>
          <w:tcPr>
            <w:tcW w:w="1309" w:type="dxa"/>
            <w:vAlign w:val="center"/>
          </w:tcPr>
          <w:p w14:paraId="4F48B2E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56800E6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*电源规格</w:t>
            </w:r>
          </w:p>
        </w:tc>
        <w:tc>
          <w:tcPr>
            <w:tcW w:w="1163" w:type="dxa"/>
            <w:vAlign w:val="center"/>
          </w:tcPr>
          <w:p w14:paraId="31A9616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*电源功率</w:t>
            </w:r>
          </w:p>
        </w:tc>
        <w:tc>
          <w:tcPr>
            <w:tcW w:w="3495" w:type="dxa"/>
            <w:vAlign w:val="center"/>
          </w:tcPr>
          <w:p w14:paraId="5F3CF6C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电源模块功率应有一定冗余，满足处理器满载时的需求</w:t>
            </w:r>
          </w:p>
        </w:tc>
        <w:tc>
          <w:tcPr>
            <w:tcW w:w="1055" w:type="dxa"/>
            <w:vAlign w:val="center"/>
          </w:tcPr>
          <w:p w14:paraId="31538C5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87C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804" w:type="dxa"/>
            <w:vAlign w:val="center"/>
          </w:tcPr>
          <w:p w14:paraId="38B671D1">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3030B39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34</w:t>
            </w:r>
          </w:p>
        </w:tc>
        <w:tc>
          <w:tcPr>
            <w:tcW w:w="1309" w:type="dxa"/>
            <w:vAlign w:val="center"/>
          </w:tcPr>
          <w:p w14:paraId="57F7DAE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35E62E8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*电源规格</w:t>
            </w:r>
          </w:p>
        </w:tc>
        <w:tc>
          <w:tcPr>
            <w:tcW w:w="1163" w:type="dxa"/>
            <w:vAlign w:val="center"/>
          </w:tcPr>
          <w:p w14:paraId="4C21379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电源指示灯</w:t>
            </w:r>
          </w:p>
        </w:tc>
        <w:tc>
          <w:tcPr>
            <w:tcW w:w="3495" w:type="dxa"/>
            <w:vAlign w:val="center"/>
          </w:tcPr>
          <w:p w14:paraId="785F3FC7">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40B2DA2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DDE2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4" w:type="dxa"/>
            <w:vAlign w:val="center"/>
          </w:tcPr>
          <w:p w14:paraId="318F144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5F50436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35</w:t>
            </w:r>
          </w:p>
        </w:tc>
        <w:tc>
          <w:tcPr>
            <w:tcW w:w="1309" w:type="dxa"/>
            <w:vAlign w:val="center"/>
          </w:tcPr>
          <w:p w14:paraId="15FF8A1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44D186A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*整机规格</w:t>
            </w:r>
          </w:p>
        </w:tc>
        <w:tc>
          <w:tcPr>
            <w:tcW w:w="1163" w:type="dxa"/>
            <w:vAlign w:val="center"/>
          </w:tcPr>
          <w:p w14:paraId="700924A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*外观和结构</w:t>
            </w:r>
          </w:p>
        </w:tc>
        <w:tc>
          <w:tcPr>
            <w:tcW w:w="3495" w:type="dxa"/>
            <w:vAlign w:val="center"/>
          </w:tcPr>
          <w:p w14:paraId="549423F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a)服务器的零部件应紧固无松动，可插拔部件应可靠连接，开关、按钮和其它控制部件应灵活可靠，布局应方便使用；</w:t>
            </w:r>
          </w:p>
          <w:p w14:paraId="389743F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b) 产品表面不应有明显的凹痕、划伤、裂缝、变形和污染等。表面涂层均匀，不应起泡、龟裂、脱落和磨损，金属零部件无锈蚀及其它机械损伤；</w:t>
            </w:r>
          </w:p>
          <w:p w14:paraId="7EB4E4E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c) 产品表面说明功能的文字、符号和标志应清晰、端正且牢固；</w:t>
            </w:r>
          </w:p>
          <w:p w14:paraId="7612ADD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d) 应在服务器的显著位置提供运行状态的指示功能，并在随机文件中明确具体含义；</w:t>
            </w:r>
          </w:p>
          <w:p w14:paraId="70BE251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e) 机架、机箱的尺寸应符合通用机柜的安装要求，插入总线插座的电路板接口外形尺寸应符合有关总线标准的规定，将机箱固定在机柜上，机箱底面最大下垂变形不得干涉相邻机体；</w:t>
            </w:r>
          </w:p>
          <w:p w14:paraId="09C9505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f) 高密度服务器应给出 CPU 个数与机柜高度；</w:t>
            </w:r>
          </w:p>
          <w:p w14:paraId="1FC2553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g) 服务器尺寸具体要求在随机文件中明确</w:t>
            </w:r>
          </w:p>
        </w:tc>
        <w:tc>
          <w:tcPr>
            <w:tcW w:w="1055" w:type="dxa"/>
            <w:vAlign w:val="center"/>
          </w:tcPr>
          <w:p w14:paraId="2A175B3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E2A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498B0D3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48B8385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36</w:t>
            </w:r>
          </w:p>
        </w:tc>
        <w:tc>
          <w:tcPr>
            <w:tcW w:w="1309" w:type="dxa"/>
            <w:vAlign w:val="center"/>
          </w:tcPr>
          <w:p w14:paraId="51FA251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72CE43B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*整机规格</w:t>
            </w:r>
          </w:p>
        </w:tc>
        <w:tc>
          <w:tcPr>
            <w:tcW w:w="1163" w:type="dxa"/>
            <w:vAlign w:val="center"/>
          </w:tcPr>
          <w:p w14:paraId="7E0B59D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*尺寸（高×宽×深）</w:t>
            </w:r>
          </w:p>
        </w:tc>
        <w:tc>
          <w:tcPr>
            <w:tcW w:w="3495" w:type="dxa"/>
            <w:vAlign w:val="center"/>
          </w:tcPr>
          <w:p w14:paraId="2827DF3E">
            <w:pPr>
              <w:adjustRightInd w:val="0"/>
              <w:snapToGrid w:val="0"/>
              <w:textAlignment w:val="center"/>
              <w:rPr>
                <w:rFonts w:hint="default" w:ascii="Times New Roman" w:hAnsi="Times New Roman" w:eastAsia="仿宋_GB2312" w:cs="Times New Roman"/>
                <w:color w:val="auto"/>
                <w:kern w:val="0"/>
                <w:sz w:val="24"/>
                <w:szCs w:val="24"/>
                <w:lang w:val="en" w:bidi="ar"/>
              </w:rPr>
            </w:pPr>
            <w:r>
              <w:rPr>
                <w:rFonts w:hint="default" w:ascii="Times New Roman" w:hAnsi="Times New Roman" w:eastAsia="仿宋_GB2312" w:cs="Times New Roman"/>
                <w:color w:val="auto"/>
                <w:kern w:val="0"/>
                <w:sz w:val="24"/>
                <w:szCs w:val="24"/>
                <w:lang w:bidi="ar"/>
              </w:rPr>
              <w:t>2U机架</w:t>
            </w:r>
            <w:r>
              <w:rPr>
                <w:rFonts w:hint="default" w:ascii="Times New Roman" w:hAnsi="Times New Roman" w:eastAsia="仿宋_GB2312" w:cs="Times New Roman"/>
                <w:color w:val="auto"/>
                <w:kern w:val="0"/>
                <w:sz w:val="24"/>
                <w:szCs w:val="24"/>
                <w:lang w:val="en" w:bidi="ar"/>
              </w:rPr>
              <w:t>,供应商给出产品尺寸；设计应遵循标准化、系列化的要求；机箱的内部结构符合通用部件的安装需要</w:t>
            </w:r>
          </w:p>
        </w:tc>
        <w:tc>
          <w:tcPr>
            <w:tcW w:w="1055" w:type="dxa"/>
            <w:vAlign w:val="center"/>
          </w:tcPr>
          <w:p w14:paraId="0437462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780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0371E084">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4FC5B59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37</w:t>
            </w:r>
          </w:p>
        </w:tc>
        <w:tc>
          <w:tcPr>
            <w:tcW w:w="1309" w:type="dxa"/>
            <w:vAlign w:val="center"/>
          </w:tcPr>
          <w:p w14:paraId="60165D9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21E5EBF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*整机规格</w:t>
            </w:r>
          </w:p>
        </w:tc>
        <w:tc>
          <w:tcPr>
            <w:tcW w:w="1163" w:type="dxa"/>
            <w:vAlign w:val="center"/>
          </w:tcPr>
          <w:p w14:paraId="7E67A84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服务器导轨</w:t>
            </w:r>
          </w:p>
        </w:tc>
        <w:tc>
          <w:tcPr>
            <w:tcW w:w="3495" w:type="dxa"/>
            <w:vAlign w:val="center"/>
          </w:tcPr>
          <w:p w14:paraId="46F7B99B">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1269740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9D8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63DCCDC">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6DC3B9B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38</w:t>
            </w:r>
          </w:p>
        </w:tc>
        <w:tc>
          <w:tcPr>
            <w:tcW w:w="1309" w:type="dxa"/>
            <w:vAlign w:val="center"/>
          </w:tcPr>
          <w:p w14:paraId="3DC94F5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5C9746F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*整机规格</w:t>
            </w:r>
          </w:p>
        </w:tc>
        <w:tc>
          <w:tcPr>
            <w:tcW w:w="1163" w:type="dxa"/>
            <w:vAlign w:val="center"/>
          </w:tcPr>
          <w:p w14:paraId="012E7ADE">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CPU 个数与机柜高度单位(U)比</w:t>
            </w:r>
          </w:p>
        </w:tc>
        <w:tc>
          <w:tcPr>
            <w:tcW w:w="3495" w:type="dxa"/>
            <w:vAlign w:val="center"/>
          </w:tcPr>
          <w:p w14:paraId="4F3F9CB5">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1097370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691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04" w:type="dxa"/>
            <w:vAlign w:val="center"/>
          </w:tcPr>
          <w:p w14:paraId="1EB154F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5C5FA88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39</w:t>
            </w:r>
          </w:p>
        </w:tc>
        <w:tc>
          <w:tcPr>
            <w:tcW w:w="1309" w:type="dxa"/>
            <w:vAlign w:val="center"/>
          </w:tcPr>
          <w:p w14:paraId="42BF4DE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13EAF0E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*整机规格</w:t>
            </w:r>
          </w:p>
        </w:tc>
        <w:tc>
          <w:tcPr>
            <w:tcW w:w="1163" w:type="dxa"/>
            <w:vAlign w:val="center"/>
          </w:tcPr>
          <w:p w14:paraId="003FB89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*环境适应性</w:t>
            </w:r>
          </w:p>
        </w:tc>
        <w:tc>
          <w:tcPr>
            <w:tcW w:w="3495" w:type="dxa"/>
            <w:vAlign w:val="center"/>
          </w:tcPr>
          <w:p w14:paraId="5F05B4F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气候环境适应性应符合GB/T9813.3 的有关规定，工作温度 10~35℃ , 贮存运输温度-40～55℃ ; 工作相对湿度35%～80%，贮存运输相对湿度 20％～93%（40℃) ; 大气压86～106kPa</w:t>
            </w:r>
          </w:p>
        </w:tc>
        <w:tc>
          <w:tcPr>
            <w:tcW w:w="1055" w:type="dxa"/>
            <w:vAlign w:val="center"/>
          </w:tcPr>
          <w:p w14:paraId="3358A8A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526A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1B665C85">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752F05E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40</w:t>
            </w:r>
          </w:p>
        </w:tc>
        <w:tc>
          <w:tcPr>
            <w:tcW w:w="1309" w:type="dxa"/>
            <w:vAlign w:val="center"/>
          </w:tcPr>
          <w:p w14:paraId="6D5F67C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14A1D15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*整机规格</w:t>
            </w:r>
          </w:p>
        </w:tc>
        <w:tc>
          <w:tcPr>
            <w:tcW w:w="1163" w:type="dxa"/>
            <w:vAlign w:val="center"/>
          </w:tcPr>
          <w:p w14:paraId="509D000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特殊机型环境适应性</w:t>
            </w:r>
          </w:p>
        </w:tc>
        <w:tc>
          <w:tcPr>
            <w:tcW w:w="3495" w:type="dxa"/>
            <w:vAlign w:val="center"/>
          </w:tcPr>
          <w:p w14:paraId="54821B18">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241D293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7E8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696EF5B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14F5C38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41</w:t>
            </w:r>
          </w:p>
        </w:tc>
        <w:tc>
          <w:tcPr>
            <w:tcW w:w="1309" w:type="dxa"/>
            <w:vAlign w:val="center"/>
          </w:tcPr>
          <w:p w14:paraId="206E5CD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4C6D571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*整机规格</w:t>
            </w:r>
          </w:p>
        </w:tc>
        <w:tc>
          <w:tcPr>
            <w:tcW w:w="1163" w:type="dxa"/>
            <w:vAlign w:val="center"/>
          </w:tcPr>
          <w:p w14:paraId="292E286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*机械环境适应性</w:t>
            </w:r>
          </w:p>
        </w:tc>
        <w:tc>
          <w:tcPr>
            <w:tcW w:w="3495" w:type="dxa"/>
            <w:vAlign w:val="center"/>
          </w:tcPr>
          <w:p w14:paraId="3883D47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机械环境适应性应符合GB/T9813.3 的有关规定</w:t>
            </w:r>
          </w:p>
        </w:tc>
        <w:tc>
          <w:tcPr>
            <w:tcW w:w="1055" w:type="dxa"/>
            <w:vAlign w:val="center"/>
          </w:tcPr>
          <w:p w14:paraId="377B1EC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D1B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0DA2205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0B328C1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42</w:t>
            </w:r>
          </w:p>
        </w:tc>
        <w:tc>
          <w:tcPr>
            <w:tcW w:w="1309" w:type="dxa"/>
            <w:vAlign w:val="center"/>
          </w:tcPr>
          <w:p w14:paraId="61FB4C5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3BC0D23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*整机规格</w:t>
            </w:r>
          </w:p>
        </w:tc>
        <w:tc>
          <w:tcPr>
            <w:tcW w:w="1163" w:type="dxa"/>
            <w:vAlign w:val="center"/>
          </w:tcPr>
          <w:p w14:paraId="13B9F82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*噪声</w:t>
            </w:r>
          </w:p>
        </w:tc>
        <w:tc>
          <w:tcPr>
            <w:tcW w:w="3495" w:type="dxa"/>
            <w:vAlign w:val="center"/>
          </w:tcPr>
          <w:p w14:paraId="0132054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符合 GB/T 9813.3 的有关规定，在产品说明中给出具体测试值，塔式服务器噪声在空闲状态下不大于 50dB</w:t>
            </w:r>
          </w:p>
        </w:tc>
        <w:tc>
          <w:tcPr>
            <w:tcW w:w="1055" w:type="dxa"/>
            <w:vAlign w:val="center"/>
          </w:tcPr>
          <w:p w14:paraId="19F5AD8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10BF5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31DF225C">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01A615D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43</w:t>
            </w:r>
          </w:p>
        </w:tc>
        <w:tc>
          <w:tcPr>
            <w:tcW w:w="1309" w:type="dxa"/>
            <w:vAlign w:val="center"/>
          </w:tcPr>
          <w:p w14:paraId="7B62DA0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7DB6A34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A I计算单元规格</w:t>
            </w:r>
          </w:p>
        </w:tc>
        <w:tc>
          <w:tcPr>
            <w:tcW w:w="1163" w:type="dxa"/>
            <w:vAlign w:val="center"/>
          </w:tcPr>
          <w:p w14:paraId="526B5B0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A I计算单元</w:t>
            </w:r>
          </w:p>
        </w:tc>
        <w:tc>
          <w:tcPr>
            <w:tcW w:w="3495" w:type="dxa"/>
            <w:vAlign w:val="center"/>
          </w:tcPr>
          <w:p w14:paraId="0DFE1206">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3FDC31E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DD2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AB4BEDF">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451EA15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44</w:t>
            </w:r>
          </w:p>
        </w:tc>
        <w:tc>
          <w:tcPr>
            <w:tcW w:w="1309" w:type="dxa"/>
            <w:vAlign w:val="center"/>
          </w:tcPr>
          <w:p w14:paraId="1AB5BE9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1EB47A8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A I 计算单元规格</w:t>
            </w:r>
          </w:p>
        </w:tc>
        <w:tc>
          <w:tcPr>
            <w:tcW w:w="1163" w:type="dxa"/>
            <w:vAlign w:val="center"/>
          </w:tcPr>
          <w:p w14:paraId="53F5C54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一键式迁移</w:t>
            </w:r>
          </w:p>
        </w:tc>
        <w:tc>
          <w:tcPr>
            <w:tcW w:w="3495" w:type="dxa"/>
            <w:vAlign w:val="center"/>
          </w:tcPr>
          <w:p w14:paraId="6E56CF91">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7AC60C1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3ED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241D9C0A">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5647D84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45</w:t>
            </w:r>
          </w:p>
        </w:tc>
        <w:tc>
          <w:tcPr>
            <w:tcW w:w="1309" w:type="dxa"/>
            <w:vAlign w:val="center"/>
          </w:tcPr>
          <w:p w14:paraId="404FAB8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785E73F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机柜规格</w:t>
            </w:r>
          </w:p>
        </w:tc>
        <w:tc>
          <w:tcPr>
            <w:tcW w:w="1163" w:type="dxa"/>
            <w:vAlign w:val="center"/>
          </w:tcPr>
          <w:p w14:paraId="75D343D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*机柜尺寸</w:t>
            </w:r>
          </w:p>
        </w:tc>
        <w:tc>
          <w:tcPr>
            <w:tcW w:w="3495" w:type="dxa"/>
            <w:vAlign w:val="center"/>
          </w:tcPr>
          <w:p w14:paraId="540F4C32">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4A21E44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1C9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64DC5145">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63A450F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46</w:t>
            </w:r>
          </w:p>
        </w:tc>
        <w:tc>
          <w:tcPr>
            <w:tcW w:w="1309" w:type="dxa"/>
            <w:vAlign w:val="center"/>
          </w:tcPr>
          <w:p w14:paraId="7477BC6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40C67DB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机柜规格</w:t>
            </w:r>
          </w:p>
        </w:tc>
        <w:tc>
          <w:tcPr>
            <w:tcW w:w="1163" w:type="dxa"/>
            <w:vAlign w:val="center"/>
          </w:tcPr>
          <w:p w14:paraId="0EDA631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机柜管理板</w:t>
            </w:r>
          </w:p>
        </w:tc>
        <w:tc>
          <w:tcPr>
            <w:tcW w:w="3495" w:type="dxa"/>
            <w:vAlign w:val="center"/>
          </w:tcPr>
          <w:p w14:paraId="26EFD26A">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1B996CA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6A85F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02AF080D">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2017EC7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47</w:t>
            </w:r>
          </w:p>
        </w:tc>
        <w:tc>
          <w:tcPr>
            <w:tcW w:w="1309" w:type="dxa"/>
            <w:vAlign w:val="center"/>
          </w:tcPr>
          <w:p w14:paraId="6F7ECC1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产品规格</w:t>
            </w:r>
          </w:p>
        </w:tc>
        <w:tc>
          <w:tcPr>
            <w:tcW w:w="1201" w:type="dxa"/>
            <w:vAlign w:val="center"/>
          </w:tcPr>
          <w:p w14:paraId="10C189D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机柜规格</w:t>
            </w:r>
          </w:p>
        </w:tc>
        <w:tc>
          <w:tcPr>
            <w:tcW w:w="1163" w:type="dxa"/>
            <w:vAlign w:val="center"/>
          </w:tcPr>
          <w:p w14:paraId="2A1D501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机柜电源规格</w:t>
            </w:r>
          </w:p>
        </w:tc>
        <w:tc>
          <w:tcPr>
            <w:tcW w:w="3495" w:type="dxa"/>
            <w:vAlign w:val="center"/>
          </w:tcPr>
          <w:p w14:paraId="2C1193C5">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31D7584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1C840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1FFB2D5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2EBDD80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48</w:t>
            </w:r>
          </w:p>
        </w:tc>
        <w:tc>
          <w:tcPr>
            <w:tcW w:w="1309" w:type="dxa"/>
            <w:vAlign w:val="center"/>
          </w:tcPr>
          <w:p w14:paraId="5CA133D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46D3A5B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*主板功能</w:t>
            </w:r>
          </w:p>
        </w:tc>
        <w:tc>
          <w:tcPr>
            <w:tcW w:w="1163" w:type="dxa"/>
            <w:vAlign w:val="center"/>
          </w:tcPr>
          <w:p w14:paraId="279A272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*主板外部接口种类</w:t>
            </w:r>
          </w:p>
        </w:tc>
        <w:tc>
          <w:tcPr>
            <w:tcW w:w="3495" w:type="dxa"/>
            <w:vAlign w:val="center"/>
          </w:tcPr>
          <w:p w14:paraId="0D7AC41F">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支持 USB、显示、管理等接口，如：VGA、DP、HDMI、USB3.0、PS/2 接口、BMC 管理端口</w:t>
            </w:r>
          </w:p>
        </w:tc>
        <w:tc>
          <w:tcPr>
            <w:tcW w:w="1055" w:type="dxa"/>
            <w:vAlign w:val="center"/>
          </w:tcPr>
          <w:p w14:paraId="3E9A62C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D66A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222B66E6">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3E9D237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49</w:t>
            </w:r>
          </w:p>
        </w:tc>
        <w:tc>
          <w:tcPr>
            <w:tcW w:w="1309" w:type="dxa"/>
            <w:vAlign w:val="center"/>
          </w:tcPr>
          <w:p w14:paraId="76BBFFA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417F41C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*主板功能</w:t>
            </w:r>
          </w:p>
        </w:tc>
        <w:tc>
          <w:tcPr>
            <w:tcW w:w="1163" w:type="dxa"/>
            <w:vAlign w:val="center"/>
          </w:tcPr>
          <w:p w14:paraId="5361D2B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主板防烧板设计</w:t>
            </w:r>
          </w:p>
        </w:tc>
        <w:tc>
          <w:tcPr>
            <w:tcW w:w="3495" w:type="dxa"/>
            <w:vAlign w:val="center"/>
          </w:tcPr>
          <w:p w14:paraId="3E97D875">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1AE37D8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E874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2924219D">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396C9AF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50</w:t>
            </w:r>
          </w:p>
        </w:tc>
        <w:tc>
          <w:tcPr>
            <w:tcW w:w="1309" w:type="dxa"/>
            <w:vAlign w:val="center"/>
          </w:tcPr>
          <w:p w14:paraId="06F3F02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73A3A55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*主板功能</w:t>
            </w:r>
          </w:p>
        </w:tc>
        <w:tc>
          <w:tcPr>
            <w:tcW w:w="1163" w:type="dxa"/>
            <w:vAlign w:val="center"/>
          </w:tcPr>
          <w:p w14:paraId="23A6215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扩展功能</w:t>
            </w:r>
          </w:p>
        </w:tc>
        <w:tc>
          <w:tcPr>
            <w:tcW w:w="3495" w:type="dxa"/>
            <w:vAlign w:val="center"/>
          </w:tcPr>
          <w:p w14:paraId="132B2125">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3143249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23B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57ADEDF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13E336B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51</w:t>
            </w:r>
          </w:p>
        </w:tc>
        <w:tc>
          <w:tcPr>
            <w:tcW w:w="1309" w:type="dxa"/>
            <w:vAlign w:val="center"/>
          </w:tcPr>
          <w:p w14:paraId="17BE07C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40B662C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*网络功能</w:t>
            </w:r>
          </w:p>
        </w:tc>
        <w:tc>
          <w:tcPr>
            <w:tcW w:w="1163" w:type="dxa"/>
            <w:vAlign w:val="center"/>
          </w:tcPr>
          <w:p w14:paraId="05D1D03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*网络功能</w:t>
            </w:r>
          </w:p>
        </w:tc>
        <w:tc>
          <w:tcPr>
            <w:tcW w:w="3495" w:type="dxa"/>
            <w:vAlign w:val="center"/>
          </w:tcPr>
          <w:p w14:paraId="4EBDC39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支持网络连接、网络访问、数据交换和网络管控功能</w:t>
            </w:r>
          </w:p>
        </w:tc>
        <w:tc>
          <w:tcPr>
            <w:tcW w:w="1055" w:type="dxa"/>
            <w:vAlign w:val="center"/>
          </w:tcPr>
          <w:p w14:paraId="08AB88E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D7F9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04" w:type="dxa"/>
            <w:vAlign w:val="center"/>
          </w:tcPr>
          <w:p w14:paraId="4909E7D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393B640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52</w:t>
            </w:r>
          </w:p>
        </w:tc>
        <w:tc>
          <w:tcPr>
            <w:tcW w:w="1309" w:type="dxa"/>
            <w:vAlign w:val="center"/>
          </w:tcPr>
          <w:p w14:paraId="0B9ABA8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5BD2917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*CPU功能</w:t>
            </w:r>
          </w:p>
        </w:tc>
        <w:tc>
          <w:tcPr>
            <w:tcW w:w="1163" w:type="dxa"/>
            <w:vAlign w:val="center"/>
          </w:tcPr>
          <w:p w14:paraId="52187AA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*计算处理</w:t>
            </w:r>
          </w:p>
        </w:tc>
        <w:tc>
          <w:tcPr>
            <w:tcW w:w="3495" w:type="dxa"/>
            <w:vAlign w:val="center"/>
          </w:tcPr>
          <w:p w14:paraId="6525498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支持通用计算及虚拟化功能。处理器需集成整型计算单元、浮点计算单元、内存控制器、I/O 模块等，处理器与存储部件、网络部件、I/O部件等组成计算系统，提供数据处理、网络接入等计算相关功能</w:t>
            </w:r>
          </w:p>
        </w:tc>
        <w:tc>
          <w:tcPr>
            <w:tcW w:w="1055" w:type="dxa"/>
            <w:vAlign w:val="center"/>
          </w:tcPr>
          <w:p w14:paraId="75D828D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5B0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594C20FC">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222718F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53</w:t>
            </w:r>
          </w:p>
        </w:tc>
        <w:tc>
          <w:tcPr>
            <w:tcW w:w="1309" w:type="dxa"/>
            <w:vAlign w:val="center"/>
          </w:tcPr>
          <w:p w14:paraId="7E81DA2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39C42E1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*CPU功能</w:t>
            </w:r>
          </w:p>
        </w:tc>
        <w:tc>
          <w:tcPr>
            <w:tcW w:w="1163" w:type="dxa"/>
            <w:vAlign w:val="center"/>
          </w:tcPr>
          <w:p w14:paraId="1AA3518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*密码算法   实现</w:t>
            </w:r>
          </w:p>
        </w:tc>
        <w:tc>
          <w:tcPr>
            <w:tcW w:w="3495" w:type="dxa"/>
            <w:vAlign w:val="center"/>
          </w:tcPr>
          <w:p w14:paraId="1EDE3836">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c>
          <w:tcPr>
            <w:tcW w:w="1055" w:type="dxa"/>
            <w:vAlign w:val="center"/>
          </w:tcPr>
          <w:p w14:paraId="31F0418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A5C4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573E08FE">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69EBED0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54</w:t>
            </w:r>
          </w:p>
        </w:tc>
        <w:tc>
          <w:tcPr>
            <w:tcW w:w="1309" w:type="dxa"/>
            <w:vAlign w:val="center"/>
          </w:tcPr>
          <w:p w14:paraId="266B79E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5D7FC12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存储功能</w:t>
            </w:r>
          </w:p>
        </w:tc>
        <w:tc>
          <w:tcPr>
            <w:tcW w:w="1163" w:type="dxa"/>
            <w:vAlign w:val="center"/>
          </w:tcPr>
          <w:p w14:paraId="5A4AED5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内存校验</w:t>
            </w:r>
          </w:p>
        </w:tc>
        <w:tc>
          <w:tcPr>
            <w:tcW w:w="3495" w:type="dxa"/>
            <w:vAlign w:val="center"/>
          </w:tcPr>
          <w:p w14:paraId="2872258B">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66ECDE1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2B3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78CC9109">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6D68C16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55</w:t>
            </w:r>
          </w:p>
        </w:tc>
        <w:tc>
          <w:tcPr>
            <w:tcW w:w="1309" w:type="dxa"/>
            <w:vAlign w:val="center"/>
          </w:tcPr>
          <w:p w14:paraId="1294782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4DD39C8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存储功能</w:t>
            </w:r>
          </w:p>
        </w:tc>
        <w:tc>
          <w:tcPr>
            <w:tcW w:w="1163" w:type="dxa"/>
            <w:vAlign w:val="center"/>
          </w:tcPr>
          <w:p w14:paraId="756C829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SATA SSDNAND 健康状态上报</w:t>
            </w:r>
          </w:p>
        </w:tc>
        <w:tc>
          <w:tcPr>
            <w:tcW w:w="3495" w:type="dxa"/>
            <w:vAlign w:val="center"/>
          </w:tcPr>
          <w:p w14:paraId="0799D55C">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4FF49CF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DB23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1C4B164F">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63D2E83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56</w:t>
            </w:r>
          </w:p>
        </w:tc>
        <w:tc>
          <w:tcPr>
            <w:tcW w:w="1309" w:type="dxa"/>
            <w:vAlign w:val="center"/>
          </w:tcPr>
          <w:p w14:paraId="03BF78C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63EC69F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存储功能</w:t>
            </w:r>
          </w:p>
        </w:tc>
        <w:tc>
          <w:tcPr>
            <w:tcW w:w="1163" w:type="dxa"/>
            <w:vAlign w:val="center"/>
          </w:tcPr>
          <w:p w14:paraId="45228AB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SATA SSD单 die 故障隔离</w:t>
            </w:r>
          </w:p>
        </w:tc>
        <w:tc>
          <w:tcPr>
            <w:tcW w:w="3495" w:type="dxa"/>
            <w:vAlign w:val="center"/>
          </w:tcPr>
          <w:p w14:paraId="015FFC7C">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383585C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403C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04" w:type="dxa"/>
            <w:vAlign w:val="center"/>
          </w:tcPr>
          <w:p w14:paraId="3F8AE319">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2CE7CDC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57</w:t>
            </w:r>
          </w:p>
        </w:tc>
        <w:tc>
          <w:tcPr>
            <w:tcW w:w="1309" w:type="dxa"/>
            <w:vAlign w:val="center"/>
          </w:tcPr>
          <w:p w14:paraId="310BEE2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55B7875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RAID卡功能（若支持RAID卡）</w:t>
            </w:r>
          </w:p>
        </w:tc>
        <w:tc>
          <w:tcPr>
            <w:tcW w:w="1163" w:type="dxa"/>
            <w:vAlign w:val="center"/>
          </w:tcPr>
          <w:p w14:paraId="7C0926B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RAID 卡RAID 级别支持</w:t>
            </w:r>
          </w:p>
        </w:tc>
        <w:tc>
          <w:tcPr>
            <w:tcW w:w="3495" w:type="dxa"/>
            <w:vAlign w:val="center"/>
          </w:tcPr>
          <w:p w14:paraId="2A759C64">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6C44788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A51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04" w:type="dxa"/>
            <w:vAlign w:val="center"/>
          </w:tcPr>
          <w:p w14:paraId="644F9AC2">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59A6637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58</w:t>
            </w:r>
          </w:p>
        </w:tc>
        <w:tc>
          <w:tcPr>
            <w:tcW w:w="1309" w:type="dxa"/>
            <w:vAlign w:val="center"/>
          </w:tcPr>
          <w:p w14:paraId="30E6779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31FC158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RAID卡功能（若支持RAID卡）</w:t>
            </w:r>
          </w:p>
        </w:tc>
        <w:tc>
          <w:tcPr>
            <w:tcW w:w="1163" w:type="dxa"/>
            <w:vAlign w:val="center"/>
          </w:tcPr>
          <w:p w14:paraId="759449B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RAID 卡BBU 单元</w:t>
            </w:r>
          </w:p>
        </w:tc>
        <w:tc>
          <w:tcPr>
            <w:tcW w:w="3495" w:type="dxa"/>
            <w:vAlign w:val="center"/>
          </w:tcPr>
          <w:p w14:paraId="35E084C8">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67357AE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220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75B6FF8E">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0CBAF06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59</w:t>
            </w:r>
          </w:p>
        </w:tc>
        <w:tc>
          <w:tcPr>
            <w:tcW w:w="1309" w:type="dxa"/>
            <w:vAlign w:val="center"/>
          </w:tcPr>
          <w:p w14:paraId="7C8258E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1DB523E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光驱功能</w:t>
            </w:r>
          </w:p>
        </w:tc>
        <w:tc>
          <w:tcPr>
            <w:tcW w:w="1163" w:type="dxa"/>
            <w:vAlign w:val="center"/>
          </w:tcPr>
          <w:p w14:paraId="2438E99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光驱类型（是否支持 RW，以及光盘类型CD/DVD）</w:t>
            </w:r>
          </w:p>
        </w:tc>
        <w:tc>
          <w:tcPr>
            <w:tcW w:w="3495" w:type="dxa"/>
            <w:vAlign w:val="center"/>
          </w:tcPr>
          <w:p w14:paraId="1D8C6771">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4B5FF10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593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706F559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0AB7150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60</w:t>
            </w:r>
          </w:p>
        </w:tc>
        <w:tc>
          <w:tcPr>
            <w:tcW w:w="1309" w:type="dxa"/>
            <w:vAlign w:val="center"/>
          </w:tcPr>
          <w:p w14:paraId="6C34A1D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63F24E0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*电源功能</w:t>
            </w:r>
          </w:p>
        </w:tc>
        <w:tc>
          <w:tcPr>
            <w:tcW w:w="1163" w:type="dxa"/>
            <w:vAlign w:val="center"/>
          </w:tcPr>
          <w:p w14:paraId="0A2B486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*电源热插拔</w:t>
            </w:r>
          </w:p>
        </w:tc>
        <w:tc>
          <w:tcPr>
            <w:tcW w:w="3495" w:type="dxa"/>
            <w:vAlign w:val="center"/>
          </w:tcPr>
          <w:p w14:paraId="375BAA7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整机电源模块应具备热插拔功能</w:t>
            </w:r>
          </w:p>
        </w:tc>
        <w:tc>
          <w:tcPr>
            <w:tcW w:w="1055" w:type="dxa"/>
            <w:vAlign w:val="center"/>
          </w:tcPr>
          <w:p w14:paraId="7D29385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9760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3D3EF19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635D6E6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61</w:t>
            </w:r>
          </w:p>
        </w:tc>
        <w:tc>
          <w:tcPr>
            <w:tcW w:w="1309" w:type="dxa"/>
            <w:vAlign w:val="center"/>
          </w:tcPr>
          <w:p w14:paraId="22F8F3D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372B015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*电源功能</w:t>
            </w:r>
          </w:p>
        </w:tc>
        <w:tc>
          <w:tcPr>
            <w:tcW w:w="1163" w:type="dxa"/>
            <w:vAlign w:val="center"/>
          </w:tcPr>
          <w:p w14:paraId="60C3846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*电源过流保护</w:t>
            </w:r>
          </w:p>
        </w:tc>
        <w:tc>
          <w:tcPr>
            <w:tcW w:w="3495" w:type="dxa"/>
            <w:vAlign w:val="center"/>
          </w:tcPr>
          <w:p w14:paraId="77B0BC0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支持过流及短路保护的功能</w:t>
            </w:r>
          </w:p>
        </w:tc>
        <w:tc>
          <w:tcPr>
            <w:tcW w:w="1055" w:type="dxa"/>
            <w:vAlign w:val="center"/>
          </w:tcPr>
          <w:p w14:paraId="5E94BB0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350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4CA362F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0DAAD89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62</w:t>
            </w:r>
          </w:p>
        </w:tc>
        <w:tc>
          <w:tcPr>
            <w:tcW w:w="1309" w:type="dxa"/>
            <w:vAlign w:val="center"/>
          </w:tcPr>
          <w:p w14:paraId="467A52D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01AB257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*整机功能</w:t>
            </w:r>
          </w:p>
        </w:tc>
        <w:tc>
          <w:tcPr>
            <w:tcW w:w="1163" w:type="dxa"/>
            <w:vAlign w:val="center"/>
          </w:tcPr>
          <w:p w14:paraId="65C8CB5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*散热方式</w:t>
            </w:r>
          </w:p>
        </w:tc>
        <w:tc>
          <w:tcPr>
            <w:tcW w:w="3495" w:type="dxa"/>
            <w:vAlign w:val="center"/>
          </w:tcPr>
          <w:p w14:paraId="0B50986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支持风冷或液冷等散热方式</w:t>
            </w:r>
          </w:p>
        </w:tc>
        <w:tc>
          <w:tcPr>
            <w:tcW w:w="1055" w:type="dxa"/>
            <w:vAlign w:val="center"/>
          </w:tcPr>
          <w:p w14:paraId="26A572B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69E6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804" w:type="dxa"/>
            <w:vAlign w:val="center"/>
          </w:tcPr>
          <w:p w14:paraId="34BFD7E3">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671D175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63</w:t>
            </w:r>
          </w:p>
        </w:tc>
        <w:tc>
          <w:tcPr>
            <w:tcW w:w="1309" w:type="dxa"/>
            <w:vAlign w:val="center"/>
          </w:tcPr>
          <w:p w14:paraId="49F3318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3285083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*整机功能</w:t>
            </w:r>
          </w:p>
        </w:tc>
        <w:tc>
          <w:tcPr>
            <w:tcW w:w="1163" w:type="dxa"/>
            <w:vAlign w:val="center"/>
          </w:tcPr>
          <w:p w14:paraId="3CFAEC9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其他功能</w:t>
            </w:r>
          </w:p>
        </w:tc>
        <w:tc>
          <w:tcPr>
            <w:tcW w:w="3495" w:type="dxa"/>
            <w:vAlign w:val="center"/>
          </w:tcPr>
          <w:p w14:paraId="3F04AB95">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4954E97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011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804" w:type="dxa"/>
            <w:vAlign w:val="center"/>
          </w:tcPr>
          <w:p w14:paraId="60CA7B8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0891EB6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64</w:t>
            </w:r>
          </w:p>
        </w:tc>
        <w:tc>
          <w:tcPr>
            <w:tcW w:w="1309" w:type="dxa"/>
            <w:vAlign w:val="center"/>
          </w:tcPr>
          <w:p w14:paraId="49F308F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50DF8A3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*管理系统功能</w:t>
            </w:r>
          </w:p>
        </w:tc>
        <w:tc>
          <w:tcPr>
            <w:tcW w:w="1163" w:type="dxa"/>
            <w:vAlign w:val="center"/>
          </w:tcPr>
          <w:p w14:paraId="5912937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*BMC 固件基础功能</w:t>
            </w:r>
          </w:p>
        </w:tc>
        <w:tc>
          <w:tcPr>
            <w:tcW w:w="3495" w:type="dxa"/>
            <w:vAlign w:val="center"/>
          </w:tcPr>
          <w:p w14:paraId="1347B22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1) 支持 DHCP 设置网络功能；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2)支持静态 IP 设置网络功能；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3)支持设备日志记录，包括但不限于登录日志、操作日志和报警日志等功能；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4)支持日志信息导出和记录删除功能；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5)支持通过管理接口向外输出准确的报警信息功能；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6)设备的BMC 管理软件应能够按报警的严重程度进行区分；</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7)支持 IPMI2.0、SNMP 或 Redfish等接口功能；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8)支持键盘、鼠标和视频的重定向、文本控制台的重定向、远程虚拟媒体、高可靠的硬件监控和管理功能；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9)支持基于网络开启、关闭和重启设备的功能，并查询当前设备开机运行状态；</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10)支持故障提示功能，并可通过接口读取服务器故障信息；</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11)支持基于网络的固件更新功能，包括 BMC 和 BIOS 等；</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12)支持基于网络安装操作系统的功能，并可通过网络控制台访问设备；</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13)支持通过本地的硬盘或光驱等存储设备，基于网络完成设备的操作系统安装功能；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14)支持通过浏览器打开管理界面并登录功能；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15)支持设置口令策略功能；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16)支持访问权限设置功能，并通过日志记录访问事件；</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17)支持对出厂默认的用户名及口令进行安全保护功能，并提供默认口令修改提示；</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18)支持读取设备主板的工作环境温度功能；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19)支持读取服务器 CPU 等核心器件的温度功能；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20)支持通过外部管理工具进行 BMC参数设置的功能，并可基于网络通过外部管理工具对 BMC 进行管理；</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21)应支持固件版本查询、固件升级</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22)支持基于网络实现开关机和复位控制的功能；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23)BMC 启动时间应不超过 180s，实现功能包括网络、IPMI、散热、传感器服务可用；</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24)支持 BMC 固件设置的恢复出厂功能</w:t>
            </w:r>
          </w:p>
        </w:tc>
        <w:tc>
          <w:tcPr>
            <w:tcW w:w="1055" w:type="dxa"/>
            <w:vAlign w:val="center"/>
          </w:tcPr>
          <w:p w14:paraId="731EE46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B78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804" w:type="dxa"/>
            <w:vAlign w:val="center"/>
          </w:tcPr>
          <w:p w14:paraId="7D19099A">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3EFD23E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65</w:t>
            </w:r>
          </w:p>
        </w:tc>
        <w:tc>
          <w:tcPr>
            <w:tcW w:w="1309" w:type="dxa"/>
            <w:vAlign w:val="center"/>
          </w:tcPr>
          <w:p w14:paraId="0620AF5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3B32FC3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*管理系统功能</w:t>
            </w:r>
          </w:p>
        </w:tc>
        <w:tc>
          <w:tcPr>
            <w:tcW w:w="1163" w:type="dxa"/>
            <w:vAlign w:val="center"/>
          </w:tcPr>
          <w:p w14:paraId="4014B3B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BMC 固件增强功能</w:t>
            </w:r>
          </w:p>
        </w:tc>
        <w:tc>
          <w:tcPr>
            <w:tcW w:w="3495" w:type="dxa"/>
            <w:vAlign w:val="center"/>
          </w:tcPr>
          <w:p w14:paraId="279B8BE7">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2B51A5D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237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jc w:val="center"/>
        </w:trPr>
        <w:tc>
          <w:tcPr>
            <w:tcW w:w="804" w:type="dxa"/>
            <w:vAlign w:val="center"/>
          </w:tcPr>
          <w:p w14:paraId="4A285FB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4D2C403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66</w:t>
            </w:r>
          </w:p>
        </w:tc>
        <w:tc>
          <w:tcPr>
            <w:tcW w:w="1309" w:type="dxa"/>
            <w:vAlign w:val="center"/>
          </w:tcPr>
          <w:p w14:paraId="33EAF35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7FCC2DC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*管理系统功能</w:t>
            </w:r>
          </w:p>
        </w:tc>
        <w:tc>
          <w:tcPr>
            <w:tcW w:w="1163" w:type="dxa"/>
            <w:vAlign w:val="center"/>
          </w:tcPr>
          <w:p w14:paraId="7F606F0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*BIOS 固件基础功能</w:t>
            </w:r>
          </w:p>
        </w:tc>
        <w:tc>
          <w:tcPr>
            <w:tcW w:w="3495" w:type="dxa"/>
            <w:vAlign w:val="center"/>
          </w:tcPr>
          <w:p w14:paraId="086EFFA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a）支持查看固件版本、内存信息、主板信息、处理器信息和系统时间信息功能；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b）支持上电初始化界面显示 CPU 信息、内存信息、固件版本和部分快捷键信息功能；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c）支持设置界面中英文显示切换功能；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d）支持查看 PCIe 设备信息，SATA设备信息功能；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e）支持操作系统安装和引导功能，应并向操作系统提供计算机主板信息和服务接口；</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f）支持设置启动顺序，并按照设置的启动顺序启动功能；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g）支持安全启动功能；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h）支持设置口令、修改口令、验证口令功能；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i）支持板载显示控制或独立显卡的显示控制功能；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j）支持 RAID 识别和启动功能；k）支持串口重定向功能；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l）支持固件更新功能；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m）支持BIOS 固件设置的恢复出厂功能；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n）支持网络引导启用和关闭功能</w:t>
            </w:r>
          </w:p>
        </w:tc>
        <w:tc>
          <w:tcPr>
            <w:tcW w:w="1055" w:type="dxa"/>
            <w:vAlign w:val="center"/>
          </w:tcPr>
          <w:p w14:paraId="6C9950C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9B3B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B7B259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5282202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67</w:t>
            </w:r>
          </w:p>
        </w:tc>
        <w:tc>
          <w:tcPr>
            <w:tcW w:w="1309" w:type="dxa"/>
            <w:vAlign w:val="center"/>
          </w:tcPr>
          <w:p w14:paraId="0382EBB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4959515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*管理系统功能</w:t>
            </w:r>
          </w:p>
        </w:tc>
        <w:tc>
          <w:tcPr>
            <w:tcW w:w="1163" w:type="dxa"/>
            <w:vAlign w:val="center"/>
          </w:tcPr>
          <w:p w14:paraId="0D106D2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*远程控制</w:t>
            </w:r>
          </w:p>
        </w:tc>
        <w:tc>
          <w:tcPr>
            <w:tcW w:w="3495" w:type="dxa"/>
            <w:vAlign w:val="center"/>
          </w:tcPr>
          <w:p w14:paraId="4F3AA82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支持远程关机和重新启动功能</w:t>
            </w:r>
          </w:p>
        </w:tc>
        <w:tc>
          <w:tcPr>
            <w:tcW w:w="1055" w:type="dxa"/>
            <w:vAlign w:val="center"/>
          </w:tcPr>
          <w:p w14:paraId="0E76CF6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4FCA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2CAA147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4C82494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68</w:t>
            </w:r>
          </w:p>
        </w:tc>
        <w:tc>
          <w:tcPr>
            <w:tcW w:w="1309" w:type="dxa"/>
            <w:vAlign w:val="center"/>
          </w:tcPr>
          <w:p w14:paraId="26F45A8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6CEEC9F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*操作系统及驱动功能</w:t>
            </w:r>
          </w:p>
        </w:tc>
        <w:tc>
          <w:tcPr>
            <w:tcW w:w="1163" w:type="dxa"/>
            <w:vAlign w:val="center"/>
          </w:tcPr>
          <w:p w14:paraId="1AB08C17">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*操作系统及驱动的升级</w:t>
            </w:r>
          </w:p>
        </w:tc>
        <w:tc>
          <w:tcPr>
            <w:tcW w:w="3495" w:type="dxa"/>
            <w:vAlign w:val="center"/>
          </w:tcPr>
          <w:p w14:paraId="640A7A4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支持通过网络、闪存盘对操作系统、驱动进行升级</w:t>
            </w:r>
          </w:p>
        </w:tc>
        <w:tc>
          <w:tcPr>
            <w:tcW w:w="1055" w:type="dxa"/>
            <w:vAlign w:val="center"/>
          </w:tcPr>
          <w:p w14:paraId="5F52C40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459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04" w:type="dxa"/>
            <w:vAlign w:val="center"/>
          </w:tcPr>
          <w:p w14:paraId="238D3001">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59F37A2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69</w:t>
            </w:r>
          </w:p>
        </w:tc>
        <w:tc>
          <w:tcPr>
            <w:tcW w:w="1309" w:type="dxa"/>
            <w:vAlign w:val="center"/>
          </w:tcPr>
          <w:p w14:paraId="48C5CE8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2285132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*操作系统及驱动功能</w:t>
            </w:r>
          </w:p>
        </w:tc>
        <w:tc>
          <w:tcPr>
            <w:tcW w:w="1163" w:type="dxa"/>
            <w:vAlign w:val="center"/>
          </w:tcPr>
          <w:p w14:paraId="5D0F55E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操作系统及驱动的备份还原</w:t>
            </w:r>
          </w:p>
        </w:tc>
        <w:tc>
          <w:tcPr>
            <w:tcW w:w="3495" w:type="dxa"/>
            <w:vAlign w:val="center"/>
          </w:tcPr>
          <w:p w14:paraId="37D3B530">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49B62EC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028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04" w:type="dxa"/>
            <w:vAlign w:val="center"/>
          </w:tcPr>
          <w:p w14:paraId="64565C2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5D39B23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70</w:t>
            </w:r>
          </w:p>
        </w:tc>
        <w:tc>
          <w:tcPr>
            <w:tcW w:w="1309" w:type="dxa"/>
            <w:vAlign w:val="center"/>
          </w:tcPr>
          <w:p w14:paraId="5AE5B28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0FB8C04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*操作系统及驱动功能</w:t>
            </w:r>
          </w:p>
        </w:tc>
        <w:tc>
          <w:tcPr>
            <w:tcW w:w="1163" w:type="dxa"/>
            <w:vAlign w:val="center"/>
          </w:tcPr>
          <w:p w14:paraId="380EA2A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*操作系统功能</w:t>
            </w:r>
          </w:p>
        </w:tc>
        <w:tc>
          <w:tcPr>
            <w:tcW w:w="3495" w:type="dxa"/>
            <w:vAlign w:val="center"/>
          </w:tcPr>
          <w:p w14:paraId="37BBFA8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a) 支持访问控制、安全审计、网络接入鉴别等功能；</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b) 操作系统其他功能应满足操作系统政府采购需求标准中加*的指标要求</w:t>
            </w:r>
          </w:p>
        </w:tc>
        <w:tc>
          <w:tcPr>
            <w:tcW w:w="1055" w:type="dxa"/>
            <w:vAlign w:val="center"/>
          </w:tcPr>
          <w:p w14:paraId="56FDF11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EB1A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97E760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4C937C4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71</w:t>
            </w:r>
          </w:p>
        </w:tc>
        <w:tc>
          <w:tcPr>
            <w:tcW w:w="1309" w:type="dxa"/>
            <w:vAlign w:val="center"/>
          </w:tcPr>
          <w:p w14:paraId="4F160C7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6E6906F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*中文信息处理功能</w:t>
            </w:r>
          </w:p>
        </w:tc>
        <w:tc>
          <w:tcPr>
            <w:tcW w:w="1163" w:type="dxa"/>
            <w:vAlign w:val="center"/>
          </w:tcPr>
          <w:p w14:paraId="1EB7805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*中文信息处理</w:t>
            </w:r>
          </w:p>
        </w:tc>
        <w:tc>
          <w:tcPr>
            <w:tcW w:w="3495" w:type="dxa"/>
            <w:vAlign w:val="center"/>
          </w:tcPr>
          <w:p w14:paraId="65EAE05C">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符合 GB 18030 的有关规定</w:t>
            </w:r>
          </w:p>
        </w:tc>
        <w:tc>
          <w:tcPr>
            <w:tcW w:w="1055" w:type="dxa"/>
            <w:vAlign w:val="center"/>
          </w:tcPr>
          <w:p w14:paraId="22F7542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CF9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4010949C">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432F137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72</w:t>
            </w:r>
          </w:p>
        </w:tc>
        <w:tc>
          <w:tcPr>
            <w:tcW w:w="1309" w:type="dxa"/>
            <w:vAlign w:val="center"/>
          </w:tcPr>
          <w:p w14:paraId="0C7AEEC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7712EB8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机柜功能</w:t>
            </w:r>
          </w:p>
        </w:tc>
        <w:tc>
          <w:tcPr>
            <w:tcW w:w="1163" w:type="dxa"/>
            <w:vAlign w:val="center"/>
          </w:tcPr>
          <w:p w14:paraId="0C0A89D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机柜管理功能</w:t>
            </w:r>
          </w:p>
        </w:tc>
        <w:tc>
          <w:tcPr>
            <w:tcW w:w="3495" w:type="dxa"/>
            <w:vAlign w:val="center"/>
          </w:tcPr>
          <w:p w14:paraId="5E9F6508">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2CD52B8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10C12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0DB52485">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59E7D48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73</w:t>
            </w:r>
          </w:p>
        </w:tc>
        <w:tc>
          <w:tcPr>
            <w:tcW w:w="1309" w:type="dxa"/>
            <w:vAlign w:val="center"/>
          </w:tcPr>
          <w:p w14:paraId="0225EB0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207A4FB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机柜功能</w:t>
            </w:r>
          </w:p>
        </w:tc>
        <w:tc>
          <w:tcPr>
            <w:tcW w:w="1163" w:type="dxa"/>
            <w:vAlign w:val="center"/>
          </w:tcPr>
          <w:p w14:paraId="573D326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机柜通信方式</w:t>
            </w:r>
          </w:p>
        </w:tc>
        <w:tc>
          <w:tcPr>
            <w:tcW w:w="3495" w:type="dxa"/>
            <w:vAlign w:val="center"/>
          </w:tcPr>
          <w:p w14:paraId="46CEACBF">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765B98B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A56F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5051B7CC">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085D86A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74</w:t>
            </w:r>
          </w:p>
        </w:tc>
        <w:tc>
          <w:tcPr>
            <w:tcW w:w="1309" w:type="dxa"/>
            <w:vAlign w:val="center"/>
          </w:tcPr>
          <w:p w14:paraId="2EDF6B2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功能要求</w:t>
            </w:r>
          </w:p>
        </w:tc>
        <w:tc>
          <w:tcPr>
            <w:tcW w:w="1201" w:type="dxa"/>
            <w:vAlign w:val="center"/>
          </w:tcPr>
          <w:p w14:paraId="5C68D73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机柜功能</w:t>
            </w:r>
          </w:p>
        </w:tc>
        <w:tc>
          <w:tcPr>
            <w:tcW w:w="1163" w:type="dxa"/>
            <w:vAlign w:val="center"/>
          </w:tcPr>
          <w:p w14:paraId="157F31C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多集群作业管理</w:t>
            </w:r>
          </w:p>
        </w:tc>
        <w:tc>
          <w:tcPr>
            <w:tcW w:w="3495" w:type="dxa"/>
            <w:vAlign w:val="center"/>
          </w:tcPr>
          <w:p w14:paraId="5A064C7A">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4B4C136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156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36A1F50D">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47F3CDD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75</w:t>
            </w:r>
          </w:p>
        </w:tc>
        <w:tc>
          <w:tcPr>
            <w:tcW w:w="1309" w:type="dxa"/>
            <w:vAlign w:val="center"/>
          </w:tcPr>
          <w:p w14:paraId="053C6F7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41EAF69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*关键部件安全要求</w:t>
            </w:r>
          </w:p>
        </w:tc>
        <w:tc>
          <w:tcPr>
            <w:tcW w:w="1163" w:type="dxa"/>
            <w:vAlign w:val="center"/>
          </w:tcPr>
          <w:p w14:paraId="6D94055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*关键部件安全要求3</w:t>
            </w:r>
          </w:p>
        </w:tc>
        <w:tc>
          <w:tcPr>
            <w:tcW w:w="3495" w:type="dxa"/>
            <w:vAlign w:val="center"/>
          </w:tcPr>
          <w:p w14:paraId="4504336D">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3E3F0D4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E9B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58F80C4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00E37A7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76</w:t>
            </w:r>
          </w:p>
        </w:tc>
        <w:tc>
          <w:tcPr>
            <w:tcW w:w="1309" w:type="dxa"/>
            <w:vAlign w:val="center"/>
          </w:tcPr>
          <w:p w14:paraId="5943D69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07B4ECB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*固件安全要求</w:t>
            </w:r>
          </w:p>
        </w:tc>
        <w:tc>
          <w:tcPr>
            <w:tcW w:w="1163" w:type="dxa"/>
            <w:vAlign w:val="center"/>
          </w:tcPr>
          <w:p w14:paraId="2BAEFD1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*故障检测</w:t>
            </w:r>
          </w:p>
        </w:tc>
        <w:tc>
          <w:tcPr>
            <w:tcW w:w="3495" w:type="dxa"/>
            <w:vAlign w:val="center"/>
          </w:tcPr>
          <w:p w14:paraId="16D5BB4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支持故障检测功能，可以检测到具体的 FRU（内存、硬盘等）的故障并发出告警</w:t>
            </w:r>
          </w:p>
        </w:tc>
        <w:tc>
          <w:tcPr>
            <w:tcW w:w="1055" w:type="dxa"/>
            <w:vAlign w:val="center"/>
          </w:tcPr>
          <w:p w14:paraId="694198A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D24B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3679F43B">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3BA4F90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77</w:t>
            </w:r>
          </w:p>
        </w:tc>
        <w:tc>
          <w:tcPr>
            <w:tcW w:w="1309" w:type="dxa"/>
            <w:vAlign w:val="center"/>
          </w:tcPr>
          <w:p w14:paraId="19A4E37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76BEAA2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*固件安全要求</w:t>
            </w:r>
          </w:p>
        </w:tc>
        <w:tc>
          <w:tcPr>
            <w:tcW w:w="1163" w:type="dxa"/>
            <w:vAlign w:val="center"/>
          </w:tcPr>
          <w:p w14:paraId="17A6E25E">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内存故障智能预测和自愈修复</w:t>
            </w:r>
          </w:p>
        </w:tc>
        <w:tc>
          <w:tcPr>
            <w:tcW w:w="3495" w:type="dxa"/>
            <w:vAlign w:val="center"/>
          </w:tcPr>
          <w:p w14:paraId="56F2E04A">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29085D8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6ED9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5C8FA95F">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5D18B98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78</w:t>
            </w:r>
          </w:p>
        </w:tc>
        <w:tc>
          <w:tcPr>
            <w:tcW w:w="1309" w:type="dxa"/>
            <w:vAlign w:val="center"/>
          </w:tcPr>
          <w:p w14:paraId="4D08634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0465283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*固件安全要求</w:t>
            </w:r>
          </w:p>
        </w:tc>
        <w:tc>
          <w:tcPr>
            <w:tcW w:w="1163" w:type="dxa"/>
            <w:vAlign w:val="center"/>
          </w:tcPr>
          <w:p w14:paraId="51D31F4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硬盘故障智能预测</w:t>
            </w:r>
          </w:p>
        </w:tc>
        <w:tc>
          <w:tcPr>
            <w:tcW w:w="3495" w:type="dxa"/>
            <w:vAlign w:val="center"/>
          </w:tcPr>
          <w:p w14:paraId="2D747663">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641A035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B340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1C7E48DD">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49C5AE5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79</w:t>
            </w:r>
          </w:p>
        </w:tc>
        <w:tc>
          <w:tcPr>
            <w:tcW w:w="1309" w:type="dxa"/>
            <w:vAlign w:val="center"/>
          </w:tcPr>
          <w:p w14:paraId="21BE3B6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0A94014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*固件安全要求</w:t>
            </w:r>
          </w:p>
        </w:tc>
        <w:tc>
          <w:tcPr>
            <w:tcW w:w="1163" w:type="dxa"/>
            <w:vAlign w:val="center"/>
          </w:tcPr>
          <w:p w14:paraId="2EA04B98">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PCIe 链路故障智能诊断</w:t>
            </w:r>
          </w:p>
        </w:tc>
        <w:tc>
          <w:tcPr>
            <w:tcW w:w="3495" w:type="dxa"/>
            <w:vAlign w:val="center"/>
          </w:tcPr>
          <w:p w14:paraId="40974264">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06BCC9B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64F47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05E1900">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176F507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80</w:t>
            </w:r>
          </w:p>
        </w:tc>
        <w:tc>
          <w:tcPr>
            <w:tcW w:w="1309" w:type="dxa"/>
            <w:vAlign w:val="center"/>
          </w:tcPr>
          <w:p w14:paraId="7A92739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37D21E4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*固件安全要求</w:t>
            </w:r>
          </w:p>
        </w:tc>
        <w:tc>
          <w:tcPr>
            <w:tcW w:w="1163" w:type="dxa"/>
            <w:vAlign w:val="center"/>
          </w:tcPr>
          <w:p w14:paraId="69DAC9A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内存故障隔离</w:t>
            </w:r>
          </w:p>
        </w:tc>
        <w:tc>
          <w:tcPr>
            <w:tcW w:w="3495" w:type="dxa"/>
            <w:vAlign w:val="center"/>
          </w:tcPr>
          <w:p w14:paraId="531698A3">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0DB5EB8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201A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2D00B20">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2404513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81</w:t>
            </w:r>
          </w:p>
        </w:tc>
        <w:tc>
          <w:tcPr>
            <w:tcW w:w="1309" w:type="dxa"/>
            <w:vAlign w:val="center"/>
          </w:tcPr>
          <w:p w14:paraId="78CAFF3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08984E2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*固件安全要求</w:t>
            </w:r>
          </w:p>
        </w:tc>
        <w:tc>
          <w:tcPr>
            <w:tcW w:w="1163" w:type="dxa"/>
            <w:vAlign w:val="center"/>
          </w:tcPr>
          <w:p w14:paraId="7540176A">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内存、PCIe卡的故障精准告警功能</w:t>
            </w:r>
          </w:p>
        </w:tc>
        <w:tc>
          <w:tcPr>
            <w:tcW w:w="3495" w:type="dxa"/>
            <w:vAlign w:val="center"/>
          </w:tcPr>
          <w:p w14:paraId="307BEE93">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11E9FBC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E7AE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1A4D471D">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3E4DCFC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82</w:t>
            </w:r>
          </w:p>
        </w:tc>
        <w:tc>
          <w:tcPr>
            <w:tcW w:w="1309" w:type="dxa"/>
            <w:vAlign w:val="center"/>
          </w:tcPr>
          <w:p w14:paraId="550707E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5E19B8C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*固件安全要求</w:t>
            </w:r>
          </w:p>
        </w:tc>
        <w:tc>
          <w:tcPr>
            <w:tcW w:w="1163" w:type="dxa"/>
            <w:vAlign w:val="center"/>
          </w:tcPr>
          <w:p w14:paraId="2DDBA55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异常下电关键数据保护</w:t>
            </w:r>
          </w:p>
        </w:tc>
        <w:tc>
          <w:tcPr>
            <w:tcW w:w="3495" w:type="dxa"/>
            <w:vAlign w:val="center"/>
          </w:tcPr>
          <w:p w14:paraId="7E8BCDF6">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2EE7F30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6067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B1A6C88">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79989A4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83</w:t>
            </w:r>
          </w:p>
        </w:tc>
        <w:tc>
          <w:tcPr>
            <w:tcW w:w="1309" w:type="dxa"/>
            <w:vAlign w:val="center"/>
          </w:tcPr>
          <w:p w14:paraId="1A0CBB8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6E578D1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*固件安全要求</w:t>
            </w:r>
          </w:p>
        </w:tc>
        <w:tc>
          <w:tcPr>
            <w:tcW w:w="1163" w:type="dxa"/>
            <w:vAlign w:val="center"/>
          </w:tcPr>
          <w:p w14:paraId="4C1365A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BMC/BIOS固件双镜像保护</w:t>
            </w:r>
          </w:p>
        </w:tc>
        <w:tc>
          <w:tcPr>
            <w:tcW w:w="3495" w:type="dxa"/>
            <w:vAlign w:val="center"/>
          </w:tcPr>
          <w:p w14:paraId="765C2097">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471349B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149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F958E9E">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2D216D9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84</w:t>
            </w:r>
          </w:p>
        </w:tc>
        <w:tc>
          <w:tcPr>
            <w:tcW w:w="1309" w:type="dxa"/>
            <w:vAlign w:val="center"/>
          </w:tcPr>
          <w:p w14:paraId="5E506C8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7322088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*固件安全要求</w:t>
            </w:r>
          </w:p>
        </w:tc>
        <w:tc>
          <w:tcPr>
            <w:tcW w:w="1163" w:type="dxa"/>
            <w:vAlign w:val="center"/>
          </w:tcPr>
          <w:p w14:paraId="638A764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CPU 核重启隔离</w:t>
            </w:r>
          </w:p>
        </w:tc>
        <w:tc>
          <w:tcPr>
            <w:tcW w:w="3495" w:type="dxa"/>
            <w:vAlign w:val="center"/>
          </w:tcPr>
          <w:p w14:paraId="7540258F">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233A30E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AFC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059B3B59">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485F564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85</w:t>
            </w:r>
          </w:p>
        </w:tc>
        <w:tc>
          <w:tcPr>
            <w:tcW w:w="1309" w:type="dxa"/>
            <w:vAlign w:val="center"/>
          </w:tcPr>
          <w:p w14:paraId="4BC55B7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288ED2E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*固件安全要求</w:t>
            </w:r>
          </w:p>
        </w:tc>
        <w:tc>
          <w:tcPr>
            <w:tcW w:w="1163" w:type="dxa"/>
            <w:vAlign w:val="center"/>
          </w:tcPr>
          <w:p w14:paraId="3287FD8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内存地址隔离</w:t>
            </w:r>
          </w:p>
        </w:tc>
        <w:tc>
          <w:tcPr>
            <w:tcW w:w="3495" w:type="dxa"/>
            <w:vAlign w:val="center"/>
          </w:tcPr>
          <w:p w14:paraId="37B50781">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0E8FC66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1B9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11A1B505">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4730512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86</w:t>
            </w:r>
          </w:p>
        </w:tc>
        <w:tc>
          <w:tcPr>
            <w:tcW w:w="1309" w:type="dxa"/>
            <w:vAlign w:val="center"/>
          </w:tcPr>
          <w:p w14:paraId="6622534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25A61D0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*固件安全要求</w:t>
            </w:r>
          </w:p>
        </w:tc>
        <w:tc>
          <w:tcPr>
            <w:tcW w:w="1163" w:type="dxa"/>
            <w:vAlign w:val="center"/>
          </w:tcPr>
          <w:p w14:paraId="041FDED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内存存储阵列替换</w:t>
            </w:r>
          </w:p>
        </w:tc>
        <w:tc>
          <w:tcPr>
            <w:tcW w:w="3495" w:type="dxa"/>
            <w:vAlign w:val="center"/>
          </w:tcPr>
          <w:p w14:paraId="6CA5D388">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771D8B0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25D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42C87B65">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740A771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87</w:t>
            </w:r>
          </w:p>
        </w:tc>
        <w:tc>
          <w:tcPr>
            <w:tcW w:w="1309" w:type="dxa"/>
            <w:vAlign w:val="center"/>
          </w:tcPr>
          <w:p w14:paraId="1B95C65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60178E0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*固件安全要求</w:t>
            </w:r>
          </w:p>
        </w:tc>
        <w:tc>
          <w:tcPr>
            <w:tcW w:w="1163" w:type="dxa"/>
            <w:vAlign w:val="center"/>
          </w:tcPr>
          <w:p w14:paraId="7764115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安全启动</w:t>
            </w:r>
          </w:p>
        </w:tc>
        <w:tc>
          <w:tcPr>
            <w:tcW w:w="3495" w:type="dxa"/>
            <w:vAlign w:val="center"/>
          </w:tcPr>
          <w:p w14:paraId="382779B5">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6B6EC53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822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1AF6409C">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1C221F5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88</w:t>
            </w:r>
          </w:p>
        </w:tc>
        <w:tc>
          <w:tcPr>
            <w:tcW w:w="1309" w:type="dxa"/>
            <w:vAlign w:val="center"/>
          </w:tcPr>
          <w:p w14:paraId="73F5890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020F3DE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*系统安全要求</w:t>
            </w:r>
          </w:p>
        </w:tc>
        <w:tc>
          <w:tcPr>
            <w:tcW w:w="1163" w:type="dxa"/>
            <w:vAlign w:val="center"/>
          </w:tcPr>
          <w:p w14:paraId="5D7F51FF">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syslog 双向鉴别</w:t>
            </w:r>
          </w:p>
        </w:tc>
        <w:tc>
          <w:tcPr>
            <w:tcW w:w="3495" w:type="dxa"/>
            <w:vAlign w:val="center"/>
          </w:tcPr>
          <w:p w14:paraId="02824E4D">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56F3910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0F9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57401D0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0FB1DFA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89</w:t>
            </w:r>
          </w:p>
        </w:tc>
        <w:tc>
          <w:tcPr>
            <w:tcW w:w="1309" w:type="dxa"/>
            <w:vAlign w:val="center"/>
          </w:tcPr>
          <w:p w14:paraId="02E827F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58A518E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*系统安全要求</w:t>
            </w:r>
          </w:p>
        </w:tc>
        <w:tc>
          <w:tcPr>
            <w:tcW w:w="1163" w:type="dxa"/>
            <w:vAlign w:val="center"/>
          </w:tcPr>
          <w:p w14:paraId="6FBE684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*弱口令字典检查</w:t>
            </w:r>
          </w:p>
        </w:tc>
        <w:tc>
          <w:tcPr>
            <w:tcW w:w="3495" w:type="dxa"/>
            <w:vAlign w:val="center"/>
          </w:tcPr>
          <w:p w14:paraId="623F109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支持弱口令字典检查功能，出现在弱口令字典中的字符串不能被设置为用户口令</w:t>
            </w:r>
          </w:p>
        </w:tc>
        <w:tc>
          <w:tcPr>
            <w:tcW w:w="1055" w:type="dxa"/>
            <w:vAlign w:val="center"/>
          </w:tcPr>
          <w:p w14:paraId="637D6C6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11E1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45AE259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6C3E9ED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90</w:t>
            </w:r>
          </w:p>
        </w:tc>
        <w:tc>
          <w:tcPr>
            <w:tcW w:w="1309" w:type="dxa"/>
            <w:vAlign w:val="center"/>
          </w:tcPr>
          <w:p w14:paraId="390835C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540AC3A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*系统安全要求</w:t>
            </w:r>
          </w:p>
        </w:tc>
        <w:tc>
          <w:tcPr>
            <w:tcW w:w="1163" w:type="dxa"/>
            <w:vAlign w:val="center"/>
          </w:tcPr>
          <w:p w14:paraId="5B4F43B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*白名单访问控制</w:t>
            </w:r>
          </w:p>
        </w:tc>
        <w:tc>
          <w:tcPr>
            <w:tcW w:w="3495" w:type="dxa"/>
            <w:vAlign w:val="center"/>
          </w:tcPr>
          <w:p w14:paraId="60219FC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支持基于时间、IP 或 MAC 白名单访问控制</w:t>
            </w:r>
          </w:p>
        </w:tc>
        <w:tc>
          <w:tcPr>
            <w:tcW w:w="1055" w:type="dxa"/>
            <w:vAlign w:val="center"/>
          </w:tcPr>
          <w:p w14:paraId="00BE18F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EC9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46A544D8">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34AA808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91</w:t>
            </w:r>
          </w:p>
        </w:tc>
        <w:tc>
          <w:tcPr>
            <w:tcW w:w="1309" w:type="dxa"/>
            <w:vAlign w:val="center"/>
          </w:tcPr>
          <w:p w14:paraId="35411AC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326F8DE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*系统安全要求</w:t>
            </w:r>
          </w:p>
        </w:tc>
        <w:tc>
          <w:tcPr>
            <w:tcW w:w="1163" w:type="dxa"/>
            <w:vAlign w:val="center"/>
          </w:tcPr>
          <w:p w14:paraId="16FF6CA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双因素鉴别</w:t>
            </w:r>
          </w:p>
        </w:tc>
        <w:tc>
          <w:tcPr>
            <w:tcW w:w="3495" w:type="dxa"/>
            <w:vAlign w:val="center"/>
          </w:tcPr>
          <w:p w14:paraId="47DAB20C">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3092837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2041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4313E45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6005B18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92</w:t>
            </w:r>
          </w:p>
        </w:tc>
        <w:tc>
          <w:tcPr>
            <w:tcW w:w="1309" w:type="dxa"/>
            <w:vAlign w:val="center"/>
          </w:tcPr>
          <w:p w14:paraId="0AB94C8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52DF47D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*系统安全要求</w:t>
            </w:r>
          </w:p>
        </w:tc>
        <w:tc>
          <w:tcPr>
            <w:tcW w:w="1163" w:type="dxa"/>
            <w:vAlign w:val="center"/>
          </w:tcPr>
          <w:p w14:paraId="75030CA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*二次鉴别</w:t>
            </w:r>
          </w:p>
        </w:tc>
        <w:tc>
          <w:tcPr>
            <w:tcW w:w="3495" w:type="dxa"/>
            <w:vAlign w:val="center"/>
          </w:tcPr>
          <w:p w14:paraId="1392282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支持二次鉴别功能。对于用户配置、权限配置、公钥导入等重要的管理操作，已登录用户应通过二次鉴别后，才能执行操作</w:t>
            </w:r>
          </w:p>
        </w:tc>
        <w:tc>
          <w:tcPr>
            <w:tcW w:w="1055" w:type="dxa"/>
            <w:vAlign w:val="center"/>
          </w:tcPr>
          <w:p w14:paraId="6172F06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041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2DE92584">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5068A28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93</w:t>
            </w:r>
          </w:p>
        </w:tc>
        <w:tc>
          <w:tcPr>
            <w:tcW w:w="1309" w:type="dxa"/>
            <w:vAlign w:val="center"/>
          </w:tcPr>
          <w:p w14:paraId="449A444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3117A5F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*系统安全要求</w:t>
            </w:r>
          </w:p>
        </w:tc>
        <w:tc>
          <w:tcPr>
            <w:tcW w:w="1163" w:type="dxa"/>
            <w:vAlign w:val="center"/>
          </w:tcPr>
          <w:p w14:paraId="17563D0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匿名化用户告警接收邮箱</w:t>
            </w:r>
          </w:p>
        </w:tc>
        <w:tc>
          <w:tcPr>
            <w:tcW w:w="3495" w:type="dxa"/>
            <w:vAlign w:val="center"/>
          </w:tcPr>
          <w:p w14:paraId="44B4A5B8">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2DB5E51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EA2A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7A5092A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5E0D92E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94</w:t>
            </w:r>
          </w:p>
        </w:tc>
        <w:tc>
          <w:tcPr>
            <w:tcW w:w="1309" w:type="dxa"/>
            <w:vAlign w:val="center"/>
          </w:tcPr>
          <w:p w14:paraId="315D340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4439399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*系统安全要求</w:t>
            </w:r>
          </w:p>
        </w:tc>
        <w:tc>
          <w:tcPr>
            <w:tcW w:w="1163" w:type="dxa"/>
            <w:vAlign w:val="center"/>
          </w:tcPr>
          <w:p w14:paraId="47072133">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*密码证书安全加密存储</w:t>
            </w:r>
          </w:p>
        </w:tc>
        <w:tc>
          <w:tcPr>
            <w:tcW w:w="3495" w:type="dxa"/>
            <w:vAlign w:val="center"/>
          </w:tcPr>
          <w:p w14:paraId="6080273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支持对带外管理系统中的用户口令和证书等敏感信息进行加密存储，禁止使用私有的和业界已知不安全的密码算法</w:t>
            </w:r>
          </w:p>
        </w:tc>
        <w:tc>
          <w:tcPr>
            <w:tcW w:w="1055" w:type="dxa"/>
            <w:vAlign w:val="center"/>
          </w:tcPr>
          <w:p w14:paraId="67777BF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2001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5A9FAE1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69E3764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95</w:t>
            </w:r>
          </w:p>
        </w:tc>
        <w:tc>
          <w:tcPr>
            <w:tcW w:w="1309" w:type="dxa"/>
            <w:vAlign w:val="center"/>
          </w:tcPr>
          <w:p w14:paraId="059B410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796A285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*系统安全要求</w:t>
            </w:r>
          </w:p>
        </w:tc>
        <w:tc>
          <w:tcPr>
            <w:tcW w:w="1163" w:type="dxa"/>
            <w:vAlign w:val="center"/>
          </w:tcPr>
          <w:p w14:paraId="663F7C5A">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*敏感信息安全加密传输</w:t>
            </w:r>
          </w:p>
        </w:tc>
        <w:tc>
          <w:tcPr>
            <w:tcW w:w="3495" w:type="dxa"/>
            <w:vAlign w:val="center"/>
          </w:tcPr>
          <w:p w14:paraId="1AFBEA0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支持使用安全的传输加密协议（如SSH 或 HTTPS 等）传输用户的敏感信息</w:t>
            </w:r>
          </w:p>
        </w:tc>
        <w:tc>
          <w:tcPr>
            <w:tcW w:w="1055" w:type="dxa"/>
            <w:vAlign w:val="center"/>
          </w:tcPr>
          <w:p w14:paraId="25DD013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1F1E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04" w:type="dxa"/>
            <w:vAlign w:val="center"/>
          </w:tcPr>
          <w:p w14:paraId="1EB8286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3617D66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96</w:t>
            </w:r>
          </w:p>
        </w:tc>
        <w:tc>
          <w:tcPr>
            <w:tcW w:w="1309" w:type="dxa"/>
            <w:vAlign w:val="center"/>
          </w:tcPr>
          <w:p w14:paraId="56AB1C2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687D852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*信息安全要求</w:t>
            </w:r>
          </w:p>
        </w:tc>
        <w:tc>
          <w:tcPr>
            <w:tcW w:w="1163" w:type="dxa"/>
            <w:vAlign w:val="center"/>
          </w:tcPr>
          <w:p w14:paraId="7F708D1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*研发过程安全</w:t>
            </w:r>
          </w:p>
        </w:tc>
        <w:tc>
          <w:tcPr>
            <w:tcW w:w="3495" w:type="dxa"/>
            <w:vAlign w:val="center"/>
          </w:tcPr>
          <w:p w14:paraId="702000B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供应商承诺，生产商已建立从需求、设计、开发、测试、维护端到端的开发流程管理机制，输出和保存开发流程中每个阶段的产品需求清单、设计文档、开发文档、测试记录等材料，保证各个流程可追溯</w:t>
            </w:r>
          </w:p>
        </w:tc>
        <w:tc>
          <w:tcPr>
            <w:tcW w:w="1055" w:type="dxa"/>
            <w:vAlign w:val="center"/>
          </w:tcPr>
          <w:p w14:paraId="45E61DB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1EFB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0A08091C">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6EE094A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97</w:t>
            </w:r>
          </w:p>
        </w:tc>
        <w:tc>
          <w:tcPr>
            <w:tcW w:w="1309" w:type="dxa"/>
            <w:vAlign w:val="center"/>
          </w:tcPr>
          <w:p w14:paraId="231FADB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262E53E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*信息安全要求</w:t>
            </w:r>
          </w:p>
        </w:tc>
        <w:tc>
          <w:tcPr>
            <w:tcW w:w="1163" w:type="dxa"/>
            <w:vAlign w:val="center"/>
          </w:tcPr>
          <w:p w14:paraId="6B943D7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漏洞管理</w:t>
            </w:r>
          </w:p>
        </w:tc>
        <w:tc>
          <w:tcPr>
            <w:tcW w:w="3495" w:type="dxa"/>
            <w:vAlign w:val="center"/>
          </w:tcPr>
          <w:p w14:paraId="5018A11A">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093D075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E9CC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50AD6595">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678E5A1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98</w:t>
            </w:r>
          </w:p>
        </w:tc>
        <w:tc>
          <w:tcPr>
            <w:tcW w:w="1309" w:type="dxa"/>
            <w:vAlign w:val="center"/>
          </w:tcPr>
          <w:p w14:paraId="1D4D633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28C714C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*信息安全要求</w:t>
            </w:r>
          </w:p>
        </w:tc>
        <w:tc>
          <w:tcPr>
            <w:tcW w:w="1163" w:type="dxa"/>
            <w:vAlign w:val="center"/>
          </w:tcPr>
          <w:p w14:paraId="2A6F050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网络关键设备服务器要求</w:t>
            </w:r>
          </w:p>
        </w:tc>
        <w:tc>
          <w:tcPr>
            <w:tcW w:w="3495" w:type="dxa"/>
            <w:vAlign w:val="center"/>
          </w:tcPr>
          <w:p w14:paraId="5E511F8B">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5EA0083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4599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3840C36E">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1931B1D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99</w:t>
            </w:r>
          </w:p>
        </w:tc>
        <w:tc>
          <w:tcPr>
            <w:tcW w:w="1309" w:type="dxa"/>
            <w:vAlign w:val="center"/>
          </w:tcPr>
          <w:p w14:paraId="1423D79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47FFCD5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*信息安全要求</w:t>
            </w:r>
          </w:p>
        </w:tc>
        <w:tc>
          <w:tcPr>
            <w:tcW w:w="1163" w:type="dxa"/>
            <w:vAlign w:val="center"/>
          </w:tcPr>
          <w:p w14:paraId="0859A52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增强要求</w:t>
            </w:r>
          </w:p>
        </w:tc>
        <w:tc>
          <w:tcPr>
            <w:tcW w:w="3495" w:type="dxa"/>
            <w:vAlign w:val="center"/>
          </w:tcPr>
          <w:p w14:paraId="681AD6CF">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32CECB2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6DEA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6D6D8A0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1308A4D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100</w:t>
            </w:r>
          </w:p>
        </w:tc>
        <w:tc>
          <w:tcPr>
            <w:tcW w:w="1309" w:type="dxa"/>
            <w:vAlign w:val="center"/>
          </w:tcPr>
          <w:p w14:paraId="101B3F8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2BA832C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*物理安全</w:t>
            </w:r>
          </w:p>
        </w:tc>
        <w:tc>
          <w:tcPr>
            <w:tcW w:w="1163" w:type="dxa"/>
            <w:vAlign w:val="center"/>
          </w:tcPr>
          <w:p w14:paraId="7DCDA5F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*物理安全</w:t>
            </w:r>
          </w:p>
        </w:tc>
        <w:tc>
          <w:tcPr>
            <w:tcW w:w="3495" w:type="dxa"/>
            <w:vAlign w:val="center"/>
          </w:tcPr>
          <w:p w14:paraId="4C7E1FC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安全要求应符合 GB 4943.1 的规定</w:t>
            </w:r>
          </w:p>
        </w:tc>
        <w:tc>
          <w:tcPr>
            <w:tcW w:w="1055" w:type="dxa"/>
            <w:vAlign w:val="center"/>
          </w:tcPr>
          <w:p w14:paraId="47E799F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6B55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034C715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616B7AA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101</w:t>
            </w:r>
          </w:p>
        </w:tc>
        <w:tc>
          <w:tcPr>
            <w:tcW w:w="1309" w:type="dxa"/>
            <w:vAlign w:val="center"/>
          </w:tcPr>
          <w:p w14:paraId="02B0FC9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安全要求</w:t>
            </w:r>
          </w:p>
        </w:tc>
        <w:tc>
          <w:tcPr>
            <w:tcW w:w="1201" w:type="dxa"/>
            <w:vAlign w:val="center"/>
          </w:tcPr>
          <w:p w14:paraId="54A8D24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*限用物质的限量要求</w:t>
            </w:r>
          </w:p>
        </w:tc>
        <w:tc>
          <w:tcPr>
            <w:tcW w:w="1163" w:type="dxa"/>
            <w:vAlign w:val="center"/>
          </w:tcPr>
          <w:p w14:paraId="5CB42C2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*限用物质的限量要求</w:t>
            </w:r>
          </w:p>
        </w:tc>
        <w:tc>
          <w:tcPr>
            <w:tcW w:w="3495" w:type="dxa"/>
            <w:vAlign w:val="center"/>
          </w:tcPr>
          <w:p w14:paraId="44EECC5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限用物质的限量应符合GB/T 26572的要求</w:t>
            </w:r>
          </w:p>
        </w:tc>
        <w:tc>
          <w:tcPr>
            <w:tcW w:w="1055" w:type="dxa"/>
            <w:vAlign w:val="center"/>
          </w:tcPr>
          <w:p w14:paraId="6CD44F2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E6EE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55939B0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561B047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102</w:t>
            </w:r>
          </w:p>
        </w:tc>
        <w:tc>
          <w:tcPr>
            <w:tcW w:w="1309" w:type="dxa"/>
            <w:vAlign w:val="center"/>
          </w:tcPr>
          <w:p w14:paraId="09FF85F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性能要求</w:t>
            </w:r>
          </w:p>
        </w:tc>
        <w:tc>
          <w:tcPr>
            <w:tcW w:w="1201" w:type="dxa"/>
            <w:vAlign w:val="center"/>
          </w:tcPr>
          <w:p w14:paraId="7B93419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*CPU性能</w:t>
            </w:r>
          </w:p>
        </w:tc>
        <w:tc>
          <w:tcPr>
            <w:tcW w:w="1163" w:type="dxa"/>
            <w:vAlign w:val="center"/>
          </w:tcPr>
          <w:p w14:paraId="301C010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*CPU 主频</w:t>
            </w:r>
          </w:p>
        </w:tc>
        <w:tc>
          <w:tcPr>
            <w:tcW w:w="3495" w:type="dxa"/>
            <w:vAlign w:val="center"/>
          </w:tcPr>
          <w:p w14:paraId="497E8308">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≥2.</w:t>
            </w:r>
            <w:r>
              <w:rPr>
                <w:rFonts w:hint="default" w:ascii="Times New Roman" w:hAnsi="Times New Roman" w:eastAsia="仿宋_GB2312" w:cs="Times New Roman"/>
                <w:color w:val="auto"/>
                <w:kern w:val="0"/>
                <w:sz w:val="24"/>
                <w:szCs w:val="24"/>
                <w:lang w:eastAsia="zh-CN" w:bidi="ar"/>
              </w:rPr>
              <w:t>1</w:t>
            </w:r>
            <w:r>
              <w:rPr>
                <w:rFonts w:hint="default" w:ascii="Times New Roman" w:hAnsi="Times New Roman" w:eastAsia="仿宋_GB2312" w:cs="Times New Roman"/>
                <w:color w:val="auto"/>
                <w:kern w:val="0"/>
                <w:sz w:val="24"/>
                <w:szCs w:val="24"/>
                <w:lang w:bidi="ar"/>
              </w:rPr>
              <w:t>GHz</w:t>
            </w:r>
          </w:p>
        </w:tc>
        <w:tc>
          <w:tcPr>
            <w:tcW w:w="1055" w:type="dxa"/>
            <w:vAlign w:val="center"/>
          </w:tcPr>
          <w:p w14:paraId="63B2954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102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583EF7B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2DDF1AB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103</w:t>
            </w:r>
          </w:p>
        </w:tc>
        <w:tc>
          <w:tcPr>
            <w:tcW w:w="1309" w:type="dxa"/>
            <w:vAlign w:val="center"/>
          </w:tcPr>
          <w:p w14:paraId="13105F7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性能要求</w:t>
            </w:r>
          </w:p>
        </w:tc>
        <w:tc>
          <w:tcPr>
            <w:tcW w:w="1201" w:type="dxa"/>
            <w:vAlign w:val="center"/>
          </w:tcPr>
          <w:p w14:paraId="58D4860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*CPU性能</w:t>
            </w:r>
          </w:p>
        </w:tc>
        <w:tc>
          <w:tcPr>
            <w:tcW w:w="1163" w:type="dxa"/>
            <w:vAlign w:val="center"/>
          </w:tcPr>
          <w:p w14:paraId="1F29A42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*单CPU 核数</w:t>
            </w:r>
          </w:p>
        </w:tc>
        <w:tc>
          <w:tcPr>
            <w:tcW w:w="3495" w:type="dxa"/>
            <w:vAlign w:val="center"/>
          </w:tcPr>
          <w:p w14:paraId="6DE91B06">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≥12</w:t>
            </w:r>
          </w:p>
        </w:tc>
        <w:tc>
          <w:tcPr>
            <w:tcW w:w="1055" w:type="dxa"/>
            <w:vAlign w:val="center"/>
          </w:tcPr>
          <w:p w14:paraId="7584799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04BB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5EDFF6B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34170ED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104</w:t>
            </w:r>
          </w:p>
        </w:tc>
        <w:tc>
          <w:tcPr>
            <w:tcW w:w="1309" w:type="dxa"/>
            <w:vAlign w:val="center"/>
          </w:tcPr>
          <w:p w14:paraId="4A71AD4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性能要求</w:t>
            </w:r>
          </w:p>
        </w:tc>
        <w:tc>
          <w:tcPr>
            <w:tcW w:w="1201" w:type="dxa"/>
            <w:vAlign w:val="center"/>
          </w:tcPr>
          <w:p w14:paraId="71020B4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*CPU性能</w:t>
            </w:r>
          </w:p>
        </w:tc>
        <w:tc>
          <w:tcPr>
            <w:tcW w:w="1163" w:type="dxa"/>
            <w:vAlign w:val="center"/>
          </w:tcPr>
          <w:p w14:paraId="773D414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*单 CPU 末级缓存容量</w:t>
            </w:r>
          </w:p>
        </w:tc>
        <w:tc>
          <w:tcPr>
            <w:tcW w:w="3495" w:type="dxa"/>
            <w:vAlign w:val="center"/>
          </w:tcPr>
          <w:p w14:paraId="3FEAA3DC">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w:t>
            </w:r>
            <w:r>
              <w:rPr>
                <w:rFonts w:hint="default" w:ascii="Times New Roman" w:hAnsi="Times New Roman" w:eastAsia="仿宋_GB2312" w:cs="Times New Roman"/>
                <w:color w:val="auto"/>
                <w:kern w:val="0"/>
                <w:sz w:val="24"/>
                <w:szCs w:val="24"/>
                <w:lang w:eastAsia="zh-CN" w:bidi="ar"/>
              </w:rPr>
              <w:t>8</w:t>
            </w:r>
            <w:r>
              <w:rPr>
                <w:rFonts w:hint="default" w:ascii="Times New Roman" w:hAnsi="Times New Roman" w:eastAsia="仿宋_GB2312" w:cs="Times New Roman"/>
                <w:color w:val="auto"/>
                <w:kern w:val="0"/>
                <w:sz w:val="24"/>
                <w:szCs w:val="24"/>
                <w:lang w:bidi="ar"/>
              </w:rPr>
              <w:t>MB</w:t>
            </w:r>
          </w:p>
        </w:tc>
        <w:tc>
          <w:tcPr>
            <w:tcW w:w="1055" w:type="dxa"/>
            <w:vAlign w:val="center"/>
          </w:tcPr>
          <w:p w14:paraId="7B6C298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DA9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01B0075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6693B5D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105</w:t>
            </w:r>
          </w:p>
        </w:tc>
        <w:tc>
          <w:tcPr>
            <w:tcW w:w="1309" w:type="dxa"/>
            <w:vAlign w:val="center"/>
          </w:tcPr>
          <w:p w14:paraId="012C337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性能要求</w:t>
            </w:r>
          </w:p>
        </w:tc>
        <w:tc>
          <w:tcPr>
            <w:tcW w:w="1201" w:type="dxa"/>
            <w:vAlign w:val="center"/>
          </w:tcPr>
          <w:p w14:paraId="6E8CBEC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*内存性能</w:t>
            </w:r>
          </w:p>
        </w:tc>
        <w:tc>
          <w:tcPr>
            <w:tcW w:w="1163" w:type="dxa"/>
            <w:vAlign w:val="center"/>
          </w:tcPr>
          <w:p w14:paraId="0259735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单内存模块容量</w:t>
            </w:r>
          </w:p>
        </w:tc>
        <w:tc>
          <w:tcPr>
            <w:tcW w:w="3495" w:type="dxa"/>
            <w:vAlign w:val="center"/>
          </w:tcPr>
          <w:p w14:paraId="7D0DE03F">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r>
              <w:rPr>
                <w:rFonts w:hint="eastAsia" w:ascii="Times New Roman" w:hAnsi="Times New Roman" w:eastAsia="仿宋_GB2312" w:cs="Times New Roman"/>
                <w:color w:val="auto"/>
                <w:kern w:val="0"/>
                <w:sz w:val="24"/>
                <w:szCs w:val="24"/>
                <w:lang w:val="en-US" w:eastAsia="zh-CN" w:bidi="ar"/>
              </w:rPr>
              <w:t>16</w:t>
            </w:r>
            <w:r>
              <w:rPr>
                <w:rFonts w:hint="default" w:ascii="Times New Roman" w:hAnsi="Times New Roman" w:eastAsia="仿宋_GB2312" w:cs="Times New Roman"/>
                <w:color w:val="auto"/>
                <w:kern w:val="0"/>
                <w:sz w:val="24"/>
                <w:szCs w:val="24"/>
                <w:lang w:bidi="ar"/>
              </w:rPr>
              <w:t>GB</w:t>
            </w:r>
          </w:p>
        </w:tc>
        <w:tc>
          <w:tcPr>
            <w:tcW w:w="1055" w:type="dxa"/>
            <w:vAlign w:val="center"/>
          </w:tcPr>
          <w:p w14:paraId="400A33D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867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5CDA3A7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28136A9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106</w:t>
            </w:r>
          </w:p>
        </w:tc>
        <w:tc>
          <w:tcPr>
            <w:tcW w:w="1309" w:type="dxa"/>
            <w:vAlign w:val="center"/>
          </w:tcPr>
          <w:p w14:paraId="689D2BF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性能要求</w:t>
            </w:r>
          </w:p>
        </w:tc>
        <w:tc>
          <w:tcPr>
            <w:tcW w:w="1201" w:type="dxa"/>
            <w:vAlign w:val="center"/>
          </w:tcPr>
          <w:p w14:paraId="735181F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*内存性能</w:t>
            </w:r>
          </w:p>
        </w:tc>
        <w:tc>
          <w:tcPr>
            <w:tcW w:w="1163" w:type="dxa"/>
            <w:vAlign w:val="center"/>
          </w:tcPr>
          <w:p w14:paraId="7E9D896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*内存速率</w:t>
            </w:r>
          </w:p>
        </w:tc>
        <w:tc>
          <w:tcPr>
            <w:tcW w:w="3495" w:type="dxa"/>
            <w:vAlign w:val="center"/>
          </w:tcPr>
          <w:p w14:paraId="61C0E767">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≥2666MT/s</w:t>
            </w:r>
          </w:p>
        </w:tc>
        <w:tc>
          <w:tcPr>
            <w:tcW w:w="1055" w:type="dxa"/>
            <w:vAlign w:val="center"/>
          </w:tcPr>
          <w:p w14:paraId="6CBD0BC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255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7260AB9E">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2137623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107</w:t>
            </w:r>
          </w:p>
        </w:tc>
        <w:tc>
          <w:tcPr>
            <w:tcW w:w="1309" w:type="dxa"/>
            <w:vAlign w:val="center"/>
          </w:tcPr>
          <w:p w14:paraId="76760EA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性能要求</w:t>
            </w:r>
          </w:p>
        </w:tc>
        <w:tc>
          <w:tcPr>
            <w:tcW w:w="1201" w:type="dxa"/>
            <w:vAlign w:val="center"/>
          </w:tcPr>
          <w:p w14:paraId="01B9D7E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存储性能</w:t>
            </w:r>
          </w:p>
        </w:tc>
        <w:tc>
          <w:tcPr>
            <w:tcW w:w="1163" w:type="dxa"/>
            <w:vAlign w:val="center"/>
          </w:tcPr>
          <w:p w14:paraId="4834521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硬盘转速</w:t>
            </w:r>
          </w:p>
        </w:tc>
        <w:tc>
          <w:tcPr>
            <w:tcW w:w="3495" w:type="dxa"/>
            <w:vAlign w:val="center"/>
          </w:tcPr>
          <w:p w14:paraId="398D8233">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5DDAF46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8FF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1CB5312A">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06A6B2A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108</w:t>
            </w:r>
          </w:p>
        </w:tc>
        <w:tc>
          <w:tcPr>
            <w:tcW w:w="1309" w:type="dxa"/>
            <w:vAlign w:val="center"/>
          </w:tcPr>
          <w:p w14:paraId="2E1A918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性能要求</w:t>
            </w:r>
          </w:p>
        </w:tc>
        <w:tc>
          <w:tcPr>
            <w:tcW w:w="1201" w:type="dxa"/>
            <w:vAlign w:val="center"/>
          </w:tcPr>
          <w:p w14:paraId="41697B7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RAID卡性能</w:t>
            </w:r>
          </w:p>
        </w:tc>
        <w:tc>
          <w:tcPr>
            <w:tcW w:w="1163" w:type="dxa"/>
            <w:vAlign w:val="center"/>
          </w:tcPr>
          <w:p w14:paraId="4FB6C94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RAID 卡缓存容量大小</w:t>
            </w:r>
          </w:p>
        </w:tc>
        <w:tc>
          <w:tcPr>
            <w:tcW w:w="3495" w:type="dxa"/>
            <w:vAlign w:val="center"/>
          </w:tcPr>
          <w:p w14:paraId="37EA80C9">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0A81751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ADB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3DCCDA6B">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4FB3978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109</w:t>
            </w:r>
          </w:p>
        </w:tc>
        <w:tc>
          <w:tcPr>
            <w:tcW w:w="1309" w:type="dxa"/>
            <w:vAlign w:val="center"/>
          </w:tcPr>
          <w:p w14:paraId="27FA294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性能要求</w:t>
            </w:r>
          </w:p>
        </w:tc>
        <w:tc>
          <w:tcPr>
            <w:tcW w:w="1201" w:type="dxa"/>
            <w:vAlign w:val="center"/>
          </w:tcPr>
          <w:p w14:paraId="6650144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FC HBA卡性能</w:t>
            </w:r>
          </w:p>
        </w:tc>
        <w:tc>
          <w:tcPr>
            <w:tcW w:w="1163" w:type="dxa"/>
            <w:vAlign w:val="center"/>
          </w:tcPr>
          <w:p w14:paraId="0DFCA96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FC HBA 卡速率</w:t>
            </w:r>
          </w:p>
        </w:tc>
        <w:tc>
          <w:tcPr>
            <w:tcW w:w="3495" w:type="dxa"/>
            <w:vAlign w:val="center"/>
          </w:tcPr>
          <w:p w14:paraId="5B08C454">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5D288DE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502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41347357">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5186465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110</w:t>
            </w:r>
          </w:p>
        </w:tc>
        <w:tc>
          <w:tcPr>
            <w:tcW w:w="1309" w:type="dxa"/>
            <w:vAlign w:val="center"/>
          </w:tcPr>
          <w:p w14:paraId="0B916E8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性能要求</w:t>
            </w:r>
          </w:p>
        </w:tc>
        <w:tc>
          <w:tcPr>
            <w:tcW w:w="1201" w:type="dxa"/>
            <w:vAlign w:val="center"/>
          </w:tcPr>
          <w:p w14:paraId="043F69F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网络性能</w:t>
            </w:r>
          </w:p>
        </w:tc>
        <w:tc>
          <w:tcPr>
            <w:tcW w:w="1163" w:type="dxa"/>
            <w:vAlign w:val="center"/>
          </w:tcPr>
          <w:p w14:paraId="19D4413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独立网卡速率</w:t>
            </w:r>
          </w:p>
        </w:tc>
        <w:tc>
          <w:tcPr>
            <w:tcW w:w="3495" w:type="dxa"/>
            <w:vAlign w:val="center"/>
          </w:tcPr>
          <w:p w14:paraId="4E189F5C">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6A63177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1C0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33814D55">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0365550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111</w:t>
            </w:r>
          </w:p>
        </w:tc>
        <w:tc>
          <w:tcPr>
            <w:tcW w:w="1309" w:type="dxa"/>
            <w:vAlign w:val="center"/>
          </w:tcPr>
          <w:p w14:paraId="4A1C4C8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性能要求</w:t>
            </w:r>
          </w:p>
        </w:tc>
        <w:tc>
          <w:tcPr>
            <w:tcW w:w="1201" w:type="dxa"/>
            <w:vAlign w:val="center"/>
          </w:tcPr>
          <w:p w14:paraId="493DAFF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网络性能</w:t>
            </w:r>
          </w:p>
        </w:tc>
        <w:tc>
          <w:tcPr>
            <w:tcW w:w="1163" w:type="dxa"/>
            <w:vAlign w:val="center"/>
          </w:tcPr>
          <w:p w14:paraId="743F096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板载网卡速率</w:t>
            </w:r>
          </w:p>
        </w:tc>
        <w:tc>
          <w:tcPr>
            <w:tcW w:w="3495" w:type="dxa"/>
            <w:vAlign w:val="center"/>
          </w:tcPr>
          <w:p w14:paraId="36A7643A">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1B075A8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46F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562F2F3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2EF2B1B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112</w:t>
            </w:r>
          </w:p>
        </w:tc>
        <w:tc>
          <w:tcPr>
            <w:tcW w:w="1309" w:type="dxa"/>
            <w:vAlign w:val="center"/>
          </w:tcPr>
          <w:p w14:paraId="3459E8A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性能要求</w:t>
            </w:r>
          </w:p>
        </w:tc>
        <w:tc>
          <w:tcPr>
            <w:tcW w:w="1201" w:type="dxa"/>
            <w:vAlign w:val="center"/>
          </w:tcPr>
          <w:p w14:paraId="066CB24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*电源能耗</w:t>
            </w:r>
          </w:p>
        </w:tc>
        <w:tc>
          <w:tcPr>
            <w:tcW w:w="1163" w:type="dxa"/>
            <w:vAlign w:val="center"/>
          </w:tcPr>
          <w:p w14:paraId="29168AB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*电源能耗</w:t>
            </w:r>
          </w:p>
        </w:tc>
        <w:tc>
          <w:tcPr>
            <w:tcW w:w="3495" w:type="dxa"/>
            <w:vAlign w:val="center"/>
          </w:tcPr>
          <w:p w14:paraId="41D3B5A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符合 GB/T 9813.3 的有关规定</w:t>
            </w:r>
          </w:p>
        </w:tc>
        <w:tc>
          <w:tcPr>
            <w:tcW w:w="1055" w:type="dxa"/>
            <w:vAlign w:val="center"/>
          </w:tcPr>
          <w:p w14:paraId="6CD9477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52CA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11F9595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55A24C3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113</w:t>
            </w:r>
          </w:p>
        </w:tc>
        <w:tc>
          <w:tcPr>
            <w:tcW w:w="1309" w:type="dxa"/>
            <w:vAlign w:val="center"/>
          </w:tcPr>
          <w:p w14:paraId="3A055A1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兼容要求</w:t>
            </w:r>
          </w:p>
        </w:tc>
        <w:tc>
          <w:tcPr>
            <w:tcW w:w="1201" w:type="dxa"/>
            <w:vAlign w:val="center"/>
          </w:tcPr>
          <w:p w14:paraId="1170505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*部件兼容性要求</w:t>
            </w:r>
          </w:p>
        </w:tc>
        <w:tc>
          <w:tcPr>
            <w:tcW w:w="1163" w:type="dxa"/>
            <w:vAlign w:val="center"/>
          </w:tcPr>
          <w:p w14:paraId="588DB32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*内存兼容性</w:t>
            </w:r>
          </w:p>
        </w:tc>
        <w:tc>
          <w:tcPr>
            <w:tcW w:w="3495" w:type="dxa"/>
            <w:vAlign w:val="center"/>
          </w:tcPr>
          <w:p w14:paraId="1D97C16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适配 3 种及以上厂商的内存产品，且均不低于产品支持的内存规格</w:t>
            </w:r>
          </w:p>
        </w:tc>
        <w:tc>
          <w:tcPr>
            <w:tcW w:w="1055" w:type="dxa"/>
            <w:vAlign w:val="center"/>
          </w:tcPr>
          <w:p w14:paraId="384D045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A06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06218E6B">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6F1F362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114</w:t>
            </w:r>
          </w:p>
        </w:tc>
        <w:tc>
          <w:tcPr>
            <w:tcW w:w="1309" w:type="dxa"/>
            <w:vAlign w:val="center"/>
          </w:tcPr>
          <w:p w14:paraId="232982E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兼容要求</w:t>
            </w:r>
          </w:p>
        </w:tc>
        <w:tc>
          <w:tcPr>
            <w:tcW w:w="1201" w:type="dxa"/>
            <w:vAlign w:val="center"/>
          </w:tcPr>
          <w:p w14:paraId="13841D0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*部件兼容性要求</w:t>
            </w:r>
          </w:p>
        </w:tc>
        <w:tc>
          <w:tcPr>
            <w:tcW w:w="1163" w:type="dxa"/>
            <w:vAlign w:val="center"/>
          </w:tcPr>
          <w:p w14:paraId="75FA86A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*固态存储兼容性</w:t>
            </w:r>
          </w:p>
        </w:tc>
        <w:tc>
          <w:tcPr>
            <w:tcW w:w="3495" w:type="dxa"/>
            <w:vAlign w:val="center"/>
          </w:tcPr>
          <w:p w14:paraId="7FD4FE3B">
            <w:pPr>
              <w:adjustRightInd w:val="0"/>
              <w:snapToGrid w:val="0"/>
              <w:textAlignment w:val="center"/>
              <w:rPr>
                <w:rFonts w:hint="default" w:ascii="Times New Roman" w:hAnsi="Times New Roman" w:eastAsia="仿宋_GB2312" w:cs="Times New Roman"/>
                <w:color w:val="auto"/>
                <w:kern w:val="0"/>
                <w:sz w:val="24"/>
                <w:szCs w:val="24"/>
                <w:lang w:val="en-US" w:eastAsia="zh-CN" w:bidi="ar"/>
              </w:rPr>
            </w:pPr>
            <w:r>
              <w:rPr>
                <w:rFonts w:hint="eastAsia" w:ascii="Times New Roman" w:hAnsi="Times New Roman" w:eastAsia="仿宋_GB2312" w:cs="Times New Roman"/>
                <w:color w:val="auto"/>
                <w:kern w:val="0"/>
                <w:sz w:val="24"/>
                <w:szCs w:val="24"/>
                <w:lang w:val="en-US" w:eastAsia="zh-CN" w:bidi="ar"/>
              </w:rPr>
              <w:t>/</w:t>
            </w:r>
          </w:p>
        </w:tc>
        <w:tc>
          <w:tcPr>
            <w:tcW w:w="1055" w:type="dxa"/>
            <w:vAlign w:val="center"/>
          </w:tcPr>
          <w:p w14:paraId="6EFDCBB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2C36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74A29767">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2CF94BC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115</w:t>
            </w:r>
          </w:p>
        </w:tc>
        <w:tc>
          <w:tcPr>
            <w:tcW w:w="1309" w:type="dxa"/>
            <w:vAlign w:val="center"/>
          </w:tcPr>
          <w:p w14:paraId="2DC91A0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兼容要求</w:t>
            </w:r>
          </w:p>
        </w:tc>
        <w:tc>
          <w:tcPr>
            <w:tcW w:w="1201" w:type="dxa"/>
            <w:vAlign w:val="center"/>
          </w:tcPr>
          <w:p w14:paraId="5FA797E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*部件兼容性要求</w:t>
            </w:r>
          </w:p>
        </w:tc>
        <w:tc>
          <w:tcPr>
            <w:tcW w:w="1163" w:type="dxa"/>
            <w:vAlign w:val="center"/>
          </w:tcPr>
          <w:p w14:paraId="5FC06D1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FC HBA 卡兼容性</w:t>
            </w:r>
          </w:p>
        </w:tc>
        <w:tc>
          <w:tcPr>
            <w:tcW w:w="3495" w:type="dxa"/>
            <w:vAlign w:val="center"/>
          </w:tcPr>
          <w:p w14:paraId="0E2F9D9D">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28649FF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4D28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98DF974">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38D86E2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116</w:t>
            </w:r>
          </w:p>
        </w:tc>
        <w:tc>
          <w:tcPr>
            <w:tcW w:w="1309" w:type="dxa"/>
            <w:vAlign w:val="center"/>
          </w:tcPr>
          <w:p w14:paraId="714D4CB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兼容要求</w:t>
            </w:r>
          </w:p>
        </w:tc>
        <w:tc>
          <w:tcPr>
            <w:tcW w:w="1201" w:type="dxa"/>
            <w:vAlign w:val="center"/>
          </w:tcPr>
          <w:p w14:paraId="515AED5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*部件兼容性要求</w:t>
            </w:r>
          </w:p>
        </w:tc>
        <w:tc>
          <w:tcPr>
            <w:tcW w:w="1163" w:type="dxa"/>
            <w:vAlign w:val="center"/>
          </w:tcPr>
          <w:p w14:paraId="79A7177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RAID 卡兼容性</w:t>
            </w:r>
          </w:p>
        </w:tc>
        <w:tc>
          <w:tcPr>
            <w:tcW w:w="3495" w:type="dxa"/>
            <w:vAlign w:val="center"/>
          </w:tcPr>
          <w:p w14:paraId="6128192B">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5D5A5EF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B49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17A683F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67F03D3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117</w:t>
            </w:r>
          </w:p>
        </w:tc>
        <w:tc>
          <w:tcPr>
            <w:tcW w:w="1309" w:type="dxa"/>
            <w:vAlign w:val="center"/>
          </w:tcPr>
          <w:p w14:paraId="6D82429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兼容要求</w:t>
            </w:r>
          </w:p>
        </w:tc>
        <w:tc>
          <w:tcPr>
            <w:tcW w:w="1201" w:type="dxa"/>
            <w:vAlign w:val="center"/>
          </w:tcPr>
          <w:p w14:paraId="59EA68D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*部件兼容性要求</w:t>
            </w:r>
          </w:p>
        </w:tc>
        <w:tc>
          <w:tcPr>
            <w:tcW w:w="1163" w:type="dxa"/>
            <w:vAlign w:val="center"/>
          </w:tcPr>
          <w:p w14:paraId="36FF7A1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*网卡兼容性</w:t>
            </w:r>
          </w:p>
        </w:tc>
        <w:tc>
          <w:tcPr>
            <w:tcW w:w="3495" w:type="dxa"/>
            <w:vAlign w:val="center"/>
          </w:tcPr>
          <w:p w14:paraId="4E0D79B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网卡应适配两种或以上厂商产品</w:t>
            </w:r>
          </w:p>
        </w:tc>
        <w:tc>
          <w:tcPr>
            <w:tcW w:w="1055" w:type="dxa"/>
            <w:vAlign w:val="center"/>
          </w:tcPr>
          <w:p w14:paraId="46B5869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71F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47B573B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3BD6CF6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118</w:t>
            </w:r>
          </w:p>
        </w:tc>
        <w:tc>
          <w:tcPr>
            <w:tcW w:w="1309" w:type="dxa"/>
            <w:vAlign w:val="center"/>
          </w:tcPr>
          <w:p w14:paraId="36D5A33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兼容要求</w:t>
            </w:r>
          </w:p>
        </w:tc>
        <w:tc>
          <w:tcPr>
            <w:tcW w:w="1201" w:type="dxa"/>
            <w:vAlign w:val="center"/>
          </w:tcPr>
          <w:p w14:paraId="42FB5FD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*部件兼容性要求</w:t>
            </w:r>
          </w:p>
        </w:tc>
        <w:tc>
          <w:tcPr>
            <w:tcW w:w="1163" w:type="dxa"/>
            <w:vAlign w:val="center"/>
          </w:tcPr>
          <w:p w14:paraId="51D04B2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*功能卡兼容性</w:t>
            </w:r>
          </w:p>
        </w:tc>
        <w:tc>
          <w:tcPr>
            <w:tcW w:w="3495" w:type="dxa"/>
            <w:vAlign w:val="center"/>
          </w:tcPr>
          <w:p w14:paraId="27DFA2D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内置或适配符合 PCIe 的功能卡，如：网络功能卡、存储功能卡及图形显示功能卡</w:t>
            </w:r>
          </w:p>
        </w:tc>
        <w:tc>
          <w:tcPr>
            <w:tcW w:w="1055" w:type="dxa"/>
            <w:vAlign w:val="center"/>
          </w:tcPr>
          <w:p w14:paraId="5718256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60C2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04" w:type="dxa"/>
            <w:vAlign w:val="center"/>
          </w:tcPr>
          <w:p w14:paraId="314980C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6073774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119</w:t>
            </w:r>
          </w:p>
        </w:tc>
        <w:tc>
          <w:tcPr>
            <w:tcW w:w="1309" w:type="dxa"/>
            <w:vAlign w:val="center"/>
          </w:tcPr>
          <w:p w14:paraId="7A7B6AE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兼容要求</w:t>
            </w:r>
          </w:p>
        </w:tc>
        <w:tc>
          <w:tcPr>
            <w:tcW w:w="1201" w:type="dxa"/>
            <w:vAlign w:val="center"/>
          </w:tcPr>
          <w:p w14:paraId="48803A0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*外设兼容性</w:t>
            </w:r>
          </w:p>
        </w:tc>
        <w:tc>
          <w:tcPr>
            <w:tcW w:w="1163" w:type="dxa"/>
            <w:vAlign w:val="center"/>
          </w:tcPr>
          <w:p w14:paraId="5D6E3F1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*外设兼容性</w:t>
            </w:r>
          </w:p>
        </w:tc>
        <w:tc>
          <w:tcPr>
            <w:tcW w:w="3495" w:type="dxa"/>
            <w:vAlign w:val="center"/>
          </w:tcPr>
          <w:p w14:paraId="4FC6243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兼容多种主流生产商的外部设备，包括显示器、键盘、鼠标、闪存盘、移动硬盘、USB 光驱及 KVM 等，要求使用不同厂商的外部设备时，系统均能正常识别和安装驱动</w:t>
            </w:r>
          </w:p>
        </w:tc>
        <w:tc>
          <w:tcPr>
            <w:tcW w:w="1055" w:type="dxa"/>
            <w:vAlign w:val="center"/>
          </w:tcPr>
          <w:p w14:paraId="197065F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59EE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322AB7E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2988D3A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120</w:t>
            </w:r>
          </w:p>
        </w:tc>
        <w:tc>
          <w:tcPr>
            <w:tcW w:w="1309" w:type="dxa"/>
            <w:vAlign w:val="center"/>
          </w:tcPr>
          <w:p w14:paraId="1088CED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兼容要求</w:t>
            </w:r>
          </w:p>
        </w:tc>
        <w:tc>
          <w:tcPr>
            <w:tcW w:w="1201" w:type="dxa"/>
            <w:vAlign w:val="center"/>
          </w:tcPr>
          <w:p w14:paraId="7B5BC4F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*软件兼容性</w:t>
            </w:r>
          </w:p>
        </w:tc>
        <w:tc>
          <w:tcPr>
            <w:tcW w:w="1163" w:type="dxa"/>
            <w:vAlign w:val="center"/>
          </w:tcPr>
          <w:p w14:paraId="4E49457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*数据库兼容</w:t>
            </w:r>
          </w:p>
        </w:tc>
        <w:tc>
          <w:tcPr>
            <w:tcW w:w="3495" w:type="dxa"/>
            <w:vAlign w:val="center"/>
          </w:tcPr>
          <w:p w14:paraId="3CDE1E5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兼容 3 个及以上厂商的数据库产品</w:t>
            </w:r>
          </w:p>
        </w:tc>
        <w:tc>
          <w:tcPr>
            <w:tcW w:w="1055" w:type="dxa"/>
            <w:vAlign w:val="center"/>
          </w:tcPr>
          <w:p w14:paraId="4D085DC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BF51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24A0BDA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426E905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121</w:t>
            </w:r>
          </w:p>
        </w:tc>
        <w:tc>
          <w:tcPr>
            <w:tcW w:w="1309" w:type="dxa"/>
            <w:vAlign w:val="center"/>
          </w:tcPr>
          <w:p w14:paraId="3154AEA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兼容要求</w:t>
            </w:r>
          </w:p>
        </w:tc>
        <w:tc>
          <w:tcPr>
            <w:tcW w:w="1201" w:type="dxa"/>
            <w:vAlign w:val="center"/>
          </w:tcPr>
          <w:p w14:paraId="0557031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*软件兼容性</w:t>
            </w:r>
          </w:p>
        </w:tc>
        <w:tc>
          <w:tcPr>
            <w:tcW w:w="1163" w:type="dxa"/>
            <w:vAlign w:val="center"/>
          </w:tcPr>
          <w:p w14:paraId="4BA42CC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*中间件兼容</w:t>
            </w:r>
          </w:p>
        </w:tc>
        <w:tc>
          <w:tcPr>
            <w:tcW w:w="3495" w:type="dxa"/>
            <w:vAlign w:val="center"/>
          </w:tcPr>
          <w:p w14:paraId="573E497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兼容 3 个及以上厂商的中间件产品</w:t>
            </w:r>
          </w:p>
        </w:tc>
        <w:tc>
          <w:tcPr>
            <w:tcW w:w="1055" w:type="dxa"/>
            <w:vAlign w:val="center"/>
          </w:tcPr>
          <w:p w14:paraId="5D3793F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F0DE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43EA7D4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3BE16BD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122</w:t>
            </w:r>
          </w:p>
        </w:tc>
        <w:tc>
          <w:tcPr>
            <w:tcW w:w="1309" w:type="dxa"/>
            <w:vAlign w:val="center"/>
          </w:tcPr>
          <w:p w14:paraId="5A33EE8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兼容要求</w:t>
            </w:r>
          </w:p>
        </w:tc>
        <w:tc>
          <w:tcPr>
            <w:tcW w:w="1201" w:type="dxa"/>
            <w:vAlign w:val="center"/>
          </w:tcPr>
          <w:p w14:paraId="07E1415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*软件兼容性</w:t>
            </w:r>
          </w:p>
        </w:tc>
        <w:tc>
          <w:tcPr>
            <w:tcW w:w="1163" w:type="dxa"/>
            <w:vAlign w:val="center"/>
          </w:tcPr>
          <w:p w14:paraId="4FCD318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*平台软件兼容</w:t>
            </w:r>
          </w:p>
        </w:tc>
        <w:tc>
          <w:tcPr>
            <w:tcW w:w="3495" w:type="dxa"/>
            <w:vAlign w:val="center"/>
          </w:tcPr>
          <w:p w14:paraId="3A62EB1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兼容 3 个及以上厂商的大数据平台</w:t>
            </w:r>
          </w:p>
        </w:tc>
        <w:tc>
          <w:tcPr>
            <w:tcW w:w="1055" w:type="dxa"/>
            <w:vAlign w:val="center"/>
          </w:tcPr>
          <w:p w14:paraId="68877C3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D8AB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1834878">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11C96BC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123</w:t>
            </w:r>
          </w:p>
        </w:tc>
        <w:tc>
          <w:tcPr>
            <w:tcW w:w="1309" w:type="dxa"/>
            <w:vAlign w:val="center"/>
          </w:tcPr>
          <w:p w14:paraId="7DF161C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兼容要求</w:t>
            </w:r>
          </w:p>
        </w:tc>
        <w:tc>
          <w:tcPr>
            <w:tcW w:w="1201" w:type="dxa"/>
            <w:vAlign w:val="center"/>
          </w:tcPr>
          <w:p w14:paraId="5127F70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*软件兼容性</w:t>
            </w:r>
          </w:p>
        </w:tc>
        <w:tc>
          <w:tcPr>
            <w:tcW w:w="1163" w:type="dxa"/>
            <w:vAlign w:val="center"/>
          </w:tcPr>
          <w:p w14:paraId="7D77CDD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虚拟化软件兼容</w:t>
            </w:r>
          </w:p>
        </w:tc>
        <w:tc>
          <w:tcPr>
            <w:tcW w:w="3495" w:type="dxa"/>
            <w:vAlign w:val="center"/>
          </w:tcPr>
          <w:p w14:paraId="7F29BD3D">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3D6CDCD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FC9D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59ADE7AB">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3D5F49E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124</w:t>
            </w:r>
          </w:p>
        </w:tc>
        <w:tc>
          <w:tcPr>
            <w:tcW w:w="1309" w:type="dxa"/>
            <w:vAlign w:val="center"/>
          </w:tcPr>
          <w:p w14:paraId="34DFF20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可靠性要求</w:t>
            </w:r>
          </w:p>
        </w:tc>
        <w:tc>
          <w:tcPr>
            <w:tcW w:w="1201" w:type="dxa"/>
            <w:vAlign w:val="center"/>
          </w:tcPr>
          <w:p w14:paraId="3538AF6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存储可靠性要求</w:t>
            </w:r>
          </w:p>
        </w:tc>
        <w:tc>
          <w:tcPr>
            <w:tcW w:w="1163" w:type="dxa"/>
            <w:vAlign w:val="center"/>
          </w:tcPr>
          <w:p w14:paraId="38A630D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SATA SSD可靠性</w:t>
            </w:r>
          </w:p>
        </w:tc>
        <w:tc>
          <w:tcPr>
            <w:tcW w:w="3495" w:type="dxa"/>
            <w:vAlign w:val="center"/>
          </w:tcPr>
          <w:p w14:paraId="13ADB58B">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5C6EE01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D38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360DBB6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192FBE9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125</w:t>
            </w:r>
          </w:p>
        </w:tc>
        <w:tc>
          <w:tcPr>
            <w:tcW w:w="1309" w:type="dxa"/>
            <w:vAlign w:val="center"/>
          </w:tcPr>
          <w:p w14:paraId="4CBAC08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可靠性要求</w:t>
            </w:r>
          </w:p>
        </w:tc>
        <w:tc>
          <w:tcPr>
            <w:tcW w:w="1201" w:type="dxa"/>
            <w:vAlign w:val="center"/>
          </w:tcPr>
          <w:p w14:paraId="5149E52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*整机可靠性要求</w:t>
            </w:r>
          </w:p>
        </w:tc>
        <w:tc>
          <w:tcPr>
            <w:tcW w:w="1163" w:type="dxa"/>
            <w:vAlign w:val="center"/>
          </w:tcPr>
          <w:p w14:paraId="03C2A30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*整机可靠性</w:t>
            </w:r>
          </w:p>
        </w:tc>
        <w:tc>
          <w:tcPr>
            <w:tcW w:w="3495" w:type="dxa"/>
            <w:vAlign w:val="center"/>
          </w:tcPr>
          <w:p w14:paraId="4CBB581D">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m1 值（MTBF 的不可接受值）不得低于 30000h</w:t>
            </w:r>
          </w:p>
        </w:tc>
        <w:tc>
          <w:tcPr>
            <w:tcW w:w="1055" w:type="dxa"/>
            <w:vAlign w:val="center"/>
          </w:tcPr>
          <w:p w14:paraId="35C97F8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1AD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5D97AAD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047CC47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126</w:t>
            </w:r>
          </w:p>
        </w:tc>
        <w:tc>
          <w:tcPr>
            <w:tcW w:w="1309" w:type="dxa"/>
            <w:vAlign w:val="center"/>
          </w:tcPr>
          <w:p w14:paraId="107574E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可靠性要求</w:t>
            </w:r>
          </w:p>
        </w:tc>
        <w:tc>
          <w:tcPr>
            <w:tcW w:w="1201" w:type="dxa"/>
            <w:vAlign w:val="center"/>
          </w:tcPr>
          <w:p w14:paraId="33D1E03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*整机可靠性要求</w:t>
            </w:r>
          </w:p>
        </w:tc>
        <w:tc>
          <w:tcPr>
            <w:tcW w:w="1163" w:type="dxa"/>
            <w:vAlign w:val="center"/>
          </w:tcPr>
          <w:p w14:paraId="628E515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*风扇可靠性</w:t>
            </w:r>
          </w:p>
        </w:tc>
        <w:tc>
          <w:tcPr>
            <w:tcW w:w="3495" w:type="dxa"/>
            <w:vAlign w:val="center"/>
          </w:tcPr>
          <w:p w14:paraId="245AC80E">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风扇寿命应不低于40000h</w:t>
            </w:r>
          </w:p>
        </w:tc>
        <w:tc>
          <w:tcPr>
            <w:tcW w:w="1055" w:type="dxa"/>
            <w:vAlign w:val="center"/>
          </w:tcPr>
          <w:p w14:paraId="4114799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D80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81555A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3AA2CFE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127</w:t>
            </w:r>
          </w:p>
        </w:tc>
        <w:tc>
          <w:tcPr>
            <w:tcW w:w="1309" w:type="dxa"/>
            <w:vAlign w:val="center"/>
          </w:tcPr>
          <w:p w14:paraId="004EFDE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可靠性要求</w:t>
            </w:r>
          </w:p>
        </w:tc>
        <w:tc>
          <w:tcPr>
            <w:tcW w:w="1201" w:type="dxa"/>
            <w:vAlign w:val="center"/>
          </w:tcPr>
          <w:p w14:paraId="7F18069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*整机可靠性要求</w:t>
            </w:r>
          </w:p>
        </w:tc>
        <w:tc>
          <w:tcPr>
            <w:tcW w:w="1163" w:type="dxa"/>
            <w:vAlign w:val="center"/>
          </w:tcPr>
          <w:p w14:paraId="1B23557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*部件可靠性</w:t>
            </w:r>
          </w:p>
        </w:tc>
        <w:tc>
          <w:tcPr>
            <w:tcW w:w="3495" w:type="dxa"/>
            <w:vAlign w:val="center"/>
          </w:tcPr>
          <w:p w14:paraId="7735F74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支持硬盘、电源、风扇热插拔(内置风扇除外)</w:t>
            </w:r>
          </w:p>
        </w:tc>
        <w:tc>
          <w:tcPr>
            <w:tcW w:w="1055" w:type="dxa"/>
            <w:vAlign w:val="center"/>
          </w:tcPr>
          <w:p w14:paraId="618216D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AF4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804" w:type="dxa"/>
            <w:vAlign w:val="center"/>
          </w:tcPr>
          <w:p w14:paraId="0D1C67F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409F1C5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128</w:t>
            </w:r>
          </w:p>
        </w:tc>
        <w:tc>
          <w:tcPr>
            <w:tcW w:w="1309" w:type="dxa"/>
            <w:vAlign w:val="center"/>
          </w:tcPr>
          <w:p w14:paraId="6A9B250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包装及运输要求</w:t>
            </w:r>
          </w:p>
        </w:tc>
        <w:tc>
          <w:tcPr>
            <w:tcW w:w="1201" w:type="dxa"/>
            <w:vAlign w:val="center"/>
          </w:tcPr>
          <w:p w14:paraId="11874CA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*包装及运输要求</w:t>
            </w:r>
          </w:p>
        </w:tc>
        <w:tc>
          <w:tcPr>
            <w:tcW w:w="1163" w:type="dxa"/>
            <w:vAlign w:val="center"/>
          </w:tcPr>
          <w:p w14:paraId="2769FD58">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*标志、包装、运输和贮存</w:t>
            </w:r>
          </w:p>
        </w:tc>
        <w:tc>
          <w:tcPr>
            <w:tcW w:w="3495" w:type="dxa"/>
            <w:vAlign w:val="center"/>
          </w:tcPr>
          <w:p w14:paraId="776C785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符合GB/T 9813.3 和商品包装政府采购需求标准的相关规定</w:t>
            </w:r>
          </w:p>
        </w:tc>
        <w:tc>
          <w:tcPr>
            <w:tcW w:w="1055" w:type="dxa"/>
            <w:vAlign w:val="center"/>
          </w:tcPr>
          <w:p w14:paraId="5B1989B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1139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804" w:type="dxa"/>
            <w:vAlign w:val="center"/>
          </w:tcPr>
          <w:p w14:paraId="581AB30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313ACF9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129</w:t>
            </w:r>
          </w:p>
        </w:tc>
        <w:tc>
          <w:tcPr>
            <w:tcW w:w="1309" w:type="dxa"/>
            <w:vAlign w:val="center"/>
          </w:tcPr>
          <w:p w14:paraId="5FF53A2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服务要求</w:t>
            </w:r>
          </w:p>
        </w:tc>
        <w:tc>
          <w:tcPr>
            <w:tcW w:w="1201" w:type="dxa"/>
            <w:vAlign w:val="center"/>
          </w:tcPr>
          <w:p w14:paraId="3ECEC1C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*服务响应</w:t>
            </w:r>
          </w:p>
        </w:tc>
        <w:tc>
          <w:tcPr>
            <w:tcW w:w="1163" w:type="dxa"/>
            <w:vAlign w:val="center"/>
          </w:tcPr>
          <w:p w14:paraId="75C7E4E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*服务响应</w:t>
            </w:r>
          </w:p>
        </w:tc>
        <w:tc>
          <w:tcPr>
            <w:tcW w:w="3495" w:type="dxa"/>
            <w:vAlign w:val="center"/>
          </w:tcPr>
          <w:p w14:paraId="0BD27D4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a) 提供电话、电子邮件、远程连接等多种形式服务；</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b) 提供同城 4h、异地 12h 技术响应服务，2 个工作日解决问题，对于未能解决的问题和故障应提供可行的升级方案，并提供周转设备；</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c) 建立全国技术服务体系和服务团体，符合专业服务体系标准要求，提供原厂中文服务；</w:t>
            </w:r>
            <w:r>
              <w:rPr>
                <w:rFonts w:hint="default" w:ascii="Times New Roman" w:hAnsi="Times New Roman" w:eastAsia="仿宋_GB2312" w:cs="Times New Roman"/>
                <w:color w:val="auto"/>
                <w:kern w:val="0"/>
                <w:sz w:val="24"/>
                <w:szCs w:val="24"/>
                <w:lang w:eastAsia="zh-CN" w:bidi="ar"/>
              </w:rPr>
              <w:br w:type="textWrapping"/>
            </w:r>
            <w:r>
              <w:rPr>
                <w:rFonts w:hint="default" w:ascii="Times New Roman" w:hAnsi="Times New Roman" w:eastAsia="仿宋_GB2312" w:cs="Times New Roman"/>
                <w:color w:val="auto"/>
                <w:kern w:val="0"/>
                <w:sz w:val="24"/>
                <w:szCs w:val="24"/>
                <w:lang w:eastAsia="zh-CN" w:bidi="ar"/>
              </w:rPr>
              <w:t>d) 服务周期内提供产品的维修、换件和升级服务</w:t>
            </w:r>
          </w:p>
        </w:tc>
        <w:tc>
          <w:tcPr>
            <w:tcW w:w="1055" w:type="dxa"/>
            <w:vAlign w:val="center"/>
          </w:tcPr>
          <w:p w14:paraId="7EB4C4E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5E28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804" w:type="dxa"/>
            <w:vAlign w:val="center"/>
          </w:tcPr>
          <w:p w14:paraId="52D75D4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26EB36F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130</w:t>
            </w:r>
          </w:p>
        </w:tc>
        <w:tc>
          <w:tcPr>
            <w:tcW w:w="1309" w:type="dxa"/>
            <w:vAlign w:val="center"/>
          </w:tcPr>
          <w:p w14:paraId="1B9196C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服务要求</w:t>
            </w:r>
          </w:p>
        </w:tc>
        <w:tc>
          <w:tcPr>
            <w:tcW w:w="1201" w:type="dxa"/>
            <w:vAlign w:val="center"/>
          </w:tcPr>
          <w:p w14:paraId="5EF3981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*服务响应</w:t>
            </w:r>
          </w:p>
        </w:tc>
        <w:tc>
          <w:tcPr>
            <w:tcW w:w="1163" w:type="dxa"/>
            <w:vAlign w:val="center"/>
          </w:tcPr>
          <w:p w14:paraId="2434785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*培训服务</w:t>
            </w:r>
          </w:p>
        </w:tc>
        <w:tc>
          <w:tcPr>
            <w:tcW w:w="3495" w:type="dxa"/>
            <w:vAlign w:val="center"/>
          </w:tcPr>
          <w:p w14:paraId="03F210E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供应商提供培训材料、产品手册、培训视频等培训相关内容</w:t>
            </w:r>
          </w:p>
        </w:tc>
        <w:tc>
          <w:tcPr>
            <w:tcW w:w="1055" w:type="dxa"/>
            <w:vAlign w:val="center"/>
          </w:tcPr>
          <w:p w14:paraId="356D27B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3C81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804" w:type="dxa"/>
            <w:vAlign w:val="center"/>
          </w:tcPr>
          <w:p w14:paraId="335D741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06D81BD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131</w:t>
            </w:r>
          </w:p>
        </w:tc>
        <w:tc>
          <w:tcPr>
            <w:tcW w:w="1309" w:type="dxa"/>
            <w:vAlign w:val="center"/>
          </w:tcPr>
          <w:p w14:paraId="475D741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服务要求</w:t>
            </w:r>
          </w:p>
        </w:tc>
        <w:tc>
          <w:tcPr>
            <w:tcW w:w="1201" w:type="dxa"/>
            <w:vAlign w:val="center"/>
          </w:tcPr>
          <w:p w14:paraId="7BA7503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*服务周期</w:t>
            </w:r>
          </w:p>
        </w:tc>
        <w:tc>
          <w:tcPr>
            <w:tcW w:w="1163" w:type="dxa"/>
            <w:vAlign w:val="center"/>
          </w:tcPr>
          <w:p w14:paraId="02A25F2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*服务周期</w:t>
            </w:r>
          </w:p>
        </w:tc>
        <w:tc>
          <w:tcPr>
            <w:tcW w:w="3495" w:type="dxa"/>
            <w:vAlign w:val="center"/>
          </w:tcPr>
          <w:p w14:paraId="661BCE1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产品免费服务周期（含换件和维修）应不小于</w:t>
            </w:r>
            <w:r>
              <w:rPr>
                <w:rFonts w:hint="default" w:ascii="Times New Roman" w:hAnsi="Times New Roman" w:eastAsia="仿宋_GB2312" w:cs="Times New Roman"/>
                <w:color w:val="auto"/>
                <w:kern w:val="0"/>
                <w:sz w:val="24"/>
                <w:szCs w:val="24"/>
                <w:lang w:val="en-US" w:eastAsia="zh-CN" w:bidi="ar"/>
              </w:rPr>
              <w:t>3</w:t>
            </w:r>
            <w:r>
              <w:rPr>
                <w:rFonts w:hint="default" w:ascii="Times New Roman" w:hAnsi="Times New Roman" w:eastAsia="仿宋_GB2312" w:cs="Times New Roman"/>
                <w:color w:val="auto"/>
                <w:kern w:val="0"/>
                <w:sz w:val="24"/>
                <w:szCs w:val="24"/>
                <w:lang w:eastAsia="zh-CN" w:bidi="ar"/>
              </w:rPr>
              <w:t>年；</w:t>
            </w:r>
          </w:p>
        </w:tc>
        <w:tc>
          <w:tcPr>
            <w:tcW w:w="1055" w:type="dxa"/>
            <w:vAlign w:val="center"/>
          </w:tcPr>
          <w:p w14:paraId="68D8D10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05CD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E53536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426D170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132</w:t>
            </w:r>
          </w:p>
        </w:tc>
        <w:tc>
          <w:tcPr>
            <w:tcW w:w="1309" w:type="dxa"/>
            <w:vAlign w:val="center"/>
          </w:tcPr>
          <w:p w14:paraId="46657C4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服务要求</w:t>
            </w:r>
          </w:p>
        </w:tc>
        <w:tc>
          <w:tcPr>
            <w:tcW w:w="1201" w:type="dxa"/>
            <w:vAlign w:val="center"/>
          </w:tcPr>
          <w:p w14:paraId="03D291D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*服务工具要求</w:t>
            </w:r>
          </w:p>
        </w:tc>
        <w:tc>
          <w:tcPr>
            <w:tcW w:w="1163" w:type="dxa"/>
            <w:vAlign w:val="center"/>
          </w:tcPr>
          <w:p w14:paraId="584063E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*工具要求</w:t>
            </w:r>
          </w:p>
        </w:tc>
        <w:tc>
          <w:tcPr>
            <w:tcW w:w="3495" w:type="dxa"/>
            <w:vAlign w:val="center"/>
          </w:tcPr>
          <w:p w14:paraId="2FB654F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供应商提供设置服务器硬件、辅助操作系统安装等功能的辅助工具和管理软件。且随附软件应具有合法授权或版权</w:t>
            </w:r>
          </w:p>
        </w:tc>
        <w:tc>
          <w:tcPr>
            <w:tcW w:w="1055" w:type="dxa"/>
            <w:vAlign w:val="center"/>
          </w:tcPr>
          <w:p w14:paraId="1A45686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11D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7E5955D8">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2269050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133</w:t>
            </w:r>
          </w:p>
        </w:tc>
        <w:tc>
          <w:tcPr>
            <w:tcW w:w="1309" w:type="dxa"/>
            <w:vAlign w:val="center"/>
          </w:tcPr>
          <w:p w14:paraId="522ECD0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服务要求</w:t>
            </w:r>
          </w:p>
        </w:tc>
        <w:tc>
          <w:tcPr>
            <w:tcW w:w="1201" w:type="dxa"/>
            <w:vAlign w:val="center"/>
          </w:tcPr>
          <w:p w14:paraId="064C78E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*服务工具要求</w:t>
            </w:r>
          </w:p>
        </w:tc>
        <w:tc>
          <w:tcPr>
            <w:tcW w:w="1163" w:type="dxa"/>
            <w:vAlign w:val="center"/>
          </w:tcPr>
          <w:p w14:paraId="30F36DC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辅助工具</w:t>
            </w:r>
          </w:p>
        </w:tc>
        <w:tc>
          <w:tcPr>
            <w:tcW w:w="3495" w:type="dxa"/>
            <w:vAlign w:val="center"/>
          </w:tcPr>
          <w:p w14:paraId="20F56EFF">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799695E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399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5AE68ED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623" w:type="dxa"/>
            <w:vAlign w:val="center"/>
          </w:tcPr>
          <w:p w14:paraId="008EB58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134</w:t>
            </w:r>
          </w:p>
        </w:tc>
        <w:tc>
          <w:tcPr>
            <w:tcW w:w="1309" w:type="dxa"/>
            <w:vAlign w:val="center"/>
          </w:tcPr>
          <w:p w14:paraId="52C8311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服务要求</w:t>
            </w:r>
          </w:p>
        </w:tc>
        <w:tc>
          <w:tcPr>
            <w:tcW w:w="1201" w:type="dxa"/>
            <w:vAlign w:val="center"/>
          </w:tcPr>
          <w:p w14:paraId="5A02F23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*服务工具要求</w:t>
            </w:r>
          </w:p>
        </w:tc>
        <w:tc>
          <w:tcPr>
            <w:tcW w:w="1163" w:type="dxa"/>
            <w:vAlign w:val="center"/>
          </w:tcPr>
          <w:p w14:paraId="7F61C6D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*驱动安装升级指引</w:t>
            </w:r>
          </w:p>
        </w:tc>
        <w:tc>
          <w:tcPr>
            <w:tcW w:w="3495" w:type="dxa"/>
            <w:vAlign w:val="center"/>
          </w:tcPr>
          <w:p w14:paraId="5933FA9D">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eastAsia="zh-CN" w:bidi="ar"/>
              </w:rPr>
              <w:t>供应商提供出厂安装的配件所需的驱动程序，形式包括但不限于驱动光盘、驱动下载链接等。</w:t>
            </w:r>
            <w:r>
              <w:rPr>
                <w:rFonts w:hint="default" w:ascii="Times New Roman" w:hAnsi="Times New Roman" w:eastAsia="仿宋_GB2312" w:cs="Times New Roman"/>
                <w:color w:val="auto"/>
                <w:kern w:val="0"/>
                <w:sz w:val="24"/>
                <w:szCs w:val="24"/>
                <w:lang w:bidi="ar"/>
              </w:rPr>
              <w:t>其他配件应提供指引</w:t>
            </w:r>
          </w:p>
        </w:tc>
        <w:tc>
          <w:tcPr>
            <w:tcW w:w="1055" w:type="dxa"/>
            <w:vAlign w:val="center"/>
          </w:tcPr>
          <w:p w14:paraId="157F0BD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4F9D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1A590CE">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781675C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135</w:t>
            </w:r>
          </w:p>
        </w:tc>
        <w:tc>
          <w:tcPr>
            <w:tcW w:w="1309" w:type="dxa"/>
            <w:vAlign w:val="center"/>
          </w:tcPr>
          <w:p w14:paraId="3D8B02C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服务要求</w:t>
            </w:r>
          </w:p>
        </w:tc>
        <w:tc>
          <w:tcPr>
            <w:tcW w:w="1201" w:type="dxa"/>
            <w:vAlign w:val="center"/>
          </w:tcPr>
          <w:p w14:paraId="0146754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*服务工具要求</w:t>
            </w:r>
          </w:p>
        </w:tc>
        <w:tc>
          <w:tcPr>
            <w:tcW w:w="1163" w:type="dxa"/>
            <w:vAlign w:val="center"/>
          </w:tcPr>
          <w:p w14:paraId="7A743FC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随机附开盖工具</w:t>
            </w:r>
          </w:p>
        </w:tc>
        <w:tc>
          <w:tcPr>
            <w:tcW w:w="3495" w:type="dxa"/>
            <w:vAlign w:val="center"/>
          </w:tcPr>
          <w:p w14:paraId="544C5967">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7C6A0C7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D81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3F74E540">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0EE82F2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136</w:t>
            </w:r>
          </w:p>
        </w:tc>
        <w:tc>
          <w:tcPr>
            <w:tcW w:w="1309" w:type="dxa"/>
            <w:vAlign w:val="center"/>
          </w:tcPr>
          <w:p w14:paraId="5C54991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服务要求</w:t>
            </w:r>
          </w:p>
        </w:tc>
        <w:tc>
          <w:tcPr>
            <w:tcW w:w="1201" w:type="dxa"/>
            <w:vAlign w:val="center"/>
          </w:tcPr>
          <w:p w14:paraId="3021C52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*服务工具要求</w:t>
            </w:r>
          </w:p>
        </w:tc>
        <w:tc>
          <w:tcPr>
            <w:tcW w:w="1163" w:type="dxa"/>
            <w:vAlign w:val="center"/>
          </w:tcPr>
          <w:p w14:paraId="192C814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代码迁移工具</w:t>
            </w:r>
          </w:p>
        </w:tc>
        <w:tc>
          <w:tcPr>
            <w:tcW w:w="3495" w:type="dxa"/>
            <w:vAlign w:val="center"/>
          </w:tcPr>
          <w:p w14:paraId="7F3C63B1">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53E4C61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1CD2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764D782">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5BCD1EB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137</w:t>
            </w:r>
          </w:p>
        </w:tc>
        <w:tc>
          <w:tcPr>
            <w:tcW w:w="1309" w:type="dxa"/>
            <w:vAlign w:val="center"/>
          </w:tcPr>
          <w:p w14:paraId="5128A63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服务要求</w:t>
            </w:r>
          </w:p>
        </w:tc>
        <w:tc>
          <w:tcPr>
            <w:tcW w:w="1201" w:type="dxa"/>
            <w:vAlign w:val="center"/>
          </w:tcPr>
          <w:p w14:paraId="119D18F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*服务工具要求</w:t>
            </w:r>
          </w:p>
        </w:tc>
        <w:tc>
          <w:tcPr>
            <w:tcW w:w="1163" w:type="dxa"/>
            <w:vAlign w:val="center"/>
          </w:tcPr>
          <w:p w14:paraId="78FC389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性能分析工具</w:t>
            </w:r>
          </w:p>
        </w:tc>
        <w:tc>
          <w:tcPr>
            <w:tcW w:w="3495" w:type="dxa"/>
            <w:vAlign w:val="center"/>
          </w:tcPr>
          <w:p w14:paraId="7A0A0EA2">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318A039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272DA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2FA53BA7">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08E9285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138</w:t>
            </w:r>
          </w:p>
        </w:tc>
        <w:tc>
          <w:tcPr>
            <w:tcW w:w="1309" w:type="dxa"/>
            <w:vAlign w:val="center"/>
          </w:tcPr>
          <w:p w14:paraId="66CE7D8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服务要求</w:t>
            </w:r>
          </w:p>
        </w:tc>
        <w:tc>
          <w:tcPr>
            <w:tcW w:w="1201" w:type="dxa"/>
            <w:vAlign w:val="center"/>
          </w:tcPr>
          <w:p w14:paraId="0C59EFE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*服务工具要求</w:t>
            </w:r>
          </w:p>
        </w:tc>
        <w:tc>
          <w:tcPr>
            <w:tcW w:w="1163" w:type="dxa"/>
            <w:vAlign w:val="center"/>
          </w:tcPr>
          <w:p w14:paraId="4742316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跨架构平台应用兼容</w:t>
            </w:r>
          </w:p>
        </w:tc>
        <w:tc>
          <w:tcPr>
            <w:tcW w:w="3495" w:type="dxa"/>
            <w:vAlign w:val="center"/>
          </w:tcPr>
          <w:p w14:paraId="2D2EB9E8">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44247C7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1DA12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61BBE9A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747EFAA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139</w:t>
            </w:r>
          </w:p>
        </w:tc>
        <w:tc>
          <w:tcPr>
            <w:tcW w:w="1309" w:type="dxa"/>
            <w:vAlign w:val="center"/>
          </w:tcPr>
          <w:p w14:paraId="7B68187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服务要求</w:t>
            </w:r>
          </w:p>
        </w:tc>
        <w:tc>
          <w:tcPr>
            <w:tcW w:w="1201" w:type="dxa"/>
            <w:vAlign w:val="center"/>
          </w:tcPr>
          <w:p w14:paraId="1DC32376">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*服务工具要求</w:t>
            </w:r>
          </w:p>
        </w:tc>
        <w:tc>
          <w:tcPr>
            <w:tcW w:w="1163" w:type="dxa"/>
            <w:vAlign w:val="center"/>
          </w:tcPr>
          <w:p w14:paraId="5A85B63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*管理软件</w:t>
            </w:r>
          </w:p>
        </w:tc>
        <w:tc>
          <w:tcPr>
            <w:tcW w:w="3495" w:type="dxa"/>
            <w:vAlign w:val="center"/>
          </w:tcPr>
          <w:p w14:paraId="11127ED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具备资源管理、系统管理、性能监控、健康监控、基于网络控制、报警设置功能</w:t>
            </w:r>
          </w:p>
        </w:tc>
        <w:tc>
          <w:tcPr>
            <w:tcW w:w="1055" w:type="dxa"/>
            <w:vAlign w:val="center"/>
          </w:tcPr>
          <w:p w14:paraId="4644F5A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790A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5DBD678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16ADF1B0">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140</w:t>
            </w:r>
          </w:p>
        </w:tc>
        <w:tc>
          <w:tcPr>
            <w:tcW w:w="1309" w:type="dxa"/>
            <w:vAlign w:val="center"/>
          </w:tcPr>
          <w:p w14:paraId="3446EC3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服务要求</w:t>
            </w:r>
          </w:p>
        </w:tc>
        <w:tc>
          <w:tcPr>
            <w:tcW w:w="1201" w:type="dxa"/>
            <w:vAlign w:val="center"/>
          </w:tcPr>
          <w:p w14:paraId="7FCA90FF">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*增值服务</w:t>
            </w:r>
          </w:p>
        </w:tc>
        <w:tc>
          <w:tcPr>
            <w:tcW w:w="1163" w:type="dxa"/>
            <w:vAlign w:val="center"/>
          </w:tcPr>
          <w:p w14:paraId="4E5CD53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*厂家升级产品软件与扩容服务</w:t>
            </w:r>
          </w:p>
        </w:tc>
        <w:tc>
          <w:tcPr>
            <w:tcW w:w="3495" w:type="dxa"/>
            <w:vAlign w:val="center"/>
          </w:tcPr>
          <w:p w14:paraId="028D0E8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供应商提供原厂级的部件/软件产品升级和扩容能力</w:t>
            </w:r>
          </w:p>
        </w:tc>
        <w:tc>
          <w:tcPr>
            <w:tcW w:w="1055" w:type="dxa"/>
            <w:vAlign w:val="center"/>
          </w:tcPr>
          <w:p w14:paraId="2CC388F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415B2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069B977E">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0757106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141</w:t>
            </w:r>
          </w:p>
        </w:tc>
        <w:tc>
          <w:tcPr>
            <w:tcW w:w="1309" w:type="dxa"/>
            <w:vAlign w:val="center"/>
          </w:tcPr>
          <w:p w14:paraId="5DDF9BD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服务要求</w:t>
            </w:r>
          </w:p>
        </w:tc>
        <w:tc>
          <w:tcPr>
            <w:tcW w:w="1201" w:type="dxa"/>
            <w:vAlign w:val="center"/>
          </w:tcPr>
          <w:p w14:paraId="0B8DC3B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*增值服务</w:t>
            </w:r>
          </w:p>
        </w:tc>
        <w:tc>
          <w:tcPr>
            <w:tcW w:w="1163" w:type="dxa"/>
            <w:vAlign w:val="center"/>
          </w:tcPr>
          <w:p w14:paraId="796ECA51">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服务保障升级</w:t>
            </w:r>
          </w:p>
        </w:tc>
        <w:tc>
          <w:tcPr>
            <w:tcW w:w="3495" w:type="dxa"/>
            <w:vAlign w:val="center"/>
          </w:tcPr>
          <w:p w14:paraId="76514582">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47C0F0F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65BD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4" w:type="dxa"/>
            <w:vAlign w:val="center"/>
          </w:tcPr>
          <w:p w14:paraId="33DF32D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03CDCA6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142</w:t>
            </w:r>
          </w:p>
        </w:tc>
        <w:tc>
          <w:tcPr>
            <w:tcW w:w="1309" w:type="dxa"/>
            <w:vAlign w:val="center"/>
          </w:tcPr>
          <w:p w14:paraId="66CAA96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服务要求</w:t>
            </w:r>
          </w:p>
        </w:tc>
        <w:tc>
          <w:tcPr>
            <w:tcW w:w="1201" w:type="dxa"/>
            <w:vAlign w:val="center"/>
          </w:tcPr>
          <w:p w14:paraId="29CAAB14">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*增值服务</w:t>
            </w:r>
          </w:p>
        </w:tc>
        <w:tc>
          <w:tcPr>
            <w:tcW w:w="1163" w:type="dxa"/>
            <w:vAlign w:val="center"/>
          </w:tcPr>
          <w:p w14:paraId="0D6237A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*提供上门服务</w:t>
            </w:r>
          </w:p>
        </w:tc>
        <w:tc>
          <w:tcPr>
            <w:tcW w:w="3495" w:type="dxa"/>
            <w:vAlign w:val="center"/>
          </w:tcPr>
          <w:p w14:paraId="45B998E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供应商具备提供上门服务的能力(可收费)</w:t>
            </w:r>
          </w:p>
        </w:tc>
        <w:tc>
          <w:tcPr>
            <w:tcW w:w="1055" w:type="dxa"/>
            <w:vAlign w:val="center"/>
          </w:tcPr>
          <w:p w14:paraId="6772DB4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34D8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53EAAA35">
            <w:pPr>
              <w:adjustRightInd w:val="0"/>
              <w:snapToGrid w:val="0"/>
              <w:jc w:val="center"/>
              <w:textAlignment w:val="center"/>
              <w:rPr>
                <w:rFonts w:hint="default" w:ascii="Times New Roman" w:hAnsi="Times New Roman" w:eastAsia="仿宋_GB2312" w:cs="Times New Roman"/>
                <w:color w:val="auto"/>
                <w:kern w:val="0"/>
                <w:sz w:val="24"/>
                <w:szCs w:val="24"/>
                <w:lang w:bidi="ar"/>
              </w:rPr>
            </w:pPr>
          </w:p>
        </w:tc>
        <w:tc>
          <w:tcPr>
            <w:tcW w:w="623" w:type="dxa"/>
            <w:vAlign w:val="center"/>
          </w:tcPr>
          <w:p w14:paraId="324E0DE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143</w:t>
            </w:r>
          </w:p>
        </w:tc>
        <w:tc>
          <w:tcPr>
            <w:tcW w:w="1309" w:type="dxa"/>
            <w:vAlign w:val="center"/>
          </w:tcPr>
          <w:p w14:paraId="4E9A26CE">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服务要求</w:t>
            </w:r>
          </w:p>
        </w:tc>
        <w:tc>
          <w:tcPr>
            <w:tcW w:w="1201" w:type="dxa"/>
            <w:vAlign w:val="center"/>
          </w:tcPr>
          <w:p w14:paraId="1830C97D">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*增值服务</w:t>
            </w:r>
          </w:p>
        </w:tc>
        <w:tc>
          <w:tcPr>
            <w:tcW w:w="1163" w:type="dxa"/>
            <w:vAlign w:val="center"/>
          </w:tcPr>
          <w:p w14:paraId="2ADE47A2">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业务场景性能优化服务及整体架构升级服务</w:t>
            </w:r>
          </w:p>
        </w:tc>
        <w:tc>
          <w:tcPr>
            <w:tcW w:w="3495" w:type="dxa"/>
            <w:vAlign w:val="center"/>
          </w:tcPr>
          <w:p w14:paraId="34D47E6E">
            <w:pPr>
              <w:adjustRightInd w:val="0"/>
              <w:snapToGrid w:val="0"/>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w:t>
            </w:r>
          </w:p>
        </w:tc>
        <w:tc>
          <w:tcPr>
            <w:tcW w:w="1055" w:type="dxa"/>
            <w:vAlign w:val="center"/>
          </w:tcPr>
          <w:p w14:paraId="009D2112">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4C4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47A7AA0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6BD1E92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144</w:t>
            </w:r>
          </w:p>
        </w:tc>
        <w:tc>
          <w:tcPr>
            <w:tcW w:w="1309" w:type="dxa"/>
            <w:vAlign w:val="center"/>
          </w:tcPr>
          <w:p w14:paraId="1A1FAFC5">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供保要求</w:t>
            </w:r>
          </w:p>
        </w:tc>
        <w:tc>
          <w:tcPr>
            <w:tcW w:w="1201" w:type="dxa"/>
            <w:vAlign w:val="center"/>
          </w:tcPr>
          <w:p w14:paraId="1200F94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*供应链质量</w:t>
            </w:r>
          </w:p>
        </w:tc>
        <w:tc>
          <w:tcPr>
            <w:tcW w:w="1163" w:type="dxa"/>
            <w:vAlign w:val="center"/>
          </w:tcPr>
          <w:p w14:paraId="4641BE8B">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*抗干扰性</w:t>
            </w:r>
          </w:p>
        </w:tc>
        <w:tc>
          <w:tcPr>
            <w:tcW w:w="3495" w:type="dxa"/>
            <w:vAlign w:val="center"/>
          </w:tcPr>
          <w:p w14:paraId="185826F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当产品部件出现供应风险时，应通知客户并提供风险应对方案确保产品的服务保障，必要时应停止相关受影响产品的销售</w:t>
            </w:r>
          </w:p>
        </w:tc>
        <w:tc>
          <w:tcPr>
            <w:tcW w:w="1055" w:type="dxa"/>
            <w:vAlign w:val="center"/>
          </w:tcPr>
          <w:p w14:paraId="3D09CE03">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r w14:paraId="7F22F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4" w:type="dxa"/>
            <w:vAlign w:val="center"/>
          </w:tcPr>
          <w:p w14:paraId="20F54657">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8"/>
                <w:szCs w:val="28"/>
                <w:lang w:bidi="ar"/>
              </w:rPr>
              <w:t>★</w:t>
            </w:r>
          </w:p>
        </w:tc>
        <w:tc>
          <w:tcPr>
            <w:tcW w:w="623" w:type="dxa"/>
            <w:vAlign w:val="center"/>
          </w:tcPr>
          <w:p w14:paraId="3C0D6C78">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145</w:t>
            </w:r>
          </w:p>
        </w:tc>
        <w:tc>
          <w:tcPr>
            <w:tcW w:w="1309" w:type="dxa"/>
            <w:vAlign w:val="center"/>
          </w:tcPr>
          <w:p w14:paraId="5D00B9A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供保要求</w:t>
            </w:r>
          </w:p>
        </w:tc>
        <w:tc>
          <w:tcPr>
            <w:tcW w:w="1201" w:type="dxa"/>
            <w:vAlign w:val="center"/>
          </w:tcPr>
          <w:p w14:paraId="24793B39">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*供应链质量</w:t>
            </w:r>
          </w:p>
        </w:tc>
        <w:tc>
          <w:tcPr>
            <w:tcW w:w="1163" w:type="dxa"/>
            <w:vAlign w:val="center"/>
          </w:tcPr>
          <w:p w14:paraId="15AB7E0A">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bidi="ar"/>
              </w:rPr>
              <w:t>*供应能力证明</w:t>
            </w:r>
          </w:p>
        </w:tc>
        <w:tc>
          <w:tcPr>
            <w:tcW w:w="3495" w:type="dxa"/>
            <w:vAlign w:val="center"/>
          </w:tcPr>
          <w:p w14:paraId="53E6625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供应商提供供应链稳定承诺书，确保产品的部件在产品服务周期内稳定供货</w:t>
            </w:r>
          </w:p>
        </w:tc>
        <w:tc>
          <w:tcPr>
            <w:tcW w:w="1055" w:type="dxa"/>
            <w:vAlign w:val="center"/>
          </w:tcPr>
          <w:p w14:paraId="6A77117C">
            <w:pPr>
              <w:adjustRightInd w:val="0"/>
              <w:snapToGrid w:val="0"/>
              <w:jc w:val="center"/>
              <w:textAlignment w:val="center"/>
              <w:rPr>
                <w:rFonts w:hint="default" w:ascii="Times New Roman" w:hAnsi="Times New Roman" w:eastAsia="仿宋_GB2312" w:cs="Times New Roman"/>
                <w:color w:val="auto"/>
                <w:kern w:val="0"/>
                <w:sz w:val="24"/>
                <w:szCs w:val="24"/>
                <w:lang w:bidi="ar"/>
              </w:rPr>
            </w:pPr>
            <w:r>
              <w:rPr>
                <w:rFonts w:hint="default" w:ascii="Times New Roman" w:hAnsi="Times New Roman" w:eastAsia="仿宋_GB2312" w:cs="Times New Roman"/>
                <w:color w:val="auto"/>
                <w:kern w:val="0"/>
                <w:sz w:val="24"/>
                <w:szCs w:val="24"/>
                <w:lang w:val="en-US" w:eastAsia="zh-CN" w:bidi="ar"/>
              </w:rPr>
              <w:t>/</w:t>
            </w:r>
          </w:p>
        </w:tc>
      </w:tr>
    </w:tbl>
    <w:p w14:paraId="13E8015A">
      <w:pPr>
        <w:pStyle w:val="70"/>
        <w:jc w:val="left"/>
        <w:outlineLvl w:val="9"/>
        <w:rPr>
          <w:rFonts w:hint="default" w:ascii="Times New Roman" w:hAnsi="Times New Roman" w:eastAsia="仿宋" w:cs="Times New Roman"/>
          <w:b/>
          <w:bCs/>
          <w:color w:val="auto"/>
          <w:sz w:val="32"/>
          <w:szCs w:val="32"/>
        </w:rPr>
      </w:pPr>
    </w:p>
    <w:p w14:paraId="20D11F94">
      <w:pPr>
        <w:rPr>
          <w:rFonts w:hint="default" w:ascii="Times New Roman" w:hAnsi="Times New Roman" w:eastAsia="仿宋" w:cs="Times New Roman"/>
          <w:b/>
          <w:bCs/>
          <w:color w:val="auto"/>
          <w:sz w:val="32"/>
          <w:szCs w:val="32"/>
        </w:rPr>
      </w:pPr>
      <w:r>
        <w:rPr>
          <w:rFonts w:hint="default" w:ascii="Times New Roman" w:hAnsi="Times New Roman" w:eastAsia="仿宋" w:cs="Times New Roman"/>
          <w:b/>
          <w:bCs/>
          <w:color w:val="auto"/>
          <w:sz w:val="32"/>
          <w:szCs w:val="32"/>
        </w:rPr>
        <w:br w:type="page"/>
      </w:r>
    </w:p>
    <w:p w14:paraId="5E1CC39A">
      <w:pPr>
        <w:pStyle w:val="70"/>
        <w:jc w:val="left"/>
        <w:outlineLvl w:val="2"/>
        <w:rPr>
          <w:rFonts w:hint="default" w:ascii="Times New Roman" w:hAnsi="Times New Roman" w:cs="Times New Roman"/>
          <w:b/>
          <w:bCs/>
          <w:color w:val="auto"/>
          <w:sz w:val="28"/>
          <w:szCs w:val="28"/>
        </w:rPr>
      </w:pPr>
      <w:r>
        <w:rPr>
          <w:rFonts w:hint="default" w:ascii="Times New Roman" w:hAnsi="Times New Roman" w:eastAsia="仿宋" w:cs="Times New Roman"/>
          <w:b/>
          <w:bCs/>
          <w:color w:val="auto"/>
          <w:sz w:val="32"/>
          <w:szCs w:val="32"/>
        </w:rPr>
        <w:t>附表</w:t>
      </w:r>
      <w:r>
        <w:rPr>
          <w:rFonts w:hint="default" w:ascii="Times New Roman" w:hAnsi="Times New Roman" w:eastAsia="仿宋" w:cs="Times New Roman"/>
          <w:b/>
          <w:bCs/>
          <w:color w:val="auto"/>
          <w:sz w:val="32"/>
          <w:szCs w:val="32"/>
          <w:lang w:val="en-US" w:eastAsia="zh-CN"/>
        </w:rPr>
        <w:t>2</w:t>
      </w:r>
      <w:r>
        <w:rPr>
          <w:rFonts w:hint="default" w:ascii="Times New Roman" w:hAnsi="Times New Roman" w:eastAsia="仿宋" w:cs="Times New Roman"/>
          <w:b/>
          <w:bCs/>
          <w:color w:val="auto"/>
          <w:sz w:val="32"/>
          <w:szCs w:val="32"/>
        </w:rPr>
        <w:t xml:space="preserve"> 图文工作站技术参数</w:t>
      </w:r>
    </w:p>
    <w:tbl>
      <w:tblPr>
        <w:tblStyle w:val="52"/>
        <w:tblW w:w="957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6"/>
        <w:gridCol w:w="638"/>
        <w:gridCol w:w="1260"/>
        <w:gridCol w:w="1117"/>
        <w:gridCol w:w="1485"/>
        <w:gridCol w:w="3515"/>
        <w:gridCol w:w="806"/>
      </w:tblGrid>
      <w:tr w14:paraId="34039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E12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重要程度</w:t>
            </w:r>
          </w:p>
        </w:tc>
        <w:tc>
          <w:tcPr>
            <w:tcW w:w="638"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74C540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序号</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C106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指标分类</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E2A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fldChar w:fldCharType="begin"/>
            </w:r>
            <w:r>
              <w:rPr>
                <w:rFonts w:hint="default" w:ascii="Times New Roman" w:hAnsi="Times New Roman" w:eastAsia="仿宋_GB2312" w:cs="Times New Roman"/>
                <w:color w:val="auto"/>
                <w:kern w:val="0"/>
                <w:sz w:val="24"/>
                <w:szCs w:val="24"/>
                <w:lang w:val="en-US" w:eastAsia="zh-CN" w:bidi="ar"/>
              </w:rPr>
              <w:instrText xml:space="preserve"> HYPERLINK "" \l "Sheet1!A3" </w:instrText>
            </w:r>
            <w:r>
              <w:rPr>
                <w:rFonts w:hint="default" w:ascii="Times New Roman" w:hAnsi="Times New Roman" w:eastAsia="仿宋_GB2312" w:cs="Times New Roman"/>
                <w:color w:val="auto"/>
                <w:kern w:val="0"/>
                <w:sz w:val="24"/>
                <w:szCs w:val="24"/>
                <w:lang w:val="en-US" w:eastAsia="zh-CN" w:bidi="ar"/>
              </w:rPr>
              <w:fldChar w:fldCharType="separate"/>
            </w:r>
            <w:r>
              <w:rPr>
                <w:rFonts w:hint="default" w:ascii="Times New Roman" w:hAnsi="Times New Roman" w:eastAsia="仿宋_GB2312" w:cs="Times New Roman"/>
                <w:color w:val="auto"/>
                <w:kern w:val="0"/>
                <w:sz w:val="24"/>
                <w:szCs w:val="24"/>
                <w:lang w:eastAsia="zh-CN" w:bidi="ar"/>
              </w:rPr>
              <w:t>一级指标1</w:t>
            </w:r>
            <w:r>
              <w:rPr>
                <w:rFonts w:hint="default" w:ascii="Times New Roman" w:hAnsi="Times New Roman" w:eastAsia="仿宋_GB2312" w:cs="Times New Roman"/>
                <w:color w:val="auto"/>
                <w:kern w:val="0"/>
                <w:sz w:val="24"/>
                <w:szCs w:val="24"/>
                <w:lang w:val="en-US" w:eastAsia="zh-CN" w:bidi="ar"/>
              </w:rPr>
              <w:fldChar w:fldCharType="end"/>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9A0F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二级指标 1</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4D3D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指标要求</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55F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证明材料要求</w:t>
            </w:r>
          </w:p>
        </w:tc>
      </w:tr>
      <w:tr w14:paraId="3A5F4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F19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98C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39D1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D6B7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*CPU规格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151E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*CPU 信息</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418F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供应商给出 CPU 信息，包含 CPU 型号、物理核心数、主频、末级缓存容量、线程数、热设计功耗及内存的最高速率、通道数和位宽</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BF8E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8184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7B8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652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D8A6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B40E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*内存规格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D9A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*内存配置容量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5D23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≥32GB</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620AF">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4D8D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7A6A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A25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143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C6D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*内存规格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80D0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*内存类型</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8AC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 DDR4/LPDDR4/LPDDR4X 及以上内存类型</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B16F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E2B1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7FB4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829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F88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FBD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*内存规格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418C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*内存条配置数量（板载内存不涉及）</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8B1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≥1</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D2F6">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4F89A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B1BF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382B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CD3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202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EBD7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*主板集成模块</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2F8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集成资源扩展模块、计算处理模块、音频扩展模块等，主板的互联拓扑可通过处理器或交换电路实现</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224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4E09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790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FCF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963B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06D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A93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*主板支持的 CPU和内存情况</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D2C3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供应商给出主板支持的 CPU 和内存的型号数量</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9F8D7">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46551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113C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E97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0D9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5AA3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DF6F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主板内置PCIe 插槽数量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05C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支持数量≥3其中至少包括一个 PCIex16 和一个PCIex8</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10B3">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24A7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80D62">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3649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56C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FC1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BB4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特殊孔位及接口</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7D3D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B6B7D">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F0AE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B98E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1FB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9ADF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DA26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06C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*主板其他内置接口</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CB6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供应商给出相关 SATA、M.2、USB 接口数量及占用状态</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5C5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4A7D8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1A3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DEC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BAE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D81B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D704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*单内存插槽最大可支持容量（板载内存不涉及）</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472A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≥16GB</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3CA9E">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622E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AFC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606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A5E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E2F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A25F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*内存插槽满配时提供的最高内存总容量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52BF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≥32GB</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AC06">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E507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584B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F13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BC0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3586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AACB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*固态盘数量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8CB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≥1个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3109">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4149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9DB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6AAC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053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89A0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6EBC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*固态存储容量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2D92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≥2TB NVME SSD</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75EEA">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CECC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C1CA6">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94AB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A8B0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DC9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5C74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*机械硬盘数量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5D3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DD8D">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3CFD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8E17">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4C80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494C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8A7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631F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*机械硬盘总容量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295C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F992">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0EB2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2289A">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A946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07E8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D8CD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F14D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*机械硬盘转速</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EB3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4F0A5">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BE05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5355">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D624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5471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3463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616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机械硬盘接口协议</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04D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2C1E8">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7030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7AF7">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8B72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407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1971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5C06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机械硬盘形态</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85B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8F67">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1783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0D73B">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D3D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2B61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F70C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277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固态存储接口协议</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A7B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D9D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6254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F07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5100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20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A3D2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3E8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1B19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*固态存储形态</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3BF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采用插卡或板载等形态，插卡形态宜符合M.2 或mSATA等标准尺寸和接口定义</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481C7">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6BE9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2DA0A">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2B22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21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217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E0E9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3605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存储设备扩展盘位</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4E9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B5A5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9E66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5AC6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E5CA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22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1BA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462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5193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*存储设备其他参数要求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998A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highlight w:val="none"/>
                <w:lang w:val="en-US" w:eastAsia="zh-CN" w:bidi="ar"/>
              </w:rPr>
              <w:t>固态盘应符合SJ/T 11654 相关规定；</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9B1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ACA6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B41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C029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23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2394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8F1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337A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*显卡类型</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5CFB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独立显卡</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13F7">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472F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6E3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7F8F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24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8411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286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CA9A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*独立显卡显存类型</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8BB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若配置独立显卡，显存类型应为DDR3/DDR4/GDDR5/GDDR6/LPDDR4</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BB662">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3A7F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1E5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3FE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25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63FB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5F0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A249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*独立显卡显存位宽</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64FB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若配置独立显卡，显存位宽≥64 位</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73E2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567B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CA6A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B2F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26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B139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8DB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B20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*独立显卡显存容量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145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配置独立显卡，显存容量≥4GB</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9586">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3568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68F1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806A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27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40F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8379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A105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独立显卡接口协议</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1FA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产品支持 PCIe 协议版本大于等于 2.0或 HT（HyperTransport）协议版本大于等于 3.0 的独立显卡接口协议</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B50D">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0DDF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B65F">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4C10">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28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6769">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9570A">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9D52">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*显示屏屏占比</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ADAC8">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4451A">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96F8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6C03">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C4BE5">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29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A484">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55C7">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D6668">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*显示屏分辨率</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9DEB4">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56B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4F54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DB499">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6CC7">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30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2BAA0">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BB372">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82661">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显示屏像素密度</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05E0">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80BC">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C207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73CF">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E291E">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31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EA7F">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F595">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DF13">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显示屏可视角度</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285B">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4C15">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01E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76298">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DA82">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32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FB422">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AD4B4">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E328E">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*显示屏尺寸</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F6517">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C78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B2A6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E366E">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17C52">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33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937C">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0C12A">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79E1">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*显示屏屏幕比例</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B2FF">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722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5EC8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446C4">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0D97">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34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9C6C2">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CC232">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51ECE">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*显示器外观颜色</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47A11">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30F32">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3EF6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7124">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7B791">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35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13F5">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B2EF">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578DE">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*显示屏防蓝光</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D58E3">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6E58">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5CC2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CC52B">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E7FE">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36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EB717">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7BAB2">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6A4D">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*显示屏低频闪</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2C7D">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8EA6E">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47F5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E982">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0C5F">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37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A681B">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13791">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EEADB">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*显示屏防炫目</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95EC0">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C3FC">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DDF6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4708">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0F970">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38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C4B1F">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913B">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2986F">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传声器数量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061FC">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F156">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CD75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D6E0">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BF35">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39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2F387">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DD8B3">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07F99">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扬声器数量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39F9">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BC8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CAA1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CBE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0589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40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CE41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CDB5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BBC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*鼠标数量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65C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≥1个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BC88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330C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5CF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C9C6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41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81F5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4F4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D71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*键盘数量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96C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≥1个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43FD">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B245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0EA7">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F22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42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0E11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6F2A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7BF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*摄像头数量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14C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A835">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0FBB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C26B5">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C6E4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43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5525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7F29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5BBD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光驱数量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A4F1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7FFF">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8F96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0868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A988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44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C29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A79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9902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*键盘按键数目</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C335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104 键</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0DAC">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0AC1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3DE5">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D48D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45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87C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609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570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*摄像头像素</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E2D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A237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B28B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D24E1">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096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46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7520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237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8B8F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*摄像头分辨率</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A3A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2DDE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91C1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9C42">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ECD2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47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BE3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AB4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0891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*扬声器功率</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9CC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49D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3CAC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4530">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455F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48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DE0B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F45C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34E1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*扬声器频率范围</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4A77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86C35">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8942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D4E3B">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5CF0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49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151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8D6B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A12E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扬声器总谐波失真</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F7E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05EC">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B206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F4904">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1FB6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50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97C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93B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636D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扬声器最大声压级</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D009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4562">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851D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3094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99E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51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91C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338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D4EA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*键盘连接方式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EB28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有线</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7B5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5E05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3C8B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A730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52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8EF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46C0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48F9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*键盘键程</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B74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2.3mm ~ 4.0mm</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03BC9">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2564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C30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6D3D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53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F9B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CD53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9016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*键盘按键压力</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C16A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按键压力应在 0.54 N±0.14N</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8F59">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1EE9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D6C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49D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54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4D89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B07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15B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*有线键盘连接线</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99F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≥1.5 米</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BA5F">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0FCD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602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8221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55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EB8F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F86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8E33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*键盘颜色</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286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黑色</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EFD7">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B8B8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4D7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9EC7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56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5B10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6A6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A48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*键盘其他要求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501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键盘外观结构、连接方式、主要功能、安全、电磁兼容性、可靠性应符合GB/T14081 的相关规定</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7A8F6">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DFA3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6206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73D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57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D95D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3827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5F1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*鼠标连接方式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A560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有线</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74B5">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2C89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AF0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6DA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58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762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D78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6D4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*有线鼠标连接线</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5208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≥1.5 米</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E07B7">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E7D3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2B9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E0B6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59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612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4E5C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7237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*鼠标DPI 分辨率</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355E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800~1600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200F">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71E1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CC53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70E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60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59D6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CFD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F77F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鼠标颜色</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6D8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黑色</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72FC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6BF9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FC6D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A4C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61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C499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EF37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A4DE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*鼠标其他要求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68B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其它参数应符合GB/T 26245 的相关规定</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C3DA7">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B05D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18D1D">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CB7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62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B87D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6A4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5030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内置光驱</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D78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4C9DC">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47DF1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FAD3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8F33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63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970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C69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*网络设备规格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E715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*有线网卡数量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325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≥1</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C519">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7764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82180">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C585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64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0D57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B53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*网络设备规格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BC6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无线网卡及天线数量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A57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48B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462DB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D4D1">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8F1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65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E7E8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289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*网络设备规格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51D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单无线网卡天线数量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FF85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003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5B09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AF70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AAE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66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747D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2D56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*外部接口规格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F43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*USB 接口数量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63C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≥8，机箱前板至少包括 2 个 USB3.0 及以上接口</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21E6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5075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5276E">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CFF8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67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4AE7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634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*外部接口规格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7311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USB 母座接口要求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94A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0DA4F">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FDB2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BACC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182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68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B40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0DCC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*外部接口规格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EA6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*视频接口数量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AF2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≥2</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1600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BD1D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3C49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3CE5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69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ED9D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6650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*外部接口规格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77B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*音频接口数量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E41D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≥1</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02839">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7DD4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0FC4">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B86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70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5C36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7A25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*外部接口规格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C045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存储卡接口数量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E405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E504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3102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6A5E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AC7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71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E606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747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*整机基础规格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E46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*整机外观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D06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a) 产品表面不应有凹痕、划伤、裂缝、变形和污染等。表面涂层均匀，不应起泡、龟裂、脱落和磨损，金属零部件无锈蚀及其它机械损伤；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 xml:space="preserve">b) 产品表面说明功能的文字、符号、标志，应清晰、端正、牢固；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c) 宜在产品显著位置提供运行状态指示功能，并由生产厂商提供详细参数</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F77E">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0FFC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4A7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F00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72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39D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B69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*整机基础规格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FF60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*整机结构</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7EA9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a) 机箱应符合 GB/T 4208、GB/T 26246的相关规定；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 xml:space="preserve">b) 产品内部结构应符合通用部件的安装需要；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 xml:space="preserve">c) 所有输入输出接口应符合相关国家或行业标准；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 xml:space="preserve">d) 产品零部件应紧固无松动，可插拔部件应可靠连接，开关、按钮和其它控制部件应灵活可靠，布局应方便使用；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 xml:space="preserve">e) 所有 I/O 连接器及需插接线缆的部位应预留用户操作空间，方便插拔解锁与插拔线缆；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 xml:space="preserve">f) 可插拔板卡插槽部位应预留安装、拆卸或更换板卡空间； g) 拆装可能接触到的金属剪口或金属尖角部位应做防划伤处理，以保证安全；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 xml:space="preserve">h) 整机内部走线应规整，固线结构和位置要合理可靠并做防割线处理，需便于理线和插拔操作，走线应不影响系统各主要部件组装和拆卸；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 xml:space="preserve">i) 如需通过孔走线，过线孔应做防割线处理；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 xml:space="preserve">j) 各插头位置和插拔方向应合理，应做到插拔无障碍设计，具备防呆设计，有效避免误操作；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 xml:space="preserve">k) 各主要部件拆装无障碍，使用常规工具拆装，无特殊拆装工具需求；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 xml:space="preserve">l) 各主要部件拆装步骤要少，各自拆装需避免相互干扰；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 xml:space="preserve">m) 对于整机或零部件外表面为高亮面的，应粘贴保护膜，保护膜需粘贴牢固，运输、组装等过程不易脱落，撕下无残留；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n) 其它要求应符合 GB/T 9813.1 的相关规定</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75459">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CDCC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2986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A510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73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6830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506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*整机基础规格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E1C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*机箱防护要求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A48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机箱应符合 GB/T 4208 中 IP20 防护要求</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A49C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58C1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7C2C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93C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74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D27D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98C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*整机基础规格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AEBC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*整机噪音</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A9B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产品工作在空闲状态下，产品的声功率级应不超过 4.5 Bel</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ABDA">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B062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98A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9BA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75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3EE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6D65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*整机基础规格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B20C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*整机散热</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A4F9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在环境温度25℃及处理器满载情况下，产品表面温度应符合下列要求：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 xml:space="preserve">a) 出风口在机箱后面板情况下，出风口温度不高于55℃ ;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b) 可触及面温度小于45℃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c) 显示器表面温度：显示屏温度不高于 38℃ , 显示屏上下灯带位置温度（如涉及）不高于40℃ , 出风口温度不高于 45℃</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6CC0E">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D79E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2271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DE2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76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6FF3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CEB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*整机基础规格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FCFB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*整机能效限定值</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E520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产品能效限定值应达到 GB 28380-2012标准中能效等级 2 级及以上</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839C6">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1A23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A167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8FB5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77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231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8B06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*整机基础规格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0C2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机身材质</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4C11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金属</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FE3B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44D76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4444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C6F0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78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1788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BFDA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*整机基础规格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A9D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*机身颜色</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871B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黑色</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7C4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27D7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F68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89D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79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CA3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产品规格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C9E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*整机基础规格</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EBA5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*机箱尺寸容量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4C6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机箱体积应不大于 40L</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AB2F">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8E76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019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16E6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80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8B8A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7CA3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*CPU性能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F42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*CPU 物理核数</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AA93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核数≥24</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6EB17">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68F0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2629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962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81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4A6C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0642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*CPU性能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7980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*CPU 主频</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79F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≥2.2GHz</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BB076">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96DF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EFA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278A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82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75FB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F7E6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*CPU性能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94D0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*CPU 末级缓存容量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2355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≥36MB</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757F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3B8D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E4C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13E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83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5A5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9AC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*CPU性能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6EDA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*CPU 支持的内存最高速率</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9289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≥5600MT/s</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651A6">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F52A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A1A5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913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84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8C3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3B0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*内存性能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A5CF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*内存读写速率</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F8FF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≥4800MT/s</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B503">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19A5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7552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175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85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C75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49F4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D8EE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*显示分辨率</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9B54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≥2560×1440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728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47303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172D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AF1A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86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B303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D14D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8703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*显卡显示芯片核心频率</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B62C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≥800MHz</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9764F">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EC04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8E1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ECAA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87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A0D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BD7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809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*显存等效频率</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4D53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≥1600MT/s</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2B5D">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205B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D46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8899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88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198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4BBD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950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*显卡可支持多屏同时显示数量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8AA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支持4块屏幕同时显示，分辨率应不低于 2560×1440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B45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1944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7788">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5C549">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89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5342E">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9A70">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2D4B">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*显示屏刷新率</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61E97">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eastAsia"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C48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941A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2616E">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7AF9">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90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01E1">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21D02">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CE5E4">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*显示屏位深</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33FD">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eastAsia"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18D2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1848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10DA">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CE0A7">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91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23FA">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F051">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FDBB4">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*显示屏色域</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1598">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eastAsia"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88643">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48487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BA8F9">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853C">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92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91977">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4A63">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CB6C">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*显示屏色准</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6849">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eastAsia"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80A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2167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83A3">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6ACF">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93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8071A">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4026">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06372">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*显示屏响应时间</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7417">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eastAsia"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538F5">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227B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532AD">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B3BB9">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94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ADD1">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7256A">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196B">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*显示屏亮度</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F5899">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eastAsia"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4EF4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F721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A8A9D">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3740">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95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13D33">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5834">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2B8E">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*显示屏亮度一致性</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1594">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eastAsia"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A7E92">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DF97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E845">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F9B2">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96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8AEF">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7BC9">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3CAB7">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*显示屏对比度</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4FB84">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eastAsia"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7C259">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7D54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199B">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C073E">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97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BA84">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A4A3">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31BD">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*显示屏其他参数</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A36E">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eastAsia"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84D7">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869C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ECC4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179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98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BDCD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F4C5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*网络设备性能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93B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*有线网卡速率</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D13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最高速率应不低于 1000Mbps，应支持10Mbps、100Mbps、1000Mbps 速率自适应</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93FFD">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A66F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B5328">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5B588">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99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83F7">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91E1">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*网络设备性能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B6BBF">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支持无线网络通信技术协议</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D397">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eastAsia"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2B438">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w:t>
            </w:r>
          </w:p>
        </w:tc>
      </w:tr>
      <w:tr w14:paraId="22F60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B129">
            <w:pPr>
              <w:adjustRightInd w:val="0"/>
              <w:snapToGrid w:val="0"/>
              <w:textAlignment w:val="center"/>
              <w:rPr>
                <w:rFonts w:hint="default" w:ascii="Times New Roman" w:hAnsi="Times New Roman" w:eastAsia="仿宋_GB2312" w:cs="Times New Roman"/>
                <w:color w:val="FF0000"/>
                <w:kern w:val="0"/>
                <w:sz w:val="24"/>
                <w:szCs w:val="24"/>
                <w:highlight w:val="yellow"/>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43E64">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100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2A624">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性能要求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E6A4">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*网络设备性能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F946">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无线网卡频宽</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61491">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eastAsia" w:ascii="Times New Roman" w:hAnsi="Times New Roman" w:eastAsia="仿宋_GB2312" w:cs="Times New Roman"/>
                <w:color w:val="auto"/>
                <w:kern w:val="0"/>
                <w:sz w:val="24"/>
                <w:szCs w:val="24"/>
                <w:highlight w:val="none"/>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CEF0">
            <w:pPr>
              <w:adjustRightInd w:val="0"/>
              <w:snapToGrid w:val="0"/>
              <w:jc w:val="left"/>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w:t>
            </w:r>
          </w:p>
        </w:tc>
      </w:tr>
      <w:tr w14:paraId="72A3D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B4D8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CED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101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6A3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745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4246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*内存扩展接口(板载内存不涉及)</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8A2C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≥4</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8482C">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66C2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38BB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8AD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102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779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790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D18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存储扩展接口(板载存储不涉及)</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2EE7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支持存储设备扩展接口≥2 个，如UFS3.0、SATA3.0、SAS3.0、M.2 等接口类型</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0CD99">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B5B9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0EE4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742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103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634A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D3C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DC4C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*主板USB 瞬间过流保护</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291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支持瞬间过流保护功能</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247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C55F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0D6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57A0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104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F0B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9474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72B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*主板防静电保护</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F5B6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支持防静电保护功能</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BDAA">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FDB7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E18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0752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105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C394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B13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*主板功能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1870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*I/O 接口功能</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99F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提供基于标准 USB 接口外设连接功能、基于音频输入输出接口的音频扩展功能、基于 PCIe 接口板卡扩展功能、基于 HDMI/VGA/Type-C/DVI/DP 等接口外接显示器扩展功能、基于存储接口对产品进行增容功能等。工作站 I/O 接口应具备外接标准 USB 设备、显示器、音频设备等内外部设备能力</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4B83C">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7421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241E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936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106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73B3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77B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D88F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*显卡外接显示接口</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295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显卡至少支持 VGA、HDMI、DVI、DP、Type-C 中 1 种显示接口，并与显示器接口相匹配</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153F9">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7162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C7E0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8BAB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107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AC20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94D6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*显卡功能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EC1D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独立显卡数量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EADA1">
            <w:pPr>
              <w:adjustRightInd w:val="0"/>
              <w:snapToGrid w:val="0"/>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≥1</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CE73">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D96F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8A120">
            <w:pPr>
              <w:adjustRightInd w:val="0"/>
              <w:snapToGrid w:val="0"/>
              <w:textAlignment w:val="center"/>
              <w:rPr>
                <w:rFonts w:hint="default" w:ascii="Times New Roman" w:hAnsi="Times New Roman" w:eastAsia="仿宋_GB2312" w:cs="Times New Roman"/>
                <w:color w:val="FF0000"/>
                <w:kern w:val="0"/>
                <w:sz w:val="24"/>
                <w:szCs w:val="24"/>
                <w:highlight w:val="none"/>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68959">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108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069E">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206DD">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EEDC5">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*显示器接口</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57CE0">
            <w:pPr>
              <w:adjustRightInd w:val="0"/>
              <w:snapToGrid w:val="0"/>
              <w:jc w:val="left"/>
              <w:textAlignment w:val="center"/>
              <w:rPr>
                <w:rFonts w:hint="default" w:ascii="Times New Roman" w:hAnsi="Times New Roman" w:eastAsia="仿宋_GB2312" w:cs="Times New Roman"/>
                <w:color w:val="FF0000"/>
                <w:kern w:val="0"/>
                <w:sz w:val="24"/>
                <w:szCs w:val="24"/>
                <w:highlight w:val="none"/>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264AE">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59C7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0475">
            <w:pPr>
              <w:adjustRightInd w:val="0"/>
              <w:snapToGrid w:val="0"/>
              <w:textAlignment w:val="center"/>
              <w:rPr>
                <w:rFonts w:hint="default" w:ascii="Times New Roman" w:hAnsi="Times New Roman" w:eastAsia="仿宋_GB2312" w:cs="Times New Roman"/>
                <w:color w:val="FF0000"/>
                <w:kern w:val="0"/>
                <w:sz w:val="24"/>
                <w:szCs w:val="24"/>
                <w:highlight w:val="none"/>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FCE14">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109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94CE8">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32950">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06B2">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*显示器支架</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B420C">
            <w:pPr>
              <w:adjustRightInd w:val="0"/>
              <w:snapToGrid w:val="0"/>
              <w:jc w:val="left"/>
              <w:textAlignment w:val="center"/>
              <w:rPr>
                <w:rFonts w:hint="default" w:ascii="Times New Roman" w:hAnsi="Times New Roman" w:eastAsia="仿宋_GB2312" w:cs="Times New Roman"/>
                <w:color w:val="FF0000"/>
                <w:kern w:val="0"/>
                <w:sz w:val="24"/>
                <w:szCs w:val="24"/>
                <w:highlight w:val="none"/>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2F2D">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65B6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A4A7">
            <w:pPr>
              <w:adjustRightInd w:val="0"/>
              <w:snapToGrid w:val="0"/>
              <w:textAlignment w:val="center"/>
              <w:rPr>
                <w:rFonts w:hint="default" w:ascii="Times New Roman" w:hAnsi="Times New Roman" w:eastAsia="仿宋_GB2312" w:cs="Times New Roman"/>
                <w:color w:val="FF0000"/>
                <w:kern w:val="0"/>
                <w:sz w:val="24"/>
                <w:szCs w:val="24"/>
                <w:highlight w:val="none"/>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EEEF">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 xml:space="preserve">110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398D">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7D296">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*显示设备功能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9C0B">
            <w:pPr>
              <w:adjustRightInd w:val="0"/>
              <w:snapToGrid w:val="0"/>
              <w:textAlignment w:val="center"/>
              <w:rPr>
                <w:rFonts w:hint="default" w:ascii="Times New Roman" w:hAnsi="Times New Roman" w:eastAsia="仿宋_GB2312" w:cs="Times New Roman"/>
                <w:color w:val="auto"/>
                <w:kern w:val="0"/>
                <w:sz w:val="24"/>
                <w:szCs w:val="24"/>
                <w:highlight w:val="none"/>
                <w:lang w:eastAsia="zh-CN" w:bidi="ar"/>
              </w:rPr>
            </w:pPr>
            <w:r>
              <w:rPr>
                <w:rFonts w:hint="default" w:ascii="Times New Roman" w:hAnsi="Times New Roman" w:eastAsia="仿宋_GB2312" w:cs="Times New Roman"/>
                <w:color w:val="auto"/>
                <w:kern w:val="0"/>
                <w:sz w:val="24"/>
                <w:szCs w:val="24"/>
                <w:highlight w:val="none"/>
                <w:lang w:val="en-US" w:eastAsia="zh-CN" w:bidi="ar"/>
              </w:rPr>
              <w:t>*显示器参数调节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910E">
            <w:pPr>
              <w:adjustRightInd w:val="0"/>
              <w:snapToGrid w:val="0"/>
              <w:jc w:val="left"/>
              <w:textAlignment w:val="center"/>
              <w:rPr>
                <w:rFonts w:hint="default" w:ascii="Times New Roman" w:hAnsi="Times New Roman" w:eastAsia="仿宋_GB2312" w:cs="Times New Roman"/>
                <w:color w:val="FF0000"/>
                <w:kern w:val="0"/>
                <w:sz w:val="24"/>
                <w:szCs w:val="24"/>
                <w:highlight w:val="none"/>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0593">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5A3B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38ED">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CA1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111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962D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A41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87E5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摄像头物理隐私保护开关</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F02F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0BD1F">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B295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4E7A">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C131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112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5F2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F234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158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传声器降噪</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2991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56BB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B6CE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4C15">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F9E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113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0489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BF4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A84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键盘背光</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684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5D7D">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3A5D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9F31">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8BC7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114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A755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A3F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E23F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光驱功能</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AA1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D3E3">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1DDB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FCF1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A177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115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5BA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707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B18D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*存储功能</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40C1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通过 SATA 固态存储/PCIe 固态存储/UFS 固态存储/SATA 硬磁盘等存储部件提供存储功能</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43C0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F832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F7255">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42C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116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2623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1AF4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F37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内置控制器固态存储加密</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1FF2">
            <w:pPr>
              <w:adjustRightInd w:val="0"/>
              <w:snapToGrid w:val="0"/>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4A0E">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A872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647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D7DB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117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B187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EAE0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*网络设备功能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4C7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*网络功能</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C2C6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a)支持网络连接、网络开启/关闭功能；</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b)支持访问网络和数据交换功能</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282F">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A627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8C156">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B38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118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9418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0B4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*网络设备功能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555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无线网卡频段</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00C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EE8BD">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7A57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F607">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8A0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119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07B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058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*网络设备功能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88CA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物理开关</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B6F8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5C326">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F89B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4E1C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62B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120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B865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074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*网络设备功能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32C6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*数据传输</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B68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支持数据传输能力，并提供数据流量和异常日志记录功能</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2CC09">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2E0E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F265">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55CD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121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DB5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67A2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*网络设备功能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5F83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蓝牙协议</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D1CC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2915">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A830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D05A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454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122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6E8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0C74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*网络设备功能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8F7A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*有线网卡接口类型</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27F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 RJ45 接口</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40CD2">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B0B6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F72A4">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F19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123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E079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73B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*网络设备功能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840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无线网卡标准</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44E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E764A">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817F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B12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F72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124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87A3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1630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*网络设备功能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7C7B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*网络设备拆装</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1588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若配备的网络设备应支持物理拆装，包括无线网卡和蓝牙模块等</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8373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7F01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840B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904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125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2A00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FB0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*外部接口功能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A69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*音频接口类型</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D1D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 3.5mm 孔径 3 段式或 4 段式接口</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D720D">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6BE2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49FA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72C9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126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856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403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*外部接口功能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6A0B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*视频接口类型</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B610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至少支持 VGA、HDMI、DVI、DP、Type-C中 1 种显示接口</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4D28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0176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C82A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8E5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127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538F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EDF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*外部接口功能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F446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*HDMI、DP、Type-C显示接口要求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2660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若提供 HDMI 或 DP 或 Type-C 作为显示接口，应支持音频和视频同步输出</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C6B3A">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1AD2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CCF30">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117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128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8890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C55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*外部接口功能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0D6A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其他接口</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0229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A56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28E1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66A1">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335A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129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9F9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9B2D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*外部接口功能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41C8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存储卡接口类型</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3F5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6FBAA">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E36A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A46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783B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130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F9DC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CDEE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*电源功能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50F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*电源线适配能力</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2C66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电源适配器电线组件应符合GB/T15934 的要求，可拆线的插头和连接器可以不做要求</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B71F">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6400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7A3E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40F7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131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0F5B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7AA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*操作系统及软件功能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0C01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*中文信息处理要求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B59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符合 GB 18030 的相关规定</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6E13">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3D0C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9868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D0C9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132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092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7E4A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*操作系统及软件功能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7C5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*操作系统备份及还原功能</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15A4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支持操作系统备份及还原功能</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EAAC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8609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A43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1474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133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7A57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4958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*操作系统及软件功能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8E7F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*固件备份还原能力</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DB29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支持备份及还原固件的功能</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98875">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B0A6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2968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38C8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134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2B87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1B9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*操作系统及软件功能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D52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*操作系统及驱动升级</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9C1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支持通过网络、闪存盘等方式对操作系统、驱动进行升级</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B0A29">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0BE2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D4CD">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F90C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135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67E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62C2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*操作系统及软件功能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FC6E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固件升级</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3B13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703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6CE6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FB7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088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136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B87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B86B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*操作系统及软件功能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904C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*BIOS 支持关闭通讯接口</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FE94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支持BIOS 关闭以太网及 USB 接口功能</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287A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9296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281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5ADC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137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1B1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1661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*操作系统及软件功能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E09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*固件查看信息</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072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支持查看固件版本、内存信息、主板信息、处理器信息和系统时间信息等功能</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3D37">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E784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BE37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8C3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138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061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2DB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*操作系统及软件功能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8D1F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*固件设置启动顺序</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A35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支持设置启动顺序功能，并按照设置的启动顺序启动</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B2E8C">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833D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BAB9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D30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139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9ADC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2CB6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*操作系统及软件功能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D23C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*固件设置口令</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117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支持设置口令、修改口令、验证口令功能</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A8A9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B1FE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208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BE8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140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40F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4D8A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*操作系统及软件功能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55E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*固件设置网络引导</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F27D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支持网络引导启动和关闭功能</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2E4B6">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45E66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C9EB1">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CB71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141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29F9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1A67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生物识别功能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047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指纹识别</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85BA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2AA1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C916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8845">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AD78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142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BE5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5E86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生物识别功能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07D4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人脸识别</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97EB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C43A">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B139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8FA41">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3E87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143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44B0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9C9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生物识别功能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744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静脉识别</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256B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2D14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42BC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457A0">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2462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144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11F4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109F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硬件加速功能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0C0C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NPU/GPU等 A I 加速模块</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6DF3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72B02">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6664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DE554">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246A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145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F9BE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2B8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硬件加速功能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1931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视频编解码加速模块</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F5A8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F115C">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8187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E0047">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BF5A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146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2472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功能要求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18F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硬件加速功能</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536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影像处理加速模块</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92E2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61B08">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A244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63AD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3D97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147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4A4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可靠性要求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B2CE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*存储设备可靠性</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068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*固态存储寿命</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D23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TBW ≥ 80TB（条件：240GB 硬盘容量）</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1B54F">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FE8B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8FF27">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FF13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148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9F8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可靠性要求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F9A7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*存储设备可靠性</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619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*机械硬盘寿命</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8121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A2ED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5F23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F944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CE00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149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3D0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可靠性要求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7F7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*显示设备可靠性</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FE2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*显示屏屏幕失效点</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EDA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符合 GB/T 9813.2 的要求</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F8F95">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6A3A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020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344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150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3C1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可靠性要求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3C1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*外设可靠性</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165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*键盘按键寿命</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363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≥1000 万次</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5021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F5FD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3DB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7A35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151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EAE5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可靠性要求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035F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*外设可靠性</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628D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*鼠标按键寿命</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7B0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≥500 万次</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B489A">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1DC3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8656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0F18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152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EE20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可靠性要求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537B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*外设可靠性</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CCCF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*键盘鼠标线材寿命</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CEC1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键盘鼠标所用线材经±60 °弯折不低于 3000 次，功能、外观完好</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07139">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000C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EDE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F53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153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907A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可靠性要求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C698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*外设可靠性</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9C4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*风扇寿命</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282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≥4 万小时</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DBF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48B12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5527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95E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154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7BB8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可靠性要求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1B69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*整机可靠性要求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F667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*电磁兼容性要求的抗扰度</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F73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符合 GB/T 9254.2 的规定</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FF7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14CB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5DBF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66A3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155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96B3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可靠性要求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1683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*整机可靠性要求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337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*环境条件要求的气候环境适应性</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42A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符合 GB/T 9813.1 中规定</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EBB13">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CDF7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0027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41B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156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649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可靠性要求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90A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*整机可靠性要求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99A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*环境条件要求的振动适应性</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1755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符合 GB/T 9813.1 中规定</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503D6">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A5A2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268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5F84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157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3983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可靠性要求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48C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*整机可靠性要求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097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*环境条件要求的冲击适应性</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7C0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符合 GB/T 9813.1 中规定</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6EDC">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F4C5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A00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3DA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158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784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可靠性要求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737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*整机可靠性要求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173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*环境条件要求的碰撞适应性</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E91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符合 GB/T 9813.1 中规定</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FC95">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7FC3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C435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CD2E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159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7F31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可靠性要求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F66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*整机可靠性要求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F1DD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*环境条件要求的运输包装件跌落适应性</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7DB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符合 GB/T 9813.1 中规定</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8643F">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435F1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33C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1E47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160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4B3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可靠性要求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2A3F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*整机可靠性要求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32C0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*MTBF 测试</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C883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MTBF(m1)≥3 万小时</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BC2B3">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7D86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DA92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AC87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161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9BE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兼容要求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398B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*兼容要求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ED97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*常用软件兼容</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1BC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应支持流式软件、版式软件、浏览器、邮件客户端、解压软件、多媒体、图形图像处理等常用软件</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342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7B26D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F753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719D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162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AE32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兼容要求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100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*兼容要求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D413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*数据库兼容</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82DE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兼容 3 个及以上厂商的数据库产品</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FDCE">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03FD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596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91B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163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439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兼容要求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EB4D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*兼容要求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462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*中间件兼容</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81B1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兼容 3 个及以上厂商中间件产品</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1B1F">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17D3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B970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0063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164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9FDD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兼容要求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BF1A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*兼容要求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D9BA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*平台软件兼容</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A7E6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兼容 3 个及以上厂商云计算及大数据平台</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379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8EC7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61BD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300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165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0456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包装及运输要求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F555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*包装及运输要求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A081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*标志、包装、运输和贮存</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331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符合 GB/T 9813.1 和商品包装政府采购需求标准的相关规定</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948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CA63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EF2D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737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166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700F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89E0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CD1F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*配置检查工具</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040B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供应商提供经自检测试工具</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AC4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2B63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DE849">
            <w:pPr>
              <w:adjustRightInd w:val="0"/>
              <w:snapToGrid w:val="0"/>
              <w:textAlignment w:val="center"/>
              <w:rPr>
                <w:rFonts w:hint="default" w:ascii="Times New Roman" w:hAnsi="Times New Roman" w:eastAsia="仿宋_GB2312" w:cs="Times New Roman"/>
                <w:color w:val="auto"/>
                <w:kern w:val="0"/>
                <w:sz w:val="24"/>
                <w:szCs w:val="24"/>
                <w:lang w:eastAsia="zh-CN" w:bidi="ar"/>
              </w:rPr>
            </w:pPr>
          </w:p>
          <w:p w14:paraId="3D8313D4">
            <w:pPr>
              <w:adjustRightInd w:val="0"/>
              <w:snapToGrid w:val="0"/>
              <w:textAlignment w:val="center"/>
              <w:rPr>
                <w:rFonts w:hint="default" w:ascii="Times New Roman" w:hAnsi="Times New Roman" w:eastAsia="仿宋_GB2312" w:cs="Times New Roman"/>
                <w:color w:val="auto"/>
                <w:kern w:val="0"/>
                <w:sz w:val="24"/>
                <w:szCs w:val="24"/>
                <w:lang w:eastAsia="zh-CN" w:bidi="ar"/>
              </w:rPr>
            </w:pPr>
          </w:p>
          <w:p w14:paraId="27D7905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F081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167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993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75D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6CA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*服务响应</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A3C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a）提供产品3 年维保及上门服务（满足同城4 小时、异地 12 小时响应要求）；</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b）提供政企专线 7*24 在线服务；</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c）现场保障技术服务团队员，国内上门服务地级市覆盖率达 100%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48F1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5F71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8931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9CD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168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3F42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5B9D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1E1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*服务周期</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1AE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支持产品延保≥3 年提供每年延保服务报价提供备件服务能力≥6年（自购买之日起）</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FC304">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243E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9D51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5D8F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169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29C9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657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0AFC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*预装操作系统</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BD58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预装符合桌面操作系统政府采购需求标准的正版操作系统</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7336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56BC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F454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E7A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170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5504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F7C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553C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*培训服务</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AAD0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供应商提供培训材料、产品手册、培训视频等培训相关内容</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6E721">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6371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1F0B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FA1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171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EF1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7122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1BC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*典型问题解决手册</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88DB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供应商提供典型问题解决说明文档或视频</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E701C">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B7DB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BF2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41CF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172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642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926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489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*厂家升级软件与扩容服务</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195A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供应商提供上门升级部件/软件的增值服务</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F47E5">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02DF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EC8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02F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173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5A7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580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B66C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*整机质量服务要求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E89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免费服务周期（含换件和维修）应不小于 3 年</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9677">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1E23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CC9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B990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174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1077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47C8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9D88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*合格证书要求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B03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供应商提供产品合格证</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683C">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758B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EB8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043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175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5BC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6EE0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2C1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*开箱组装/使用指导要求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A86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供应商提供开箱组装/使用指导</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88B8E">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36CF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F4D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82F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176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B24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8C01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A284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*驱动下载服务要求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1B0A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供应商提供驱动光盘或下载方式</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C36C">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C676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F82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9B8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177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C29A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014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FB97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*兼容适配软件下载服务要求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C3D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供应商提供兼容适配软件下载渠道（光盘、网站）</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1F9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5CA6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909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DFCB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178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423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663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*服务要求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5D75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跨架构平台应用兼容</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661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供应商提供跨架构平台应用兼容工具，支持一种或者一种以上不同架构平台的应用</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D427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03B4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AFC0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96F3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179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BF7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供应保障要求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576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*供应链合规性</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12D7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*产品部件保障</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B83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保障产品主要部件提供6年的备件服务能力(自购买之日起)，或提供可兼容原设备的升级换代产品</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EBFEC">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3CBA7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199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E9A9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180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C10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供应保障要求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2F6E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供应链质量*</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D7479">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*抗干扰性</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C1A4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当产品部件出现供应风险时，供应商应通知采购人并提供风险应对方案确保产品的服务保障</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5E0A">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8D14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2FDA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E0F4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181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7DB6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供应保障要求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1BF0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供应链质量*</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2FC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*供应能力证明</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8FA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供应商提供供应链稳定承诺书，确保产品的部件在产品服务周期内稳定供货</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B70B5">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A220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F4166">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F7DE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182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E914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安全要求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9DF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*关键部件安全要求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FDA3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*关键部件安全要求3</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985F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0420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231F5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F5F02">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8C2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183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10097">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安全要求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0A8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*整机安全性要求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8C9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*密码算法实现</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6B25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5756B">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48CF8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5084">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503B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184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4B4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安全要求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692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*整机安全性要求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9200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USB 端口管控</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8B56E">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804BE">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5F91E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2095D">
            <w:pPr>
              <w:adjustRightInd w:val="0"/>
              <w:snapToGrid w:val="0"/>
              <w:textAlignment w:val="center"/>
              <w:rPr>
                <w:rFonts w:hint="default" w:ascii="Times New Roman" w:hAnsi="Times New Roman" w:eastAsia="仿宋_GB2312" w:cs="Times New Roman"/>
                <w:color w:val="auto"/>
                <w:kern w:val="0"/>
                <w:sz w:val="24"/>
                <w:szCs w:val="24"/>
                <w:lang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1370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185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607C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安全要求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AA4B">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*整机安全性要求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B698A">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安全物理锁</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83664">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 /</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235F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05992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FCA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3AB3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186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04B5">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安全要求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05B8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*整机安全性要求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EBE1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*信息安全基本要求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8A3C">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a) 应符合 GB/T 39276 的 5.2 的规定；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 xml:space="preserve">b) 生产厂商应建立漏洞跟踪表，保证产品版本涉及到的漏洞(如驱动程序等)可查看； </w:t>
            </w:r>
            <w:r>
              <w:rPr>
                <w:rFonts w:hint="default" w:ascii="Times New Roman" w:hAnsi="Times New Roman" w:eastAsia="仿宋_GB2312" w:cs="Times New Roman"/>
                <w:color w:val="auto"/>
                <w:kern w:val="0"/>
                <w:sz w:val="24"/>
                <w:szCs w:val="24"/>
                <w:lang w:val="en-US" w:eastAsia="zh-CN" w:bidi="ar"/>
              </w:rPr>
              <w:br w:type="textWrapping"/>
            </w:r>
            <w:r>
              <w:rPr>
                <w:rFonts w:hint="default" w:ascii="Times New Roman" w:hAnsi="Times New Roman" w:eastAsia="仿宋_GB2312" w:cs="Times New Roman"/>
                <w:color w:val="auto"/>
                <w:kern w:val="0"/>
                <w:sz w:val="24"/>
                <w:szCs w:val="24"/>
                <w:lang w:val="en-US" w:eastAsia="zh-CN" w:bidi="ar"/>
              </w:rPr>
              <w:t>c) 产品不得包含已知的恶意代码或漏洞，不存在未声明的指令、功能、接口</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6600">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1DC85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CE6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F4F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187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F333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安全要求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3F26F">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*整机安全性要求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1A83">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*固件安全启动</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D21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支持固件安全启动功能，固件启动过程中只有通过启动校验才能正常启动</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9DF09">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r w14:paraId="67A4A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47E01">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D222">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 xml:space="preserve">188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9A3D">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安全要求</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7DD66">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*整机安全性要求</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F758">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*限用物质的限量要求</w:t>
            </w:r>
          </w:p>
        </w:tc>
        <w:tc>
          <w:tcPr>
            <w:tcW w:w="3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EFD70">
            <w:pPr>
              <w:adjustRightInd w:val="0"/>
              <w:snapToGrid w:val="0"/>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符合 GB/T 26572 中规定</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95CD">
            <w:pPr>
              <w:adjustRightInd w:val="0"/>
              <w:snapToGrid w:val="0"/>
              <w:jc w:val="center"/>
              <w:textAlignment w:val="center"/>
              <w:rPr>
                <w:rFonts w:hint="default" w:ascii="Times New Roman" w:hAnsi="Times New Roman" w:eastAsia="仿宋_GB2312" w:cs="Times New Roman"/>
                <w:color w:val="auto"/>
                <w:kern w:val="0"/>
                <w:sz w:val="24"/>
                <w:szCs w:val="24"/>
                <w:lang w:eastAsia="zh-CN" w:bidi="ar"/>
              </w:rPr>
            </w:pPr>
            <w:r>
              <w:rPr>
                <w:rFonts w:hint="default" w:ascii="Times New Roman" w:hAnsi="Times New Roman" w:eastAsia="仿宋_GB2312" w:cs="Times New Roman"/>
                <w:color w:val="auto"/>
                <w:kern w:val="0"/>
                <w:sz w:val="24"/>
                <w:szCs w:val="24"/>
                <w:lang w:val="en-US" w:eastAsia="zh-CN" w:bidi="ar"/>
              </w:rPr>
              <w:t>/</w:t>
            </w:r>
          </w:p>
        </w:tc>
      </w:tr>
    </w:tbl>
    <w:p w14:paraId="2C796BD7">
      <w:pPr>
        <w:pStyle w:val="16"/>
        <w:rPr>
          <w:rFonts w:hint="default" w:ascii="Times New Roman" w:hAnsi="Times New Roman" w:cs="Times New Roman"/>
          <w:lang w:val="en-US" w:eastAsia="zh-CN"/>
        </w:rPr>
        <w:sectPr>
          <w:pgSz w:w="11906" w:h="16838"/>
          <w:pgMar w:top="1440" w:right="1080" w:bottom="1440" w:left="1080" w:header="851" w:footer="992" w:gutter="0"/>
          <w:cols w:space="720" w:num="1"/>
          <w:docGrid w:type="lines" w:linePitch="312" w:charSpace="0"/>
        </w:sectPr>
      </w:pPr>
    </w:p>
    <w:p w14:paraId="786F2237">
      <w:pPr>
        <w:spacing w:before="120" w:after="120" w:line="500" w:lineRule="exact"/>
        <w:jc w:val="left"/>
        <w:outlineLvl w:val="1"/>
        <w:rPr>
          <w:rFonts w:hint="default" w:ascii="Times New Roman" w:hAnsi="Times New Roman" w:eastAsia="仿宋_GB2312" w:cs="Times New Roman"/>
          <w:b/>
          <w:caps/>
          <w:color w:val="auto"/>
          <w:kern w:val="0"/>
          <w:sz w:val="32"/>
          <w:szCs w:val="32"/>
          <w:lang w:eastAsia="zh-CN"/>
        </w:rPr>
      </w:pPr>
      <w:r>
        <w:rPr>
          <w:rFonts w:hint="default" w:ascii="Times New Roman" w:hAnsi="Times New Roman" w:eastAsia="仿宋_GB2312" w:cs="Times New Roman"/>
          <w:b/>
          <w:caps/>
          <w:color w:val="auto"/>
          <w:kern w:val="0"/>
          <w:sz w:val="28"/>
          <w:szCs w:val="28"/>
          <w:lang w:val="en-US" w:eastAsia="zh-CN"/>
        </w:rPr>
        <w:t>二、其他项目相关要求：</w:t>
      </w:r>
      <w:r>
        <w:rPr>
          <w:rFonts w:hint="default" w:ascii="Times New Roman" w:hAnsi="Times New Roman" w:eastAsia="仿宋_GB2312" w:cs="Times New Roman"/>
          <w:b/>
          <w:caps/>
          <w:color w:val="auto"/>
          <w:kern w:val="0"/>
          <w:sz w:val="32"/>
          <w:szCs w:val="32"/>
          <w:lang w:eastAsia="zh-CN"/>
        </w:rPr>
        <w:t xml:space="preserve"> </w:t>
      </w:r>
    </w:p>
    <w:p w14:paraId="7D28048D">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kern w:val="21"/>
          <w:sz w:val="28"/>
          <w:szCs w:val="28"/>
          <w:lang w:val="en-US" w:eastAsia="zh-CN" w:bidi="ar"/>
        </w:rPr>
        <w:t xml:space="preserve"> 项目需求及技术要求中所描述的技术参数,如有与某产品的指标或参数描述相同,并非特指,仅为产品质量、档次、水平的参照。</w:t>
      </w:r>
      <w:r>
        <w:rPr>
          <w:rFonts w:hint="default" w:ascii="Times New Roman" w:hAnsi="Times New Roman" w:eastAsia="仿宋_GB2312" w:cs="Times New Roman"/>
          <w:color w:val="auto"/>
          <w:sz w:val="28"/>
          <w:szCs w:val="28"/>
          <w:lang w:val="en-US" w:eastAsia="zh-CN"/>
        </w:rPr>
        <w:t>供应商可提供品质和功能相同的或优于同类产品的货物或方案。</w:t>
      </w:r>
    </w:p>
    <w:p w14:paraId="17AADC99">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2.检测的标准依据国家有关规定执行。</w:t>
      </w:r>
    </w:p>
    <w:p w14:paraId="26019959">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3.所投货物必须生产厂家在中国设有技术服务机构。</w:t>
      </w:r>
    </w:p>
    <w:p w14:paraId="043B3639">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4.除竞争性磋商文件要求提供的货物备件、专用工具和消耗品外，所有备件必须符合国家标准及行业要求。</w:t>
      </w:r>
    </w:p>
    <w:p w14:paraId="07D6FF21">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5.本次采购货物中如果某些技术标准与国家所要求的标准不统一或有不兼容的地方，均以国家强制性标准或最新出台的标准为准。</w:t>
      </w:r>
    </w:p>
    <w:p w14:paraId="257EABA8">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6.如果未在竞争性磋商文件中要求提供其相关行业标准或国家强制性标准的，则供应商可给予补充说明。</w:t>
      </w:r>
    </w:p>
    <w:p w14:paraId="026FE4FF">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7.质量保证期为3年，非人为或不抗力因素，导致产品损坏，供应商须免费上门维修（第一年只换不修）</w:t>
      </w:r>
    </w:p>
    <w:p w14:paraId="14BE8A17">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8.售后服务及保修</w:t>
      </w:r>
    </w:p>
    <w:p w14:paraId="5B5333EE">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在建设项目中，提供如下服务承诺：</w:t>
      </w:r>
    </w:p>
    <w:p w14:paraId="1A6FB186">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①项目验收结束后，提供3年免费服务，提供软件的免费升级更新</w:t>
      </w:r>
    </w:p>
    <w:p w14:paraId="4B014D51">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②免费提供完整的产品资料，包括系统安装使用手册、系统功能模块说明书、用户使用手册、帮助文档等；</w:t>
      </w:r>
    </w:p>
    <w:p w14:paraId="49FC0085">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③提供7×24小时响应服务；</w:t>
      </w:r>
    </w:p>
    <w:p w14:paraId="5CE90041">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④对所反映的任何问题在2小时之内得到及时响应，在远程不能解决问题的情况下，应确保24小时之内赶到现场以求实地解决问题；</w:t>
      </w:r>
    </w:p>
    <w:p w14:paraId="74472DA9">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⑤保证所推荐设备之间有良好互联性及兼容性；</w:t>
      </w:r>
    </w:p>
    <w:p w14:paraId="31F05C44">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在保修期内，成交供应商负责免费对全部货物进行维护和软件维护、升级。成交供应商在保修期内每一季度一次巡检。</w:t>
      </w:r>
    </w:p>
    <w:p w14:paraId="38022BA8">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9.合同签订后45个日历日内完成本项目的供货、安装及调试。本次采购项目为交钥匙工程，所需的一切货物、材料、安装、税金等相关费用，应全部包含在响应报价之中。</w:t>
      </w:r>
    </w:p>
    <w:p w14:paraId="716D6DDF">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10.采购内容及技术规格要求中，所描述的技术参数，如有与某产品的指标或参数描述相同，并非特指，仅为产品质量、档次、水平的参照。供应商所投产品应等同或相当于或高于采购文件所描述的技术要求。</w:t>
      </w:r>
    </w:p>
    <w:p w14:paraId="26E118E4">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11.本项目为助力打好污染防治攻坚战，推广使用绿色包装，所有商品包装符合《商品包装政府采购需求标准（试行）》、快递包装符合《快递包装政府采购需求标准（试行）》要求的，供应商应提供相关承诺函予以响应。</w:t>
      </w:r>
    </w:p>
    <w:p w14:paraId="2BE1737A">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12.根据选择产品的节能环保情况，供应商应在竞争性磋商响应文件中提供节能环保产品证明文件。</w:t>
      </w:r>
    </w:p>
    <w:p w14:paraId="09D34509">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13.供应商根据本项目特点及采购人实际情况，在竞争性磋商响应文件中制定完善的项目实施方案。项目实施方案应包括但不限于：安装计划、组织机构、安全保障措施、安装调试规划、安装人员组成、质量保证措施等内容。</w:t>
      </w:r>
    </w:p>
    <w:p w14:paraId="3ADE8A39">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14.供应商针对本项目特点，应在竞争性磋商响应文件中制定人员培训方案。方案应包括但不限于：培训的时间、地点、目标方式、内容、对象和措施、培训工程师数量、培训人员资质等。</w:t>
      </w:r>
    </w:p>
    <w:p w14:paraId="0602970E">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15.供应商针对本项目需求提供售后服务方案，方案应包括但不限于：售后服务内容、形式、团队成员数、含免费维修响应时间、解决质量或操作问题的响应时间、解决问题时间、售后服务地点等。</w:t>
      </w:r>
    </w:p>
    <w:p w14:paraId="36F63859">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16.供应商应在</w:t>
      </w:r>
      <w:r>
        <w:rPr>
          <w:rFonts w:hint="eastAsia" w:ascii="Times New Roman" w:hAnsi="Times New Roman" w:eastAsia="仿宋_GB2312" w:cs="Times New Roman"/>
          <w:color w:val="auto"/>
          <w:sz w:val="28"/>
          <w:szCs w:val="28"/>
          <w:lang w:val="en-US" w:eastAsia="zh-CN"/>
        </w:rPr>
        <w:t>响应</w:t>
      </w:r>
      <w:r>
        <w:rPr>
          <w:rFonts w:hint="default" w:ascii="Times New Roman" w:hAnsi="Times New Roman" w:eastAsia="仿宋_GB2312" w:cs="Times New Roman"/>
          <w:color w:val="auto"/>
          <w:sz w:val="28"/>
          <w:szCs w:val="28"/>
          <w:lang w:val="en-US" w:eastAsia="zh-CN"/>
        </w:rPr>
        <w:t>文件中提供类似业绩等证明材料</w:t>
      </w:r>
      <w:r>
        <w:rPr>
          <w:rFonts w:hint="eastAsia" w:ascii="Times New Roman" w:hAnsi="Times New Roman" w:eastAsia="仿宋_GB2312" w:cs="Times New Roman"/>
          <w:color w:val="auto"/>
          <w:sz w:val="28"/>
          <w:szCs w:val="28"/>
          <w:lang w:val="en-US" w:eastAsia="zh-CN"/>
        </w:rPr>
        <w:t>。</w:t>
      </w:r>
    </w:p>
    <w:p w14:paraId="4E3714B6">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17.</w:t>
      </w:r>
      <w:r>
        <w:rPr>
          <w:rFonts w:hint="default" w:ascii="Times New Roman" w:hAnsi="Times New Roman" w:eastAsia="仿宋_GB2312" w:cs="Times New Roman"/>
          <w:color w:val="auto"/>
          <w:sz w:val="28"/>
          <w:szCs w:val="28"/>
          <w:lang w:val="en-US" w:eastAsia="zh-CN"/>
        </w:rPr>
        <w:t>供应商还可在文件中提供其他与本项目相关的内容。</w:t>
      </w:r>
    </w:p>
    <w:p w14:paraId="0DDF5822">
      <w:pPr>
        <w:spacing w:before="120" w:after="120"/>
        <w:outlineLvl w:val="1"/>
        <w:rPr>
          <w:rFonts w:hint="default" w:ascii="Times New Roman" w:hAnsi="Times New Roman" w:eastAsia="仿宋_GB2312" w:cs="Times New Roman"/>
          <w:b/>
          <w:caps/>
          <w:color w:val="auto"/>
          <w:kern w:val="0"/>
          <w:sz w:val="28"/>
          <w:szCs w:val="28"/>
          <w:lang w:val="en-US" w:eastAsia="zh-CN"/>
        </w:rPr>
      </w:pPr>
      <w:r>
        <w:rPr>
          <w:rFonts w:hint="default" w:ascii="Times New Roman" w:hAnsi="Times New Roman" w:eastAsia="仿宋_GB2312" w:cs="Times New Roman"/>
          <w:b/>
          <w:caps/>
          <w:color w:val="auto"/>
          <w:kern w:val="0"/>
          <w:sz w:val="28"/>
          <w:szCs w:val="28"/>
          <w:lang w:val="en-US" w:eastAsia="zh-CN"/>
        </w:rPr>
        <w:t>三、验收方式及标准</w:t>
      </w:r>
      <w:bookmarkStart w:id="327" w:name="_GoBack"/>
      <w:bookmarkEnd w:id="327"/>
    </w:p>
    <w:p w14:paraId="258F35C3">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1、验收组织方式：</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 xml:space="preserve">自行组织 </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 xml:space="preserve"> 委托第三方组织</w:t>
      </w:r>
    </w:p>
    <w:p w14:paraId="04B09D7F">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验收主体：</w:t>
      </w:r>
      <w:r>
        <w:rPr>
          <w:rFonts w:hint="default" w:ascii="Times New Roman" w:hAnsi="Times New Roman" w:eastAsia="仿宋_GB2312" w:cs="Times New Roman"/>
          <w:color w:val="auto"/>
          <w:sz w:val="28"/>
          <w:szCs w:val="28"/>
          <w:u w:val="single"/>
          <w:lang w:val="en-US" w:eastAsia="zh-CN"/>
        </w:rPr>
        <w:t xml:space="preserve"> 郑州铁路职业技术学院              </w:t>
      </w:r>
      <w:r>
        <w:rPr>
          <w:rFonts w:hint="default" w:ascii="Times New Roman" w:hAnsi="Times New Roman" w:eastAsia="仿宋_GB2312" w:cs="Times New Roman"/>
          <w:color w:val="auto"/>
          <w:sz w:val="28"/>
          <w:szCs w:val="28"/>
          <w:lang w:val="en-US" w:eastAsia="zh-CN"/>
        </w:rPr>
        <w:t xml:space="preserve">                 </w:t>
      </w:r>
    </w:p>
    <w:p w14:paraId="52B66FF5">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是否邀请本项目的其他供应商参加验收：</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 xml:space="preserve">是  </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否</w:t>
      </w:r>
    </w:p>
    <w:p w14:paraId="21D8B5EB">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是否邀请专家参加验收：</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 xml:space="preserve">是  </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否</w:t>
      </w:r>
    </w:p>
    <w:p w14:paraId="19EDBC7E">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是否邀请服务对象参加验收：</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 xml:space="preserve">是  </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否</w:t>
      </w:r>
    </w:p>
    <w:p w14:paraId="445FA585">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是否邀请第三方检测机构参加验收：</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 xml:space="preserve">是  </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否</w:t>
      </w:r>
    </w:p>
    <w:p w14:paraId="24972F57">
      <w:pPr>
        <w:pStyle w:val="70"/>
        <w:ind w:firstLine="562" w:firstLineChars="200"/>
        <w:rPr>
          <w:rFonts w:hint="default" w:ascii="Times New Roman" w:hAnsi="Times New Roman" w:eastAsia="仿宋_GB2312" w:cs="Times New Roman"/>
          <w:color w:val="auto"/>
          <w:sz w:val="28"/>
          <w:szCs w:val="28"/>
          <w:u w:val="single"/>
          <w:lang w:val="en-US" w:eastAsia="zh-CN"/>
        </w:rPr>
      </w:pPr>
      <w:r>
        <w:rPr>
          <w:rFonts w:hint="eastAsia" w:ascii="Times New Roman" w:hAnsi="Times New Roman" w:eastAsia="仿宋_GB2312" w:cs="Times New Roman"/>
          <w:b/>
          <w:bCs/>
          <w:strike w:val="0"/>
          <w:dstrike w:val="0"/>
          <w:color w:val="auto"/>
          <w:kern w:val="2"/>
          <w:sz w:val="28"/>
          <w:szCs w:val="28"/>
          <w:u w:val="single"/>
          <w:lang w:val="en-US" w:eastAsia="zh-CN" w:bidi="ar-SA"/>
        </w:rPr>
        <w:t>第三方验收，检测费用约为成交价格的1.6%，由成交供应商支付，请各供应商精准核算成本，合理报价。</w:t>
      </w:r>
    </w:p>
    <w:p w14:paraId="12683D19">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是否进行抽查检测：</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是，抽查比例：</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否</w:t>
      </w:r>
    </w:p>
    <w:p w14:paraId="0C497364">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是否存在破坏性检测：</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是，（应明确对被破坏的检测产品的处理方式）</w:t>
      </w:r>
    </w:p>
    <w:p w14:paraId="0D613062">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否</w:t>
      </w:r>
    </w:p>
    <w:p w14:paraId="04F191C3">
      <w:pPr>
        <w:spacing w:line="500" w:lineRule="exact"/>
        <w:ind w:firstLine="560" w:firstLineChars="200"/>
        <w:jc w:val="left"/>
        <w:rPr>
          <w:rFonts w:hint="default" w:ascii="Times New Roman" w:hAnsi="Times New Roman" w:eastAsia="仿宋_GB2312" w:cs="Times New Roman"/>
          <w:color w:val="auto"/>
          <w:sz w:val="28"/>
          <w:szCs w:val="28"/>
          <w:u w:val="single"/>
          <w:lang w:val="en-US" w:eastAsia="zh-CN"/>
        </w:rPr>
      </w:pPr>
      <w:r>
        <w:rPr>
          <w:rFonts w:hint="default" w:ascii="Times New Roman" w:hAnsi="Times New Roman" w:eastAsia="仿宋_GB2312" w:cs="Times New Roman"/>
          <w:color w:val="auto"/>
          <w:sz w:val="28"/>
          <w:szCs w:val="28"/>
          <w:lang w:val="en-US" w:eastAsia="zh-CN"/>
        </w:rPr>
        <w:t>2、履约验收时间：</w:t>
      </w:r>
      <w:r>
        <w:rPr>
          <w:rFonts w:hint="default" w:ascii="Times New Roman" w:hAnsi="Times New Roman" w:eastAsia="仿宋_GB2312" w:cs="Times New Roman"/>
          <w:color w:val="auto"/>
          <w:sz w:val="28"/>
          <w:szCs w:val="28"/>
          <w:u w:val="single"/>
          <w:lang w:val="en-US" w:eastAsia="zh-CN"/>
        </w:rPr>
        <w:t>（计划于何时验收/供应商提出验收申请之日起7日内组织验收）</w:t>
      </w:r>
    </w:p>
    <w:p w14:paraId="777B3891">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3、履约验收方式： </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 xml:space="preserve">一次性验收         </w:t>
      </w:r>
    </w:p>
    <w:p w14:paraId="373290A1">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分期/分项验收：（应明确分期</w:t>
      </w:r>
      <w:r>
        <w:rPr>
          <w:rFonts w:hint="default" w:ascii="Times New Roman" w:hAnsi="Times New Roman" w:eastAsia="仿宋_GB2312" w:cs="Times New Roman"/>
          <w:color w:val="auto"/>
          <w:sz w:val="28"/>
          <w:szCs w:val="28"/>
          <w:lang w:val="en" w:eastAsia="zh-CN"/>
        </w:rPr>
        <w:t>/分项验收的工作安排</w:t>
      </w:r>
      <w:r>
        <w:rPr>
          <w:rFonts w:hint="default" w:ascii="Times New Roman" w:hAnsi="Times New Roman" w:eastAsia="仿宋_GB2312" w:cs="Times New Roman"/>
          <w:color w:val="auto"/>
          <w:sz w:val="28"/>
          <w:szCs w:val="28"/>
          <w:lang w:val="en-US" w:eastAsia="zh-CN"/>
        </w:rPr>
        <w:t xml:space="preserve">）  </w:t>
      </w:r>
    </w:p>
    <w:p w14:paraId="22C0E8DA">
      <w:pPr>
        <w:numPr>
          <w:ilvl w:val="0"/>
          <w:numId w:val="12"/>
        </w:num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履约验收程序： (1)到货验收。到货后，检查仪器设备内外包装是否完好，有无破损、碰伤、浸湿、受潮、变形等情况。确认所验收货物件数与运输单据填写的件数一致。如发现上述问题，应做详细记录，并拍照留据。</w:t>
      </w:r>
    </w:p>
    <w:p w14:paraId="65E23FA1">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开箱(实物及数量参数)验收。到货后开箱检查仪器设备及附件外表有无残损、锈蚀、碰伤等，检查随机资料是否齐全，如仪器说明书、操作规程、检修手册、产品检验合格证书等。以装箱单为依据，逐件核对检查主机、附件的规格、型号、配置及数量。以供货合同为依据与装箱单 进行核对，做好货物(设备)验收清单记录。</w:t>
      </w:r>
    </w:p>
    <w:p w14:paraId="7A92BEB1">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 质量验收。按照合同条款、货物(设备) 使用说明书及操作手册的规定和程序进行安装、调试后进行质量验收，中标人技术人员参加，必要时可委托有资质的第三方(或政府主管部门)进行验收，所需费用由中标人承担。验收时对照货物(设备)使用说明书，进行各种技术参数测试，检查仪器的技术指标和性能是否达到要求，做好质量验收记录，验收结束出具验收报告。若仪器出现质量问题，应将详细情况书面通知供应商。</w:t>
      </w:r>
    </w:p>
    <w:p w14:paraId="29024362">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(4)正式验收。使用单位初验合格后，由学校或第三方验收机构进行正式验收，验收所产生的费用由中标人承担。                                                                 </w:t>
      </w:r>
    </w:p>
    <w:p w14:paraId="401CF60D">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5、履约验收的内容：</w:t>
      </w:r>
      <w:r>
        <w:rPr>
          <w:rFonts w:hint="default" w:ascii="Times New Roman" w:hAnsi="Times New Roman" w:eastAsia="仿宋_GB2312" w:cs="Times New Roman"/>
          <w:color w:val="auto"/>
          <w:sz w:val="28"/>
          <w:szCs w:val="28"/>
          <w:u w:val="single"/>
          <w:lang w:val="en-US" w:eastAsia="zh-CN"/>
        </w:rPr>
        <w:t>（应当包括每一项技术和商务要求的履约情况，特别是落实政府采购扶持中小企业，支持绿色发展和乡村振兴等政策情况）</w:t>
      </w:r>
      <w:r>
        <w:rPr>
          <w:rFonts w:hint="default" w:ascii="Times New Roman" w:hAnsi="Times New Roman" w:eastAsia="仿宋_GB2312" w:cs="Times New Roman"/>
          <w:color w:val="auto"/>
          <w:sz w:val="28"/>
          <w:szCs w:val="28"/>
          <w:lang w:val="en-US" w:eastAsia="zh-CN"/>
        </w:rPr>
        <w:t xml:space="preserve">                                      </w:t>
      </w:r>
    </w:p>
    <w:p w14:paraId="067749C5">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6、履约验收标准：</w:t>
      </w:r>
      <w:r>
        <w:rPr>
          <w:rFonts w:hint="default" w:ascii="Times New Roman" w:hAnsi="Times New Roman" w:eastAsia="仿宋_GB2312" w:cs="Times New Roman"/>
          <w:color w:val="auto"/>
          <w:sz w:val="28"/>
          <w:szCs w:val="28"/>
          <w:u w:val="single"/>
          <w:lang w:val="en-US" w:eastAsia="zh-CN"/>
        </w:rPr>
        <w:t>符合国家相关行业合格标准且满足采购人需求。</w:t>
      </w:r>
      <w:r>
        <w:rPr>
          <w:rFonts w:hint="default" w:ascii="Times New Roman" w:hAnsi="Times New Roman" w:eastAsia="仿宋_GB2312" w:cs="Times New Roman"/>
          <w:color w:val="auto"/>
          <w:sz w:val="28"/>
          <w:szCs w:val="28"/>
          <w:lang w:val="en-US" w:eastAsia="zh-CN"/>
        </w:rPr>
        <w:t xml:space="preserve">                                     </w:t>
      </w:r>
    </w:p>
    <w:p w14:paraId="46F57BDA">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7、是否以采购活动中供应商提供的样品作为参考：</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 xml:space="preserve">是  </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否</w:t>
      </w:r>
    </w:p>
    <w:p w14:paraId="74584ABA">
      <w:pPr>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8、履约验收其他事项： </w:t>
      </w:r>
      <w:r>
        <w:rPr>
          <w:rFonts w:hint="default" w:ascii="Times New Roman" w:hAnsi="Times New Roman" w:eastAsia="仿宋_GB2312" w:cs="Times New Roman"/>
          <w:color w:val="auto"/>
          <w:sz w:val="28"/>
          <w:szCs w:val="28"/>
          <w:u w:val="single"/>
          <w:lang w:val="en-US" w:eastAsia="zh-CN"/>
        </w:rPr>
        <w:t xml:space="preserve">无  </w:t>
      </w:r>
      <w:r>
        <w:rPr>
          <w:rFonts w:hint="default" w:ascii="Times New Roman" w:hAnsi="Times New Roman" w:eastAsia="仿宋_GB2312" w:cs="Times New Roman"/>
          <w:color w:val="auto"/>
          <w:sz w:val="28"/>
          <w:szCs w:val="28"/>
          <w:lang w:val="en-US" w:eastAsia="zh-CN"/>
        </w:rPr>
        <w:t xml:space="preserve">   （产权过户登记等</w:t>
      </w:r>
      <w:bookmarkStart w:id="273" w:name="_Toc9116"/>
      <w:bookmarkStart w:id="274" w:name="_Toc1424279934_WPSOffice_Level1"/>
      <w:bookmarkStart w:id="275" w:name="_Toc816670296"/>
      <w:bookmarkStart w:id="276" w:name="_Toc1252040209_WPSOffice_Level1"/>
      <w:bookmarkStart w:id="277" w:name="_Toc1027165614"/>
      <w:bookmarkStart w:id="278" w:name="_Toc1871798156"/>
      <w:bookmarkStart w:id="279" w:name="_Toc555660728_WPSOffice_Level1"/>
      <w:bookmarkStart w:id="280" w:name="_Toc170276657"/>
      <w:bookmarkStart w:id="281" w:name="_Toc1076969064"/>
      <w:bookmarkStart w:id="282" w:name="_Toc937079805"/>
      <w:bookmarkStart w:id="283" w:name="_Toc2046937450_WPSOffice_Level1"/>
      <w:bookmarkStart w:id="284" w:name="_Toc717515878"/>
      <w:bookmarkStart w:id="285" w:name="_Toc1357609763"/>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val="en-US" w:eastAsia="zh-CN"/>
        </w:rPr>
        <w:br w:type="page"/>
      </w:r>
    </w:p>
    <w:p w14:paraId="6781D78D">
      <w:pPr>
        <w:spacing w:line="500" w:lineRule="exact"/>
        <w:ind w:firstLine="723" w:firstLineChars="200"/>
        <w:jc w:val="center"/>
        <w:outlineLvl w:val="0"/>
        <w:rPr>
          <w:rFonts w:hint="default" w:ascii="Times New Roman" w:hAnsi="Times New Roman" w:cs="Times New Roman"/>
          <w:b/>
          <w:bCs/>
          <w:color w:val="auto"/>
          <w:kern w:val="44"/>
          <w:sz w:val="36"/>
          <w:szCs w:val="36"/>
          <w:lang w:eastAsia="zh-CN"/>
        </w:rPr>
      </w:pPr>
      <w:r>
        <w:rPr>
          <w:rFonts w:hint="default" w:ascii="Times New Roman" w:hAnsi="Times New Roman" w:cs="Times New Roman"/>
          <w:b/>
          <w:bCs/>
          <w:color w:val="auto"/>
          <w:kern w:val="44"/>
          <w:sz w:val="36"/>
          <w:szCs w:val="36"/>
          <w:lang w:eastAsia="zh-CN"/>
        </w:rPr>
        <w:t>第六章 磋商方法和标准</w:t>
      </w:r>
      <w:bookmarkEnd w:id="273"/>
    </w:p>
    <w:p w14:paraId="7E737A6F">
      <w:pPr>
        <w:spacing w:line="320" w:lineRule="exact"/>
        <w:outlineLvl w:val="2"/>
        <w:rPr>
          <w:rFonts w:hint="default" w:ascii="Times New Roman" w:hAnsi="Times New Roman" w:eastAsia="仿宋_GB2312" w:cs="Times New Roman"/>
          <w:b/>
          <w:color w:val="auto"/>
          <w:sz w:val="28"/>
          <w:szCs w:val="28"/>
          <w:lang w:eastAsia="zh-CN"/>
        </w:rPr>
      </w:pPr>
      <w:bookmarkStart w:id="286" w:name="_Toc421828923_WPSOffice_Level2"/>
      <w:bookmarkStart w:id="287" w:name="_Toc1595179162_WPSOffice_Level2"/>
      <w:bookmarkStart w:id="288" w:name="_Toc682913791_WPSOffice_Level2"/>
      <w:bookmarkStart w:id="289" w:name="_Toc1270934164_WPSOffice_Level2"/>
      <w:r>
        <w:rPr>
          <w:rFonts w:hint="default" w:ascii="Times New Roman" w:hAnsi="Times New Roman" w:eastAsia="仿宋_GB2312" w:cs="Times New Roman"/>
          <w:b/>
          <w:color w:val="auto"/>
          <w:sz w:val="28"/>
          <w:szCs w:val="28"/>
          <w:lang w:eastAsia="zh-CN"/>
        </w:rPr>
        <w:t>一、</w:t>
      </w:r>
      <w:bookmarkEnd w:id="286"/>
      <w:bookmarkEnd w:id="287"/>
      <w:bookmarkEnd w:id="288"/>
      <w:bookmarkEnd w:id="289"/>
      <w:r>
        <w:rPr>
          <w:rFonts w:hint="default" w:ascii="Times New Roman" w:hAnsi="Times New Roman" w:eastAsia="仿宋_GB2312" w:cs="Times New Roman"/>
          <w:b/>
          <w:color w:val="auto"/>
          <w:sz w:val="28"/>
          <w:szCs w:val="28"/>
          <w:lang w:eastAsia="zh-CN"/>
        </w:rPr>
        <w:t xml:space="preserve">磋商方法 </w:t>
      </w:r>
    </w:p>
    <w:p w14:paraId="7EEC07F3">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采用综合评分法，总分值</w:t>
      </w:r>
      <w:r>
        <w:rPr>
          <w:rFonts w:hint="default" w:ascii="Times New Roman" w:hAnsi="Times New Roman" w:eastAsia="仿宋_GB2312" w:cs="Times New Roman"/>
          <w:color w:val="auto"/>
          <w:sz w:val="28"/>
          <w:szCs w:val="28"/>
          <w:lang w:val="en-US" w:eastAsia="zh-CN"/>
        </w:rPr>
        <w:t>100</w:t>
      </w:r>
      <w:r>
        <w:rPr>
          <w:rFonts w:hint="default" w:ascii="Times New Roman" w:hAnsi="Times New Roman" w:eastAsia="仿宋_GB2312" w:cs="Times New Roman"/>
          <w:color w:val="auto"/>
          <w:sz w:val="28"/>
          <w:szCs w:val="28"/>
          <w:lang w:eastAsia="zh-CN"/>
        </w:rPr>
        <w:t>分。</w:t>
      </w:r>
      <w:bookmarkStart w:id="290" w:name="_Toc35230229_WPSOffice_Level2"/>
      <w:r>
        <w:rPr>
          <w:rFonts w:hint="default" w:ascii="Times New Roman" w:hAnsi="Times New Roman" w:eastAsia="仿宋_GB2312" w:cs="Times New Roman"/>
          <w:color w:val="auto"/>
          <w:sz w:val="28"/>
          <w:szCs w:val="28"/>
          <w:lang w:eastAsia="zh-CN"/>
        </w:rPr>
        <w:t>竞争性磋商小组对各供应商的竞争性磋商响应文件进行初步审查、详细评审后，按综合评审得分由高到低顺序推荐排名。如综合评审得分相同的，按最后磋商响应报价由低到高顺序推荐排名；综合评审得分且最后磋商响应报价相同的，按技术指标等优劣顺序推荐排名。</w:t>
      </w:r>
    </w:p>
    <w:bookmarkEnd w:id="290"/>
    <w:p w14:paraId="0247C71C">
      <w:pPr>
        <w:spacing w:line="360" w:lineRule="auto"/>
        <w:ind w:firstLine="562" w:firstLineChars="200"/>
        <w:rPr>
          <w:rFonts w:hint="default" w:ascii="Times New Roman" w:hAnsi="Times New Roman" w:eastAsia="仿宋_GB2312" w:cs="Times New Roman"/>
          <w:b/>
          <w:color w:val="auto"/>
          <w:sz w:val="28"/>
          <w:szCs w:val="28"/>
          <w:lang w:eastAsia="zh-CN"/>
        </w:rPr>
      </w:pPr>
      <w:bookmarkStart w:id="291" w:name="_Toc1410113626_WPSOffice_Level3"/>
      <w:bookmarkStart w:id="292" w:name="_Toc333611415_WPSOffice_Level3"/>
      <w:r>
        <w:rPr>
          <w:rFonts w:hint="default" w:ascii="Times New Roman" w:hAnsi="Times New Roman" w:eastAsia="仿宋_GB2312" w:cs="Times New Roman"/>
          <w:b/>
          <w:color w:val="auto"/>
          <w:sz w:val="28"/>
          <w:szCs w:val="28"/>
          <w:lang w:eastAsia="zh-CN"/>
        </w:rPr>
        <w:t>（一）</w:t>
      </w:r>
      <w:bookmarkEnd w:id="291"/>
      <w:bookmarkEnd w:id="292"/>
      <w:r>
        <w:rPr>
          <w:rFonts w:hint="default" w:ascii="Times New Roman" w:hAnsi="Times New Roman" w:eastAsia="仿宋_GB2312" w:cs="Times New Roman"/>
          <w:b/>
          <w:color w:val="auto"/>
          <w:sz w:val="28"/>
          <w:szCs w:val="28"/>
          <w:lang w:eastAsia="zh-CN"/>
        </w:rPr>
        <w:t>初步审查</w:t>
      </w:r>
    </w:p>
    <w:p w14:paraId="7E7443E9">
      <w:pPr>
        <w:spacing w:line="360" w:lineRule="auto"/>
        <w:ind w:firstLine="560" w:firstLineChars="20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竞争性磋商小组对各供应商的竞争性磋商响应文件进行初步审查，以确定其是否满足</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的实质性要求。</w:t>
      </w:r>
      <w:r>
        <w:rPr>
          <w:rFonts w:hint="default" w:ascii="Times New Roman" w:hAnsi="Times New Roman" w:eastAsia="仿宋_GB2312" w:cs="Times New Roman"/>
          <w:sz w:val="28"/>
          <w:szCs w:val="28"/>
          <w:lang w:val="en-US" w:eastAsia="zh-CN"/>
        </w:rPr>
        <w:t>依据以下标准对供应商进行审查，有一项不符合初步审查标准的，该供应商为不合格。</w:t>
      </w:r>
    </w:p>
    <w:p w14:paraId="3A3A3F31">
      <w:pPr>
        <w:spacing w:line="500" w:lineRule="exac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此处的审查包括三个部分：雷同性分析、资格性审查、实质性审查</w:t>
      </w:r>
    </w:p>
    <w:p w14:paraId="596A33BA">
      <w:pPr>
        <w:spacing w:line="500" w:lineRule="exact"/>
        <w:ind w:firstLine="562"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lang w:val="en-US" w:eastAsia="zh-CN"/>
        </w:rPr>
        <w:t>1.雷同性分析</w:t>
      </w:r>
      <w:r>
        <w:rPr>
          <w:rFonts w:hint="default" w:ascii="Times New Roman" w:hAnsi="Times New Roman" w:eastAsia="仿宋_GB2312" w:cs="Times New Roman"/>
          <w:color w:val="auto"/>
          <w:sz w:val="28"/>
          <w:szCs w:val="28"/>
          <w:lang w:val="en-US" w:eastAsia="zh-CN"/>
        </w:rPr>
        <w:t>：磋商响应文件制作机器码和文件创建标识码不能一致；</w:t>
      </w:r>
    </w:p>
    <w:p w14:paraId="1987111B">
      <w:pPr>
        <w:spacing w:line="500" w:lineRule="exact"/>
        <w:ind w:firstLine="562" w:firstLineChars="20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lang w:val="en-US" w:eastAsia="zh-CN"/>
        </w:rPr>
        <w:t>2.资格性审查：</w:t>
      </w:r>
    </w:p>
    <w:p w14:paraId="3FA4B440">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lang w:val="en-US" w:eastAsia="zh-CN"/>
        </w:rPr>
        <w:t>1</w:t>
      </w:r>
      <w:r>
        <w:rPr>
          <w:rFonts w:hint="default" w:ascii="Times New Roman" w:hAnsi="Times New Roman" w:eastAsia="仿宋_GB2312" w:cs="Times New Roman"/>
          <w:color w:val="auto"/>
          <w:kern w:val="0"/>
          <w:sz w:val="28"/>
          <w:szCs w:val="28"/>
          <w:lang w:eastAsia="zh-CN"/>
        </w:rPr>
        <w:t>）具有独立承担民事责任的能力（提供</w:t>
      </w:r>
      <w:r>
        <w:rPr>
          <w:rFonts w:hint="default" w:ascii="Times New Roman" w:hAnsi="Times New Roman" w:eastAsia="仿宋_GB2312" w:cs="Times New Roman"/>
          <w:color w:val="auto"/>
          <w:sz w:val="28"/>
          <w:szCs w:val="28"/>
          <w:lang w:val="en" w:eastAsia="zh-CN"/>
        </w:rPr>
        <w:t>法人</w:t>
      </w:r>
      <w:r>
        <w:rPr>
          <w:rFonts w:hint="default" w:ascii="Times New Roman" w:hAnsi="Times New Roman" w:eastAsia="仿宋_GB2312" w:cs="Times New Roman"/>
          <w:color w:val="auto"/>
          <w:sz w:val="28"/>
          <w:szCs w:val="28"/>
          <w:lang w:eastAsia="zh-CN"/>
        </w:rPr>
        <w:t>或者非法人组织的营业执照等证明文件或自然人的身份证明）</w:t>
      </w:r>
      <w:r>
        <w:rPr>
          <w:rFonts w:hint="default" w:ascii="Times New Roman" w:hAnsi="Times New Roman" w:eastAsia="仿宋_GB2312" w:cs="Times New Roman"/>
          <w:color w:val="auto"/>
          <w:sz w:val="28"/>
          <w:szCs w:val="28"/>
          <w:lang w:val="en" w:eastAsia="zh-CN"/>
        </w:rPr>
        <w:t>；</w:t>
      </w:r>
    </w:p>
    <w:p w14:paraId="44699333">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（2）具有良好的商业信誉和健全的财务会计制度（提供2025年度财务审计报告，要求注册会计师签字并加盖会计师印章；截止到响应文件开启时间，供应商成立时间不足1年的，可提供银行资信证明材料）；</w:t>
      </w:r>
    </w:p>
    <w:p w14:paraId="2F6F2734">
      <w:pPr>
        <w:spacing w:line="500" w:lineRule="exact"/>
        <w:ind w:firstLine="560" w:firstLineChars="200"/>
        <w:jc w:val="left"/>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kern w:val="0"/>
          <w:sz w:val="28"/>
          <w:szCs w:val="28"/>
          <w:lang w:eastAsia="zh-CN"/>
        </w:rPr>
        <w:t>依法缴纳税收和社会保障资金的良好记录</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sz w:val="28"/>
          <w:szCs w:val="28"/>
          <w:lang w:val="en-US" w:eastAsia="zh-CN"/>
        </w:rPr>
        <w:t>提供自2026年1月1日以来至少一个月的纳税证明和社保缴纳证明，依法免税或不需要缴纳社会保障资金的，应提供相应文件证明其依法免税或不需要缴纳</w:t>
      </w:r>
      <w:r>
        <w:rPr>
          <w:rFonts w:hint="default" w:ascii="Times New Roman" w:hAnsi="Times New Roman" w:eastAsia="仿宋_GB2312" w:cs="Times New Roman"/>
          <w:color w:val="auto"/>
          <w:sz w:val="28"/>
          <w:szCs w:val="28"/>
          <w:lang w:val="en-US" w:eastAsia="zh-CN"/>
        </w:rPr>
        <w:t>）；</w:t>
      </w:r>
    </w:p>
    <w:p w14:paraId="5C3E5551">
      <w:pPr>
        <w:spacing w:line="500" w:lineRule="exact"/>
        <w:ind w:firstLine="560" w:firstLineChars="200"/>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eastAsia="zh-CN"/>
        </w:rPr>
        <w:t>参加政府采购活动前3年内在经营活动中没有重大违法记录的声明；</w:t>
      </w:r>
    </w:p>
    <w:p w14:paraId="110C50BE">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具有履行合同所必需的设备和专业技术能力</w:t>
      </w:r>
      <w:r>
        <w:rPr>
          <w:rFonts w:hint="default" w:ascii="Times New Roman" w:hAnsi="Times New Roman" w:eastAsia="仿宋_GB2312" w:cs="Times New Roman"/>
          <w:color w:val="auto"/>
          <w:sz w:val="28"/>
          <w:szCs w:val="28"/>
          <w:lang w:val="en-US" w:eastAsia="zh-CN"/>
        </w:rPr>
        <w:t>（提供承诺书）；</w:t>
      </w:r>
    </w:p>
    <w:p w14:paraId="49627F21">
      <w:pPr>
        <w:spacing w:line="360" w:lineRule="auto"/>
        <w:ind w:firstLine="560" w:firstLineChars="200"/>
        <w:rPr>
          <w:rFonts w:hint="default" w:ascii="Times New Roman" w:hAnsi="Times New Roman" w:eastAsia="仿宋_GB2312" w:cs="Times New Roman"/>
          <w:color w:val="auto"/>
          <w:sz w:val="28"/>
          <w:szCs w:val="28"/>
          <w:lang w:val="en" w:eastAsia="zh-CN"/>
        </w:rPr>
      </w:pPr>
      <w:r>
        <w:rPr>
          <w:rFonts w:hint="default" w:ascii="Times New Roman" w:hAnsi="Times New Roman" w:eastAsia="仿宋_GB2312" w:cs="Times New Roman"/>
          <w:color w:val="auto"/>
          <w:sz w:val="28"/>
          <w:szCs w:val="28"/>
          <w:lang w:val="en-US" w:eastAsia="zh-CN"/>
        </w:rPr>
        <w:t>（6）信用查询记录符合</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规定</w:t>
      </w:r>
      <w:r>
        <w:rPr>
          <w:rFonts w:hint="default" w:ascii="Times New Roman" w:hAnsi="Times New Roman" w:eastAsia="仿宋_GB2312" w:cs="Times New Roman"/>
          <w:sz w:val="28"/>
          <w:szCs w:val="28"/>
          <w:lang w:val="en-US" w:eastAsia="zh-CN"/>
        </w:rPr>
        <w:t>（采购人查询，供应商无需提供证明材料）</w:t>
      </w:r>
      <w:r>
        <w:rPr>
          <w:rFonts w:hint="default" w:ascii="Times New Roman" w:hAnsi="Times New Roman" w:eastAsia="仿宋_GB2312" w:cs="Times New Roman"/>
          <w:color w:val="auto"/>
          <w:sz w:val="28"/>
          <w:szCs w:val="28"/>
          <w:lang w:val="en" w:eastAsia="zh-CN"/>
        </w:rPr>
        <w:t>;</w:t>
      </w:r>
    </w:p>
    <w:p w14:paraId="3D346489">
      <w:pPr>
        <w:spacing w:line="360" w:lineRule="auto"/>
        <w:ind w:firstLine="560" w:firstLineChars="200"/>
        <w:rPr>
          <w:rFonts w:hint="default" w:ascii="Times New Roman" w:hAnsi="Times New Roman" w:eastAsia="仿宋_GB2312" w:cs="Times New Roman"/>
          <w:color w:val="0000FF"/>
          <w:sz w:val="28"/>
          <w:szCs w:val="28"/>
          <w:lang w:val="en-US" w:eastAsia="zh-CN"/>
        </w:rPr>
      </w:pPr>
      <w:r>
        <w:rPr>
          <w:rFonts w:hint="default" w:ascii="Times New Roman" w:hAnsi="Times New Roman" w:eastAsia="仿宋_GB2312" w:cs="Times New Roman"/>
          <w:color w:val="auto"/>
          <w:sz w:val="28"/>
          <w:szCs w:val="28"/>
          <w:lang w:val="en" w:eastAsia="zh-CN"/>
        </w:rPr>
        <w:t>（</w:t>
      </w: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val="en" w:eastAsia="zh-CN"/>
        </w:rPr>
        <w:t>）</w:t>
      </w:r>
      <w:r>
        <w:rPr>
          <w:rFonts w:hint="default" w:ascii="Times New Roman" w:hAnsi="Times New Roman" w:eastAsia="仿宋_GB2312" w:cs="Times New Roman"/>
          <w:color w:val="auto"/>
          <w:sz w:val="28"/>
          <w:szCs w:val="28"/>
          <w:lang w:val="en-US" w:eastAsia="zh-CN"/>
        </w:rPr>
        <w:t>单位负责人为同一人或者存在直接控股、管理关系的不同供应商，不得参加同一合同项下的政府采购活动（</w:t>
      </w:r>
      <w:r>
        <w:rPr>
          <w:rFonts w:hint="eastAsia" w:ascii="Times New Roman" w:hAnsi="Times New Roman" w:eastAsia="仿宋_GB2312" w:cs="Times New Roman"/>
          <w:color w:val="auto"/>
          <w:sz w:val="28"/>
          <w:szCs w:val="28"/>
          <w:lang w:val="en-US" w:eastAsia="zh-CN"/>
        </w:rPr>
        <w:t>提供关联关系名单，</w:t>
      </w:r>
      <w:r>
        <w:rPr>
          <w:rFonts w:hint="default" w:ascii="Times New Roman" w:hAnsi="Times New Roman" w:eastAsia="仿宋_GB2312" w:cs="Times New Roman"/>
          <w:color w:val="auto"/>
          <w:sz w:val="28"/>
          <w:szCs w:val="28"/>
          <w:lang w:val="en-US" w:eastAsia="zh-CN"/>
        </w:rPr>
        <w:t>不满足本项的各供应商资格均不合格）；</w:t>
      </w:r>
    </w:p>
    <w:p w14:paraId="0B4868DB">
      <w:pPr>
        <w:pStyle w:val="70"/>
        <w:adjustRightInd/>
        <w:spacing w:line="500" w:lineRule="exact"/>
        <w:ind w:firstLine="560" w:firstLineChars="2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
        </w:rPr>
        <w:t>（</w:t>
      </w:r>
      <w:r>
        <w:rPr>
          <w:rFonts w:hint="default" w:ascii="Times New Roman" w:hAnsi="Times New Roman" w:eastAsia="仿宋_GB2312" w:cs="Times New Roman"/>
          <w:color w:val="auto"/>
          <w:sz w:val="28"/>
          <w:szCs w:val="28"/>
        </w:rPr>
        <w:t>8</w:t>
      </w:r>
      <w:r>
        <w:rPr>
          <w:rFonts w:hint="default" w:ascii="Times New Roman" w:hAnsi="Times New Roman" w:eastAsia="仿宋_GB2312" w:cs="Times New Roman"/>
          <w:color w:val="auto"/>
          <w:sz w:val="28"/>
          <w:szCs w:val="28"/>
          <w:lang w:val="en"/>
        </w:rPr>
        <w:t>）其他资格要求。</w:t>
      </w:r>
    </w:p>
    <w:p w14:paraId="16F7D49C">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sym w:font="Wingdings 2" w:char="00A3"/>
      </w:r>
      <w:r>
        <w:rPr>
          <w:rFonts w:hint="default" w:ascii="Times New Roman" w:hAnsi="Times New Roman" w:eastAsia="仿宋_GB2312" w:cs="Times New Roman"/>
          <w:color w:val="auto"/>
          <w:sz w:val="28"/>
          <w:szCs w:val="28"/>
          <w:lang w:val="en-US" w:eastAsia="zh-CN"/>
        </w:rPr>
        <w:t>本项目专门面向中小企业采购，提供中小企业声明函；</w:t>
      </w:r>
    </w:p>
    <w:p w14:paraId="5164DB81">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本项目专门面向小微企业采购，提供小微企业声明函。</w:t>
      </w:r>
    </w:p>
    <w:p w14:paraId="21F8CA49">
      <w:pPr>
        <w:pStyle w:val="39"/>
        <w:spacing w:line="500" w:lineRule="exact"/>
        <w:ind w:left="0" w:leftChars="0" w:firstLine="562" w:firstLineChars="200"/>
        <w:rPr>
          <w:rFonts w:hint="default" w:ascii="Times New Roman" w:hAnsi="Times New Roman" w:cs="Times New Roman"/>
          <w:color w:val="auto"/>
          <w:lang w:eastAsia="zh-CN"/>
        </w:rPr>
      </w:pPr>
      <w:r>
        <w:rPr>
          <w:rFonts w:hint="default" w:ascii="Times New Roman" w:hAnsi="Times New Roman" w:eastAsia="仿宋_GB2312" w:cs="Times New Roman"/>
          <w:b/>
          <w:bCs/>
          <w:color w:val="auto"/>
          <w:sz w:val="28"/>
          <w:szCs w:val="28"/>
          <w:lang w:val="en-US" w:eastAsia="zh-CN"/>
        </w:rPr>
        <w:t>3.实质性审查</w:t>
      </w:r>
    </w:p>
    <w:p w14:paraId="1EFBDE12">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签章或盖章或签字符合竞争性磋商文件要求；</w:t>
      </w:r>
    </w:p>
    <w:p w14:paraId="15EDA108">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磋商响应文件有效期符合竞争性磋商文件规定；</w:t>
      </w:r>
    </w:p>
    <w:p w14:paraId="298855B2">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（3）供货期、</w:t>
      </w:r>
      <w:r>
        <w:rPr>
          <w:rFonts w:hint="default" w:ascii="Times New Roman" w:hAnsi="Times New Roman" w:eastAsia="仿宋_GB2312" w:cs="Times New Roman"/>
          <w:color w:val="auto"/>
          <w:sz w:val="28"/>
          <w:szCs w:val="28"/>
          <w:lang w:eastAsia="zh-CN"/>
        </w:rPr>
        <w:t>质保期</w:t>
      </w:r>
      <w:r>
        <w:rPr>
          <w:rFonts w:hint="default" w:ascii="Times New Roman" w:hAnsi="Times New Roman" w:eastAsia="仿宋_GB2312" w:cs="Times New Roman"/>
          <w:color w:val="auto"/>
          <w:sz w:val="28"/>
          <w:szCs w:val="28"/>
          <w:lang w:val="en-US" w:eastAsia="zh-CN"/>
        </w:rPr>
        <w:t>符合</w:t>
      </w:r>
      <w:r>
        <w:rPr>
          <w:rFonts w:hint="default" w:ascii="Times New Roman" w:hAnsi="Times New Roman" w:eastAsia="仿宋_GB2312" w:cs="Times New Roman"/>
          <w:color w:val="auto"/>
          <w:sz w:val="28"/>
          <w:szCs w:val="28"/>
          <w:lang w:eastAsia="zh-CN"/>
        </w:rPr>
        <w:t>竞争性磋商文件的要求</w:t>
      </w:r>
      <w:r>
        <w:rPr>
          <w:rFonts w:hint="default" w:ascii="Times New Roman" w:hAnsi="Times New Roman" w:eastAsia="仿宋_GB2312" w:cs="Times New Roman"/>
          <w:color w:val="auto"/>
          <w:sz w:val="28"/>
          <w:szCs w:val="28"/>
          <w:lang w:val="en-US" w:eastAsia="zh-CN"/>
        </w:rPr>
        <w:t>；</w:t>
      </w:r>
    </w:p>
    <w:p w14:paraId="17D6C146">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磋商响应文件无重大或不可接受的偏差；</w:t>
      </w:r>
    </w:p>
    <w:p w14:paraId="0C931C36">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总报价未超过最高限价且未超出最高限价单价；</w:t>
      </w:r>
    </w:p>
    <w:p w14:paraId="5D32FC41">
      <w:pPr>
        <w:pStyle w:val="70"/>
        <w:adjustRightInd/>
        <w:spacing w:line="360" w:lineRule="auto"/>
        <w:ind w:firstLine="560" w:firstLineChars="200"/>
        <w:rPr>
          <w:rFonts w:hint="default" w:ascii="Times New Roman" w:hAnsi="Times New Roman" w:eastAsia="仿宋_GB2312" w:cs="Times New Roman"/>
          <w:color w:val="auto"/>
        </w:rPr>
      </w:pPr>
      <w:r>
        <w:rPr>
          <w:rFonts w:hint="default" w:ascii="Times New Roman" w:hAnsi="Times New Roman" w:eastAsia="仿宋_GB2312" w:cs="Times New Roman"/>
          <w:color w:val="auto"/>
          <w:sz w:val="28"/>
          <w:szCs w:val="28"/>
        </w:rPr>
        <w:t>（6）采购标的是否符合竞争性磋商文件要求；</w:t>
      </w:r>
    </w:p>
    <w:p w14:paraId="05BE3340">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eastAsia="zh-CN"/>
        </w:rPr>
        <w:t>磋商响应文件未附有采购人不能接受的条件；</w:t>
      </w:r>
    </w:p>
    <w:p w14:paraId="59AEA74F">
      <w:pPr>
        <w:spacing w:line="360" w:lineRule="auto"/>
        <w:ind w:firstLine="560" w:firstLineChars="200"/>
        <w:rPr>
          <w:rFonts w:hint="default" w:ascii="Times New Roman" w:hAnsi="Times New Roman" w:eastAsia="仿宋_GB2312" w:cs="Times New Roman"/>
          <w:color w:val="0000FF"/>
          <w:sz w:val="28"/>
          <w:szCs w:val="28"/>
          <w:lang w:val="en-US" w:eastAsia="zh-CN"/>
        </w:rPr>
      </w:pPr>
      <w:r>
        <w:rPr>
          <w:rFonts w:hint="default" w:ascii="Times New Roman" w:hAnsi="Times New Roman" w:eastAsia="仿宋_GB2312" w:cs="Times New Roman"/>
          <w:color w:val="auto"/>
          <w:sz w:val="28"/>
          <w:szCs w:val="28"/>
          <w:lang w:val="en-US" w:eastAsia="zh-CN"/>
        </w:rPr>
        <w:t>（8）带</w:t>
      </w:r>
      <w:r>
        <w:rPr>
          <w:rFonts w:hint="default" w:ascii="Times New Roman" w:hAnsi="Times New Roman" w:eastAsia="仿宋_GB2312" w:cs="Times New Roman"/>
          <w:color w:val="auto"/>
          <w:kern w:val="0"/>
          <w:sz w:val="28"/>
          <w:szCs w:val="28"/>
          <w:lang w:val="en-US" w:eastAsia="zh-CN"/>
        </w:rPr>
        <w:t>★</w:t>
      </w:r>
      <w:r>
        <w:rPr>
          <w:rFonts w:hint="default" w:ascii="Times New Roman" w:hAnsi="Times New Roman" w:eastAsia="仿宋_GB2312" w:cs="Times New Roman"/>
          <w:color w:val="auto"/>
          <w:sz w:val="28"/>
          <w:szCs w:val="28"/>
          <w:lang w:val="en-US" w:eastAsia="zh-CN"/>
        </w:rPr>
        <w:t>代表实质性指标，不满足或未响应该指标项将导致投标（响应）被拒绝；</w:t>
      </w:r>
    </w:p>
    <w:p w14:paraId="5707028F">
      <w:pPr>
        <w:spacing w:line="360" w:lineRule="auto"/>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 w:eastAsia="zh-CN"/>
        </w:rPr>
        <w:t>（</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及法律法规规定的其他情形。</w:t>
      </w:r>
    </w:p>
    <w:p w14:paraId="10421FA1">
      <w:pPr>
        <w:spacing w:line="360" w:lineRule="auto"/>
        <w:ind w:firstLine="560" w:firstLineChars="20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（以上要求中，如有供应商成立时限不足1年的，由供应商根据自身成立时间提供证明资料。）</w:t>
      </w:r>
    </w:p>
    <w:p w14:paraId="4AA38D84">
      <w:pPr>
        <w:pStyle w:val="70"/>
        <w:spacing w:line="360" w:lineRule="auto"/>
        <w:ind w:firstLine="562" w:firstLineChars="200"/>
        <w:rPr>
          <w:rFonts w:hint="default" w:ascii="Times New Roman" w:hAnsi="Times New Roman" w:eastAsia="仿宋_GB2312" w:cs="Times New Roman"/>
          <w:b/>
          <w:color w:val="auto"/>
          <w:kern w:val="2"/>
          <w:sz w:val="28"/>
          <w:szCs w:val="28"/>
          <w:lang w:val="zh-TW"/>
        </w:rPr>
      </w:pPr>
      <w:r>
        <w:rPr>
          <w:rFonts w:hint="default" w:ascii="Times New Roman" w:hAnsi="Times New Roman" w:eastAsia="仿宋_GB2312" w:cs="Times New Roman"/>
          <w:b/>
          <w:color w:val="auto"/>
          <w:kern w:val="2"/>
          <w:sz w:val="28"/>
          <w:szCs w:val="28"/>
          <w:lang w:val="zh-TW"/>
        </w:rPr>
        <w:t>（二）详细评审</w:t>
      </w:r>
    </w:p>
    <w:p w14:paraId="50EA61AB">
      <w:pPr>
        <w:spacing w:line="360" w:lineRule="auto"/>
        <w:ind w:firstLine="562" w:firstLineChars="200"/>
        <w:rPr>
          <w:rFonts w:hint="default" w:ascii="Times New Roman" w:hAnsi="Times New Roman" w:eastAsia="仿宋_GB2312" w:cs="Times New Roman"/>
          <w:b/>
          <w:color w:val="auto"/>
          <w:sz w:val="28"/>
          <w:szCs w:val="28"/>
          <w:lang w:eastAsia="zh-CN"/>
        </w:rPr>
      </w:pPr>
      <w:bookmarkStart w:id="293" w:name="_Toc1716909242_WPSOffice_Level3"/>
      <w:bookmarkStart w:id="294" w:name="_Toc278923003_WPSOffice_Level3"/>
      <w:r>
        <w:rPr>
          <w:rFonts w:hint="default" w:ascii="Times New Roman" w:hAnsi="Times New Roman" w:eastAsia="仿宋_GB2312" w:cs="Times New Roman"/>
          <w:b/>
          <w:color w:val="auto"/>
          <w:sz w:val="28"/>
          <w:szCs w:val="28"/>
          <w:lang w:val="en-US" w:eastAsia="zh-CN"/>
        </w:rPr>
        <w:t>1</w:t>
      </w:r>
      <w:r>
        <w:rPr>
          <w:rFonts w:hint="default" w:ascii="Times New Roman" w:hAnsi="Times New Roman" w:eastAsia="仿宋_GB2312" w:cs="Times New Roman"/>
          <w:b/>
          <w:color w:val="auto"/>
          <w:sz w:val="28"/>
          <w:szCs w:val="28"/>
          <w:lang w:eastAsia="zh-CN"/>
        </w:rPr>
        <w:t>．澄清有关问题</w:t>
      </w:r>
      <w:bookmarkEnd w:id="293"/>
      <w:bookmarkEnd w:id="294"/>
    </w:p>
    <w:p w14:paraId="0270608D">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1.1</w:t>
      </w:r>
      <w:r>
        <w:rPr>
          <w:rFonts w:hint="default" w:ascii="Times New Roman" w:hAnsi="Times New Roman" w:eastAsia="仿宋_GB2312" w:cs="Times New Roman"/>
          <w:color w:val="auto"/>
          <w:sz w:val="28"/>
          <w:szCs w:val="28"/>
          <w:lang w:eastAsia="zh-CN"/>
        </w:rPr>
        <w:t>对于竞争性磋商响应文件中含义不明确、同类问题表述不一致或者有明显文字和计算错误的内容，竞争性磋商小组应当以书面形式要求供应商作出必要的澄清、说明或者补正。</w:t>
      </w:r>
    </w:p>
    <w:p w14:paraId="4D07F217">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1.2</w:t>
      </w:r>
      <w:r>
        <w:rPr>
          <w:rFonts w:hint="default" w:ascii="Times New Roman" w:hAnsi="Times New Roman" w:eastAsia="仿宋_GB2312" w:cs="Times New Roman"/>
          <w:color w:val="auto"/>
          <w:sz w:val="28"/>
          <w:szCs w:val="28"/>
          <w:lang w:eastAsia="zh-CN"/>
        </w:rPr>
        <w:t>供应商的澄清、说明或者补正不得超出竞争性磋商响应文件的范围或者改变竞争性磋商响应文件的实质性内容。</w:t>
      </w:r>
    </w:p>
    <w:p w14:paraId="4DB8F066">
      <w:pPr>
        <w:pStyle w:val="201"/>
        <w:ind w:left="0" w:leftChars="0" w:firstLine="560" w:firstLineChars="200"/>
        <w:rPr>
          <w:rFonts w:hint="default" w:ascii="Times New Roman" w:hAnsi="Times New Roman" w:eastAsia="宋体" w:cs="Times New Roman"/>
          <w:color w:val="auto"/>
          <w:lang w:val="en-US" w:eastAsia="zh-CN"/>
        </w:rPr>
      </w:pPr>
      <w:r>
        <w:rPr>
          <w:rFonts w:hint="default" w:ascii="Times New Roman" w:hAnsi="Times New Roman" w:cs="Times New Roman"/>
          <w:color w:val="auto"/>
          <w:kern w:val="2"/>
          <w:sz w:val="28"/>
          <w:szCs w:val="28"/>
          <w:lang w:val="en-US" w:eastAsia="zh-CN"/>
        </w:rPr>
        <w:t>1.3</w:t>
      </w:r>
      <w:r>
        <w:rPr>
          <w:rFonts w:hint="default" w:ascii="Times New Roman" w:hAnsi="Times New Roman" w:cs="Times New Roman"/>
          <w:color w:val="auto"/>
          <w:kern w:val="2"/>
          <w:sz w:val="28"/>
          <w:szCs w:val="28"/>
          <w:lang w:eastAsia="zh-CN"/>
        </w:rPr>
        <w:t>磋商小组所有成员应当集中与单一供应商分别进行磋商，并给予所有参加</w:t>
      </w:r>
      <w:r>
        <w:rPr>
          <w:rFonts w:hint="default" w:ascii="Times New Roman" w:hAnsi="Times New Roman" w:cs="Times New Roman"/>
          <w:color w:val="auto"/>
          <w:sz w:val="28"/>
          <w:szCs w:val="28"/>
          <w:lang w:eastAsia="zh-CN"/>
        </w:rPr>
        <w:t>磋商的供应商平等的磋商机会。</w:t>
      </w:r>
    </w:p>
    <w:p w14:paraId="729D85A4">
      <w:pPr>
        <w:spacing w:line="360" w:lineRule="auto"/>
        <w:ind w:firstLine="562" w:firstLineChars="200"/>
        <w:rPr>
          <w:rFonts w:hint="default" w:ascii="Times New Roman" w:hAnsi="Times New Roman" w:eastAsia="仿宋_GB2312" w:cs="Times New Roman"/>
          <w:b/>
          <w:color w:val="auto"/>
          <w:sz w:val="28"/>
          <w:szCs w:val="28"/>
          <w:lang w:eastAsia="zh-CN"/>
        </w:rPr>
      </w:pPr>
      <w:bookmarkStart w:id="295" w:name="_Toc577657209_WPSOffice_Level3"/>
      <w:bookmarkStart w:id="296" w:name="_Toc2074264070_WPSOffice_Level3"/>
      <w:r>
        <w:rPr>
          <w:rFonts w:hint="default" w:ascii="Times New Roman" w:hAnsi="Times New Roman" w:eastAsia="仿宋_GB2312" w:cs="Times New Roman"/>
          <w:b/>
          <w:color w:val="auto"/>
          <w:sz w:val="28"/>
          <w:szCs w:val="28"/>
          <w:lang w:val="en-US" w:eastAsia="zh-CN"/>
        </w:rPr>
        <w:t>22.政府采购异常低价审查</w:t>
      </w:r>
    </w:p>
    <w:p w14:paraId="353570FD">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2.1政府采购评审中出现下列情形之一的，磋商小组应当启动异常低价投标（响应）审查程序：</w:t>
      </w:r>
    </w:p>
    <w:p w14:paraId="719669D8">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（1）投标（响应）报价低于全部通过符合性审查供应商投标（响应）报价平均值65%的，即投标（响应）报价&lt;全部通过符合性审查供应商投标（响应）报价平均值×65%；</w:t>
      </w:r>
    </w:p>
    <w:p w14:paraId="4B5A8599">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（2）投标（响应）报价低于通过符合性审查的次低报价供应商投标（响应）报价65%的，即投标（响应）报价&lt;通过符合性审查的次低报价供应商投标（响应）报价×65%；</w:t>
      </w:r>
    </w:p>
    <w:p w14:paraId="2899C7C1">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（3）投标（响应）报价低于采购项目最高限价65%的，即投标（响应）报价&lt;采购项目最高限价×65%；</w:t>
      </w:r>
    </w:p>
    <w:p w14:paraId="1B67322D">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（4）磋商小组基于专业判断，认为供应商报价过低，有可能影响产品质量或者不能诚信履约的其他情形。</w:t>
      </w:r>
    </w:p>
    <w:p w14:paraId="5B55BE03">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2.2磋商小组启动异常低价投标（响应）审查后，属于前述（1）至（4）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3）情形的，供应商已随投标（响应）文件一并提交相关书面说明及必要的证明材料的，在评审现场可不再重复提交。</w:t>
      </w:r>
    </w:p>
    <w:p w14:paraId="243DCCA6">
      <w:pPr>
        <w:spacing w:line="360" w:lineRule="auto"/>
        <w:ind w:firstLine="560" w:firstLineChars="200"/>
        <w:rPr>
          <w:rFonts w:hint="default" w:ascii="Times New Roman" w:hAnsi="Times New Roman" w:eastAsia="仿宋_GB2312" w:cs="Times New Roman"/>
          <w:b/>
          <w:color w:val="auto"/>
          <w:sz w:val="28"/>
          <w:szCs w:val="28"/>
          <w:lang w:val="en-US" w:eastAsia="zh-CN"/>
        </w:rPr>
      </w:pPr>
      <w:r>
        <w:rPr>
          <w:rFonts w:hint="default" w:ascii="Times New Roman" w:hAnsi="Times New Roman" w:eastAsia="仿宋_GB2312" w:cs="Times New Roman"/>
          <w:color w:val="auto"/>
          <w:sz w:val="28"/>
          <w:szCs w:val="28"/>
          <w:lang w:val="en-US" w:eastAsia="zh-CN"/>
        </w:rPr>
        <w:t>2.3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p w14:paraId="28BBFE88">
      <w:pPr>
        <w:spacing w:line="360" w:lineRule="auto"/>
        <w:ind w:firstLine="562" w:firstLineChars="200"/>
        <w:rPr>
          <w:rFonts w:hint="default" w:ascii="Times New Roman" w:hAnsi="Times New Roman" w:eastAsia="仿宋_GB2312" w:cs="Times New Roman"/>
          <w:b/>
          <w:color w:val="auto"/>
          <w:sz w:val="28"/>
          <w:szCs w:val="28"/>
          <w:lang w:eastAsia="zh-CN"/>
        </w:rPr>
      </w:pPr>
      <w:r>
        <w:rPr>
          <w:rFonts w:hint="default" w:ascii="Times New Roman" w:hAnsi="Times New Roman" w:eastAsia="仿宋_GB2312" w:cs="Times New Roman"/>
          <w:b/>
          <w:color w:val="auto"/>
          <w:sz w:val="28"/>
          <w:szCs w:val="28"/>
          <w:lang w:val="en-US" w:eastAsia="zh-CN"/>
        </w:rPr>
        <w:t>3</w:t>
      </w:r>
      <w:r>
        <w:rPr>
          <w:rFonts w:hint="default" w:ascii="Times New Roman" w:hAnsi="Times New Roman" w:eastAsia="仿宋_GB2312" w:cs="Times New Roman"/>
          <w:b/>
          <w:color w:val="auto"/>
          <w:sz w:val="28"/>
          <w:szCs w:val="28"/>
          <w:lang w:eastAsia="zh-CN"/>
        </w:rPr>
        <w:t>．综合比较与评价</w:t>
      </w:r>
    </w:p>
    <w:p w14:paraId="2C0A6A0F">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3.1</w:t>
      </w:r>
      <w:r>
        <w:rPr>
          <w:rFonts w:hint="default" w:ascii="Times New Roman" w:hAnsi="Times New Roman" w:eastAsia="仿宋_GB2312" w:cs="Times New Roman"/>
          <w:color w:val="auto"/>
          <w:sz w:val="28"/>
          <w:szCs w:val="28"/>
          <w:lang w:eastAsia="zh-CN"/>
        </w:rPr>
        <w:t>竞争性磋商小组按照</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中规定的磋商方法和标准，对初步审查合格的竞争性磋商响应文件进行商务和技术评</w:t>
      </w:r>
      <w:r>
        <w:rPr>
          <w:rFonts w:hint="default" w:ascii="Times New Roman" w:hAnsi="Times New Roman" w:eastAsia="仿宋_GB2312" w:cs="Times New Roman"/>
          <w:color w:val="auto"/>
          <w:sz w:val="28"/>
          <w:szCs w:val="28"/>
          <w:lang w:val="en-US" w:eastAsia="zh-CN"/>
        </w:rPr>
        <w:t>审</w:t>
      </w:r>
      <w:r>
        <w:rPr>
          <w:rFonts w:hint="default" w:ascii="Times New Roman" w:hAnsi="Times New Roman" w:eastAsia="仿宋_GB2312" w:cs="Times New Roman"/>
          <w:color w:val="auto"/>
          <w:sz w:val="28"/>
          <w:szCs w:val="28"/>
          <w:lang w:eastAsia="zh-CN"/>
        </w:rPr>
        <w:t>，综合比较与评价。</w:t>
      </w:r>
    </w:p>
    <w:p w14:paraId="26396B27">
      <w:pPr>
        <w:pStyle w:val="142"/>
        <w:ind w:firstLine="56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3.2磋商及最后报价：</w:t>
      </w:r>
    </w:p>
    <w:p w14:paraId="79E5732B">
      <w:pPr>
        <w:pStyle w:val="142"/>
        <w:ind w:firstLine="56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3.2.1磋商文件能够详细列明采购标的的技术、服务要求的，磋商结束后，磋商小组要求所有实质性响应的供应商在规定时间内提交最后报价，最后报价是供应商磋商响应文件的有效组成部分。  </w:t>
      </w:r>
    </w:p>
    <w:p w14:paraId="6B587E4D">
      <w:pPr>
        <w:pStyle w:val="142"/>
        <w:ind w:firstLine="56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最后报价是供应商磋商响应文件的有效组成部分。</w:t>
      </w:r>
    </w:p>
    <w:p w14:paraId="537AA482">
      <w:pPr>
        <w:pStyle w:val="142"/>
        <w:ind w:firstLine="56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3.2.3最后报价是供应商响应文件的有效组成部分。竞争性磋商小组在线向通过初步审查的供应商发起竞争性磋商响应最后报价（二次）。供应商登录远程采购项目，在评审过程中收到远程报价通知时，即可远程在线报价，供应商未提交最后报价的，视为供应商退出磋商，其响应文件无效。</w:t>
      </w:r>
    </w:p>
    <w:p w14:paraId="7030813C">
      <w:pPr>
        <w:pStyle w:val="142"/>
        <w:ind w:firstLine="56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3.2.4经磋商确定最终采购需求和提交最后报价的供应商后，由磋商小组采用综合评分法对提交最后报价的供应商的响应文件和最后报价进行综合评分。</w:t>
      </w:r>
    </w:p>
    <w:p w14:paraId="509041EA">
      <w:pPr>
        <w:pStyle w:val="142"/>
        <w:ind w:firstLine="56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3.3磋商文件中没有规定的评审标准不得作为评审依据。</w:t>
      </w:r>
    </w:p>
    <w:p w14:paraId="5DFD3FCC">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3.4</w:t>
      </w:r>
      <w:r>
        <w:rPr>
          <w:rFonts w:hint="default" w:ascii="Times New Roman" w:hAnsi="Times New Roman" w:eastAsia="仿宋_GB2312" w:cs="Times New Roman"/>
          <w:color w:val="auto"/>
          <w:sz w:val="28"/>
          <w:szCs w:val="28"/>
          <w:lang w:eastAsia="zh-CN"/>
        </w:rPr>
        <w:t>竞争性磋商小组完成评审后，应当出具书面磋商评审报告。</w:t>
      </w:r>
    </w:p>
    <w:p w14:paraId="7FF48057">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3.5</w:t>
      </w:r>
      <w:r>
        <w:rPr>
          <w:rFonts w:hint="default" w:ascii="Times New Roman" w:hAnsi="Times New Roman" w:eastAsia="仿宋_GB2312" w:cs="Times New Roman"/>
          <w:color w:val="auto"/>
          <w:sz w:val="28"/>
          <w:szCs w:val="28"/>
          <w:lang w:eastAsia="zh-CN"/>
        </w:rPr>
        <w:t>竞争性磋商小组成员对需要共同认定的事项存在争议的，应当按照少数服从多数的原则作出结论。持不同意见的竞争性磋商小组成员应当在磋商评审报告上签署不同意见及理由，否则视为同意磋商评审报告。</w:t>
      </w:r>
    </w:p>
    <w:p w14:paraId="73DBD5DE">
      <w:pPr>
        <w:spacing w:line="360" w:lineRule="auto"/>
        <w:ind w:firstLine="420" w:firstLineChars="200"/>
        <w:rPr>
          <w:rFonts w:hint="default" w:ascii="Times New Roman" w:hAnsi="Times New Roman" w:eastAsia="仿宋_GB2312" w:cs="Times New Roman"/>
          <w:color w:val="auto"/>
          <w:sz w:val="28"/>
          <w:szCs w:val="28"/>
          <w:lang w:eastAsia="zh-CN"/>
        </w:rPr>
      </w:pPr>
      <w:r>
        <w:rPr>
          <w:rFonts w:hint="default" w:ascii="Times New Roman" w:hAnsi="Times New Roman" w:cs="Times New Roman"/>
          <w:color w:val="auto"/>
          <w:lang w:eastAsia="zh-CN"/>
        </w:rPr>
        <w:br w:type="page"/>
      </w:r>
      <w:bookmarkEnd w:id="295"/>
      <w:bookmarkEnd w:id="296"/>
    </w:p>
    <w:p w14:paraId="34DF3C5C">
      <w:pPr>
        <w:spacing w:line="320" w:lineRule="exact"/>
        <w:outlineLvl w:val="2"/>
        <w:rPr>
          <w:rFonts w:hint="default" w:ascii="Times New Roman" w:hAnsi="Times New Roman" w:eastAsia="仿宋_GB2312" w:cs="Times New Roman"/>
          <w:color w:val="auto"/>
          <w:kern w:val="0"/>
          <w:sz w:val="28"/>
          <w:szCs w:val="28"/>
          <w:lang w:eastAsia="zh-CN"/>
        </w:rPr>
      </w:pPr>
      <w:bookmarkStart w:id="297" w:name="_Toc648016321_WPSOffice_Level3"/>
      <w:bookmarkStart w:id="298" w:name="_Toc131500600_WPSOffice_Level3"/>
      <w:r>
        <w:rPr>
          <w:rFonts w:hint="default" w:ascii="Times New Roman" w:hAnsi="Times New Roman" w:eastAsia="仿宋_GB2312" w:cs="Times New Roman"/>
          <w:b/>
          <w:color w:val="auto"/>
          <w:sz w:val="28"/>
          <w:szCs w:val="28"/>
          <w:lang w:val="en-US" w:eastAsia="zh-CN"/>
        </w:rPr>
        <w:t>二、</w:t>
      </w:r>
      <w:r>
        <w:rPr>
          <w:rFonts w:hint="default" w:ascii="Times New Roman" w:hAnsi="Times New Roman" w:eastAsia="仿宋_GB2312" w:cs="Times New Roman"/>
          <w:b/>
          <w:color w:val="auto"/>
          <w:sz w:val="28"/>
          <w:szCs w:val="28"/>
          <w:lang w:eastAsia="zh-CN"/>
        </w:rPr>
        <w:t>评分标准（满分100分</w:t>
      </w:r>
      <w:r>
        <w:rPr>
          <w:rFonts w:hint="default" w:ascii="Times New Roman" w:hAnsi="Times New Roman" w:eastAsia="仿宋_GB2312" w:cs="Times New Roman"/>
          <w:color w:val="auto"/>
          <w:kern w:val="0"/>
          <w:sz w:val="28"/>
          <w:szCs w:val="28"/>
          <w:lang w:eastAsia="zh-CN"/>
        </w:rPr>
        <w:t>）</w:t>
      </w:r>
      <w:bookmarkEnd w:id="297"/>
      <w:bookmarkEnd w:id="298"/>
    </w:p>
    <w:tbl>
      <w:tblPr>
        <w:tblStyle w:val="52"/>
        <w:tblW w:w="511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8"/>
        <w:gridCol w:w="1414"/>
        <w:gridCol w:w="6405"/>
        <w:gridCol w:w="657"/>
      </w:tblGrid>
      <w:tr w14:paraId="1EAC4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blHeader/>
        </w:trPr>
        <w:tc>
          <w:tcPr>
            <w:tcW w:w="742" w:type="pct"/>
            <w:vAlign w:val="center"/>
          </w:tcPr>
          <w:p w14:paraId="40A5F089">
            <w:pPr>
              <w:spacing w:line="320" w:lineRule="exact"/>
              <w:jc w:val="center"/>
              <w:rPr>
                <w:rFonts w:hint="default" w:ascii="Times New Roman" w:hAnsi="Times New Roman" w:eastAsia="仿宋_GB2312" w:cs="Times New Roman"/>
                <w:b/>
                <w:bCs/>
                <w:color w:val="auto"/>
                <w:kern w:val="0"/>
                <w:sz w:val="28"/>
                <w:szCs w:val="28"/>
                <w:lang w:val="en-US" w:eastAsia="zh-CN"/>
              </w:rPr>
            </w:pPr>
            <w:r>
              <w:rPr>
                <w:rFonts w:hint="default" w:ascii="Times New Roman" w:hAnsi="Times New Roman" w:eastAsia="仿宋_GB2312" w:cs="Times New Roman"/>
                <w:b/>
                <w:bCs/>
                <w:color w:val="auto"/>
                <w:kern w:val="0"/>
                <w:sz w:val="28"/>
                <w:szCs w:val="28"/>
                <w:lang w:val="en-US" w:eastAsia="zh-CN"/>
              </w:rPr>
              <w:t>评分因素</w:t>
            </w:r>
          </w:p>
        </w:tc>
        <w:tc>
          <w:tcPr>
            <w:tcW w:w="710" w:type="pct"/>
            <w:vAlign w:val="center"/>
          </w:tcPr>
          <w:p w14:paraId="5F5AAC4A">
            <w:pPr>
              <w:spacing w:line="320" w:lineRule="exact"/>
              <w:jc w:val="center"/>
              <w:rPr>
                <w:rFonts w:hint="default" w:ascii="Times New Roman" w:hAnsi="Times New Roman" w:eastAsia="仿宋_GB2312" w:cs="Times New Roman"/>
                <w:b/>
                <w:bCs/>
                <w:color w:val="auto"/>
                <w:kern w:val="0"/>
                <w:sz w:val="28"/>
                <w:szCs w:val="28"/>
                <w:lang w:val="en-US" w:eastAsia="zh-CN"/>
              </w:rPr>
            </w:pPr>
            <w:r>
              <w:rPr>
                <w:rFonts w:hint="default" w:ascii="Times New Roman" w:hAnsi="Times New Roman" w:eastAsia="仿宋_GB2312" w:cs="Times New Roman"/>
                <w:b/>
                <w:bCs/>
                <w:color w:val="auto"/>
                <w:kern w:val="0"/>
                <w:sz w:val="28"/>
                <w:szCs w:val="28"/>
                <w:lang w:val="en-US" w:eastAsia="zh-CN"/>
              </w:rPr>
              <w:t>评分内容</w:t>
            </w:r>
          </w:p>
        </w:tc>
        <w:tc>
          <w:tcPr>
            <w:tcW w:w="3216" w:type="pct"/>
            <w:vAlign w:val="center"/>
          </w:tcPr>
          <w:p w14:paraId="26DDE4B8">
            <w:pPr>
              <w:spacing w:line="320" w:lineRule="exact"/>
              <w:jc w:val="center"/>
              <w:rPr>
                <w:rFonts w:hint="default" w:ascii="Times New Roman" w:hAnsi="Times New Roman" w:eastAsia="仿宋_GB2312" w:cs="Times New Roman"/>
                <w:b/>
                <w:bCs/>
                <w:color w:val="auto"/>
                <w:kern w:val="0"/>
                <w:sz w:val="28"/>
                <w:szCs w:val="28"/>
                <w:lang w:val="en-US" w:eastAsia="zh-CN"/>
              </w:rPr>
            </w:pPr>
            <w:r>
              <w:rPr>
                <w:rFonts w:hint="default" w:ascii="Times New Roman" w:hAnsi="Times New Roman" w:eastAsia="仿宋_GB2312" w:cs="Times New Roman"/>
                <w:b/>
                <w:bCs/>
                <w:color w:val="auto"/>
                <w:kern w:val="0"/>
                <w:sz w:val="28"/>
                <w:szCs w:val="28"/>
                <w:lang w:val="en-US" w:eastAsia="zh-CN"/>
              </w:rPr>
              <w:t>评分标准</w:t>
            </w:r>
          </w:p>
        </w:tc>
        <w:tc>
          <w:tcPr>
            <w:tcW w:w="330" w:type="pct"/>
            <w:vAlign w:val="center"/>
          </w:tcPr>
          <w:p w14:paraId="76C7A6A1">
            <w:pPr>
              <w:spacing w:line="320" w:lineRule="exact"/>
              <w:jc w:val="center"/>
              <w:rPr>
                <w:rFonts w:hint="default" w:ascii="Times New Roman" w:hAnsi="Times New Roman" w:eastAsia="仿宋_GB2312" w:cs="Times New Roman"/>
                <w:b/>
                <w:bCs/>
                <w:color w:val="auto"/>
                <w:kern w:val="0"/>
                <w:sz w:val="28"/>
                <w:szCs w:val="28"/>
                <w:lang w:val="en-US" w:eastAsia="zh-CN"/>
              </w:rPr>
            </w:pPr>
            <w:r>
              <w:rPr>
                <w:rFonts w:hint="default" w:ascii="Times New Roman" w:hAnsi="Times New Roman" w:eastAsia="仿宋_GB2312" w:cs="Times New Roman"/>
                <w:b/>
                <w:bCs/>
                <w:color w:val="auto"/>
                <w:kern w:val="0"/>
                <w:sz w:val="28"/>
                <w:szCs w:val="28"/>
                <w:lang w:val="en-US" w:eastAsia="zh-CN"/>
              </w:rPr>
              <w:t>分值</w:t>
            </w:r>
          </w:p>
        </w:tc>
      </w:tr>
      <w:tr w14:paraId="76B18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2" w:type="pct"/>
            <w:vAlign w:val="center"/>
          </w:tcPr>
          <w:p w14:paraId="622CF2CE">
            <w:pPr>
              <w:spacing w:line="320" w:lineRule="exact"/>
              <w:jc w:val="center"/>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报价部分（</w:t>
            </w:r>
            <w:r>
              <w:rPr>
                <w:rFonts w:hint="eastAsia" w:ascii="Times New Roman" w:hAnsi="Times New Roman" w:eastAsia="仿宋_GB2312" w:cs="Times New Roman"/>
                <w:color w:val="auto"/>
                <w:kern w:val="0"/>
                <w:sz w:val="28"/>
                <w:szCs w:val="28"/>
                <w:lang w:val="en-US" w:eastAsia="zh-CN"/>
              </w:rPr>
              <w:t>40</w:t>
            </w:r>
            <w:r>
              <w:rPr>
                <w:rFonts w:hint="default" w:ascii="Times New Roman" w:hAnsi="Times New Roman" w:eastAsia="仿宋_GB2312" w:cs="Times New Roman"/>
                <w:color w:val="auto"/>
                <w:kern w:val="0"/>
                <w:sz w:val="28"/>
                <w:szCs w:val="28"/>
                <w:lang w:val="en-US" w:eastAsia="zh-CN"/>
              </w:rPr>
              <w:t>分）</w:t>
            </w:r>
          </w:p>
        </w:tc>
        <w:tc>
          <w:tcPr>
            <w:tcW w:w="710" w:type="pct"/>
            <w:vAlign w:val="center"/>
          </w:tcPr>
          <w:p w14:paraId="709C8A48">
            <w:pPr>
              <w:spacing w:line="320" w:lineRule="exact"/>
              <w:jc w:val="center"/>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报价</w:t>
            </w:r>
          </w:p>
        </w:tc>
        <w:tc>
          <w:tcPr>
            <w:tcW w:w="3216" w:type="pct"/>
            <w:vAlign w:val="center"/>
          </w:tcPr>
          <w:p w14:paraId="44E2BC23">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价格分统一采用低价优先法计算，即满足磋商文件要求且最后报价最低的供应商的价格为磋商基准价，其价格分为满分。其他供应商的价格分统一按照下列公式计算：磋商报价得分=（磋商基准价/最后磋商报价）×</w:t>
            </w:r>
            <w:r>
              <w:rPr>
                <w:rFonts w:hint="eastAsia" w:ascii="Times New Roman" w:hAnsi="Times New Roman" w:eastAsia="仿宋_GB2312" w:cs="Times New Roman"/>
                <w:color w:val="auto"/>
                <w:kern w:val="0"/>
                <w:sz w:val="28"/>
                <w:szCs w:val="28"/>
                <w:lang w:val="en-US" w:eastAsia="zh-CN"/>
              </w:rPr>
              <w:t>40</w:t>
            </w:r>
          </w:p>
          <w:p w14:paraId="45271563">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因落实政府采购政策进行价格调整的，以调整后的价格计算基准价和响应报价得分。（当涉及政府采购政策叠加适用，统一在最后报价的基础上进行价格扣除）对于仅有本国产品参与竞争的政府采购项目，本国产品不享受价格扣除评审优惠。</w:t>
            </w:r>
          </w:p>
        </w:tc>
        <w:tc>
          <w:tcPr>
            <w:tcW w:w="330" w:type="pct"/>
            <w:vAlign w:val="center"/>
          </w:tcPr>
          <w:p w14:paraId="09B958BB">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40</w:t>
            </w:r>
          </w:p>
        </w:tc>
      </w:tr>
      <w:tr w14:paraId="1684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2" w:type="pct"/>
            <w:vAlign w:val="center"/>
          </w:tcPr>
          <w:p w14:paraId="3688F0E8">
            <w:pPr>
              <w:spacing w:line="320" w:lineRule="exact"/>
              <w:jc w:val="center"/>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技术部分（</w:t>
            </w:r>
            <w:r>
              <w:rPr>
                <w:rFonts w:hint="eastAsia" w:ascii="Times New Roman" w:hAnsi="Times New Roman" w:eastAsia="仿宋_GB2312" w:cs="Times New Roman"/>
                <w:color w:val="auto"/>
                <w:kern w:val="0"/>
                <w:sz w:val="28"/>
                <w:szCs w:val="28"/>
                <w:lang w:val="en-US" w:eastAsia="zh-CN"/>
              </w:rPr>
              <w:t>36</w:t>
            </w:r>
            <w:r>
              <w:rPr>
                <w:rFonts w:hint="default" w:ascii="Times New Roman" w:hAnsi="Times New Roman" w:eastAsia="仿宋_GB2312" w:cs="Times New Roman"/>
                <w:color w:val="auto"/>
                <w:kern w:val="0"/>
                <w:sz w:val="28"/>
                <w:szCs w:val="28"/>
                <w:lang w:val="en-US" w:eastAsia="zh-CN"/>
              </w:rPr>
              <w:t>分）</w:t>
            </w:r>
          </w:p>
        </w:tc>
        <w:tc>
          <w:tcPr>
            <w:tcW w:w="710" w:type="pct"/>
            <w:vAlign w:val="center"/>
          </w:tcPr>
          <w:p w14:paraId="04184AEC">
            <w:pPr>
              <w:spacing w:line="320" w:lineRule="exact"/>
              <w:jc w:val="center"/>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技术参数</w:t>
            </w:r>
          </w:p>
        </w:tc>
        <w:tc>
          <w:tcPr>
            <w:tcW w:w="3216" w:type="pct"/>
            <w:vAlign w:val="center"/>
          </w:tcPr>
          <w:p w14:paraId="30B72404">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磋商小组根据响应文件和相关证明材料对磋商文件的响应情况，对照判断所供货物是否满足磋商文件的要求，供应商可提供技术参数满足或优于磋商文件要求的产品：</w:t>
            </w:r>
          </w:p>
          <w:p w14:paraId="36979B27">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1.带“★”代表实质性指标，所投产品应符合或优于该指标要求，不满足的响应文件无效；技术参数指标中“/”表示为该条技术指标不作要求。</w:t>
            </w:r>
          </w:p>
          <w:p w14:paraId="5A084AC6">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2.带“</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kern w:val="0"/>
                <w:sz w:val="28"/>
                <w:szCs w:val="28"/>
                <w:lang w:val="en-US" w:eastAsia="zh-CN"/>
              </w:rPr>
              <w:t>”</w:t>
            </w:r>
            <w:r>
              <w:rPr>
                <w:rFonts w:hint="default" w:ascii="Times New Roman" w:hAnsi="Times New Roman" w:eastAsia="仿宋_GB2312" w:cs="Times New Roman"/>
                <w:color w:val="auto"/>
                <w:sz w:val="28"/>
                <w:szCs w:val="28"/>
                <w:lang w:val="en-US" w:eastAsia="zh-CN"/>
              </w:rPr>
              <w:t>的技术参数和功能要求为关键技术指标，共11项，共</w:t>
            </w:r>
            <w:r>
              <w:rPr>
                <w:rFonts w:hint="eastAsia" w:ascii="Times New Roman" w:hAnsi="Times New Roman" w:eastAsia="仿宋_GB2312" w:cs="Times New Roman"/>
                <w:color w:val="auto"/>
                <w:sz w:val="28"/>
                <w:szCs w:val="28"/>
                <w:lang w:val="en-US" w:eastAsia="zh-CN"/>
              </w:rPr>
              <w:t>22</w:t>
            </w:r>
            <w:r>
              <w:rPr>
                <w:rFonts w:hint="default" w:ascii="Times New Roman" w:hAnsi="Times New Roman" w:eastAsia="仿宋_GB2312" w:cs="Times New Roman"/>
                <w:color w:val="auto"/>
                <w:sz w:val="28"/>
                <w:szCs w:val="28"/>
                <w:lang w:val="en-US" w:eastAsia="zh-CN"/>
              </w:rPr>
              <w:t>分，每有一项不满足的扣</w:t>
            </w:r>
            <w:r>
              <w:rPr>
                <w:rFonts w:hint="eastAsia"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val="en-US" w:eastAsia="zh-CN"/>
              </w:rPr>
              <w:t>分（如需提供证明文件的，需按照文件要求提供相关证明文件）。超过11</w:t>
            </w:r>
            <w:r>
              <w:rPr>
                <w:rFonts w:hint="default" w:ascii="Times New Roman" w:hAnsi="Times New Roman" w:eastAsia="仿宋_GB2312" w:cs="Times New Roman"/>
                <w:color w:val="auto"/>
                <w:sz w:val="28"/>
                <w:szCs w:val="28"/>
                <w:lang w:val="en" w:eastAsia="zh-CN"/>
              </w:rPr>
              <w:t>项</w:t>
            </w:r>
            <w:r>
              <w:rPr>
                <w:rFonts w:hint="default" w:ascii="Times New Roman" w:hAnsi="Times New Roman" w:eastAsia="仿宋_GB2312" w:cs="Times New Roman"/>
                <w:color w:val="auto"/>
                <w:sz w:val="28"/>
                <w:szCs w:val="28"/>
                <w:lang w:val="en-US" w:eastAsia="zh-CN"/>
              </w:rPr>
              <w:t>不满足视为响应文件有重大或不可接受的偏差，</w:t>
            </w:r>
            <w:r>
              <w:rPr>
                <w:rFonts w:hint="default" w:ascii="Times New Roman" w:hAnsi="Times New Roman" w:eastAsia="仿宋_GB2312" w:cs="Times New Roman"/>
                <w:color w:val="auto"/>
                <w:kern w:val="0"/>
                <w:sz w:val="28"/>
                <w:szCs w:val="28"/>
                <w:lang w:val="en-US" w:eastAsia="zh-CN"/>
              </w:rPr>
              <w:t>响应文件</w:t>
            </w:r>
            <w:r>
              <w:rPr>
                <w:rFonts w:hint="default" w:ascii="Times New Roman" w:hAnsi="Times New Roman" w:eastAsia="仿宋_GB2312" w:cs="Times New Roman"/>
                <w:color w:val="auto"/>
                <w:sz w:val="28"/>
                <w:szCs w:val="28"/>
                <w:lang w:val="en-US" w:eastAsia="zh-CN"/>
              </w:rPr>
              <w:t>无效。</w:t>
            </w:r>
          </w:p>
          <w:p w14:paraId="42DBA346">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3.</w:t>
            </w:r>
            <w:r>
              <w:rPr>
                <w:rFonts w:hint="default" w:ascii="Times New Roman" w:hAnsi="Times New Roman" w:eastAsia="仿宋_GB2312" w:cs="Times New Roman"/>
                <w:color w:val="auto"/>
                <w:sz w:val="28"/>
                <w:szCs w:val="28"/>
                <w:lang w:val="en-US" w:eastAsia="zh-CN"/>
              </w:rPr>
              <w:t>非“▲”且非“★”号</w:t>
            </w:r>
            <w:r>
              <w:rPr>
                <w:rFonts w:hint="default" w:ascii="Times New Roman" w:hAnsi="Times New Roman" w:eastAsia="仿宋_GB2312" w:cs="Times New Roman"/>
                <w:color w:val="auto"/>
                <w:kern w:val="0"/>
                <w:sz w:val="28"/>
                <w:szCs w:val="28"/>
                <w:lang w:val="en-US" w:eastAsia="zh-CN"/>
              </w:rPr>
              <w:t>的技术参数及功能要求为一般技术参数，共</w:t>
            </w:r>
            <w:r>
              <w:rPr>
                <w:rFonts w:hint="eastAsia" w:ascii="Times New Roman" w:hAnsi="Times New Roman" w:eastAsia="仿宋_GB2312" w:cs="Times New Roman"/>
                <w:color w:val="auto"/>
                <w:kern w:val="0"/>
                <w:sz w:val="28"/>
                <w:szCs w:val="28"/>
                <w:lang w:val="en-US" w:eastAsia="zh-CN"/>
              </w:rPr>
              <w:t>14</w:t>
            </w:r>
            <w:r>
              <w:rPr>
                <w:rFonts w:hint="default" w:ascii="Times New Roman" w:hAnsi="Times New Roman" w:eastAsia="仿宋_GB2312" w:cs="Times New Roman"/>
                <w:color w:val="auto"/>
                <w:kern w:val="0"/>
                <w:sz w:val="28"/>
                <w:szCs w:val="28"/>
                <w:lang w:val="en-US" w:eastAsia="zh-CN"/>
              </w:rPr>
              <w:t>分，每有1项不满足扣</w:t>
            </w:r>
            <w:r>
              <w:rPr>
                <w:rFonts w:hint="eastAsia" w:ascii="Times New Roman" w:hAnsi="Times New Roman" w:eastAsia="仿宋_GB2312" w:cs="Times New Roman"/>
                <w:color w:val="auto"/>
                <w:kern w:val="0"/>
                <w:sz w:val="28"/>
                <w:szCs w:val="28"/>
                <w:lang w:val="en-US" w:eastAsia="zh-CN"/>
              </w:rPr>
              <w:t>1</w:t>
            </w:r>
            <w:r>
              <w:rPr>
                <w:rFonts w:hint="default" w:ascii="Times New Roman" w:hAnsi="Times New Roman" w:eastAsia="仿宋_GB2312" w:cs="Times New Roman"/>
                <w:color w:val="auto"/>
                <w:kern w:val="0"/>
                <w:sz w:val="28"/>
                <w:szCs w:val="28"/>
                <w:lang w:val="en-US" w:eastAsia="zh-CN"/>
              </w:rPr>
              <w:t>分，超过14条不满足视为响应文件有重大或不可接受的偏差，响应文件无效。</w:t>
            </w:r>
          </w:p>
          <w:p w14:paraId="0913E3D5">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注：凡标有最低一级序号的指标项即为一项技术条款，无论是否隶属于上一级编号。</w:t>
            </w:r>
          </w:p>
        </w:tc>
        <w:tc>
          <w:tcPr>
            <w:tcW w:w="330" w:type="pct"/>
            <w:vAlign w:val="center"/>
          </w:tcPr>
          <w:p w14:paraId="7ACC2030">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36</w:t>
            </w:r>
          </w:p>
        </w:tc>
      </w:tr>
      <w:tr w14:paraId="37AC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2" w:type="pct"/>
            <w:vMerge w:val="restart"/>
            <w:vAlign w:val="center"/>
          </w:tcPr>
          <w:p w14:paraId="64208A49">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综合部分</w:t>
            </w:r>
          </w:p>
          <w:p w14:paraId="145F4933">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w:t>
            </w:r>
            <w:r>
              <w:rPr>
                <w:rFonts w:hint="eastAsia" w:ascii="Times New Roman" w:hAnsi="Times New Roman" w:eastAsia="仿宋_GB2312" w:cs="Times New Roman"/>
                <w:color w:val="auto"/>
                <w:kern w:val="0"/>
                <w:sz w:val="28"/>
                <w:szCs w:val="28"/>
                <w:lang w:val="en-US" w:eastAsia="zh-CN"/>
              </w:rPr>
              <w:t>24</w:t>
            </w:r>
            <w:r>
              <w:rPr>
                <w:rFonts w:hint="default" w:ascii="Times New Roman" w:hAnsi="Times New Roman" w:eastAsia="仿宋_GB2312" w:cs="Times New Roman"/>
                <w:color w:val="auto"/>
                <w:kern w:val="0"/>
                <w:sz w:val="28"/>
                <w:szCs w:val="28"/>
                <w:lang w:val="en-US" w:eastAsia="zh-CN"/>
              </w:rPr>
              <w:t>分）</w:t>
            </w:r>
          </w:p>
        </w:tc>
        <w:tc>
          <w:tcPr>
            <w:tcW w:w="710" w:type="pct"/>
            <w:vMerge w:val="restart"/>
            <w:vAlign w:val="center"/>
          </w:tcPr>
          <w:p w14:paraId="55199166">
            <w:pPr>
              <w:spacing w:line="320" w:lineRule="exact"/>
              <w:jc w:val="center"/>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节能环保相关认证</w:t>
            </w:r>
          </w:p>
        </w:tc>
        <w:tc>
          <w:tcPr>
            <w:tcW w:w="3216" w:type="pct"/>
          </w:tcPr>
          <w:p w14:paraId="5FF0FD28">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本项目若含有节能产品、环境标志产品政府采购品目清单内政府优先采购产品，对选用国家公布的认证机构认证的处于有效期之内的政府优先采购节能产品（政府强制采购产品除外）、环境标志产品给予加分，每个证书0.5分，最多得</w:t>
            </w:r>
            <w:r>
              <w:rPr>
                <w:rFonts w:hint="eastAsia" w:ascii="Times New Roman" w:hAnsi="Times New Roman" w:eastAsia="仿宋_GB2312" w:cs="Times New Roman"/>
                <w:color w:val="auto"/>
                <w:kern w:val="0"/>
                <w:sz w:val="28"/>
                <w:szCs w:val="28"/>
                <w:lang w:val="en-US" w:eastAsia="zh-CN"/>
              </w:rPr>
              <w:t>3</w:t>
            </w:r>
            <w:r>
              <w:rPr>
                <w:rFonts w:hint="default" w:ascii="Times New Roman" w:hAnsi="Times New Roman" w:eastAsia="仿宋_GB2312" w:cs="Times New Roman"/>
                <w:color w:val="auto"/>
                <w:kern w:val="0"/>
                <w:sz w:val="28"/>
                <w:szCs w:val="28"/>
                <w:lang w:val="en-US" w:eastAsia="zh-CN"/>
              </w:rPr>
              <w:t>分。供应商应提供国家确定的认证机构出具的处于有效期之内的节能产品、环境标志产品认证证书。</w:t>
            </w:r>
          </w:p>
        </w:tc>
        <w:tc>
          <w:tcPr>
            <w:tcW w:w="330" w:type="pct"/>
            <w:vAlign w:val="center"/>
          </w:tcPr>
          <w:p w14:paraId="504762F2">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3</w:t>
            </w:r>
          </w:p>
        </w:tc>
      </w:tr>
      <w:tr w14:paraId="41A4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742" w:type="pct"/>
            <w:vMerge w:val="continue"/>
            <w:vAlign w:val="center"/>
          </w:tcPr>
          <w:p w14:paraId="2F8F7BCD">
            <w:pPr>
              <w:spacing w:line="320" w:lineRule="exact"/>
              <w:rPr>
                <w:rFonts w:hint="default" w:ascii="Times New Roman" w:hAnsi="Times New Roman" w:eastAsia="仿宋_GB2312" w:cs="Times New Roman"/>
                <w:color w:val="auto"/>
                <w:kern w:val="0"/>
                <w:sz w:val="28"/>
                <w:szCs w:val="28"/>
                <w:lang w:val="en-US" w:eastAsia="zh-CN"/>
              </w:rPr>
            </w:pPr>
          </w:p>
        </w:tc>
        <w:tc>
          <w:tcPr>
            <w:tcW w:w="710" w:type="pct"/>
            <w:vMerge w:val="continue"/>
            <w:vAlign w:val="center"/>
          </w:tcPr>
          <w:p w14:paraId="5B22CB04">
            <w:pPr>
              <w:spacing w:line="320" w:lineRule="exact"/>
              <w:jc w:val="center"/>
              <w:rPr>
                <w:rFonts w:hint="default" w:ascii="Times New Roman" w:hAnsi="Times New Roman" w:eastAsia="仿宋_GB2312" w:cs="Times New Roman"/>
                <w:color w:val="auto"/>
                <w:kern w:val="0"/>
                <w:sz w:val="28"/>
                <w:szCs w:val="28"/>
                <w:lang w:val="en-US" w:eastAsia="zh-CN"/>
              </w:rPr>
            </w:pPr>
          </w:p>
        </w:tc>
        <w:tc>
          <w:tcPr>
            <w:tcW w:w="3216" w:type="pct"/>
          </w:tcPr>
          <w:p w14:paraId="2B8C4974">
            <w:pPr>
              <w:spacing w:line="320" w:lineRule="exact"/>
              <w:rPr>
                <w:rFonts w:ascii="仿宋_GB2312" w:hAnsi="仿宋_GB2312" w:eastAsia="仿宋_GB2312" w:cs="仿宋_GB2312"/>
                <w:bCs/>
                <w:color w:val="auto"/>
                <w:kern w:val="0"/>
                <w:sz w:val="28"/>
                <w:szCs w:val="28"/>
                <w:lang w:val="en-US" w:eastAsia="zh-CN" w:bidi="ar"/>
              </w:rPr>
            </w:pPr>
            <w:r>
              <w:rPr>
                <w:rFonts w:ascii="仿宋_GB2312" w:hAnsi="仿宋_GB2312" w:eastAsia="仿宋_GB2312" w:cs="仿宋_GB2312"/>
                <w:bCs/>
                <w:color w:val="auto"/>
                <w:kern w:val="0"/>
                <w:sz w:val="28"/>
                <w:szCs w:val="28"/>
                <w:lang w:val="en-US" w:eastAsia="zh-CN" w:bidi="ar"/>
              </w:rPr>
              <w:t>本项目中的家具类产品，</w:t>
            </w:r>
            <w:r>
              <w:rPr>
                <w:rFonts w:hint="eastAsia" w:ascii="仿宋_GB2312" w:hAnsi="仿宋_GB2312" w:eastAsia="仿宋_GB2312" w:cs="仿宋_GB2312"/>
                <w:bCs/>
                <w:color w:val="auto"/>
                <w:kern w:val="0"/>
                <w:sz w:val="28"/>
                <w:szCs w:val="28"/>
                <w:lang w:val="en-US" w:eastAsia="zh-CN" w:bidi="ar"/>
              </w:rPr>
              <w:t>供应商</w:t>
            </w:r>
            <w:r>
              <w:rPr>
                <w:rFonts w:ascii="仿宋_GB2312" w:hAnsi="仿宋_GB2312" w:eastAsia="仿宋_GB2312" w:cs="仿宋_GB2312"/>
                <w:bCs/>
                <w:color w:val="auto"/>
                <w:kern w:val="0"/>
                <w:sz w:val="28"/>
                <w:szCs w:val="28"/>
                <w:lang w:val="en-US" w:eastAsia="zh-CN" w:bidi="ar"/>
              </w:rPr>
              <w:t>或产品制造商具有有效的中国环境标志产品认证证书（十环），且认证内容须与采购需求相关，否则不予认可。</w:t>
            </w:r>
          </w:p>
          <w:p w14:paraId="241181DB">
            <w:pPr>
              <w:spacing w:line="320" w:lineRule="exact"/>
              <w:rPr>
                <w:rFonts w:hint="default" w:ascii="Times New Roman" w:hAnsi="Times New Roman" w:eastAsia="仿宋_GB2312" w:cs="Times New Roman"/>
                <w:color w:val="auto"/>
                <w:kern w:val="0"/>
                <w:sz w:val="28"/>
                <w:szCs w:val="28"/>
                <w:lang w:val="en-US" w:eastAsia="zh-CN"/>
              </w:rPr>
            </w:pPr>
            <w:r>
              <w:rPr>
                <w:rFonts w:ascii="仿宋_GB2312" w:hAnsi="仿宋_GB2312" w:eastAsia="仿宋_GB2312" w:cs="仿宋_GB2312"/>
                <w:bCs/>
                <w:color w:val="auto"/>
                <w:kern w:val="0"/>
                <w:sz w:val="28"/>
                <w:szCs w:val="28"/>
                <w:lang w:val="en-US" w:eastAsia="zh-CN" w:bidi="ar"/>
              </w:rPr>
              <w:t>要求：</w:t>
            </w:r>
            <w:r>
              <w:rPr>
                <w:rFonts w:hint="eastAsia" w:ascii="仿宋_GB2312" w:hAnsi="仿宋_GB2312" w:eastAsia="仿宋_GB2312" w:cs="仿宋_GB2312"/>
                <w:bCs/>
                <w:color w:val="auto"/>
                <w:kern w:val="0"/>
                <w:sz w:val="28"/>
                <w:szCs w:val="28"/>
                <w:lang w:val="en-US" w:eastAsia="zh-CN" w:bidi="ar"/>
              </w:rPr>
              <w:t>供应商</w:t>
            </w:r>
            <w:r>
              <w:rPr>
                <w:rFonts w:ascii="仿宋_GB2312" w:hAnsi="仿宋_GB2312" w:eastAsia="仿宋_GB2312" w:cs="仿宋_GB2312"/>
                <w:bCs/>
                <w:color w:val="auto"/>
                <w:kern w:val="0"/>
                <w:sz w:val="28"/>
                <w:szCs w:val="28"/>
                <w:lang w:val="en-US" w:eastAsia="zh-CN" w:bidi="ar"/>
              </w:rPr>
              <w:t>在</w:t>
            </w:r>
            <w:r>
              <w:rPr>
                <w:rFonts w:hint="eastAsia" w:ascii="仿宋_GB2312" w:hAnsi="仿宋_GB2312" w:eastAsia="仿宋_GB2312" w:cs="仿宋_GB2312"/>
                <w:bCs/>
                <w:color w:val="auto"/>
                <w:kern w:val="0"/>
                <w:sz w:val="28"/>
                <w:szCs w:val="28"/>
                <w:lang w:val="en-US" w:eastAsia="zh-CN" w:bidi="ar"/>
              </w:rPr>
              <w:t>响应</w:t>
            </w:r>
            <w:r>
              <w:rPr>
                <w:rFonts w:ascii="仿宋_GB2312" w:hAnsi="仿宋_GB2312" w:eastAsia="仿宋_GB2312" w:cs="仿宋_GB2312"/>
                <w:bCs/>
                <w:color w:val="auto"/>
                <w:kern w:val="0"/>
                <w:sz w:val="28"/>
                <w:szCs w:val="28"/>
                <w:lang w:val="en-US" w:eastAsia="zh-CN" w:bidi="ar"/>
              </w:rPr>
              <w:t>文件中提供证书原件扫描件，每提供一项得</w:t>
            </w:r>
            <w:r>
              <w:rPr>
                <w:rFonts w:hint="eastAsia" w:ascii="仿宋_GB2312" w:hAnsi="仿宋_GB2312" w:eastAsia="仿宋_GB2312" w:cs="仿宋_GB2312"/>
                <w:bCs/>
                <w:color w:val="auto"/>
                <w:kern w:val="0"/>
                <w:sz w:val="28"/>
                <w:szCs w:val="28"/>
                <w:lang w:val="en-US" w:eastAsia="zh-CN" w:bidi="ar"/>
              </w:rPr>
              <w:t>1</w:t>
            </w:r>
            <w:r>
              <w:rPr>
                <w:rFonts w:ascii="仿宋_GB2312" w:hAnsi="仿宋_GB2312" w:eastAsia="仿宋_GB2312" w:cs="仿宋_GB2312"/>
                <w:bCs/>
                <w:color w:val="auto"/>
                <w:kern w:val="0"/>
                <w:sz w:val="28"/>
                <w:szCs w:val="28"/>
                <w:lang w:val="en-US" w:eastAsia="zh-CN" w:bidi="ar"/>
              </w:rPr>
              <w:t>分，最高得</w:t>
            </w:r>
            <w:r>
              <w:rPr>
                <w:rFonts w:hint="eastAsia" w:ascii="仿宋_GB2312" w:hAnsi="仿宋_GB2312" w:eastAsia="仿宋_GB2312" w:cs="仿宋_GB2312"/>
                <w:bCs/>
                <w:color w:val="auto"/>
                <w:kern w:val="0"/>
                <w:sz w:val="28"/>
                <w:szCs w:val="28"/>
                <w:lang w:val="en-US" w:eastAsia="zh-CN" w:bidi="ar"/>
              </w:rPr>
              <w:t>1</w:t>
            </w:r>
            <w:r>
              <w:rPr>
                <w:rFonts w:ascii="仿宋_GB2312" w:hAnsi="仿宋_GB2312" w:eastAsia="仿宋_GB2312" w:cs="仿宋_GB2312"/>
                <w:bCs/>
                <w:color w:val="auto"/>
                <w:kern w:val="0"/>
                <w:sz w:val="28"/>
                <w:szCs w:val="28"/>
                <w:lang w:val="en-US" w:eastAsia="zh-CN" w:bidi="ar"/>
              </w:rPr>
              <w:t>分。</w:t>
            </w:r>
          </w:p>
        </w:tc>
        <w:tc>
          <w:tcPr>
            <w:tcW w:w="330" w:type="pct"/>
            <w:vAlign w:val="center"/>
          </w:tcPr>
          <w:p w14:paraId="082B65EE">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1</w:t>
            </w:r>
          </w:p>
        </w:tc>
      </w:tr>
      <w:tr w14:paraId="063D9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742" w:type="pct"/>
            <w:vMerge w:val="continue"/>
            <w:vAlign w:val="center"/>
          </w:tcPr>
          <w:p w14:paraId="344142F1">
            <w:pPr>
              <w:spacing w:line="320" w:lineRule="exact"/>
              <w:rPr>
                <w:rFonts w:hint="default" w:ascii="Times New Roman" w:hAnsi="Times New Roman" w:eastAsia="仿宋_GB2312" w:cs="Times New Roman"/>
                <w:color w:val="auto"/>
                <w:kern w:val="0"/>
                <w:sz w:val="28"/>
                <w:szCs w:val="28"/>
                <w:lang w:val="en-US" w:eastAsia="zh-CN"/>
              </w:rPr>
            </w:pPr>
          </w:p>
        </w:tc>
        <w:tc>
          <w:tcPr>
            <w:tcW w:w="710" w:type="pct"/>
            <w:vAlign w:val="center"/>
          </w:tcPr>
          <w:p w14:paraId="08C341E1">
            <w:pPr>
              <w:spacing w:line="320" w:lineRule="exact"/>
              <w:jc w:val="center"/>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快递包装</w:t>
            </w:r>
          </w:p>
        </w:tc>
        <w:tc>
          <w:tcPr>
            <w:tcW w:w="3216" w:type="pct"/>
            <w:vAlign w:val="center"/>
          </w:tcPr>
          <w:p w14:paraId="451F78EF">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供应商承诺商品包装符合《商品包装政府采购需求标准（试行）》且快递包装符合《快递包装政府采购需求标准（试行）》，得</w:t>
            </w:r>
            <w:r>
              <w:rPr>
                <w:rFonts w:hint="eastAsia" w:ascii="Times New Roman" w:hAnsi="Times New Roman" w:eastAsia="仿宋_GB2312" w:cs="Times New Roman"/>
                <w:color w:val="auto"/>
                <w:kern w:val="0"/>
                <w:sz w:val="28"/>
                <w:szCs w:val="28"/>
                <w:lang w:val="en-US" w:eastAsia="zh-CN"/>
              </w:rPr>
              <w:t>2</w:t>
            </w:r>
            <w:r>
              <w:rPr>
                <w:rFonts w:hint="default" w:ascii="Times New Roman" w:hAnsi="Times New Roman" w:eastAsia="仿宋_GB2312" w:cs="Times New Roman"/>
                <w:color w:val="auto"/>
                <w:kern w:val="0"/>
                <w:sz w:val="28"/>
                <w:szCs w:val="28"/>
                <w:lang w:val="en-US" w:eastAsia="zh-CN"/>
              </w:rPr>
              <w:t>分。</w:t>
            </w:r>
          </w:p>
        </w:tc>
        <w:tc>
          <w:tcPr>
            <w:tcW w:w="330" w:type="pct"/>
            <w:vAlign w:val="center"/>
          </w:tcPr>
          <w:p w14:paraId="13F2AD0C">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2</w:t>
            </w:r>
          </w:p>
        </w:tc>
      </w:tr>
      <w:tr w14:paraId="6B40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2" w:type="pct"/>
            <w:vMerge w:val="continue"/>
            <w:vAlign w:val="center"/>
          </w:tcPr>
          <w:p w14:paraId="62D68F09">
            <w:pPr>
              <w:spacing w:line="320" w:lineRule="exact"/>
              <w:rPr>
                <w:rFonts w:hint="default" w:ascii="Times New Roman" w:hAnsi="Times New Roman" w:eastAsia="仿宋_GB2312" w:cs="Times New Roman"/>
                <w:color w:val="auto"/>
                <w:kern w:val="0"/>
                <w:sz w:val="28"/>
                <w:szCs w:val="28"/>
                <w:lang w:val="en-US" w:eastAsia="zh-CN"/>
              </w:rPr>
            </w:pPr>
          </w:p>
        </w:tc>
        <w:tc>
          <w:tcPr>
            <w:tcW w:w="710" w:type="pct"/>
            <w:vAlign w:val="center"/>
          </w:tcPr>
          <w:p w14:paraId="55B84702">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实施方案</w:t>
            </w:r>
          </w:p>
        </w:tc>
        <w:tc>
          <w:tcPr>
            <w:tcW w:w="3216" w:type="pct"/>
            <w:vAlign w:val="center"/>
          </w:tcPr>
          <w:p w14:paraId="0714E30C">
            <w:pPr>
              <w:spacing w:line="320" w:lineRule="exac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val="en-US" w:eastAsia="zh-CN"/>
              </w:rPr>
              <w:t>供应商</w:t>
            </w:r>
            <w:r>
              <w:rPr>
                <w:rFonts w:hint="default" w:ascii="Times New Roman" w:hAnsi="Times New Roman" w:eastAsia="仿宋_GB2312" w:cs="Times New Roman"/>
                <w:color w:val="auto"/>
                <w:kern w:val="0"/>
                <w:sz w:val="28"/>
                <w:szCs w:val="28"/>
                <w:lang w:eastAsia="zh-CN"/>
              </w:rPr>
              <w:t>根据本项目特点及采购人实际情况，制定完善的项目实施方案。项目实施方案应包括但不限于：安装计划、组织机构、安全保障措施、安装调试规划、安装人员组成、质量保证措施等。</w:t>
            </w:r>
          </w:p>
          <w:p w14:paraId="5529992E">
            <w:pPr>
              <w:spacing w:line="320" w:lineRule="exac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val="en-US" w:eastAsia="zh-CN"/>
              </w:rPr>
              <w:t>供应商</w:t>
            </w:r>
            <w:r>
              <w:rPr>
                <w:rFonts w:hint="default" w:ascii="Times New Roman" w:hAnsi="Times New Roman" w:eastAsia="仿宋_GB2312" w:cs="Times New Roman"/>
                <w:color w:val="auto"/>
                <w:kern w:val="0"/>
                <w:sz w:val="28"/>
                <w:szCs w:val="28"/>
                <w:lang w:eastAsia="zh-CN"/>
              </w:rPr>
              <w:t>对每项内容论述详细，完全贴合采购需求的得</w:t>
            </w:r>
            <w:r>
              <w:rPr>
                <w:rFonts w:hint="eastAsia" w:ascii="Times New Roman" w:hAnsi="Times New Roman" w:eastAsia="仿宋_GB2312" w:cs="Times New Roman"/>
                <w:color w:val="auto"/>
                <w:kern w:val="0"/>
                <w:sz w:val="28"/>
                <w:szCs w:val="28"/>
                <w:lang w:val="en-US" w:eastAsia="zh-CN"/>
              </w:rPr>
              <w:t>6</w:t>
            </w:r>
            <w:r>
              <w:rPr>
                <w:rFonts w:hint="default" w:ascii="Times New Roman" w:hAnsi="Times New Roman" w:eastAsia="仿宋_GB2312" w:cs="Times New Roman"/>
                <w:color w:val="auto"/>
                <w:kern w:val="0"/>
                <w:sz w:val="28"/>
                <w:szCs w:val="28"/>
                <w:lang w:eastAsia="zh-CN"/>
              </w:rPr>
              <w:t>分；</w:t>
            </w:r>
            <w:r>
              <w:rPr>
                <w:rFonts w:hint="default" w:ascii="Times New Roman" w:hAnsi="Times New Roman" w:eastAsia="仿宋_GB2312" w:cs="Times New Roman"/>
                <w:color w:val="auto"/>
                <w:kern w:val="0"/>
                <w:sz w:val="28"/>
                <w:szCs w:val="28"/>
                <w:lang w:val="en-US" w:eastAsia="zh-CN"/>
              </w:rPr>
              <w:t>供应商</w:t>
            </w:r>
            <w:r>
              <w:rPr>
                <w:rFonts w:hint="default" w:ascii="Times New Roman" w:hAnsi="Times New Roman" w:eastAsia="仿宋_GB2312" w:cs="Times New Roman"/>
                <w:color w:val="auto"/>
                <w:kern w:val="0"/>
                <w:sz w:val="28"/>
                <w:szCs w:val="28"/>
                <w:lang w:eastAsia="zh-CN"/>
              </w:rPr>
              <w:t>对每项内容虽阐述但未贴合采购需求进行论述，或内容未包括具体细节的得</w:t>
            </w:r>
            <w:r>
              <w:rPr>
                <w:rFonts w:hint="eastAsia" w:ascii="Times New Roman" w:hAnsi="Times New Roman" w:eastAsia="仿宋_GB2312" w:cs="Times New Roman"/>
                <w:color w:val="auto"/>
                <w:kern w:val="0"/>
                <w:sz w:val="28"/>
                <w:szCs w:val="28"/>
                <w:lang w:val="en-US" w:eastAsia="zh-CN"/>
              </w:rPr>
              <w:t>4</w:t>
            </w:r>
            <w:r>
              <w:rPr>
                <w:rFonts w:hint="default" w:ascii="Times New Roman" w:hAnsi="Times New Roman" w:eastAsia="仿宋_GB2312" w:cs="Times New Roman"/>
                <w:color w:val="auto"/>
                <w:kern w:val="0"/>
                <w:sz w:val="28"/>
                <w:szCs w:val="28"/>
                <w:lang w:eastAsia="zh-CN"/>
              </w:rPr>
              <w:t xml:space="preserve">分；供应商提供的内容不完整或存在影响本项目目标实现的明显错误得 </w:t>
            </w:r>
            <w:r>
              <w:rPr>
                <w:rFonts w:hint="default" w:ascii="Times New Roman" w:hAnsi="Times New Roman" w:eastAsia="仿宋_GB2312" w:cs="Times New Roman"/>
                <w:color w:val="auto"/>
                <w:kern w:val="0"/>
                <w:sz w:val="28"/>
                <w:szCs w:val="28"/>
                <w:lang w:val="en-US" w:eastAsia="zh-CN"/>
              </w:rPr>
              <w:t>2</w:t>
            </w:r>
            <w:r>
              <w:rPr>
                <w:rFonts w:hint="default" w:ascii="Times New Roman" w:hAnsi="Times New Roman" w:eastAsia="仿宋_GB2312" w:cs="Times New Roman"/>
                <w:color w:val="auto"/>
                <w:kern w:val="0"/>
                <w:sz w:val="28"/>
                <w:szCs w:val="28"/>
                <w:lang w:eastAsia="zh-CN"/>
              </w:rPr>
              <w:t>分；未提供相关内容的得0分。</w:t>
            </w:r>
          </w:p>
        </w:tc>
        <w:tc>
          <w:tcPr>
            <w:tcW w:w="330" w:type="pct"/>
            <w:vAlign w:val="center"/>
          </w:tcPr>
          <w:p w14:paraId="765AAC98">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6</w:t>
            </w:r>
          </w:p>
        </w:tc>
      </w:tr>
      <w:tr w14:paraId="7AD1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742" w:type="pct"/>
            <w:vMerge w:val="continue"/>
            <w:vAlign w:val="center"/>
          </w:tcPr>
          <w:p w14:paraId="273E8BF0">
            <w:pPr>
              <w:spacing w:line="320" w:lineRule="exact"/>
              <w:rPr>
                <w:rFonts w:hint="default" w:ascii="Times New Roman" w:hAnsi="Times New Roman" w:eastAsia="仿宋_GB2312" w:cs="Times New Roman"/>
                <w:color w:val="auto"/>
                <w:kern w:val="0"/>
                <w:sz w:val="28"/>
                <w:szCs w:val="28"/>
                <w:lang w:val="en-US" w:eastAsia="zh-CN"/>
              </w:rPr>
            </w:pPr>
          </w:p>
        </w:tc>
        <w:tc>
          <w:tcPr>
            <w:tcW w:w="710" w:type="pct"/>
            <w:vAlign w:val="center"/>
          </w:tcPr>
          <w:p w14:paraId="3138E0B1">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培训方案</w:t>
            </w:r>
          </w:p>
        </w:tc>
        <w:tc>
          <w:tcPr>
            <w:tcW w:w="3216" w:type="pct"/>
            <w:vAlign w:val="center"/>
          </w:tcPr>
          <w:p w14:paraId="69C07B9B">
            <w:pPr>
              <w:spacing w:line="32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供应商针对本项目特点，应在竞争性磋商响应文件中制定人员培训方案。方案应包括但不限于：培训的时间、地点、目标方式、内容、对象和措施、培训工程师数量、培训人员资质等。</w:t>
            </w:r>
          </w:p>
          <w:p w14:paraId="50781D6A">
            <w:pPr>
              <w:spacing w:line="320" w:lineRule="exact"/>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kern w:val="0"/>
                <w:sz w:val="28"/>
                <w:szCs w:val="28"/>
                <w:lang w:val="en-US" w:eastAsia="zh-CN"/>
              </w:rPr>
              <w:t>供应商</w:t>
            </w:r>
            <w:r>
              <w:rPr>
                <w:rFonts w:hint="default" w:ascii="Times New Roman" w:hAnsi="Times New Roman" w:eastAsia="仿宋_GB2312" w:cs="Times New Roman"/>
                <w:color w:val="auto"/>
                <w:kern w:val="0"/>
                <w:sz w:val="28"/>
                <w:szCs w:val="28"/>
                <w:lang w:eastAsia="zh-CN"/>
              </w:rPr>
              <w:t>对每项内容论述详细，完全贴合采购需求的得</w:t>
            </w:r>
            <w:r>
              <w:rPr>
                <w:rFonts w:hint="eastAsia" w:ascii="Times New Roman" w:hAnsi="Times New Roman" w:eastAsia="仿宋_GB2312" w:cs="Times New Roman"/>
                <w:color w:val="auto"/>
                <w:kern w:val="0"/>
                <w:sz w:val="28"/>
                <w:szCs w:val="28"/>
                <w:lang w:val="en-US" w:eastAsia="zh-CN"/>
              </w:rPr>
              <w:t>6</w:t>
            </w:r>
            <w:r>
              <w:rPr>
                <w:rFonts w:hint="default" w:ascii="Times New Roman" w:hAnsi="Times New Roman" w:eastAsia="仿宋_GB2312" w:cs="Times New Roman"/>
                <w:color w:val="auto"/>
                <w:kern w:val="0"/>
                <w:sz w:val="28"/>
                <w:szCs w:val="28"/>
                <w:lang w:eastAsia="zh-CN"/>
              </w:rPr>
              <w:t>分；供应商对每项内容虽阐述但未贴合采购需求进行论述，或内容未包括具体细节的得</w:t>
            </w:r>
            <w:r>
              <w:rPr>
                <w:rFonts w:hint="eastAsia" w:ascii="Times New Roman" w:hAnsi="Times New Roman" w:eastAsia="仿宋_GB2312" w:cs="Times New Roman"/>
                <w:color w:val="auto"/>
                <w:kern w:val="0"/>
                <w:sz w:val="28"/>
                <w:szCs w:val="28"/>
                <w:lang w:val="en-US" w:eastAsia="zh-CN"/>
              </w:rPr>
              <w:t>4</w:t>
            </w:r>
            <w:r>
              <w:rPr>
                <w:rFonts w:hint="default" w:ascii="Times New Roman" w:hAnsi="Times New Roman" w:eastAsia="仿宋_GB2312" w:cs="Times New Roman"/>
                <w:color w:val="auto"/>
                <w:kern w:val="0"/>
                <w:sz w:val="28"/>
                <w:szCs w:val="28"/>
                <w:lang w:eastAsia="zh-CN"/>
              </w:rPr>
              <w:t>分；供应商提供的内容不完整或存在影响本项目目标实现的明显错误得</w:t>
            </w:r>
            <w:r>
              <w:rPr>
                <w:rFonts w:hint="eastAsia" w:ascii="Times New Roman" w:hAnsi="Times New Roman" w:eastAsia="仿宋_GB2312" w:cs="Times New Roman"/>
                <w:color w:val="auto"/>
                <w:kern w:val="0"/>
                <w:sz w:val="28"/>
                <w:szCs w:val="28"/>
                <w:lang w:val="en-US" w:eastAsia="zh-CN"/>
              </w:rPr>
              <w:t>2</w:t>
            </w:r>
            <w:r>
              <w:rPr>
                <w:rFonts w:hint="default" w:ascii="Times New Roman" w:hAnsi="Times New Roman" w:eastAsia="仿宋_GB2312" w:cs="Times New Roman"/>
                <w:color w:val="auto"/>
                <w:kern w:val="0"/>
                <w:sz w:val="28"/>
                <w:szCs w:val="28"/>
                <w:lang w:eastAsia="zh-CN"/>
              </w:rPr>
              <w:t>分；未提供相关内容的得0分。</w:t>
            </w:r>
          </w:p>
        </w:tc>
        <w:tc>
          <w:tcPr>
            <w:tcW w:w="330" w:type="pct"/>
            <w:vAlign w:val="center"/>
          </w:tcPr>
          <w:p w14:paraId="6B5563FA">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6</w:t>
            </w:r>
          </w:p>
        </w:tc>
      </w:tr>
      <w:tr w14:paraId="6E02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2" w:type="pct"/>
            <w:vMerge w:val="continue"/>
            <w:vAlign w:val="center"/>
          </w:tcPr>
          <w:p w14:paraId="2203651C">
            <w:pPr>
              <w:spacing w:line="320" w:lineRule="exact"/>
              <w:rPr>
                <w:rFonts w:hint="default" w:ascii="Times New Roman" w:hAnsi="Times New Roman" w:eastAsia="仿宋_GB2312" w:cs="Times New Roman"/>
                <w:color w:val="auto"/>
                <w:kern w:val="0"/>
                <w:sz w:val="28"/>
                <w:szCs w:val="28"/>
                <w:lang w:val="en-US" w:eastAsia="zh-CN"/>
              </w:rPr>
            </w:pPr>
          </w:p>
        </w:tc>
        <w:tc>
          <w:tcPr>
            <w:tcW w:w="710" w:type="pct"/>
            <w:vAlign w:val="center"/>
          </w:tcPr>
          <w:p w14:paraId="36DE047E">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售后服务</w:t>
            </w:r>
          </w:p>
        </w:tc>
        <w:tc>
          <w:tcPr>
            <w:tcW w:w="3216" w:type="pct"/>
            <w:vAlign w:val="center"/>
          </w:tcPr>
          <w:p w14:paraId="43483DE7">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供应商针对本项目需求提供售后服务方案，方案应包括但不限于：售后服务内容、形式、团队成员数、含免费维修响应时间、解决质量或操作问题的响应时间、解决问题时间、售后服务地点等。</w:t>
            </w:r>
          </w:p>
          <w:p w14:paraId="53A97C13">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供应商</w:t>
            </w:r>
            <w:r>
              <w:rPr>
                <w:rFonts w:hint="default" w:ascii="Times New Roman" w:hAnsi="Times New Roman" w:eastAsia="仿宋_GB2312" w:cs="Times New Roman"/>
                <w:color w:val="auto"/>
                <w:kern w:val="0"/>
                <w:sz w:val="28"/>
                <w:szCs w:val="28"/>
                <w:lang w:eastAsia="zh-CN"/>
              </w:rPr>
              <w:t>对每项内容论述详细，完全贴合采购需求的得</w:t>
            </w:r>
            <w:r>
              <w:rPr>
                <w:rFonts w:hint="eastAsia" w:ascii="Times New Roman" w:hAnsi="Times New Roman" w:eastAsia="仿宋_GB2312" w:cs="Times New Roman"/>
                <w:color w:val="auto"/>
                <w:kern w:val="0"/>
                <w:sz w:val="28"/>
                <w:szCs w:val="28"/>
                <w:lang w:val="en-US" w:eastAsia="zh-CN"/>
              </w:rPr>
              <w:t>6</w:t>
            </w:r>
            <w:r>
              <w:rPr>
                <w:rFonts w:hint="default" w:ascii="Times New Roman" w:hAnsi="Times New Roman" w:eastAsia="仿宋_GB2312" w:cs="Times New Roman"/>
                <w:color w:val="auto"/>
                <w:kern w:val="0"/>
                <w:sz w:val="28"/>
                <w:szCs w:val="28"/>
                <w:lang w:eastAsia="zh-CN"/>
              </w:rPr>
              <w:t>分；</w:t>
            </w:r>
            <w:r>
              <w:rPr>
                <w:rFonts w:hint="default" w:ascii="Times New Roman" w:hAnsi="Times New Roman" w:eastAsia="仿宋_GB2312" w:cs="Times New Roman"/>
                <w:color w:val="auto"/>
                <w:kern w:val="0"/>
                <w:sz w:val="28"/>
                <w:szCs w:val="28"/>
                <w:lang w:val="en-US" w:eastAsia="zh-CN"/>
              </w:rPr>
              <w:t>供应商</w:t>
            </w:r>
            <w:r>
              <w:rPr>
                <w:rFonts w:hint="default" w:ascii="Times New Roman" w:hAnsi="Times New Roman" w:eastAsia="仿宋_GB2312" w:cs="Times New Roman"/>
                <w:color w:val="auto"/>
                <w:kern w:val="0"/>
                <w:sz w:val="28"/>
                <w:szCs w:val="28"/>
                <w:lang w:eastAsia="zh-CN"/>
              </w:rPr>
              <w:t>对每项内容虽阐述但未贴合采购需求进行论述，或内容未包括具体细节的得</w:t>
            </w:r>
            <w:r>
              <w:rPr>
                <w:rFonts w:hint="eastAsia" w:ascii="Times New Roman" w:hAnsi="Times New Roman" w:eastAsia="仿宋_GB2312" w:cs="Times New Roman"/>
                <w:color w:val="auto"/>
                <w:kern w:val="0"/>
                <w:sz w:val="28"/>
                <w:szCs w:val="28"/>
                <w:lang w:val="en-US" w:eastAsia="zh-CN"/>
              </w:rPr>
              <w:t>4</w:t>
            </w:r>
            <w:r>
              <w:rPr>
                <w:rFonts w:hint="default" w:ascii="Times New Roman" w:hAnsi="Times New Roman" w:eastAsia="仿宋_GB2312" w:cs="Times New Roman"/>
                <w:color w:val="auto"/>
                <w:kern w:val="0"/>
                <w:sz w:val="28"/>
                <w:szCs w:val="28"/>
                <w:lang w:eastAsia="zh-CN"/>
              </w:rPr>
              <w:t>分；</w:t>
            </w:r>
            <w:r>
              <w:rPr>
                <w:rFonts w:hint="default" w:ascii="Times New Roman" w:hAnsi="Times New Roman" w:eastAsia="仿宋_GB2312" w:cs="Times New Roman"/>
                <w:color w:val="auto"/>
                <w:kern w:val="0"/>
                <w:sz w:val="28"/>
                <w:szCs w:val="28"/>
                <w:lang w:val="en-US" w:eastAsia="zh-CN"/>
              </w:rPr>
              <w:t>供应商</w:t>
            </w:r>
            <w:r>
              <w:rPr>
                <w:rFonts w:hint="default" w:ascii="Times New Roman" w:hAnsi="Times New Roman" w:eastAsia="仿宋_GB2312" w:cs="Times New Roman"/>
                <w:color w:val="auto"/>
                <w:kern w:val="0"/>
                <w:sz w:val="28"/>
                <w:szCs w:val="28"/>
                <w:lang w:eastAsia="zh-CN"/>
              </w:rPr>
              <w:t>提供的内容不完整或存在影响本项目目标实现的明显错误得2分；未提供相关内容的得0分。</w:t>
            </w:r>
          </w:p>
        </w:tc>
        <w:tc>
          <w:tcPr>
            <w:tcW w:w="330" w:type="pct"/>
            <w:vAlign w:val="center"/>
          </w:tcPr>
          <w:p w14:paraId="6BB6168A">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6</w:t>
            </w:r>
          </w:p>
        </w:tc>
      </w:tr>
    </w:tbl>
    <w:p w14:paraId="6CCEB122">
      <w:pPr>
        <w:spacing w:line="320" w:lineRule="exact"/>
        <w:ind w:firstLine="560" w:firstLineChars="200"/>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color w:val="auto"/>
          <w:kern w:val="0"/>
          <w:sz w:val="28"/>
          <w:szCs w:val="28"/>
          <w:lang w:eastAsia="zh-CN"/>
        </w:rPr>
        <w:br w:type="page"/>
      </w:r>
    </w:p>
    <w:p w14:paraId="259E6343">
      <w:pPr>
        <w:jc w:val="center"/>
        <w:outlineLvl w:val="0"/>
        <w:rPr>
          <w:rFonts w:hint="default" w:ascii="Times New Roman" w:hAnsi="Times New Roman" w:cs="Times New Roman" w:eastAsiaTheme="minorEastAsia"/>
          <w:b/>
          <w:bCs/>
          <w:color w:val="auto"/>
          <w:kern w:val="44"/>
          <w:sz w:val="36"/>
          <w:szCs w:val="36"/>
        </w:rPr>
      </w:pPr>
      <w:bookmarkStart w:id="299" w:name="_Toc13426"/>
      <w:r>
        <w:rPr>
          <w:rFonts w:hint="default" w:ascii="Times New Roman" w:hAnsi="Times New Roman" w:cs="Times New Roman" w:eastAsiaTheme="minorEastAsia"/>
          <w:b/>
          <w:bCs/>
          <w:color w:val="auto"/>
          <w:kern w:val="44"/>
          <w:sz w:val="36"/>
          <w:szCs w:val="36"/>
          <w:lang w:val="en-US" w:eastAsia="zh-CN"/>
        </w:rPr>
        <w:t xml:space="preserve">第七章 </w:t>
      </w:r>
      <w:r>
        <w:rPr>
          <w:rFonts w:hint="default" w:ascii="Times New Roman" w:hAnsi="Times New Roman" w:cs="Times New Roman" w:eastAsiaTheme="minorEastAsia"/>
          <w:b/>
          <w:bCs/>
          <w:color w:val="auto"/>
          <w:kern w:val="44"/>
          <w:sz w:val="36"/>
          <w:szCs w:val="36"/>
        </w:rPr>
        <w:t>政府采购合同</w:t>
      </w:r>
      <w:bookmarkEnd w:id="274"/>
      <w:bookmarkEnd w:id="275"/>
      <w:bookmarkEnd w:id="276"/>
      <w:bookmarkEnd w:id="277"/>
      <w:bookmarkEnd w:id="278"/>
      <w:bookmarkEnd w:id="279"/>
      <w:bookmarkEnd w:id="280"/>
      <w:bookmarkEnd w:id="281"/>
      <w:bookmarkEnd w:id="282"/>
      <w:bookmarkEnd w:id="283"/>
      <w:bookmarkEnd w:id="284"/>
      <w:bookmarkEnd w:id="285"/>
      <w:bookmarkEnd w:id="299"/>
    </w:p>
    <w:p w14:paraId="7B66E6C4">
      <w:pPr>
        <w:pStyle w:val="16"/>
        <w:jc w:val="center"/>
        <w:rPr>
          <w:rFonts w:hint="default" w:ascii="Times New Roman" w:hAnsi="Times New Roman" w:cs="Times New Roman" w:eastAsiaTheme="minorEastAsia"/>
          <w:b/>
          <w:bCs/>
          <w:spacing w:val="-20"/>
          <w:kern w:val="44"/>
          <w:sz w:val="48"/>
          <w:szCs w:val="48"/>
        </w:rPr>
      </w:pPr>
      <w:bookmarkStart w:id="300" w:name="_Toc694927784"/>
      <w:bookmarkStart w:id="301" w:name="_Toc1351594660_WPSOffice_Level2"/>
      <w:bookmarkStart w:id="302" w:name="_Toc1554580408"/>
      <w:bookmarkStart w:id="303" w:name="_Toc1331652897_WPSOffice_Level2"/>
      <w:bookmarkStart w:id="304" w:name="_Toc339295120"/>
      <w:bookmarkStart w:id="305" w:name="_Toc1047604175"/>
      <w:bookmarkStart w:id="306" w:name="_Toc1887969822_WPSOffice_Level2"/>
      <w:bookmarkStart w:id="307" w:name="_Toc1216028725_WPSOffice_Level2"/>
      <w:bookmarkStart w:id="308" w:name="_Toc2021117886"/>
      <w:bookmarkStart w:id="309" w:name="_Toc505697850"/>
      <w:bookmarkStart w:id="310" w:name="_Toc667407289"/>
      <w:bookmarkStart w:id="311" w:name="_Toc2146371347"/>
      <w:r>
        <w:rPr>
          <w:rFonts w:hint="default" w:ascii="Times New Roman" w:hAnsi="Times New Roman" w:cs="Times New Roman" w:eastAsiaTheme="minorEastAsia"/>
          <w:b/>
          <w:bCs/>
          <w:spacing w:val="-20"/>
          <w:kern w:val="44"/>
          <w:sz w:val="48"/>
          <w:szCs w:val="48"/>
        </w:rPr>
        <w:t>政府采购货物买卖合同</w:t>
      </w:r>
    </w:p>
    <w:p w14:paraId="3EB0287F">
      <w:pPr>
        <w:rPr>
          <w:rFonts w:hint="default" w:ascii="Times New Roman" w:hAnsi="Times New Roman" w:cs="Times New Roman" w:eastAsiaTheme="minorEastAsia"/>
          <w:b/>
          <w:bCs/>
          <w:color w:val="auto"/>
          <w:spacing w:val="-20"/>
          <w:kern w:val="44"/>
          <w:sz w:val="40"/>
          <w:szCs w:val="40"/>
        </w:rPr>
      </w:pPr>
    </w:p>
    <w:p w14:paraId="0FBA7442">
      <w:pPr>
        <w:rPr>
          <w:rFonts w:hint="default" w:ascii="Times New Roman" w:hAnsi="Times New Roman" w:cs="Times New Roman" w:eastAsiaTheme="minorEastAsia"/>
          <w:b/>
          <w:bCs/>
          <w:color w:val="auto"/>
          <w:spacing w:val="-20"/>
          <w:kern w:val="44"/>
          <w:sz w:val="40"/>
          <w:szCs w:val="40"/>
        </w:rPr>
      </w:pPr>
    </w:p>
    <w:p w14:paraId="336AD004">
      <w:pPr>
        <w:rPr>
          <w:rFonts w:hint="default" w:ascii="Times New Roman" w:hAnsi="Times New Roman" w:cs="Times New Roman" w:eastAsiaTheme="minorEastAsia"/>
          <w:b/>
          <w:bCs/>
          <w:color w:val="auto"/>
          <w:spacing w:val="-20"/>
          <w:kern w:val="44"/>
          <w:sz w:val="40"/>
          <w:szCs w:val="40"/>
        </w:rPr>
      </w:pPr>
    </w:p>
    <w:p w14:paraId="126AB8C1">
      <w:pPr>
        <w:spacing w:line="360" w:lineRule="auto"/>
        <w:ind w:left="420" w:leftChars="200"/>
        <w:rPr>
          <w:rFonts w:hint="default" w:ascii="Times New Roman" w:hAnsi="Times New Roman" w:cs="Times New Roman" w:eastAsiaTheme="minorEastAsia"/>
          <w:color w:val="auto"/>
          <w:sz w:val="32"/>
          <w:szCs w:val="32"/>
        </w:rPr>
      </w:pPr>
      <w:r>
        <w:rPr>
          <w:rFonts w:hint="default" w:ascii="Times New Roman" w:hAnsi="Times New Roman" w:cs="Times New Roman" w:eastAsiaTheme="minorEastAsia"/>
          <w:color w:val="auto"/>
          <w:kern w:val="0"/>
          <w:sz w:val="32"/>
          <w:szCs w:val="32"/>
        </w:rPr>
        <w:t>项目名称：</w:t>
      </w:r>
      <w:r>
        <w:rPr>
          <w:rFonts w:hint="default" w:ascii="Times New Roman" w:hAnsi="Times New Roman" w:cs="Times New Roman" w:eastAsiaTheme="minorEastAsia"/>
          <w:color w:val="auto"/>
          <w:sz w:val="32"/>
          <w:szCs w:val="32"/>
          <w:u w:val="single"/>
        </w:rPr>
        <w:t xml:space="preserve">                             </w:t>
      </w:r>
    </w:p>
    <w:p w14:paraId="3A9E57E0">
      <w:pPr>
        <w:spacing w:line="360" w:lineRule="auto"/>
        <w:ind w:left="420" w:leftChars="200"/>
        <w:rPr>
          <w:rFonts w:hint="default" w:ascii="Times New Roman" w:hAnsi="Times New Roman" w:cs="Times New Roman" w:eastAsiaTheme="minorEastAsia"/>
          <w:color w:val="auto"/>
          <w:sz w:val="32"/>
          <w:szCs w:val="32"/>
          <w:u w:val="single"/>
        </w:rPr>
      </w:pPr>
      <w:r>
        <w:rPr>
          <w:rFonts w:hint="default" w:ascii="Times New Roman" w:hAnsi="Times New Roman" w:cs="Times New Roman" w:eastAsiaTheme="minorEastAsia"/>
          <w:color w:val="auto"/>
          <w:sz w:val="32"/>
          <w:szCs w:val="32"/>
        </w:rPr>
        <w:t>合同编号：</w:t>
      </w:r>
      <w:r>
        <w:rPr>
          <w:rFonts w:hint="default" w:ascii="Times New Roman" w:hAnsi="Times New Roman" w:cs="Times New Roman" w:eastAsiaTheme="minorEastAsia"/>
          <w:color w:val="auto"/>
          <w:sz w:val="32"/>
          <w:szCs w:val="32"/>
          <w:u w:val="single"/>
        </w:rPr>
        <w:t xml:space="preserve">                             </w:t>
      </w:r>
    </w:p>
    <w:p w14:paraId="50E9323B">
      <w:pPr>
        <w:spacing w:line="360" w:lineRule="auto"/>
        <w:ind w:left="420" w:leftChars="200"/>
        <w:rPr>
          <w:rFonts w:hint="default" w:ascii="Times New Roman" w:hAnsi="Times New Roman" w:cs="Times New Roman" w:eastAsiaTheme="minorEastAsia"/>
          <w:color w:val="auto"/>
          <w:sz w:val="32"/>
          <w:szCs w:val="32"/>
        </w:rPr>
      </w:pPr>
      <w:r>
        <w:rPr>
          <w:rFonts w:hint="default" w:ascii="Times New Roman" w:hAnsi="Times New Roman" w:cs="Times New Roman" w:eastAsiaTheme="minorEastAsia"/>
          <w:color w:val="auto"/>
          <w:sz w:val="32"/>
          <w:szCs w:val="32"/>
        </w:rPr>
        <w:t>甲    方：</w:t>
      </w:r>
      <w:r>
        <w:rPr>
          <w:rFonts w:hint="default" w:ascii="Times New Roman" w:hAnsi="Times New Roman" w:cs="Times New Roman" w:eastAsiaTheme="minorEastAsia"/>
          <w:color w:val="auto"/>
          <w:sz w:val="32"/>
          <w:szCs w:val="32"/>
          <w:u w:val="single"/>
        </w:rPr>
        <w:t xml:space="preserve">                             </w:t>
      </w:r>
    </w:p>
    <w:p w14:paraId="000ACC37">
      <w:pPr>
        <w:spacing w:line="360" w:lineRule="auto"/>
        <w:ind w:left="420" w:leftChars="200"/>
        <w:rPr>
          <w:rFonts w:hint="default" w:ascii="Times New Roman" w:hAnsi="Times New Roman" w:cs="Times New Roman" w:eastAsiaTheme="minorEastAsia"/>
          <w:color w:val="auto"/>
          <w:sz w:val="32"/>
          <w:szCs w:val="32"/>
          <w:u w:val="single"/>
        </w:rPr>
      </w:pPr>
      <w:r>
        <w:rPr>
          <w:rFonts w:hint="default" w:ascii="Times New Roman" w:hAnsi="Times New Roman" w:cs="Times New Roman" w:eastAsiaTheme="minorEastAsia"/>
          <w:color w:val="auto"/>
          <w:sz w:val="32"/>
          <w:szCs w:val="32"/>
        </w:rPr>
        <w:t>乙    方：</w:t>
      </w:r>
      <w:r>
        <w:rPr>
          <w:rFonts w:hint="default" w:ascii="Times New Roman" w:hAnsi="Times New Roman" w:cs="Times New Roman" w:eastAsiaTheme="minorEastAsia"/>
          <w:color w:val="auto"/>
          <w:sz w:val="32"/>
          <w:szCs w:val="32"/>
          <w:u w:val="single"/>
        </w:rPr>
        <w:t xml:space="preserve">                             </w:t>
      </w:r>
    </w:p>
    <w:p w14:paraId="342F1C83">
      <w:pPr>
        <w:spacing w:line="360" w:lineRule="auto"/>
        <w:ind w:left="420" w:leftChars="200"/>
        <w:rPr>
          <w:rFonts w:hint="default" w:ascii="Times New Roman" w:hAnsi="Times New Roman" w:cs="Times New Roman" w:eastAsiaTheme="minorEastAsia"/>
          <w:color w:val="auto"/>
          <w:sz w:val="32"/>
          <w:szCs w:val="32"/>
        </w:rPr>
      </w:pPr>
      <w:r>
        <w:rPr>
          <w:rFonts w:hint="default" w:ascii="Times New Roman" w:hAnsi="Times New Roman" w:cs="Times New Roman" w:eastAsiaTheme="minorEastAsia"/>
          <w:color w:val="auto"/>
          <w:sz w:val="32"/>
          <w:szCs w:val="32"/>
        </w:rPr>
        <w:t>签订时间：</w:t>
      </w:r>
      <w:r>
        <w:rPr>
          <w:rFonts w:hint="default" w:ascii="Times New Roman" w:hAnsi="Times New Roman" w:cs="Times New Roman" w:eastAsiaTheme="minorEastAsia"/>
          <w:color w:val="auto"/>
          <w:sz w:val="32"/>
          <w:szCs w:val="32"/>
          <w:u w:val="single"/>
        </w:rPr>
        <w:t xml:space="preserve">                             </w:t>
      </w:r>
    </w:p>
    <w:p w14:paraId="1812943E">
      <w:pPr>
        <w:rPr>
          <w:rFonts w:hint="default" w:ascii="Times New Roman" w:hAnsi="Times New Roman" w:cs="Times New Roman"/>
          <w:color w:val="auto"/>
        </w:rPr>
      </w:pPr>
    </w:p>
    <w:p w14:paraId="65C83BC3">
      <w:pPr>
        <w:rPr>
          <w:rFonts w:hint="default" w:ascii="Times New Roman" w:hAnsi="Times New Roman" w:eastAsia="黑体" w:cs="Times New Roman"/>
          <w:color w:val="auto"/>
          <w:sz w:val="44"/>
          <w:szCs w:val="44"/>
        </w:rPr>
        <w:sectPr>
          <w:footerReference r:id="rId10" w:type="default"/>
          <w:pgSz w:w="11906" w:h="16838"/>
          <w:pgMar w:top="1440" w:right="1080" w:bottom="1440" w:left="1080" w:header="851" w:footer="992" w:gutter="0"/>
          <w:cols w:space="720" w:num="1"/>
          <w:docGrid w:type="lines" w:linePitch="312" w:charSpace="0"/>
        </w:sectPr>
      </w:pPr>
    </w:p>
    <w:p w14:paraId="01ADE7F1">
      <w:pPr>
        <w:adjustRightInd w:val="0"/>
        <w:snapToGrid w:val="0"/>
        <w:spacing w:line="400" w:lineRule="exact"/>
        <w:jc w:val="center"/>
        <w:outlineLvl w:val="1"/>
        <w:rPr>
          <w:rFonts w:hint="default" w:ascii="Times New Roman" w:hAnsi="Times New Roman" w:eastAsia="黑体" w:cs="Times New Roman"/>
          <w:color w:val="auto"/>
          <w:sz w:val="28"/>
          <w:szCs w:val="28"/>
          <w:lang w:eastAsia="zh-CN"/>
        </w:rPr>
      </w:pPr>
      <w:bookmarkStart w:id="312" w:name="_Toc22209"/>
      <w:r>
        <w:rPr>
          <w:rFonts w:hint="default" w:ascii="Times New Roman" w:hAnsi="Times New Roman" w:eastAsia="黑体" w:cs="Times New Roman"/>
          <w:color w:val="auto"/>
          <w:sz w:val="28"/>
          <w:szCs w:val="28"/>
          <w:lang w:eastAsia="zh-CN"/>
        </w:rPr>
        <w:t>第一节 政府采购合同协议书</w:t>
      </w:r>
      <w:bookmarkEnd w:id="312"/>
    </w:p>
    <w:p w14:paraId="16B2E168">
      <w:pPr>
        <w:adjustRightInd w:val="0"/>
        <w:snapToGrid w:val="0"/>
        <w:spacing w:line="400" w:lineRule="exact"/>
        <w:jc w:val="center"/>
        <w:rPr>
          <w:rFonts w:hint="default" w:ascii="Times New Roman" w:hAnsi="Times New Roman" w:eastAsia="黑体" w:cs="Times New Roman"/>
          <w:color w:val="auto"/>
          <w:sz w:val="28"/>
          <w:szCs w:val="28"/>
          <w:lang w:eastAsia="zh-CN"/>
        </w:rPr>
      </w:pPr>
    </w:p>
    <w:p w14:paraId="3CC32609">
      <w:pPr>
        <w:adjustRightInd w:val="0"/>
        <w:snapToGrid w:val="0"/>
        <w:spacing w:line="400" w:lineRule="exac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甲方（全称）：</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lang w:eastAsia="zh-CN"/>
        </w:rPr>
        <w:t>（采购人、受采购人委托签订合同的单位或采购</w:t>
      </w:r>
      <w:r>
        <w:rPr>
          <w:rFonts w:hint="default" w:ascii="Times New Roman" w:hAnsi="Times New Roman" w:cs="Times New Roman" w:eastAsiaTheme="minorEastAsia"/>
          <w:color w:val="auto"/>
          <w:lang w:val="en-US" w:eastAsia="zh-CN"/>
        </w:rPr>
        <w:tab/>
      </w: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lang w:eastAsia="zh-CN"/>
        </w:rPr>
        <w:t>文件约定的合同甲方）</w:t>
      </w:r>
    </w:p>
    <w:p w14:paraId="45EDAC3D">
      <w:pPr>
        <w:adjustRightInd w:val="0"/>
        <w:snapToGrid w:val="0"/>
        <w:spacing w:line="400" w:lineRule="exac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乙方</w:t>
      </w:r>
      <w:r>
        <w:rPr>
          <w:rFonts w:hint="default" w:ascii="Times New Roman" w:hAnsi="Times New Roman" w:cs="Times New Roman" w:eastAsiaTheme="minorEastAsia"/>
          <w:color w:val="auto"/>
          <w:lang w:val="en-US" w:eastAsia="zh-CN"/>
        </w:rPr>
        <w:t>1</w:t>
      </w:r>
      <w:r>
        <w:rPr>
          <w:rFonts w:hint="default" w:ascii="Times New Roman" w:hAnsi="Times New Roman" w:cs="Times New Roman" w:eastAsiaTheme="minorEastAsia"/>
          <w:color w:val="auto"/>
          <w:lang w:eastAsia="zh-CN"/>
        </w:rPr>
        <w:t>（全称）：</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lang w:eastAsia="zh-CN"/>
        </w:rPr>
        <w:t>（供应商）</w:t>
      </w:r>
    </w:p>
    <w:p w14:paraId="768E139E">
      <w:pPr>
        <w:adjustRightInd w:val="0"/>
        <w:snapToGrid w:val="0"/>
        <w:spacing w:line="400" w:lineRule="exac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乙方2（全称）：</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lang w:eastAsia="zh-CN"/>
        </w:rPr>
        <w:t>（联合体成员供应商或其他合同主体）（如有）</w:t>
      </w:r>
    </w:p>
    <w:p w14:paraId="5C0642F0">
      <w:pPr>
        <w:adjustRightInd w:val="0"/>
        <w:snapToGrid w:val="0"/>
        <w:spacing w:line="400" w:lineRule="exac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乙方</w:t>
      </w:r>
      <w:r>
        <w:rPr>
          <w:rFonts w:hint="default" w:ascii="Times New Roman" w:hAnsi="Times New Roman" w:cs="Times New Roman" w:eastAsiaTheme="minorEastAsia"/>
          <w:color w:val="auto"/>
          <w:lang w:val="en-US" w:eastAsia="zh-CN"/>
        </w:rPr>
        <w:t>3（全称）</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lang w:eastAsia="zh-CN"/>
        </w:rPr>
        <w:t>（联合体成员供应商或其他合同主体）（如有）</w:t>
      </w:r>
    </w:p>
    <w:p w14:paraId="42CD51AB">
      <w:pPr>
        <w:spacing w:line="400" w:lineRule="exact"/>
        <w:rPr>
          <w:rFonts w:hint="default" w:ascii="Times New Roman" w:hAnsi="Times New Roman" w:cs="Times New Roman" w:eastAsiaTheme="minorEastAsia"/>
          <w:color w:val="auto"/>
          <w:lang w:val="en-US" w:eastAsia="zh-CN"/>
        </w:rPr>
      </w:pPr>
    </w:p>
    <w:p w14:paraId="774F3D40">
      <w:pPr>
        <w:pStyle w:val="17"/>
        <w:adjustRightInd w:val="0"/>
        <w:snapToGrid w:val="0"/>
        <w:spacing w:line="400" w:lineRule="exact"/>
        <w:ind w:firstLine="480" w:firstLineChars="200"/>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7F318553">
      <w:pPr>
        <w:numPr>
          <w:ilvl w:val="0"/>
          <w:numId w:val="13"/>
        </w:numPr>
        <w:adjustRightInd w:val="0"/>
        <w:snapToGrid w:val="0"/>
        <w:spacing w:line="400" w:lineRule="exact"/>
        <w:ind w:firstLine="422" w:firstLineChars="200"/>
        <w:rPr>
          <w:rFonts w:hint="default" w:ascii="Times New Roman" w:hAnsi="Times New Roman" w:cs="Times New Roman" w:eastAsiaTheme="minorEastAsia"/>
          <w:b/>
          <w:color w:val="auto"/>
        </w:rPr>
      </w:pPr>
      <w:r>
        <w:rPr>
          <w:rFonts w:hint="default" w:ascii="Times New Roman" w:hAnsi="Times New Roman" w:cs="Times New Roman" w:eastAsiaTheme="minorEastAsia"/>
          <w:b/>
          <w:color w:val="auto"/>
        </w:rPr>
        <w:t>项目信息</w:t>
      </w:r>
    </w:p>
    <w:p w14:paraId="048D037D">
      <w:pPr>
        <w:pStyle w:val="17"/>
        <w:numPr>
          <w:ilvl w:val="0"/>
          <w:numId w:val="14"/>
        </w:numPr>
        <w:adjustRightInd w:val="0"/>
        <w:snapToGrid w:val="0"/>
        <w:spacing w:line="400" w:lineRule="exact"/>
        <w:ind w:firstLine="480" w:firstLineChars="200"/>
        <w:rPr>
          <w:rFonts w:hint="default" w:ascii="Times New Roman" w:hAnsi="Times New Roman" w:cs="Times New Roman" w:eastAsiaTheme="minorEastAsia"/>
          <w:szCs w:val="21"/>
          <w:u w:val="single"/>
        </w:rPr>
      </w:pPr>
      <w:r>
        <w:rPr>
          <w:rFonts w:hint="default" w:ascii="Times New Roman" w:hAnsi="Times New Roman" w:cs="Times New Roman" w:eastAsiaTheme="minorEastAsia"/>
          <w:szCs w:val="21"/>
        </w:rPr>
        <w:t>采购项目名称：</w:t>
      </w:r>
      <w:r>
        <w:rPr>
          <w:rFonts w:hint="default" w:ascii="Times New Roman" w:hAnsi="Times New Roman" w:cs="Times New Roman" w:eastAsiaTheme="minorEastAsia"/>
          <w:szCs w:val="21"/>
          <w:u w:val="single"/>
        </w:rPr>
        <w:t xml:space="preserve">                                          </w:t>
      </w:r>
    </w:p>
    <w:p w14:paraId="1A741637">
      <w:pPr>
        <w:pStyle w:val="17"/>
        <w:tabs>
          <w:tab w:val="left" w:pos="999"/>
        </w:tabs>
        <w:adjustRightInd w:val="0"/>
        <w:snapToGrid w:val="0"/>
        <w:spacing w:line="400" w:lineRule="exact"/>
        <w:ind w:firstLine="0"/>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 xml:space="preserve">         采购项目编号：</w:t>
      </w:r>
      <w:r>
        <w:rPr>
          <w:rFonts w:hint="default" w:ascii="Times New Roman" w:hAnsi="Times New Roman" w:cs="Times New Roman" w:eastAsiaTheme="minorEastAsia"/>
          <w:szCs w:val="21"/>
          <w:u w:val="single"/>
        </w:rPr>
        <w:t xml:space="preserve">                                          </w:t>
      </w:r>
    </w:p>
    <w:p w14:paraId="09C47369">
      <w:pPr>
        <w:pStyle w:val="17"/>
        <w:adjustRightInd w:val="0"/>
        <w:snapToGrid w:val="0"/>
        <w:spacing w:line="400" w:lineRule="exact"/>
        <w:ind w:firstLine="480" w:firstLineChars="200"/>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（2）采购计划编号：</w:t>
      </w:r>
      <w:r>
        <w:rPr>
          <w:rFonts w:hint="default" w:ascii="Times New Roman" w:hAnsi="Times New Roman" w:cs="Times New Roman" w:eastAsiaTheme="minorEastAsia"/>
          <w:szCs w:val="21"/>
          <w:u w:val="single"/>
        </w:rPr>
        <w:t xml:space="preserve">                                          </w:t>
      </w:r>
      <w:r>
        <w:rPr>
          <w:rFonts w:hint="default" w:ascii="Times New Roman" w:hAnsi="Times New Roman" w:cs="Times New Roman" w:eastAsiaTheme="minorEastAsia"/>
          <w:szCs w:val="21"/>
        </w:rPr>
        <w:t xml:space="preserve"> </w:t>
      </w:r>
    </w:p>
    <w:p w14:paraId="3D3AC2CE">
      <w:pPr>
        <w:adjustRightInd w:val="0"/>
        <w:snapToGrid w:val="0"/>
        <w:spacing w:line="400" w:lineRule="exact"/>
        <w:ind w:firstLine="420" w:firstLineChars="20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（3）项目内容：</w:t>
      </w:r>
    </w:p>
    <w:p w14:paraId="4EA547AC">
      <w:pPr>
        <w:adjustRightInd w:val="0"/>
        <w:snapToGrid w:val="0"/>
        <w:spacing w:line="400" w:lineRule="exact"/>
        <w:ind w:firstLine="420" w:firstLineChars="200"/>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lang w:eastAsia="zh-CN"/>
        </w:rPr>
        <w:t>采购标的及数量</w:t>
      </w:r>
      <w:r>
        <w:rPr>
          <w:rFonts w:hint="default" w:ascii="Times New Roman" w:hAnsi="Times New Roman" w:cs="Times New Roman" w:eastAsiaTheme="minorEastAsia"/>
          <w:color w:val="auto"/>
          <w:lang w:val="en-US" w:eastAsia="zh-CN"/>
        </w:rPr>
        <w:t>（台/套</w:t>
      </w:r>
      <w:r>
        <w:rPr>
          <w:rFonts w:hint="default" w:ascii="Times New Roman" w:hAnsi="Times New Roman" w:cs="Times New Roman" w:eastAsiaTheme="minorEastAsia"/>
          <w:color w:val="auto"/>
          <w:lang w:val="en" w:eastAsia="zh-CN"/>
        </w:rPr>
        <w:t>/个/架/组等</w:t>
      </w:r>
      <w:r>
        <w:rPr>
          <w:rFonts w:hint="default" w:ascii="Times New Roman" w:hAnsi="Times New Roman" w:cs="Times New Roman" w:eastAsiaTheme="minorEastAsia"/>
          <w:color w:val="auto"/>
          <w:lang w:val="en-US" w:eastAsia="zh-CN"/>
        </w:rPr>
        <w:t>）</w:t>
      </w: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lang w:val="en-US" w:eastAsia="zh-CN"/>
        </w:rPr>
        <w:t xml:space="preserve"> </w:t>
      </w:r>
    </w:p>
    <w:p w14:paraId="76103BF9">
      <w:pPr>
        <w:adjustRightInd w:val="0"/>
        <w:snapToGrid w:val="0"/>
        <w:spacing w:line="400" w:lineRule="exact"/>
        <w:ind w:firstLine="420" w:firstLineChars="200"/>
        <w:rPr>
          <w:rFonts w:hint="default" w:ascii="Times New Roman" w:hAnsi="Times New Roman" w:cs="Times New Roman" w:eastAsiaTheme="minorEastAsia"/>
          <w:color w:val="auto"/>
          <w:lang w:val="en" w:eastAsia="zh-CN"/>
        </w:rPr>
      </w:pPr>
      <w:r>
        <w:rPr>
          <w:rFonts w:hint="default" w:ascii="Times New Roman" w:hAnsi="Times New Roman" w:cs="Times New Roman" w:eastAsiaTheme="minorEastAsia"/>
          <w:color w:val="auto"/>
          <w:lang w:val="en-US" w:eastAsia="zh-CN"/>
        </w:rPr>
        <w:t xml:space="preserve">     品牌：</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u w:val="single"/>
          <w:lang w:val="en" w:eastAsia="zh-CN"/>
        </w:rPr>
        <w:t xml:space="preserve">   </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u w:val="single"/>
          <w:lang w:val="en" w:eastAsia="zh-CN"/>
        </w:rPr>
        <w:t xml:space="preserve"> </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lang w:val="en" w:eastAsia="zh-CN"/>
        </w:rPr>
        <w:t xml:space="preserve">     </w:t>
      </w:r>
      <w:r>
        <w:rPr>
          <w:rFonts w:hint="default" w:ascii="Times New Roman" w:hAnsi="Times New Roman" w:cs="Times New Roman" w:eastAsiaTheme="minorEastAsia"/>
          <w:color w:val="auto"/>
          <w:lang w:val="en-US" w:eastAsia="zh-CN"/>
        </w:rPr>
        <w:t>规格型号：</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u w:val="single"/>
          <w:lang w:val="en" w:eastAsia="zh-CN"/>
        </w:rPr>
        <w:t xml:space="preserve">  </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u w:val="single"/>
          <w:lang w:val="en" w:eastAsia="zh-CN"/>
        </w:rPr>
        <w:t xml:space="preserve">   </w:t>
      </w:r>
    </w:p>
    <w:p w14:paraId="1C73693B">
      <w:pPr>
        <w:adjustRightInd w:val="0"/>
        <w:snapToGrid w:val="0"/>
        <w:spacing w:line="400" w:lineRule="exact"/>
        <w:ind w:firstLine="945" w:firstLineChars="450"/>
        <w:rPr>
          <w:rFonts w:hint="default" w:ascii="Times New Roman" w:hAnsi="Times New Roman" w:cs="Times New Roman" w:eastAsiaTheme="minorEastAsia"/>
          <w:color w:val="auto"/>
          <w:u w:val="single"/>
          <w:lang w:eastAsia="zh-CN"/>
        </w:rPr>
      </w:pPr>
      <w:r>
        <w:rPr>
          <w:rFonts w:hint="default" w:ascii="Times New Roman" w:hAnsi="Times New Roman" w:cs="Times New Roman" w:eastAsiaTheme="minorEastAsia"/>
          <w:color w:val="auto"/>
          <w:lang w:val="en-US" w:eastAsia="zh-CN"/>
        </w:rPr>
        <w:t>采购标的的技术要求、商务要求具体见附件。</w:t>
      </w:r>
    </w:p>
    <w:p w14:paraId="2CE83D7A">
      <w:pPr>
        <w:adjustRightInd w:val="0"/>
        <w:snapToGrid w:val="0"/>
        <w:spacing w:line="400" w:lineRule="exact"/>
        <w:ind w:firstLine="945" w:firstLineChars="450"/>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①涉及信息类产品，请填写该产品关键部件的品牌、型号：</w:t>
      </w:r>
    </w:p>
    <w:p w14:paraId="62037A7B">
      <w:pPr>
        <w:adjustRightInd w:val="0"/>
        <w:snapToGrid w:val="0"/>
        <w:spacing w:line="400" w:lineRule="exact"/>
        <w:ind w:firstLine="420" w:firstLineChars="200"/>
        <w:rPr>
          <w:rFonts w:hint="default" w:ascii="Times New Roman" w:hAnsi="Times New Roman" w:cs="Times New Roman" w:eastAsiaTheme="minorEastAsia"/>
          <w:color w:val="auto"/>
          <w:kern w:val="0"/>
          <w:u w:val="single"/>
          <w:lang w:val="en-US" w:eastAsia="zh-CN"/>
        </w:rPr>
      </w:pPr>
      <w:r>
        <w:rPr>
          <w:rFonts w:hint="default" w:ascii="Times New Roman" w:hAnsi="Times New Roman" w:cs="Times New Roman" w:eastAsiaTheme="minorEastAsia"/>
          <w:color w:val="auto"/>
          <w:lang w:val="en-US" w:eastAsia="zh-CN"/>
        </w:rPr>
        <w:t xml:space="preserve">     标的名称：</w:t>
      </w:r>
      <w:r>
        <w:rPr>
          <w:rFonts w:hint="default" w:ascii="Times New Roman" w:hAnsi="Times New Roman" w:cs="Times New Roman" w:eastAsiaTheme="minorEastAsia"/>
          <w:color w:val="auto"/>
          <w:kern w:val="0"/>
          <w:u w:val="single"/>
          <w:lang w:val="en-US" w:eastAsia="zh-CN"/>
        </w:rPr>
        <w:t xml:space="preserve">      </w:t>
      </w:r>
      <w:r>
        <w:rPr>
          <w:rFonts w:hint="default" w:ascii="Times New Roman" w:hAnsi="Times New Roman" w:cs="Times New Roman" w:eastAsiaTheme="minorEastAsia"/>
          <w:color w:val="auto"/>
          <w:kern w:val="0"/>
          <w:u w:val="single"/>
          <w:lang w:val="en" w:eastAsia="zh-CN"/>
        </w:rPr>
        <w:t xml:space="preserve">               </w:t>
      </w:r>
      <w:r>
        <w:rPr>
          <w:rFonts w:hint="default" w:ascii="Times New Roman" w:hAnsi="Times New Roman" w:cs="Times New Roman" w:eastAsiaTheme="minorEastAsia"/>
          <w:color w:val="auto"/>
          <w:kern w:val="0"/>
          <w:u w:val="single"/>
          <w:lang w:val="en-US" w:eastAsia="zh-CN"/>
        </w:rPr>
        <w:t xml:space="preserve">    </w:t>
      </w:r>
    </w:p>
    <w:p w14:paraId="0B0942FC">
      <w:pPr>
        <w:adjustRightInd w:val="0"/>
        <w:snapToGrid w:val="0"/>
        <w:spacing w:line="400" w:lineRule="exact"/>
        <w:ind w:firstLine="420" w:firstLineChars="200"/>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 xml:space="preserve">     关键部件：</w:t>
      </w:r>
      <w:r>
        <w:rPr>
          <w:rFonts w:hint="default" w:ascii="Times New Roman" w:hAnsi="Times New Roman" w:cs="Times New Roman" w:eastAsiaTheme="minorEastAsia"/>
          <w:color w:val="auto"/>
          <w:kern w:val="0"/>
          <w:u w:val="single"/>
          <w:lang w:val="en-US" w:eastAsia="zh-CN"/>
        </w:rPr>
        <w:t xml:space="preserve">          </w:t>
      </w:r>
      <w:r>
        <w:rPr>
          <w:rFonts w:hint="default" w:ascii="Times New Roman" w:hAnsi="Times New Roman" w:cs="Times New Roman" w:eastAsiaTheme="minorEastAsia"/>
          <w:color w:val="auto"/>
          <w:kern w:val="0"/>
          <w:lang w:val="en-US" w:eastAsia="zh-CN"/>
        </w:rPr>
        <w:t xml:space="preserve"> </w:t>
      </w:r>
      <w:r>
        <w:rPr>
          <w:rFonts w:hint="default" w:ascii="Times New Roman" w:hAnsi="Times New Roman" w:cs="Times New Roman" w:eastAsiaTheme="minorEastAsia"/>
          <w:color w:val="auto"/>
          <w:lang w:val="en-US" w:eastAsia="zh-CN"/>
        </w:rPr>
        <w:t>品牌：</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lang w:val="en-US" w:eastAsia="zh-CN"/>
        </w:rPr>
        <w:t xml:space="preserve"> 型号：</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lang w:val="en-US" w:eastAsia="zh-CN"/>
        </w:rPr>
        <w:t xml:space="preserve"> </w:t>
      </w:r>
    </w:p>
    <w:p w14:paraId="1BDD3106">
      <w:pPr>
        <w:pStyle w:val="260"/>
        <w:ind w:firstLine="420"/>
        <w:rPr>
          <w:rFonts w:hint="default" w:ascii="Times New Roman" w:hAnsi="Times New Roman" w:cs="Times New Roman" w:eastAsiaTheme="minorEastAsia"/>
          <w:sz w:val="21"/>
        </w:rPr>
      </w:pPr>
      <w:r>
        <w:rPr>
          <w:rFonts w:hint="default" w:ascii="Times New Roman" w:hAnsi="Times New Roman" w:cs="Times New Roman" w:eastAsiaTheme="minorEastAsia"/>
          <w:sz w:val="21"/>
        </w:rPr>
        <w:t xml:space="preserve">     </w:t>
      </w:r>
      <w:r>
        <w:rPr>
          <w:rFonts w:hint="default" w:ascii="Times New Roman" w:hAnsi="Times New Roman" w:cs="Times New Roman" w:eastAsiaTheme="minorEastAsia"/>
          <w:kern w:val="2"/>
          <w:sz w:val="21"/>
        </w:rPr>
        <w:t>关键部件</w:t>
      </w:r>
      <w:r>
        <w:rPr>
          <w:rFonts w:hint="default" w:ascii="Times New Roman" w:hAnsi="Times New Roman" w:cs="Times New Roman" w:eastAsiaTheme="minorEastAsia"/>
          <w:sz w:val="21"/>
        </w:rPr>
        <w:t>：</w:t>
      </w:r>
      <w:r>
        <w:rPr>
          <w:rFonts w:hint="default" w:ascii="Times New Roman" w:hAnsi="Times New Roman" w:cs="Times New Roman" w:eastAsiaTheme="minorEastAsia"/>
          <w:sz w:val="21"/>
          <w:u w:val="single"/>
        </w:rPr>
        <w:t xml:space="preserve">          </w:t>
      </w:r>
      <w:r>
        <w:rPr>
          <w:rFonts w:hint="default" w:ascii="Times New Roman" w:hAnsi="Times New Roman" w:cs="Times New Roman" w:eastAsiaTheme="minorEastAsia"/>
          <w:sz w:val="21"/>
        </w:rPr>
        <w:t xml:space="preserve"> 品牌：</w:t>
      </w:r>
      <w:r>
        <w:rPr>
          <w:rFonts w:hint="default" w:ascii="Times New Roman" w:hAnsi="Times New Roman" w:cs="Times New Roman" w:eastAsiaTheme="minorEastAsia"/>
          <w:sz w:val="21"/>
          <w:u w:val="single"/>
        </w:rPr>
        <w:t xml:space="preserve">        </w:t>
      </w:r>
      <w:r>
        <w:rPr>
          <w:rFonts w:hint="default" w:ascii="Times New Roman" w:hAnsi="Times New Roman" w:cs="Times New Roman" w:eastAsiaTheme="minorEastAsia"/>
          <w:sz w:val="21"/>
        </w:rPr>
        <w:t xml:space="preserve"> 型号：</w:t>
      </w:r>
      <w:r>
        <w:rPr>
          <w:rFonts w:hint="default" w:ascii="Times New Roman" w:hAnsi="Times New Roman" w:cs="Times New Roman" w:eastAsiaTheme="minorEastAsia"/>
          <w:sz w:val="21"/>
          <w:u w:val="single"/>
        </w:rPr>
        <w:t xml:space="preserve">       </w:t>
      </w:r>
      <w:r>
        <w:rPr>
          <w:rFonts w:hint="default" w:ascii="Times New Roman" w:hAnsi="Times New Roman" w:cs="Times New Roman" w:eastAsiaTheme="minorEastAsia"/>
          <w:sz w:val="21"/>
        </w:rPr>
        <w:t xml:space="preserve"> </w:t>
      </w:r>
    </w:p>
    <w:p w14:paraId="65D1C1FC">
      <w:pPr>
        <w:pStyle w:val="260"/>
        <w:ind w:firstLine="420"/>
        <w:rPr>
          <w:rFonts w:hint="default" w:ascii="Times New Roman" w:hAnsi="Times New Roman" w:cs="Times New Roman" w:eastAsiaTheme="minorEastAsia"/>
          <w:sz w:val="21"/>
        </w:rPr>
      </w:pPr>
      <w:r>
        <w:rPr>
          <w:rFonts w:hint="default" w:ascii="Times New Roman" w:hAnsi="Times New Roman" w:cs="Times New Roman" w:eastAsiaTheme="minorEastAsia"/>
          <w:sz w:val="21"/>
        </w:rPr>
        <w:t xml:space="preserve">     关键部件：</w:t>
      </w:r>
      <w:r>
        <w:rPr>
          <w:rFonts w:hint="default" w:ascii="Times New Roman" w:hAnsi="Times New Roman" w:cs="Times New Roman" w:eastAsiaTheme="minorEastAsia"/>
          <w:sz w:val="21"/>
          <w:u w:val="single"/>
        </w:rPr>
        <w:t xml:space="preserve">          </w:t>
      </w:r>
      <w:r>
        <w:rPr>
          <w:rFonts w:hint="default" w:ascii="Times New Roman" w:hAnsi="Times New Roman" w:cs="Times New Roman" w:eastAsiaTheme="minorEastAsia"/>
          <w:sz w:val="21"/>
        </w:rPr>
        <w:t xml:space="preserve"> 品牌：</w:t>
      </w:r>
      <w:r>
        <w:rPr>
          <w:rFonts w:hint="default" w:ascii="Times New Roman" w:hAnsi="Times New Roman" w:cs="Times New Roman" w:eastAsiaTheme="minorEastAsia"/>
          <w:sz w:val="21"/>
          <w:u w:val="single"/>
        </w:rPr>
        <w:t xml:space="preserve">        </w:t>
      </w:r>
      <w:r>
        <w:rPr>
          <w:rFonts w:hint="default" w:ascii="Times New Roman" w:hAnsi="Times New Roman" w:cs="Times New Roman" w:eastAsiaTheme="minorEastAsia"/>
          <w:sz w:val="21"/>
        </w:rPr>
        <w:t xml:space="preserve"> 型号：</w:t>
      </w:r>
      <w:r>
        <w:rPr>
          <w:rFonts w:hint="default" w:ascii="Times New Roman" w:hAnsi="Times New Roman" w:cs="Times New Roman" w:eastAsiaTheme="minorEastAsia"/>
          <w:sz w:val="21"/>
          <w:u w:val="single"/>
        </w:rPr>
        <w:t xml:space="preserve">       </w:t>
      </w:r>
    </w:p>
    <w:p w14:paraId="51854886">
      <w:pPr>
        <w:pStyle w:val="260"/>
        <w:snapToGrid w:val="0"/>
        <w:ind w:firstLine="0" w:firstLineChars="0"/>
        <w:rPr>
          <w:rFonts w:hint="default" w:ascii="Times New Roman" w:hAnsi="Times New Roman" w:cs="Times New Roman" w:eastAsiaTheme="minorEastAsia"/>
          <w:sz w:val="21"/>
        </w:rPr>
      </w:pPr>
      <w:r>
        <w:rPr>
          <w:rFonts w:hint="default" w:ascii="Times New Roman" w:hAnsi="Times New Roman" w:cs="Times New Roman" w:eastAsiaTheme="minorEastAsia"/>
          <w:sz w:val="21"/>
        </w:rPr>
        <w:t xml:space="preserve">   （注：关键部件是指财政部会同有关部门发布的政府采购需求标准规定的需要通过国家有关部门指定的测评机构开展的安全可靠测评的软硬件，如CPU芯片、操作系统、数据库等。）</w:t>
      </w:r>
    </w:p>
    <w:p w14:paraId="7B47BA9C">
      <w:pPr>
        <w:pStyle w:val="260"/>
        <w:snapToGrid w:val="0"/>
        <w:ind w:firstLine="0" w:firstLineChars="0"/>
        <w:rPr>
          <w:rFonts w:hint="default" w:ascii="Times New Roman" w:hAnsi="Times New Roman" w:cs="Times New Roman" w:eastAsiaTheme="minorEastAsia"/>
          <w:sz w:val="21"/>
        </w:rPr>
      </w:pPr>
      <w:r>
        <w:rPr>
          <w:rFonts w:hint="default" w:ascii="Times New Roman" w:hAnsi="Times New Roman" w:cs="Times New Roman" w:eastAsiaTheme="minorEastAsia"/>
          <w:sz w:val="21"/>
        </w:rPr>
        <w:t xml:space="preserve">         ②涉及车辆采购，请填写是否属于新能源汽车：</w:t>
      </w:r>
    </w:p>
    <w:p w14:paraId="02B90C6A">
      <w:pPr>
        <w:pStyle w:val="260"/>
        <w:snapToGrid w:val="0"/>
        <w:ind w:firstLine="0" w:firstLineChars="0"/>
        <w:rPr>
          <w:rFonts w:hint="default" w:ascii="Times New Roman" w:hAnsi="Times New Roman" w:cs="Times New Roman" w:eastAsiaTheme="minorEastAsia"/>
          <w:sz w:val="21"/>
        </w:rPr>
      </w:pPr>
      <w:r>
        <w:rPr>
          <w:rFonts w:hint="default" w:ascii="Times New Roman" w:hAnsi="Times New Roman" w:cs="Times New Roman" w:eastAsiaTheme="minorEastAsia"/>
          <w:sz w:val="21"/>
        </w:rPr>
        <w:t xml:space="preserve">         </w:t>
      </w:r>
      <w:r>
        <w:rPr>
          <w:rFonts w:hint="default" w:ascii="Times New Roman" w:hAnsi="Times New Roman" w:cs="Times New Roman" w:eastAsiaTheme="minorEastAsia"/>
          <w:sz w:val="21"/>
        </w:rPr>
        <w:sym w:font="Wingdings" w:char="00A8"/>
      </w:r>
      <w:r>
        <w:rPr>
          <w:rFonts w:hint="default" w:ascii="Times New Roman" w:hAnsi="Times New Roman" w:cs="Times New Roman" w:eastAsiaTheme="minorEastAsia"/>
          <w:sz w:val="21"/>
        </w:rPr>
        <w:t>是，《政府采购品目分类目录》底级品目名称：</w:t>
      </w:r>
      <w:r>
        <w:rPr>
          <w:rFonts w:hint="default" w:ascii="Times New Roman" w:hAnsi="Times New Roman" w:cs="Times New Roman" w:eastAsiaTheme="minorEastAsia"/>
          <w:sz w:val="21"/>
          <w:u w:val="single"/>
        </w:rPr>
        <w:t xml:space="preserve">     </w:t>
      </w:r>
      <w:r>
        <w:rPr>
          <w:rFonts w:hint="default" w:ascii="Times New Roman" w:hAnsi="Times New Roman" w:cs="Times New Roman" w:eastAsiaTheme="minorEastAsia"/>
          <w:sz w:val="21"/>
        </w:rPr>
        <w:t xml:space="preserve"> 数量：</w:t>
      </w:r>
      <w:r>
        <w:rPr>
          <w:rFonts w:hint="default" w:ascii="Times New Roman" w:hAnsi="Times New Roman" w:cs="Times New Roman" w:eastAsiaTheme="minorEastAsia"/>
          <w:sz w:val="21"/>
          <w:u w:val="single"/>
        </w:rPr>
        <w:t xml:space="preserve">    </w:t>
      </w:r>
      <w:r>
        <w:rPr>
          <w:rFonts w:hint="default" w:ascii="Times New Roman" w:hAnsi="Times New Roman" w:cs="Times New Roman" w:eastAsiaTheme="minorEastAsia"/>
          <w:sz w:val="21"/>
        </w:rPr>
        <w:t xml:space="preserve"> 金额：</w:t>
      </w:r>
      <w:r>
        <w:rPr>
          <w:rFonts w:hint="default" w:ascii="Times New Roman" w:hAnsi="Times New Roman" w:cs="Times New Roman" w:eastAsiaTheme="minorEastAsia"/>
          <w:sz w:val="21"/>
          <w:u w:val="single"/>
        </w:rPr>
        <w:t xml:space="preserve">     </w:t>
      </w:r>
      <w:r>
        <w:rPr>
          <w:rFonts w:hint="default" w:ascii="Times New Roman" w:hAnsi="Times New Roman" w:cs="Times New Roman" w:eastAsiaTheme="minorEastAsia"/>
          <w:sz w:val="21"/>
        </w:rPr>
        <w:t xml:space="preserve"> </w:t>
      </w:r>
    </w:p>
    <w:p w14:paraId="120A4D7D">
      <w:pPr>
        <w:pStyle w:val="260"/>
        <w:snapToGrid w:val="0"/>
        <w:ind w:firstLine="0" w:firstLineChars="0"/>
        <w:rPr>
          <w:rFonts w:hint="default" w:ascii="Times New Roman" w:hAnsi="Times New Roman" w:cs="Times New Roman" w:eastAsiaTheme="minorEastAsia"/>
          <w:sz w:val="21"/>
        </w:rPr>
      </w:pPr>
      <w:r>
        <w:rPr>
          <w:rFonts w:hint="default" w:ascii="Times New Roman" w:hAnsi="Times New Roman" w:cs="Times New Roman" w:eastAsiaTheme="minorEastAsia"/>
          <w:sz w:val="21"/>
        </w:rPr>
        <w:t xml:space="preserve">         </w:t>
      </w:r>
      <w:r>
        <w:rPr>
          <w:rFonts w:hint="default" w:ascii="Times New Roman" w:hAnsi="Times New Roman" w:cs="Times New Roman" w:eastAsiaTheme="minorEastAsia"/>
          <w:sz w:val="21"/>
        </w:rPr>
        <w:sym w:font="Wingdings" w:char="00A8"/>
      </w:r>
      <w:r>
        <w:rPr>
          <w:rFonts w:hint="default" w:ascii="Times New Roman" w:hAnsi="Times New Roman" w:cs="Times New Roman" w:eastAsiaTheme="minorEastAsia"/>
          <w:sz w:val="21"/>
        </w:rPr>
        <w:t>否</w:t>
      </w:r>
    </w:p>
    <w:p w14:paraId="2B9AF6FF">
      <w:pPr>
        <w:pStyle w:val="260"/>
        <w:snapToGrid w:val="0"/>
        <w:ind w:firstLine="0" w:firstLineChars="0"/>
        <w:rPr>
          <w:rFonts w:hint="default" w:ascii="Times New Roman" w:hAnsi="Times New Roman" w:cs="Times New Roman" w:eastAsiaTheme="minorEastAsia"/>
          <w:sz w:val="21"/>
        </w:rPr>
      </w:pPr>
      <w:r>
        <w:rPr>
          <w:rFonts w:hint="default" w:ascii="Times New Roman" w:hAnsi="Times New Roman" w:cs="Times New Roman" w:eastAsiaTheme="minorEastAsia"/>
          <w:sz w:val="21"/>
        </w:rPr>
        <w:t xml:space="preserve">    （</w:t>
      </w:r>
      <w:r>
        <w:rPr>
          <w:rFonts w:hint="default" w:ascii="Times New Roman" w:hAnsi="Times New Roman" w:cs="Times New Roman" w:eastAsiaTheme="minorEastAsia"/>
          <w:sz w:val="21"/>
          <w:lang w:val="en"/>
        </w:rPr>
        <w:t>4</w:t>
      </w:r>
      <w:r>
        <w:rPr>
          <w:rFonts w:hint="default" w:ascii="Times New Roman" w:hAnsi="Times New Roman" w:cs="Times New Roman" w:eastAsiaTheme="minorEastAsia"/>
          <w:sz w:val="21"/>
        </w:rPr>
        <w:t>）政府采购组织形式：</w:t>
      </w:r>
      <w:r>
        <w:rPr>
          <w:rFonts w:hint="default" w:ascii="Times New Roman" w:hAnsi="Times New Roman" w:cs="Times New Roman" w:eastAsiaTheme="minorEastAsia"/>
          <w:sz w:val="21"/>
        </w:rPr>
        <w:sym w:font="Wingdings" w:char="00A8"/>
      </w:r>
      <w:r>
        <w:rPr>
          <w:rFonts w:hint="default" w:ascii="Times New Roman" w:hAnsi="Times New Roman" w:cs="Times New Roman" w:eastAsiaTheme="minorEastAsia"/>
          <w:sz w:val="21"/>
        </w:rPr>
        <w:t xml:space="preserve">政府集中采购  </w:t>
      </w:r>
      <w:r>
        <w:rPr>
          <w:rFonts w:hint="default" w:ascii="Times New Roman" w:hAnsi="Times New Roman" w:cs="Times New Roman" w:eastAsiaTheme="minorEastAsia"/>
          <w:sz w:val="21"/>
        </w:rPr>
        <w:sym w:font="Wingdings" w:char="00A8"/>
      </w:r>
      <w:r>
        <w:rPr>
          <w:rFonts w:hint="default" w:ascii="Times New Roman" w:hAnsi="Times New Roman" w:cs="Times New Roman" w:eastAsiaTheme="minorEastAsia"/>
          <w:sz w:val="21"/>
        </w:rPr>
        <w:t xml:space="preserve">部门集中采购  </w:t>
      </w:r>
      <w:r>
        <w:rPr>
          <w:rFonts w:hint="default" w:ascii="Times New Roman" w:hAnsi="Times New Roman" w:cs="Times New Roman" w:eastAsiaTheme="minorEastAsia"/>
          <w:sz w:val="21"/>
        </w:rPr>
        <w:sym w:font="Wingdings" w:char="00A8"/>
      </w:r>
      <w:r>
        <w:rPr>
          <w:rFonts w:hint="default" w:ascii="Times New Roman" w:hAnsi="Times New Roman" w:cs="Times New Roman" w:eastAsiaTheme="minorEastAsia"/>
          <w:sz w:val="21"/>
        </w:rPr>
        <w:t>分散采购</w:t>
      </w:r>
    </w:p>
    <w:p w14:paraId="7C1D5A8F">
      <w:pPr>
        <w:pStyle w:val="260"/>
        <w:snapToGrid w:val="0"/>
        <w:ind w:firstLine="420" w:firstLineChars="0"/>
        <w:rPr>
          <w:rFonts w:hint="default" w:ascii="Times New Roman" w:hAnsi="Times New Roman" w:cs="Times New Roman" w:eastAsiaTheme="minorEastAsia"/>
          <w:sz w:val="21"/>
        </w:rPr>
      </w:pPr>
      <w:r>
        <w:rPr>
          <w:rFonts w:hint="default" w:ascii="Times New Roman" w:hAnsi="Times New Roman" w:cs="Times New Roman" w:eastAsiaTheme="minorEastAsia"/>
          <w:sz w:val="21"/>
        </w:rPr>
        <w:t>（</w:t>
      </w:r>
      <w:r>
        <w:rPr>
          <w:rFonts w:hint="default" w:ascii="Times New Roman" w:hAnsi="Times New Roman" w:cs="Times New Roman" w:eastAsiaTheme="minorEastAsia"/>
          <w:sz w:val="21"/>
          <w:lang w:val="en"/>
        </w:rPr>
        <w:t>5</w:t>
      </w:r>
      <w:r>
        <w:rPr>
          <w:rFonts w:hint="default" w:ascii="Times New Roman" w:hAnsi="Times New Roman" w:cs="Times New Roman" w:eastAsiaTheme="minorEastAsia"/>
          <w:sz w:val="21"/>
        </w:rPr>
        <w:t>）政府采购方式：</w:t>
      </w:r>
      <w:r>
        <w:rPr>
          <w:rFonts w:hint="default" w:ascii="Times New Roman" w:hAnsi="Times New Roman" w:cs="Times New Roman" w:eastAsiaTheme="minorEastAsia"/>
          <w:sz w:val="21"/>
        </w:rPr>
        <w:sym w:font="Wingdings" w:char="00A8"/>
      </w:r>
      <w:r>
        <w:rPr>
          <w:rFonts w:hint="default" w:ascii="Times New Roman" w:hAnsi="Times New Roman" w:cs="Times New Roman" w:eastAsiaTheme="minorEastAsia"/>
          <w:sz w:val="21"/>
        </w:rPr>
        <w:t xml:space="preserve">公开招标 </w:t>
      </w:r>
      <w:r>
        <w:rPr>
          <w:rFonts w:hint="default" w:ascii="Times New Roman" w:hAnsi="Times New Roman" w:cs="Times New Roman" w:eastAsiaTheme="minorEastAsia"/>
          <w:sz w:val="21"/>
        </w:rPr>
        <w:sym w:font="Wingdings" w:char="00A8"/>
      </w:r>
      <w:r>
        <w:rPr>
          <w:rFonts w:hint="default" w:ascii="Times New Roman" w:hAnsi="Times New Roman" w:cs="Times New Roman" w:eastAsiaTheme="minorEastAsia"/>
          <w:sz w:val="21"/>
        </w:rPr>
        <w:t xml:space="preserve">邀请招标 </w:t>
      </w:r>
      <w:r>
        <w:rPr>
          <w:rFonts w:hint="default" w:ascii="Times New Roman" w:hAnsi="Times New Roman" w:cs="Times New Roman" w:eastAsiaTheme="minorEastAsia"/>
          <w:sz w:val="21"/>
        </w:rPr>
        <w:sym w:font="Wingdings" w:char="00A8"/>
      </w:r>
      <w:r>
        <w:rPr>
          <w:rFonts w:hint="default" w:ascii="Times New Roman" w:hAnsi="Times New Roman" w:cs="Times New Roman" w:eastAsiaTheme="minorEastAsia"/>
          <w:sz w:val="21"/>
        </w:rPr>
        <w:t xml:space="preserve">竞争性谈判 </w:t>
      </w:r>
      <w:r>
        <w:rPr>
          <w:rFonts w:hint="default" w:ascii="Times New Roman" w:hAnsi="Times New Roman" w:cs="Times New Roman" w:eastAsiaTheme="minorEastAsia"/>
          <w:sz w:val="21"/>
        </w:rPr>
        <w:sym w:font="Wingdings" w:char="00A8"/>
      </w:r>
      <w:r>
        <w:rPr>
          <w:rFonts w:hint="default" w:ascii="Times New Roman" w:hAnsi="Times New Roman" w:cs="Times New Roman" w:eastAsiaTheme="minorEastAsia"/>
          <w:sz w:val="21"/>
        </w:rPr>
        <w:t>竞争性磋商</w:t>
      </w:r>
    </w:p>
    <w:p w14:paraId="0DC0B266">
      <w:pPr>
        <w:pStyle w:val="260"/>
        <w:snapToGrid w:val="0"/>
        <w:ind w:firstLine="420" w:firstLineChars="0"/>
        <w:rPr>
          <w:rFonts w:hint="default" w:ascii="Times New Roman" w:hAnsi="Times New Roman" w:cs="Times New Roman" w:eastAsiaTheme="minorEastAsia"/>
          <w:sz w:val="21"/>
          <w:u w:val="single"/>
        </w:rPr>
      </w:pPr>
      <w:r>
        <w:rPr>
          <w:rFonts w:hint="default" w:ascii="Times New Roman" w:hAnsi="Times New Roman" w:cs="Times New Roman" w:eastAsiaTheme="minorEastAsia"/>
        </w:rPr>
        <w:t xml:space="preserve">                  </w:t>
      </w:r>
      <w:r>
        <w:rPr>
          <w:rFonts w:hint="default" w:ascii="Times New Roman" w:hAnsi="Times New Roman" w:cs="Times New Roman" w:eastAsiaTheme="minorEastAsia"/>
          <w:sz w:val="21"/>
        </w:rPr>
        <w:sym w:font="Wingdings" w:char="00A8"/>
      </w:r>
      <w:r>
        <w:rPr>
          <w:rFonts w:hint="default" w:ascii="Times New Roman" w:hAnsi="Times New Roman" w:cs="Times New Roman" w:eastAsiaTheme="minorEastAsia"/>
          <w:sz w:val="21"/>
        </w:rPr>
        <w:t xml:space="preserve">询价 </w:t>
      </w:r>
      <w:r>
        <w:rPr>
          <w:rFonts w:hint="default" w:ascii="Times New Roman" w:hAnsi="Times New Roman" w:cs="Times New Roman" w:eastAsiaTheme="minorEastAsia"/>
          <w:sz w:val="21"/>
        </w:rPr>
        <w:sym w:font="Wingdings" w:char="00A8"/>
      </w:r>
      <w:r>
        <w:rPr>
          <w:rFonts w:hint="default" w:ascii="Times New Roman" w:hAnsi="Times New Roman" w:cs="Times New Roman" w:eastAsiaTheme="minorEastAsia"/>
          <w:sz w:val="21"/>
        </w:rPr>
        <w:t xml:space="preserve">单一来源 </w:t>
      </w:r>
      <w:r>
        <w:rPr>
          <w:rFonts w:hint="default" w:ascii="Times New Roman" w:hAnsi="Times New Roman" w:cs="Times New Roman" w:eastAsiaTheme="minorEastAsia"/>
          <w:sz w:val="21"/>
        </w:rPr>
        <w:sym w:font="Wingdings" w:char="00A8"/>
      </w:r>
      <w:r>
        <w:rPr>
          <w:rFonts w:hint="default" w:ascii="Times New Roman" w:hAnsi="Times New Roman" w:cs="Times New Roman" w:eastAsiaTheme="minorEastAsia"/>
          <w:sz w:val="21"/>
        </w:rPr>
        <w:t xml:space="preserve">框架协议 </w:t>
      </w:r>
      <w:r>
        <w:rPr>
          <w:rFonts w:hint="default" w:ascii="Times New Roman" w:hAnsi="Times New Roman" w:cs="Times New Roman" w:eastAsiaTheme="minorEastAsia"/>
          <w:sz w:val="21"/>
        </w:rPr>
        <w:sym w:font="Wingdings" w:char="00A8"/>
      </w:r>
      <w:r>
        <w:rPr>
          <w:rFonts w:hint="default" w:ascii="Times New Roman" w:hAnsi="Times New Roman" w:cs="Times New Roman" w:eastAsiaTheme="minorEastAsia"/>
          <w:sz w:val="21"/>
        </w:rPr>
        <w:t>其他：</w:t>
      </w:r>
      <w:r>
        <w:rPr>
          <w:rFonts w:hint="default" w:ascii="Times New Roman" w:hAnsi="Times New Roman" w:cs="Times New Roman" w:eastAsiaTheme="minorEastAsia"/>
          <w:sz w:val="21"/>
          <w:u w:val="single"/>
        </w:rPr>
        <w:t xml:space="preserve">          </w:t>
      </w:r>
    </w:p>
    <w:p w14:paraId="7EFB92C6">
      <w:pPr>
        <w:pStyle w:val="260"/>
        <w:snapToGrid w:val="0"/>
        <w:ind w:firstLine="420" w:firstLineChars="0"/>
        <w:rPr>
          <w:rFonts w:hint="default" w:ascii="Times New Roman" w:hAnsi="Times New Roman" w:cs="Times New Roman" w:eastAsiaTheme="minorEastAsia"/>
          <w:sz w:val="21"/>
        </w:rPr>
      </w:pPr>
      <w:r>
        <w:rPr>
          <w:rFonts w:hint="default" w:ascii="Times New Roman" w:hAnsi="Times New Roman" w:cs="Times New Roman" w:eastAsiaTheme="minorEastAsia"/>
          <w:sz w:val="21"/>
        </w:rPr>
        <w:t>（注：在框架协议采购的第二阶段，可选择使用该合同文本）</w:t>
      </w:r>
    </w:p>
    <w:p w14:paraId="03BDD273">
      <w:pPr>
        <w:pStyle w:val="260"/>
        <w:snapToGrid w:val="0"/>
        <w:ind w:firstLine="220" w:firstLineChars="100"/>
        <w:rPr>
          <w:rFonts w:hint="default" w:ascii="Times New Roman" w:hAnsi="Times New Roman" w:cs="Times New Roman" w:eastAsiaTheme="minorEastAsia"/>
          <w:kern w:val="2"/>
          <w:sz w:val="21"/>
        </w:rPr>
      </w:pPr>
      <w:r>
        <w:rPr>
          <w:rFonts w:hint="default" w:ascii="Times New Roman" w:hAnsi="Times New Roman" w:cs="Times New Roman" w:eastAsiaTheme="minorEastAsia"/>
        </w:rPr>
        <w:t xml:space="preserve"> （</w:t>
      </w:r>
      <w:r>
        <w:rPr>
          <w:rFonts w:hint="default" w:ascii="Times New Roman" w:hAnsi="Times New Roman" w:cs="Times New Roman" w:eastAsiaTheme="minorEastAsia"/>
          <w:lang w:val="en"/>
        </w:rPr>
        <w:t>6</w:t>
      </w:r>
      <w:r>
        <w:rPr>
          <w:rFonts w:hint="default" w:ascii="Times New Roman" w:hAnsi="Times New Roman" w:cs="Times New Roman" w:eastAsiaTheme="minorEastAsia"/>
        </w:rPr>
        <w:t>）</w:t>
      </w:r>
      <w:r>
        <w:rPr>
          <w:rFonts w:hint="default" w:ascii="Times New Roman" w:hAnsi="Times New Roman" w:cs="Times New Roman" w:eastAsiaTheme="minorEastAsia"/>
          <w:kern w:val="2"/>
          <w:sz w:val="21"/>
        </w:rPr>
        <w:t>中标（成交）采购标的制造商是否为中小企业：</w:t>
      </w:r>
      <w:r>
        <w:rPr>
          <w:rFonts w:hint="default" w:ascii="Times New Roman" w:hAnsi="Times New Roman" w:cs="Times New Roman" w:eastAsiaTheme="minorEastAsia"/>
          <w:kern w:val="2"/>
          <w:sz w:val="21"/>
        </w:rPr>
        <w:sym w:font="Wingdings" w:char="00A8"/>
      </w:r>
      <w:r>
        <w:rPr>
          <w:rFonts w:hint="default" w:ascii="Times New Roman" w:hAnsi="Times New Roman" w:cs="Times New Roman" w:eastAsiaTheme="minorEastAsia"/>
          <w:kern w:val="2"/>
          <w:sz w:val="21"/>
        </w:rPr>
        <w:t xml:space="preserve">是      </w:t>
      </w:r>
      <w:r>
        <w:rPr>
          <w:rFonts w:hint="default" w:ascii="Times New Roman" w:hAnsi="Times New Roman" w:cs="Times New Roman" w:eastAsiaTheme="minorEastAsia"/>
          <w:kern w:val="2"/>
          <w:sz w:val="21"/>
        </w:rPr>
        <w:sym w:font="Wingdings" w:char="00A8"/>
      </w:r>
      <w:r>
        <w:rPr>
          <w:rFonts w:hint="default" w:ascii="Times New Roman" w:hAnsi="Times New Roman" w:cs="Times New Roman" w:eastAsiaTheme="minorEastAsia"/>
          <w:kern w:val="2"/>
          <w:sz w:val="21"/>
        </w:rPr>
        <w:t>否</w:t>
      </w:r>
    </w:p>
    <w:p w14:paraId="0D98220E">
      <w:pPr>
        <w:adjustRightInd w:val="0"/>
        <w:snapToGrid w:val="0"/>
        <w:spacing w:line="400" w:lineRule="exact"/>
        <w:rPr>
          <w:rFonts w:hint="default" w:ascii="Times New Roman" w:hAnsi="Times New Roman" w:cs="Times New Roman" w:eastAsiaTheme="minorEastAsia"/>
          <w:iCs/>
          <w:color w:val="auto"/>
          <w:lang w:eastAsia="zh-CN"/>
        </w:rPr>
      </w:pPr>
      <w:r>
        <w:rPr>
          <w:rFonts w:hint="default" w:ascii="Times New Roman" w:hAnsi="Times New Roman" w:cs="Times New Roman" w:eastAsiaTheme="minorEastAsia"/>
          <w:color w:val="auto"/>
          <w:lang w:val="en-US" w:eastAsia="zh-CN"/>
        </w:rPr>
        <w:t xml:space="preserve">         本合同</w:t>
      </w:r>
      <w:r>
        <w:rPr>
          <w:rFonts w:hint="default" w:ascii="Times New Roman" w:hAnsi="Times New Roman" w:cs="Times New Roman" w:eastAsiaTheme="minorEastAsia"/>
          <w:color w:val="auto"/>
          <w:lang w:eastAsia="zh-CN"/>
        </w:rPr>
        <w:t>是否为专门面向中小企业的采购合同（中小企业预留合同）：</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 xml:space="preserve">是 </w:t>
      </w: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iCs/>
          <w:color w:val="auto"/>
          <w:lang w:eastAsia="zh-CN"/>
        </w:rPr>
        <w:t xml:space="preserve">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否</w:t>
      </w:r>
    </w:p>
    <w:p w14:paraId="710836A3">
      <w:pPr>
        <w:adjustRightInd w:val="0"/>
        <w:snapToGrid w:val="0"/>
        <w:spacing w:line="400" w:lineRule="exact"/>
        <w:rPr>
          <w:rFonts w:hint="default" w:ascii="Times New Roman" w:hAnsi="Times New Roman" w:cs="Times New Roman" w:eastAsiaTheme="minorEastAsia"/>
          <w:iCs/>
          <w:color w:val="auto"/>
          <w:lang w:eastAsia="zh-CN"/>
        </w:rPr>
      </w:pPr>
      <w:r>
        <w:rPr>
          <w:rFonts w:hint="default" w:ascii="Times New Roman" w:hAnsi="Times New Roman" w:cs="Times New Roman" w:eastAsiaTheme="minorEastAsia"/>
          <w:color w:val="auto"/>
          <w:lang w:val="en-US" w:eastAsia="zh-CN"/>
        </w:rPr>
        <w:t xml:space="preserve">         若本项目不专门面向中小企业采购，是否给予小微企业评审优惠：</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 xml:space="preserve">是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否</w:t>
      </w:r>
    </w:p>
    <w:p w14:paraId="180AB18B">
      <w:pPr>
        <w:adjustRightInd w:val="0"/>
        <w:snapToGrid w:val="0"/>
        <w:spacing w:line="400" w:lineRule="exact"/>
        <w:rPr>
          <w:rFonts w:hint="default" w:ascii="Times New Roman" w:hAnsi="Times New Roman" w:cs="Times New Roman" w:eastAsiaTheme="minorEastAsia"/>
          <w:iCs/>
          <w:color w:val="auto"/>
          <w:lang w:eastAsia="zh-CN"/>
        </w:rPr>
      </w:pPr>
      <w:r>
        <w:rPr>
          <w:rFonts w:hint="default" w:ascii="Times New Roman" w:hAnsi="Times New Roman" w:cs="Times New Roman" w:eastAsiaTheme="minorEastAsia"/>
          <w:color w:val="auto"/>
          <w:lang w:val="en-US" w:eastAsia="zh-CN"/>
        </w:rPr>
        <w:t xml:space="preserve">         中标（成交）采购标的制造商是否为残疾人福利性单位：</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 xml:space="preserve">是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否</w:t>
      </w:r>
    </w:p>
    <w:p w14:paraId="40D0AFB0">
      <w:pPr>
        <w:snapToGrid w:val="0"/>
        <w:spacing w:line="400" w:lineRule="exact"/>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 xml:space="preserve">         中标（成交）采购标的制造商是否为监狱企业：</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 xml:space="preserve">是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否</w:t>
      </w:r>
    </w:p>
    <w:p w14:paraId="12AB89DA">
      <w:pPr>
        <w:adjustRightInd w:val="0"/>
        <w:snapToGrid w:val="0"/>
        <w:spacing w:line="400" w:lineRule="exact"/>
        <w:ind w:firstLine="420" w:firstLineChars="200"/>
        <w:rPr>
          <w:rFonts w:hint="default" w:ascii="Times New Roman" w:hAnsi="Times New Roman" w:cs="Times New Roman" w:eastAsiaTheme="minorEastAsia"/>
          <w:color w:val="auto"/>
          <w:lang w:val="en-US"/>
        </w:rPr>
      </w:pPr>
      <w:r>
        <w:rPr>
          <w:rFonts w:hint="default" w:ascii="Times New Roman" w:hAnsi="Times New Roman" w:cs="Times New Roman" w:eastAsiaTheme="minorEastAsia"/>
          <w:color w:val="auto"/>
          <w:lang w:val="en-US"/>
        </w:rPr>
        <w:t>（</w:t>
      </w:r>
      <w:r>
        <w:rPr>
          <w:rFonts w:hint="default" w:ascii="Times New Roman" w:hAnsi="Times New Roman" w:cs="Times New Roman" w:eastAsiaTheme="minorEastAsia"/>
          <w:color w:val="auto"/>
          <w:lang w:val="en" w:eastAsia="zh-CN"/>
        </w:rPr>
        <w:t>7</w:t>
      </w:r>
      <w:r>
        <w:rPr>
          <w:rFonts w:hint="default" w:ascii="Times New Roman" w:hAnsi="Times New Roman" w:cs="Times New Roman" w:eastAsiaTheme="minorEastAsia"/>
          <w:color w:val="auto"/>
          <w:lang w:val="en-US"/>
        </w:rPr>
        <w:t>）</w:t>
      </w:r>
      <w:r>
        <w:rPr>
          <w:rFonts w:hint="default" w:ascii="Times New Roman" w:hAnsi="Times New Roman" w:cs="Times New Roman" w:eastAsiaTheme="minorEastAsia"/>
          <w:color w:val="auto"/>
        </w:rPr>
        <w:t>合同是否分包</w:t>
      </w:r>
      <w:r>
        <w:rPr>
          <w:rFonts w:hint="default" w:ascii="Times New Roman" w:hAnsi="Times New Roman" w:cs="Times New Roman" w:eastAsiaTheme="minorEastAsia"/>
          <w:color w:val="auto"/>
          <w:lang w:val="en-US"/>
        </w:rPr>
        <w:t>：</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rPr>
        <w:t>是</w:t>
      </w:r>
      <w:r>
        <w:rPr>
          <w:rFonts w:hint="default" w:ascii="Times New Roman" w:hAnsi="Times New Roman" w:cs="Times New Roman" w:eastAsiaTheme="minorEastAsia"/>
          <w:iCs/>
          <w:color w:val="auto"/>
          <w:lang w:val="en-US"/>
        </w:rPr>
        <w:t xml:space="preserve">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rPr>
        <w:t>否</w:t>
      </w:r>
    </w:p>
    <w:p w14:paraId="2FDC2303">
      <w:pPr>
        <w:adjustRightInd w:val="0"/>
        <w:snapToGrid w:val="0"/>
        <w:spacing w:line="400" w:lineRule="exact"/>
        <w:ind w:firstLine="840" w:firstLineChars="400"/>
        <w:rPr>
          <w:rFonts w:hint="default" w:ascii="Times New Roman" w:hAnsi="Times New Roman" w:cs="Times New Roman" w:eastAsiaTheme="minorEastAsia"/>
          <w:color w:val="auto"/>
          <w:u w:val="single"/>
          <w:lang w:eastAsia="zh-CN"/>
        </w:rPr>
      </w:pP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lang w:eastAsia="zh-CN"/>
        </w:rPr>
        <w:t>分包主要内容：</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u w:val="single"/>
          <w:lang w:eastAsia="zh-CN"/>
        </w:rPr>
        <w:t xml:space="preserve">   </w:t>
      </w:r>
    </w:p>
    <w:p w14:paraId="279FCFC0">
      <w:pPr>
        <w:adjustRightInd w:val="0"/>
        <w:snapToGrid w:val="0"/>
        <w:spacing w:line="400" w:lineRule="exact"/>
        <w:ind w:firstLine="840" w:firstLineChars="4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lang w:eastAsia="zh-CN"/>
        </w:rPr>
        <w:t>分包供应商/制造商名称（如供应商和制造商不同，请分别填写）：</w:t>
      </w:r>
    </w:p>
    <w:p w14:paraId="1E7F52C4">
      <w:pPr>
        <w:adjustRightInd w:val="0"/>
        <w:snapToGrid w:val="0"/>
        <w:spacing w:line="400" w:lineRule="exact"/>
        <w:ind w:firstLine="840" w:firstLineChars="400"/>
        <w:rPr>
          <w:rFonts w:hint="default" w:ascii="Times New Roman" w:hAnsi="Times New Roman" w:cs="Times New Roman" w:eastAsiaTheme="minorEastAsia"/>
          <w:color w:val="auto"/>
          <w:u w:val="single"/>
          <w:lang w:eastAsia="zh-CN"/>
        </w:rPr>
      </w:pPr>
      <w:r>
        <w:rPr>
          <w:rFonts w:hint="default" w:ascii="Times New Roman" w:hAnsi="Times New Roman" w:cs="Times New Roman" w:eastAsiaTheme="minorEastAsia"/>
          <w:color w:val="auto"/>
          <w:lang w:eastAsia="zh-CN"/>
        </w:rPr>
        <w:t xml:space="preserve"> </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u w:val="single"/>
          <w:lang w:val="en-US" w:eastAsia="zh-CN"/>
        </w:rPr>
        <w:t xml:space="preserve">                       </w:t>
      </w:r>
    </w:p>
    <w:p w14:paraId="33DCA44F">
      <w:pPr>
        <w:adjustRightInd w:val="0"/>
        <w:snapToGrid w:val="0"/>
        <w:spacing w:line="400" w:lineRule="exact"/>
        <w:ind w:firstLine="840" w:firstLineChars="4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lang w:eastAsia="zh-CN"/>
        </w:rPr>
        <w:t>分包供应商</w:t>
      </w:r>
      <w:r>
        <w:rPr>
          <w:rFonts w:hint="default" w:ascii="Times New Roman" w:hAnsi="Times New Roman" w:cs="Times New Roman" w:eastAsiaTheme="minorEastAsia"/>
          <w:color w:val="auto"/>
          <w:lang w:val="en-US" w:eastAsia="zh-CN"/>
        </w:rPr>
        <w:t>/</w:t>
      </w:r>
      <w:r>
        <w:rPr>
          <w:rFonts w:hint="default" w:ascii="Times New Roman" w:hAnsi="Times New Roman" w:cs="Times New Roman" w:eastAsiaTheme="minorEastAsia"/>
          <w:color w:val="auto"/>
          <w:lang w:eastAsia="zh-CN"/>
        </w:rPr>
        <w:t>制造商类型（如果供应商和制造商不同，只填写制造商类型）：</w:t>
      </w:r>
    </w:p>
    <w:p w14:paraId="521C8949">
      <w:pPr>
        <w:adjustRightInd w:val="0"/>
        <w:snapToGrid w:val="0"/>
        <w:spacing w:line="400" w:lineRule="exact"/>
        <w:ind w:firstLine="840" w:firstLineChars="400"/>
        <w:rPr>
          <w:rFonts w:hint="default" w:ascii="Times New Roman" w:hAnsi="Times New Roman" w:cs="Times New Roman" w:eastAsiaTheme="minorEastAsia"/>
          <w:iCs/>
          <w:color w:val="auto"/>
          <w:lang w:val="en-US" w:eastAsia="zh-CN"/>
        </w:rPr>
      </w:pP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 xml:space="preserve">大型企业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 xml:space="preserve">中型企业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小微型企业</w:t>
      </w:r>
      <w:r>
        <w:rPr>
          <w:rFonts w:hint="default" w:ascii="Times New Roman" w:hAnsi="Times New Roman" w:cs="Times New Roman" w:eastAsiaTheme="minorEastAsia"/>
          <w:iCs/>
          <w:color w:val="auto"/>
          <w:lang w:val="en-US" w:eastAsia="zh-CN"/>
        </w:rPr>
        <w:t xml:space="preserve">  </w:t>
      </w:r>
    </w:p>
    <w:p w14:paraId="1AA51E94">
      <w:pPr>
        <w:adjustRightInd w:val="0"/>
        <w:snapToGrid w:val="0"/>
        <w:spacing w:line="400" w:lineRule="exact"/>
        <w:ind w:firstLine="840" w:firstLineChars="400"/>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残疾人福利性单位</w:t>
      </w: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监狱企业</w:t>
      </w: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其他</w:t>
      </w:r>
    </w:p>
    <w:p w14:paraId="5B3FB3F1">
      <w:pPr>
        <w:adjustRightInd w:val="0"/>
        <w:snapToGrid w:val="0"/>
        <w:spacing w:line="400" w:lineRule="exact"/>
        <w:rPr>
          <w:rFonts w:hint="default" w:ascii="Times New Roman" w:hAnsi="Times New Roman" w:cs="Times New Roman" w:eastAsiaTheme="minorEastAsia"/>
          <w:iCs/>
          <w:color w:val="auto"/>
          <w:lang w:eastAsia="zh-CN"/>
        </w:rPr>
      </w:pP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lang w:val="en" w:eastAsia="zh-CN"/>
        </w:rPr>
        <w:t>8</w:t>
      </w:r>
      <w:r>
        <w:rPr>
          <w:rFonts w:hint="default" w:ascii="Times New Roman" w:hAnsi="Times New Roman" w:cs="Times New Roman" w:eastAsiaTheme="minorEastAsia"/>
          <w:color w:val="auto"/>
          <w:lang w:val="en-US" w:eastAsia="zh-CN"/>
        </w:rPr>
        <w:t>）中标（成交）供应商是否为外商投资企业：</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 xml:space="preserve">是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否</w:t>
      </w:r>
    </w:p>
    <w:p w14:paraId="7490E22F">
      <w:pPr>
        <w:pStyle w:val="260"/>
        <w:tabs>
          <w:tab w:val="left" w:pos="1340"/>
        </w:tabs>
        <w:ind w:firstLine="420"/>
        <w:rPr>
          <w:rFonts w:hint="default" w:ascii="Times New Roman" w:hAnsi="Times New Roman" w:cs="Times New Roman" w:eastAsiaTheme="minorEastAsia"/>
          <w:sz w:val="21"/>
          <w:u w:val="single"/>
        </w:rPr>
      </w:pPr>
      <w:r>
        <w:rPr>
          <w:rFonts w:hint="default" w:ascii="Times New Roman" w:hAnsi="Times New Roman" w:cs="Times New Roman" w:eastAsiaTheme="minorEastAsia"/>
          <w:sz w:val="21"/>
        </w:rPr>
        <w:t xml:space="preserve">     外商投资企业类型：</w:t>
      </w:r>
      <w:r>
        <w:rPr>
          <w:rFonts w:hint="default" w:ascii="Times New Roman" w:hAnsi="Times New Roman" w:cs="Times New Roman" w:eastAsiaTheme="minorEastAsia"/>
          <w:iCs/>
          <w:sz w:val="21"/>
        </w:rPr>
        <w:sym w:font="Wingdings" w:char="00A8"/>
      </w:r>
      <w:r>
        <w:rPr>
          <w:rFonts w:hint="default" w:ascii="Times New Roman" w:hAnsi="Times New Roman" w:cs="Times New Roman" w:eastAsiaTheme="minorEastAsia"/>
          <w:sz w:val="21"/>
        </w:rPr>
        <w:t xml:space="preserve">全部由外国投资者投资  </w:t>
      </w:r>
      <w:r>
        <w:rPr>
          <w:rFonts w:hint="default" w:ascii="Times New Roman" w:hAnsi="Times New Roman" w:cs="Times New Roman" w:eastAsiaTheme="minorEastAsia"/>
          <w:iCs/>
          <w:sz w:val="21"/>
        </w:rPr>
        <w:sym w:font="Wingdings" w:char="00A8"/>
      </w:r>
      <w:r>
        <w:rPr>
          <w:rFonts w:hint="default" w:ascii="Times New Roman" w:hAnsi="Times New Roman" w:cs="Times New Roman" w:eastAsiaTheme="minorEastAsia"/>
          <w:iCs/>
          <w:sz w:val="21"/>
        </w:rPr>
        <w:t>部分由外国投资者投资</w:t>
      </w:r>
    </w:p>
    <w:p w14:paraId="43BFCAF8">
      <w:pPr>
        <w:adjustRightInd w:val="0"/>
        <w:snapToGrid w:val="0"/>
        <w:spacing w:line="400" w:lineRule="exact"/>
        <w:ind w:firstLine="420" w:firstLineChars="200"/>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w:t>
      </w:r>
      <w:r>
        <w:rPr>
          <w:rFonts w:hint="default" w:ascii="Times New Roman" w:hAnsi="Times New Roman" w:cs="Times New Roman" w:eastAsiaTheme="minorEastAsia"/>
          <w:color w:val="auto"/>
          <w:lang w:val="en" w:eastAsia="zh-CN"/>
        </w:rPr>
        <w:t>9</w:t>
      </w:r>
      <w:r>
        <w:rPr>
          <w:rFonts w:hint="default" w:ascii="Times New Roman" w:hAnsi="Times New Roman" w:cs="Times New Roman" w:eastAsiaTheme="minorEastAsia"/>
          <w:color w:val="auto"/>
          <w:lang w:val="en-US" w:eastAsia="zh-CN"/>
        </w:rPr>
        <w:t>）是否涉及进口产品：</w:t>
      </w:r>
    </w:p>
    <w:p w14:paraId="60EC11A7">
      <w:pPr>
        <w:adjustRightInd w:val="0"/>
        <w:snapToGrid w:val="0"/>
        <w:spacing w:line="400" w:lineRule="exact"/>
        <w:ind w:firstLine="840" w:firstLineChars="400"/>
        <w:rPr>
          <w:rFonts w:hint="default" w:ascii="Times New Roman" w:hAnsi="Times New Roman" w:cs="Times New Roman" w:eastAsiaTheme="minorEastAsia"/>
          <w:color w:val="auto"/>
          <w:u w:val="single"/>
          <w:lang w:val="en-US" w:eastAsia="zh-CN"/>
        </w:rPr>
      </w:pP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color w:val="auto"/>
          <w:lang w:eastAsia="zh-CN"/>
        </w:rPr>
        <w:t>是，《政府采购品目分类目录》底级品目名称</w:t>
      </w:r>
      <w:r>
        <w:rPr>
          <w:rFonts w:hint="default" w:ascii="Times New Roman" w:hAnsi="Times New Roman" w:cs="Times New Roman" w:eastAsiaTheme="minorEastAsia"/>
          <w:color w:val="auto"/>
          <w:lang w:val="en-US" w:eastAsia="zh-CN"/>
        </w:rPr>
        <w:t>：</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lang w:val="en-US" w:eastAsia="zh-CN"/>
        </w:rPr>
        <w:t xml:space="preserve"> 金额：</w:t>
      </w:r>
      <w:r>
        <w:rPr>
          <w:rFonts w:hint="default" w:ascii="Times New Roman" w:hAnsi="Times New Roman" w:cs="Times New Roman" w:eastAsiaTheme="minorEastAsia"/>
          <w:color w:val="auto"/>
          <w:u w:val="single"/>
          <w:lang w:val="en-US" w:eastAsia="zh-CN"/>
        </w:rPr>
        <w:t xml:space="preserve">        </w:t>
      </w:r>
    </w:p>
    <w:p w14:paraId="05C294C8">
      <w:pPr>
        <w:adjustRightInd w:val="0"/>
        <w:snapToGrid w:val="0"/>
        <w:spacing w:line="400" w:lineRule="exact"/>
        <w:ind w:firstLine="840" w:firstLineChars="4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val="en-US" w:eastAsia="zh-CN"/>
        </w:rPr>
        <w:t xml:space="preserve">        国别：</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lang w:val="en-US" w:eastAsia="zh-CN"/>
        </w:rPr>
        <w:t xml:space="preserve"> 品牌：</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lang w:val="en-US" w:eastAsia="zh-CN"/>
        </w:rPr>
        <w:t xml:space="preserve"> 规格型号：</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lang w:eastAsia="zh-CN"/>
        </w:rPr>
        <w:t xml:space="preserve">      </w:t>
      </w:r>
    </w:p>
    <w:p w14:paraId="7A87089F">
      <w:pPr>
        <w:adjustRightInd w:val="0"/>
        <w:snapToGrid w:val="0"/>
        <w:spacing w:line="400" w:lineRule="exact"/>
        <w:ind w:firstLine="840" w:firstLineChars="400"/>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color w:val="auto"/>
          <w:lang w:eastAsia="zh-CN"/>
        </w:rPr>
        <w:t>否</w:t>
      </w:r>
    </w:p>
    <w:p w14:paraId="729CC4D7">
      <w:pPr>
        <w:tabs>
          <w:tab w:val="left" w:pos="740"/>
        </w:tabs>
        <w:adjustRightInd w:val="0"/>
        <w:snapToGrid w:val="0"/>
        <w:spacing w:line="400" w:lineRule="exact"/>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 xml:space="preserve">    （1</w:t>
      </w:r>
      <w:r>
        <w:rPr>
          <w:rFonts w:hint="default" w:ascii="Times New Roman" w:hAnsi="Times New Roman" w:cs="Times New Roman" w:eastAsiaTheme="minorEastAsia"/>
          <w:color w:val="auto"/>
          <w:lang w:val="en" w:eastAsia="zh-CN"/>
        </w:rPr>
        <w:t>0</w:t>
      </w:r>
      <w:r>
        <w:rPr>
          <w:rFonts w:hint="default" w:ascii="Times New Roman" w:hAnsi="Times New Roman" w:cs="Times New Roman" w:eastAsiaTheme="minorEastAsia"/>
          <w:color w:val="auto"/>
          <w:lang w:val="en-US" w:eastAsia="zh-CN"/>
        </w:rPr>
        <w:t>）是否涉及节能产品：</w:t>
      </w:r>
    </w:p>
    <w:p w14:paraId="24D9C707">
      <w:pPr>
        <w:tabs>
          <w:tab w:val="left" w:pos="740"/>
        </w:tabs>
        <w:adjustRightInd w:val="0"/>
        <w:snapToGrid w:val="0"/>
        <w:spacing w:line="400" w:lineRule="exact"/>
        <w:rPr>
          <w:rFonts w:hint="default" w:ascii="Times New Roman" w:hAnsi="Times New Roman" w:cs="Times New Roman" w:eastAsiaTheme="minorEastAsia"/>
          <w:iCs/>
          <w:color w:val="auto"/>
          <w:lang w:val="en-US" w:eastAsia="zh-CN"/>
        </w:rPr>
      </w:pP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color w:val="auto"/>
          <w:lang w:eastAsia="zh-CN"/>
        </w:rPr>
        <w:t>是，《节能产品政府采购品目清单》的底级品目名称：</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iCs/>
          <w:color w:val="auto"/>
          <w:lang w:val="en-US" w:eastAsia="zh-CN"/>
        </w:rPr>
        <w:t xml:space="preserve">     </w:t>
      </w:r>
    </w:p>
    <w:p w14:paraId="460AA896">
      <w:pPr>
        <w:tabs>
          <w:tab w:val="left" w:pos="740"/>
        </w:tabs>
        <w:adjustRightInd w:val="0"/>
        <w:snapToGrid w:val="0"/>
        <w:spacing w:line="400" w:lineRule="exact"/>
        <w:rPr>
          <w:rFonts w:hint="default" w:ascii="Times New Roman" w:hAnsi="Times New Roman" w:cs="Times New Roman" w:eastAsiaTheme="minorEastAsia"/>
          <w:iCs/>
          <w:color w:val="auto"/>
          <w:lang w:val="en-US" w:eastAsia="zh-CN"/>
        </w:rPr>
      </w:pP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强制采购</w:t>
      </w: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优先采购</w:t>
      </w:r>
      <w:r>
        <w:rPr>
          <w:rFonts w:hint="default" w:ascii="Times New Roman" w:hAnsi="Times New Roman" w:cs="Times New Roman" w:eastAsiaTheme="minorEastAsia"/>
          <w:iCs/>
          <w:color w:val="auto"/>
          <w:lang w:val="en-US" w:eastAsia="zh-CN"/>
        </w:rPr>
        <w:t xml:space="preserve">    </w:t>
      </w:r>
    </w:p>
    <w:p w14:paraId="5705C403">
      <w:pPr>
        <w:tabs>
          <w:tab w:val="left" w:pos="740"/>
        </w:tabs>
        <w:adjustRightInd w:val="0"/>
        <w:snapToGrid w:val="0"/>
        <w:spacing w:line="400" w:lineRule="exac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color w:val="auto"/>
          <w:lang w:eastAsia="zh-CN"/>
        </w:rPr>
        <w:t>否</w:t>
      </w:r>
    </w:p>
    <w:p w14:paraId="0F7B4AF7">
      <w:pPr>
        <w:tabs>
          <w:tab w:val="left" w:pos="740"/>
        </w:tabs>
        <w:adjustRightInd w:val="0"/>
        <w:snapToGrid w:val="0"/>
        <w:spacing w:line="400" w:lineRule="exact"/>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 xml:space="preserve">          是否涉及环境标志产品：</w:t>
      </w:r>
    </w:p>
    <w:p w14:paraId="1BE31C04">
      <w:pPr>
        <w:tabs>
          <w:tab w:val="left" w:pos="740"/>
        </w:tabs>
        <w:adjustRightInd w:val="0"/>
        <w:snapToGrid w:val="0"/>
        <w:spacing w:line="400" w:lineRule="exac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color w:val="auto"/>
          <w:lang w:eastAsia="zh-CN"/>
        </w:rPr>
        <w:t>是，《环境标志产品政府采购品目清单》的底级品目名称：</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iCs/>
          <w:color w:val="auto"/>
          <w:lang w:val="en-US" w:eastAsia="zh-CN"/>
        </w:rPr>
        <w:t xml:space="preserve"> </w:t>
      </w:r>
    </w:p>
    <w:p w14:paraId="63A7F8C1">
      <w:pPr>
        <w:tabs>
          <w:tab w:val="left" w:pos="740"/>
        </w:tabs>
        <w:adjustRightInd w:val="0"/>
        <w:snapToGrid w:val="0"/>
        <w:spacing w:line="400" w:lineRule="exact"/>
        <w:rPr>
          <w:rFonts w:hint="default" w:ascii="Times New Roman" w:hAnsi="Times New Roman" w:cs="Times New Roman" w:eastAsiaTheme="minorEastAsia"/>
          <w:iCs/>
          <w:color w:val="auto"/>
          <w:lang w:val="en-US" w:eastAsia="zh-CN"/>
        </w:rPr>
      </w:pP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强制采购</w:t>
      </w: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优先采购</w:t>
      </w:r>
      <w:r>
        <w:rPr>
          <w:rFonts w:hint="default" w:ascii="Times New Roman" w:hAnsi="Times New Roman" w:cs="Times New Roman" w:eastAsiaTheme="minorEastAsia"/>
          <w:iCs/>
          <w:color w:val="auto"/>
          <w:lang w:val="en-US" w:eastAsia="zh-CN"/>
        </w:rPr>
        <w:t xml:space="preserve">    </w:t>
      </w:r>
    </w:p>
    <w:p w14:paraId="46833DDE">
      <w:pPr>
        <w:tabs>
          <w:tab w:val="left" w:pos="740"/>
        </w:tabs>
        <w:adjustRightInd w:val="0"/>
        <w:snapToGrid w:val="0"/>
        <w:spacing w:line="400" w:lineRule="exact"/>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color w:val="auto"/>
          <w:lang w:eastAsia="zh-CN"/>
        </w:rPr>
        <w:t>否</w:t>
      </w:r>
    </w:p>
    <w:p w14:paraId="56D5BBC0">
      <w:pPr>
        <w:pStyle w:val="260"/>
        <w:snapToGrid w:val="0"/>
        <w:ind w:firstLine="0" w:firstLineChars="0"/>
        <w:rPr>
          <w:rFonts w:hint="default" w:ascii="Times New Roman" w:hAnsi="Times New Roman" w:cs="Times New Roman" w:eastAsiaTheme="minorEastAsia"/>
          <w:kern w:val="2"/>
          <w:sz w:val="21"/>
        </w:rPr>
      </w:pPr>
      <w:r>
        <w:rPr>
          <w:rFonts w:hint="default" w:ascii="Times New Roman" w:hAnsi="Times New Roman" w:cs="Times New Roman" w:eastAsiaTheme="minorEastAsia"/>
          <w:sz w:val="21"/>
        </w:rPr>
        <w:t xml:space="preserve">          </w:t>
      </w:r>
      <w:r>
        <w:rPr>
          <w:rFonts w:hint="default" w:ascii="Times New Roman" w:hAnsi="Times New Roman" w:cs="Times New Roman" w:eastAsiaTheme="minorEastAsia"/>
          <w:kern w:val="2"/>
          <w:sz w:val="21"/>
        </w:rPr>
        <w:t xml:space="preserve">是否涉及绿色产品： </w:t>
      </w:r>
    </w:p>
    <w:p w14:paraId="69C6970B">
      <w:pPr>
        <w:pStyle w:val="260"/>
        <w:ind w:firstLine="420" w:firstLineChars="0"/>
        <w:rPr>
          <w:rFonts w:hint="default" w:ascii="Times New Roman" w:hAnsi="Times New Roman" w:cs="Times New Roman" w:eastAsiaTheme="minorEastAsia"/>
          <w:u w:val="single"/>
        </w:rPr>
      </w:pPr>
      <w:r>
        <w:rPr>
          <w:rFonts w:hint="default" w:ascii="Times New Roman" w:hAnsi="Times New Roman" w:cs="Times New Roman" w:eastAsiaTheme="minorEastAsia"/>
          <w:kern w:val="2"/>
          <w:sz w:val="21"/>
        </w:rPr>
        <w:t xml:space="preserve">     </w:t>
      </w:r>
      <w:r>
        <w:rPr>
          <w:rFonts w:hint="default" w:ascii="Times New Roman" w:hAnsi="Times New Roman" w:cs="Times New Roman" w:eastAsiaTheme="minorEastAsia"/>
          <w:kern w:val="2"/>
          <w:sz w:val="21"/>
        </w:rPr>
        <w:sym w:font="Wingdings" w:char="00A8"/>
      </w:r>
      <w:r>
        <w:rPr>
          <w:rFonts w:hint="default" w:ascii="Times New Roman" w:hAnsi="Times New Roman" w:cs="Times New Roman" w:eastAsiaTheme="minorEastAsia"/>
          <w:kern w:val="2"/>
          <w:sz w:val="21"/>
        </w:rPr>
        <w:t>是，绿色产品政府采购相关政策确定的底级品目名称：</w:t>
      </w:r>
      <w:r>
        <w:rPr>
          <w:rFonts w:hint="default" w:ascii="Times New Roman" w:hAnsi="Times New Roman" w:cs="Times New Roman" w:eastAsiaTheme="minorEastAsia"/>
          <w:u w:val="single"/>
        </w:rPr>
        <w:t xml:space="preserve">         </w:t>
      </w:r>
    </w:p>
    <w:p w14:paraId="2861A624">
      <w:pPr>
        <w:tabs>
          <w:tab w:val="left" w:pos="740"/>
        </w:tabs>
        <w:adjustRightInd w:val="0"/>
        <w:snapToGrid w:val="0"/>
        <w:spacing w:line="400" w:lineRule="exact"/>
        <w:rPr>
          <w:rFonts w:hint="default" w:ascii="Times New Roman" w:hAnsi="Times New Roman" w:cs="Times New Roman" w:eastAsiaTheme="minorEastAsia"/>
          <w:iCs/>
          <w:color w:val="auto"/>
          <w:lang w:val="en-US" w:eastAsia="zh-CN"/>
        </w:rPr>
      </w:pP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强制采购</w:t>
      </w: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优先采购</w:t>
      </w:r>
      <w:r>
        <w:rPr>
          <w:rFonts w:hint="default" w:ascii="Times New Roman" w:hAnsi="Times New Roman" w:cs="Times New Roman" w:eastAsiaTheme="minorEastAsia"/>
          <w:iCs/>
          <w:color w:val="auto"/>
          <w:lang w:val="en-US" w:eastAsia="zh-CN"/>
        </w:rPr>
        <w:t xml:space="preserve">    </w:t>
      </w:r>
    </w:p>
    <w:p w14:paraId="4D64A2BD">
      <w:pPr>
        <w:pStyle w:val="260"/>
        <w:ind w:firstLine="420" w:firstLineChars="0"/>
        <w:rPr>
          <w:rFonts w:hint="default" w:ascii="Times New Roman" w:hAnsi="Times New Roman" w:cs="Times New Roman" w:eastAsiaTheme="minorEastAsia"/>
          <w:sz w:val="21"/>
        </w:rPr>
      </w:pPr>
      <w:r>
        <w:rPr>
          <w:rFonts w:hint="default" w:ascii="Times New Roman" w:hAnsi="Times New Roman" w:cs="Times New Roman" w:eastAsiaTheme="minorEastAsia"/>
          <w:kern w:val="2"/>
          <w:sz w:val="21"/>
        </w:rPr>
        <w:t xml:space="preserve">     </w:t>
      </w:r>
      <w:r>
        <w:rPr>
          <w:rFonts w:hint="default" w:ascii="Times New Roman" w:hAnsi="Times New Roman" w:cs="Times New Roman" w:eastAsiaTheme="minorEastAsia"/>
          <w:kern w:val="2"/>
          <w:sz w:val="21"/>
        </w:rPr>
        <w:sym w:font="Wingdings" w:char="00A8"/>
      </w:r>
      <w:r>
        <w:rPr>
          <w:rFonts w:hint="default" w:ascii="Times New Roman" w:hAnsi="Times New Roman" w:cs="Times New Roman" w:eastAsiaTheme="minorEastAsia"/>
          <w:kern w:val="2"/>
          <w:sz w:val="21"/>
        </w:rPr>
        <w:t>否</w:t>
      </w:r>
    </w:p>
    <w:p w14:paraId="718FD288">
      <w:pPr>
        <w:adjustRightInd w:val="0"/>
        <w:snapToGrid w:val="0"/>
        <w:spacing w:line="400" w:lineRule="exact"/>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 xml:space="preserve">    （1</w:t>
      </w:r>
      <w:r>
        <w:rPr>
          <w:rFonts w:hint="default" w:ascii="Times New Roman" w:hAnsi="Times New Roman" w:cs="Times New Roman" w:eastAsiaTheme="minorEastAsia"/>
          <w:color w:val="auto"/>
          <w:lang w:val="en" w:eastAsia="zh-CN"/>
        </w:rPr>
        <w:t>1</w:t>
      </w:r>
      <w:r>
        <w:rPr>
          <w:rFonts w:hint="default" w:ascii="Times New Roman" w:hAnsi="Times New Roman" w:cs="Times New Roman" w:eastAsiaTheme="minorEastAsia"/>
          <w:color w:val="auto"/>
          <w:lang w:val="en-US" w:eastAsia="zh-CN"/>
        </w:rPr>
        <w:t>）涉及商品包装和快递包装的，是否参考</w:t>
      </w:r>
      <w:r>
        <w:rPr>
          <w:rFonts w:hint="default" w:ascii="Times New Roman" w:hAnsi="Times New Roman" w:cs="Times New Roman" w:eastAsiaTheme="minorEastAsia"/>
          <w:color w:val="auto"/>
          <w:lang w:eastAsia="zh-CN"/>
        </w:rPr>
        <w:t>《商品包装政府采购需求标准（试行）》、《快递包装政府采购需求标准（试行）》明确产品及相关快递服务的具体包装要求：</w:t>
      </w:r>
    </w:p>
    <w:p w14:paraId="5D374F47">
      <w:pPr>
        <w:adjustRightInd w:val="0"/>
        <w:snapToGrid w:val="0"/>
        <w:spacing w:line="400" w:lineRule="exact"/>
        <w:ind w:firstLine="840" w:firstLineChars="400"/>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color w:val="auto"/>
        </w:rPr>
        <w:t xml:space="preserve">是       </w:t>
      </w: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color w:val="auto"/>
        </w:rPr>
        <w:t>否</w:t>
      </w: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color w:val="auto"/>
          <w:lang w:eastAsia="zh-CN"/>
        </w:rPr>
        <w:t>不涉及</w:t>
      </w:r>
    </w:p>
    <w:p w14:paraId="3049A5FB">
      <w:pPr>
        <w:numPr>
          <w:ilvl w:val="0"/>
          <w:numId w:val="13"/>
        </w:numPr>
        <w:adjustRightInd w:val="0"/>
        <w:snapToGrid w:val="0"/>
        <w:spacing w:line="400" w:lineRule="exact"/>
        <w:ind w:firstLine="422" w:firstLineChars="200"/>
        <w:rPr>
          <w:rFonts w:hint="default" w:ascii="Times New Roman" w:hAnsi="Times New Roman" w:cs="Times New Roman" w:eastAsiaTheme="minorEastAsia"/>
          <w:b/>
          <w:color w:val="auto"/>
        </w:rPr>
      </w:pPr>
      <w:r>
        <w:rPr>
          <w:rFonts w:hint="default" w:ascii="Times New Roman" w:hAnsi="Times New Roman" w:cs="Times New Roman" w:eastAsiaTheme="minorEastAsia"/>
          <w:b/>
          <w:color w:val="auto"/>
        </w:rPr>
        <w:t>合同金额</w:t>
      </w:r>
    </w:p>
    <w:p w14:paraId="21B20C03">
      <w:pPr>
        <w:adjustRightInd w:val="0"/>
        <w:snapToGrid w:val="0"/>
        <w:spacing w:line="400" w:lineRule="exact"/>
        <w:ind w:firstLine="420" w:firstLineChars="20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（1）合同金额小写：</w:t>
      </w:r>
      <w:r>
        <w:rPr>
          <w:rFonts w:hint="default" w:ascii="Times New Roman" w:hAnsi="Times New Roman" w:cs="Times New Roman" w:eastAsiaTheme="minorEastAsia"/>
          <w:color w:val="auto"/>
          <w:u w:val="single"/>
        </w:rPr>
        <w:t xml:space="preserve">                 </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u w:val="single"/>
        </w:rPr>
        <w:t xml:space="preserve">      </w:t>
      </w:r>
    </w:p>
    <w:p w14:paraId="54653A3D">
      <w:pPr>
        <w:adjustRightInd w:val="0"/>
        <w:snapToGrid w:val="0"/>
        <w:spacing w:line="400" w:lineRule="exact"/>
        <w:rPr>
          <w:rFonts w:hint="default" w:ascii="Times New Roman" w:hAnsi="Times New Roman" w:cs="Times New Roman" w:eastAsiaTheme="minorEastAsia"/>
          <w:color w:val="auto"/>
          <w:u w:val="single"/>
        </w:rPr>
      </w:pP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rPr>
        <w:t>大写：</w:t>
      </w:r>
      <w:r>
        <w:rPr>
          <w:rFonts w:hint="default" w:ascii="Times New Roman" w:hAnsi="Times New Roman" w:cs="Times New Roman" w:eastAsiaTheme="minorEastAsia"/>
          <w:color w:val="auto"/>
          <w:u w:val="single"/>
        </w:rPr>
        <w:t xml:space="preserve">           </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u w:val="single"/>
        </w:rPr>
        <w:t xml:space="preserve">     </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u w:val="single"/>
        </w:rPr>
        <w:t xml:space="preserve">      </w:t>
      </w:r>
    </w:p>
    <w:p w14:paraId="41AFD34E">
      <w:pPr>
        <w:adjustRightInd w:val="0"/>
        <w:snapToGrid w:val="0"/>
        <w:spacing w:line="400" w:lineRule="exac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lang w:eastAsia="zh-CN"/>
        </w:rPr>
        <w:t>分包金额（如有）小写：</w:t>
      </w:r>
      <w:r>
        <w:rPr>
          <w:rFonts w:hint="default" w:ascii="Times New Roman" w:hAnsi="Times New Roman" w:cs="Times New Roman" w:eastAsiaTheme="minorEastAsia"/>
          <w:color w:val="auto"/>
          <w:u w:val="single"/>
          <w:lang w:eastAsia="zh-CN"/>
        </w:rPr>
        <w:t xml:space="preserve">                   </w:t>
      </w:r>
    </w:p>
    <w:p w14:paraId="1C03DA38">
      <w:pPr>
        <w:adjustRightInd w:val="0"/>
        <w:snapToGrid w:val="0"/>
        <w:spacing w:line="400" w:lineRule="exact"/>
        <w:rPr>
          <w:rFonts w:hint="default" w:ascii="Times New Roman" w:hAnsi="Times New Roman" w:cs="Times New Roman" w:eastAsiaTheme="minorEastAsia"/>
          <w:color w:val="auto"/>
          <w:u w:val="single"/>
          <w:lang w:eastAsia="zh-CN"/>
        </w:rPr>
      </w:pP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lang w:eastAsia="zh-CN"/>
        </w:rPr>
        <w:t>大写：</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u w:val="single"/>
          <w:lang w:eastAsia="zh-CN"/>
        </w:rPr>
        <w:t xml:space="preserve">   </w:t>
      </w:r>
    </w:p>
    <w:p w14:paraId="145F7EDC">
      <w:pPr>
        <w:adjustRightInd w:val="0"/>
        <w:snapToGrid w:val="0"/>
        <w:spacing w:line="400" w:lineRule="exact"/>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 xml:space="preserve">    （注：固定单价合同应填写单价和最高限价）</w:t>
      </w:r>
    </w:p>
    <w:p w14:paraId="424BC670">
      <w:pPr>
        <w:adjustRightInd w:val="0"/>
        <w:snapToGrid w:val="0"/>
        <w:spacing w:line="400" w:lineRule="exac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2</w:t>
      </w:r>
      <w:r>
        <w:rPr>
          <w:rFonts w:hint="default" w:ascii="Times New Roman" w:hAnsi="Times New Roman" w:cs="Times New Roman" w:eastAsiaTheme="minorEastAsia"/>
          <w:color w:val="auto"/>
          <w:lang w:eastAsia="zh-CN"/>
        </w:rPr>
        <w:t>）合同定价方式（采用组合定价方式的，可以勾选多项）：</w:t>
      </w:r>
    </w:p>
    <w:p w14:paraId="08C82EEC">
      <w:pPr>
        <w:adjustRightInd w:val="0"/>
        <w:snapToGrid w:val="0"/>
        <w:spacing w:line="400" w:lineRule="exact"/>
        <w:ind w:firstLine="420" w:firstLineChars="2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iCs/>
          <w:color w:val="auto"/>
        </w:rPr>
        <w:sym w:font="Wingdings" w:char="00FE"/>
      </w:r>
      <w:r>
        <w:rPr>
          <w:rFonts w:hint="default" w:ascii="Times New Roman" w:hAnsi="Times New Roman" w:cs="Times New Roman" w:eastAsiaTheme="minorEastAsia"/>
          <w:iCs/>
          <w:color w:val="auto"/>
          <w:lang w:eastAsia="zh-CN"/>
        </w:rPr>
        <w:t xml:space="preserve">固定总价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固定单价</w:t>
      </w: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 xml:space="preserve">固定费率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 xml:space="preserve">成本补偿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绩效激励</w:t>
      </w:r>
      <w:r>
        <w:rPr>
          <w:rFonts w:hint="default" w:ascii="Times New Roman" w:hAnsi="Times New Roman" w:cs="Times New Roman" w:eastAsiaTheme="minorEastAsia"/>
          <w:iCs/>
          <w:color w:val="auto"/>
          <w:lang w:val="en-US" w:eastAsia="zh-CN"/>
        </w:rPr>
        <w:t xml:space="preserve"> </w:t>
      </w:r>
      <w:r>
        <w:rPr>
          <w:rFonts w:hint="default" w:ascii="Times New Roman" w:hAnsi="Times New Roman" w:cs="Times New Roman" w:eastAsiaTheme="minorEastAsia"/>
          <w:iCs/>
          <w:color w:val="auto"/>
        </w:rPr>
        <w:sym w:font="Wingdings" w:char="00A8"/>
      </w:r>
      <w:r>
        <w:rPr>
          <w:rFonts w:hint="default" w:ascii="Times New Roman" w:hAnsi="Times New Roman" w:cs="Times New Roman" w:eastAsiaTheme="minorEastAsia"/>
          <w:iCs/>
          <w:color w:val="auto"/>
          <w:lang w:eastAsia="zh-CN"/>
        </w:rPr>
        <w:t>其他</w:t>
      </w:r>
      <w:r>
        <w:rPr>
          <w:rFonts w:hint="default" w:ascii="Times New Roman" w:hAnsi="Times New Roman" w:cs="Times New Roman" w:eastAsiaTheme="minorEastAsia"/>
          <w:color w:val="auto"/>
          <w:u w:val="single"/>
          <w:lang w:eastAsia="zh-CN"/>
        </w:rPr>
        <w:t xml:space="preserve">       </w:t>
      </w:r>
    </w:p>
    <w:p w14:paraId="2B950A37">
      <w:pPr>
        <w:pStyle w:val="193"/>
        <w:spacing w:line="400" w:lineRule="exact"/>
        <w:rPr>
          <w:rFonts w:hint="default" w:ascii="Times New Roman" w:hAnsi="Times New Roman" w:cs="Times New Roman" w:eastAsiaTheme="minorEastAsia"/>
        </w:rPr>
      </w:pPr>
      <w:r>
        <w:rPr>
          <w:rFonts w:hint="default" w:ascii="Times New Roman" w:hAnsi="Times New Roman" w:cs="Times New Roman" w:eastAsiaTheme="minorEastAsia"/>
        </w:rPr>
        <w:t>（3）付款方式（按项目实际勾选填写）：</w:t>
      </w:r>
    </w:p>
    <w:p w14:paraId="6ABEC5CD">
      <w:pPr>
        <w:snapToGrid w:val="0"/>
        <w:spacing w:line="400" w:lineRule="exact"/>
        <w:ind w:firstLine="630" w:firstLineChars="300"/>
        <w:rPr>
          <w:rFonts w:hint="default" w:ascii="Times New Roman" w:hAnsi="Times New Roman" w:cs="Times New Roman" w:eastAsiaTheme="minorEastAsia"/>
          <w:color w:val="auto"/>
          <w:u w:val="single"/>
          <w:lang w:eastAsia="zh-CN"/>
        </w:rPr>
      </w:pP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color w:val="auto"/>
          <w:lang w:eastAsia="zh-CN"/>
        </w:rPr>
        <w:t>全额付款：</w:t>
      </w:r>
      <w:r>
        <w:rPr>
          <w:rFonts w:hint="default" w:ascii="Times New Roman" w:hAnsi="Times New Roman" w:cs="Times New Roman" w:eastAsiaTheme="minorEastAsia"/>
          <w:b/>
          <w:bCs/>
          <w:color w:val="auto"/>
          <w:u w:val="single"/>
          <w:lang w:eastAsia="zh-CN"/>
        </w:rPr>
        <w:t xml:space="preserve">                                                                 </w:t>
      </w:r>
    </w:p>
    <w:p w14:paraId="5278CB4A">
      <w:pPr>
        <w:snapToGrid w:val="0"/>
        <w:spacing w:line="400" w:lineRule="exact"/>
        <w:ind w:firstLine="630" w:firstLineChars="3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rPr>
        <w:sym w:font="Wingdings" w:char="00FE"/>
      </w:r>
      <w:r>
        <w:rPr>
          <w:rFonts w:hint="default" w:ascii="Times New Roman" w:hAnsi="Times New Roman" w:cs="Times New Roman" w:eastAsiaTheme="minorEastAsia"/>
          <w:color w:val="auto"/>
          <w:lang w:eastAsia="zh-CN"/>
        </w:rPr>
        <w:t>分期付款：</w:t>
      </w:r>
      <w:r>
        <w:rPr>
          <w:rFonts w:hint="default" w:ascii="Times New Roman" w:hAnsi="Times New Roman" w:cs="Times New Roman" w:eastAsiaTheme="minorEastAsia"/>
          <w:color w:val="auto"/>
          <w:u w:val="single"/>
          <w:lang w:eastAsia="zh-CN"/>
        </w:rPr>
        <w:t>合同生效后，甲方在15个工作日内向乙方支付合同总金额的30%作为预付款。（2）</w:t>
      </w:r>
      <w:r>
        <w:rPr>
          <w:rFonts w:hint="default" w:ascii="Times New Roman" w:hAnsi="Times New Roman" w:cs="Times New Roman" w:eastAsiaTheme="minorEastAsia"/>
          <w:color w:val="auto"/>
          <w:u w:val="single"/>
          <w:lang w:val="en-US" w:eastAsia="zh-CN"/>
        </w:rPr>
        <w:t>货物到货验收完毕支付合同总价款的40%，项目建设完成验收合格后，10个工作日内支付剩余总价款的30%。</w:t>
      </w:r>
    </w:p>
    <w:p w14:paraId="78E59AA8">
      <w:pPr>
        <w:adjustRightInd w:val="0"/>
        <w:snapToGrid w:val="0"/>
        <w:spacing w:line="400" w:lineRule="exact"/>
        <w:ind w:firstLine="630" w:firstLineChars="300"/>
        <w:rPr>
          <w:rFonts w:hint="default" w:ascii="Times New Roman" w:hAnsi="Times New Roman" w:cs="Times New Roman" w:eastAsiaTheme="minorEastAsia"/>
          <w:color w:val="auto"/>
          <w:u w:val="single"/>
          <w:lang w:eastAsia="zh-CN"/>
        </w:rPr>
      </w:pP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color w:val="auto"/>
          <w:lang w:eastAsia="zh-CN"/>
        </w:rPr>
        <w:t>成本补偿：</w:t>
      </w:r>
      <w:r>
        <w:rPr>
          <w:rFonts w:hint="default" w:ascii="Times New Roman" w:hAnsi="Times New Roman" w:cs="Times New Roman" w:eastAsiaTheme="minorEastAsia"/>
          <w:color w:val="auto"/>
          <w:u w:val="single"/>
          <w:lang w:eastAsia="zh-CN"/>
        </w:rPr>
        <w:t xml:space="preserve">      （应明确按照成本补偿方式的支付方式和支付条件）   </w:t>
      </w:r>
    </w:p>
    <w:p w14:paraId="28977E8D">
      <w:pPr>
        <w:adjustRightInd w:val="0"/>
        <w:snapToGrid w:val="0"/>
        <w:spacing w:line="400" w:lineRule="exact"/>
        <w:ind w:firstLine="630" w:firstLineChars="3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color w:val="auto"/>
          <w:lang w:eastAsia="zh-CN"/>
        </w:rPr>
        <w:t>绩效激励：</w:t>
      </w:r>
      <w:r>
        <w:rPr>
          <w:rFonts w:hint="default" w:ascii="Times New Roman" w:hAnsi="Times New Roman" w:cs="Times New Roman" w:eastAsiaTheme="minorEastAsia"/>
          <w:color w:val="auto"/>
          <w:u w:val="single"/>
          <w:lang w:eastAsia="zh-CN"/>
        </w:rPr>
        <w:t xml:space="preserve">      （应明确按照绩效激励方式的支付方式和支付条件）   </w:t>
      </w:r>
    </w:p>
    <w:p w14:paraId="1BECC34A">
      <w:pPr>
        <w:numPr>
          <w:ilvl w:val="0"/>
          <w:numId w:val="13"/>
        </w:numPr>
        <w:adjustRightInd w:val="0"/>
        <w:snapToGrid w:val="0"/>
        <w:spacing w:line="400" w:lineRule="exact"/>
        <w:ind w:firstLine="422" w:firstLineChars="200"/>
        <w:rPr>
          <w:rFonts w:hint="default" w:ascii="Times New Roman" w:hAnsi="Times New Roman" w:cs="Times New Roman" w:eastAsiaTheme="minorEastAsia"/>
          <w:b/>
          <w:color w:val="auto"/>
          <w:u w:val="single"/>
        </w:rPr>
      </w:pPr>
      <w:r>
        <w:rPr>
          <w:rFonts w:hint="default" w:ascii="Times New Roman" w:hAnsi="Times New Roman" w:cs="Times New Roman" w:eastAsiaTheme="minorEastAsia"/>
          <w:b/>
          <w:color w:val="auto"/>
        </w:rPr>
        <w:t>合同履行</w:t>
      </w:r>
    </w:p>
    <w:p w14:paraId="3DCC4C5C">
      <w:pPr>
        <w:adjustRightInd w:val="0"/>
        <w:snapToGrid w:val="0"/>
        <w:spacing w:line="400" w:lineRule="exact"/>
        <w:ind w:firstLine="840" w:firstLineChars="40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（1）起始日期：</w:t>
      </w:r>
      <w:r>
        <w:rPr>
          <w:rFonts w:hint="default" w:ascii="Times New Roman" w:hAnsi="Times New Roman" w:cs="Times New Roman" w:eastAsiaTheme="minorEastAsia"/>
          <w:color w:val="auto"/>
          <w:u w:val="single"/>
        </w:rPr>
        <w:t xml:space="preserve">    </w:t>
      </w:r>
      <w:r>
        <w:rPr>
          <w:rFonts w:hint="default" w:ascii="Times New Roman" w:hAnsi="Times New Roman" w:cs="Times New Roman" w:eastAsiaTheme="minorEastAsia"/>
          <w:color w:val="auto"/>
        </w:rPr>
        <w:t>年</w:t>
      </w:r>
      <w:r>
        <w:rPr>
          <w:rFonts w:hint="default" w:ascii="Times New Roman" w:hAnsi="Times New Roman" w:cs="Times New Roman" w:eastAsiaTheme="minorEastAsia"/>
          <w:color w:val="auto"/>
          <w:u w:val="single"/>
        </w:rPr>
        <w:t xml:space="preserve">   </w:t>
      </w:r>
      <w:r>
        <w:rPr>
          <w:rFonts w:hint="default" w:ascii="Times New Roman" w:hAnsi="Times New Roman" w:cs="Times New Roman" w:eastAsiaTheme="minorEastAsia"/>
          <w:color w:val="auto"/>
        </w:rPr>
        <w:t>月</w:t>
      </w:r>
      <w:r>
        <w:rPr>
          <w:rFonts w:hint="default" w:ascii="Times New Roman" w:hAnsi="Times New Roman" w:cs="Times New Roman" w:eastAsiaTheme="minorEastAsia"/>
          <w:color w:val="auto"/>
          <w:u w:val="single"/>
        </w:rPr>
        <w:t xml:space="preserve">   </w:t>
      </w:r>
      <w:r>
        <w:rPr>
          <w:rFonts w:hint="default" w:ascii="Times New Roman" w:hAnsi="Times New Roman" w:cs="Times New Roman" w:eastAsiaTheme="minorEastAsia"/>
          <w:color w:val="auto"/>
        </w:rPr>
        <w:t>日，完成日期：</w:t>
      </w:r>
      <w:r>
        <w:rPr>
          <w:rFonts w:hint="default" w:ascii="Times New Roman" w:hAnsi="Times New Roman" w:cs="Times New Roman" w:eastAsiaTheme="minorEastAsia"/>
          <w:color w:val="auto"/>
          <w:u w:val="single"/>
        </w:rPr>
        <w:t xml:space="preserve">    </w:t>
      </w:r>
      <w:r>
        <w:rPr>
          <w:rFonts w:hint="default" w:ascii="Times New Roman" w:hAnsi="Times New Roman" w:cs="Times New Roman" w:eastAsiaTheme="minorEastAsia"/>
          <w:color w:val="auto"/>
        </w:rPr>
        <w:t>年</w:t>
      </w:r>
      <w:r>
        <w:rPr>
          <w:rFonts w:hint="default" w:ascii="Times New Roman" w:hAnsi="Times New Roman" w:cs="Times New Roman" w:eastAsiaTheme="minorEastAsia"/>
          <w:color w:val="auto"/>
          <w:u w:val="single"/>
        </w:rPr>
        <w:t xml:space="preserve">   </w:t>
      </w:r>
      <w:r>
        <w:rPr>
          <w:rFonts w:hint="default" w:ascii="Times New Roman" w:hAnsi="Times New Roman" w:cs="Times New Roman" w:eastAsiaTheme="minorEastAsia"/>
          <w:color w:val="auto"/>
        </w:rPr>
        <w:t>月</w:t>
      </w:r>
      <w:r>
        <w:rPr>
          <w:rFonts w:hint="default" w:ascii="Times New Roman" w:hAnsi="Times New Roman" w:cs="Times New Roman" w:eastAsiaTheme="minorEastAsia"/>
          <w:color w:val="auto"/>
          <w:u w:val="single"/>
        </w:rPr>
        <w:t xml:space="preserve">   </w:t>
      </w:r>
      <w:r>
        <w:rPr>
          <w:rFonts w:hint="default" w:ascii="Times New Roman" w:hAnsi="Times New Roman" w:cs="Times New Roman" w:eastAsiaTheme="minorEastAsia"/>
          <w:color w:val="auto"/>
        </w:rPr>
        <w:t>日。</w:t>
      </w:r>
    </w:p>
    <w:p w14:paraId="3974FE54">
      <w:pPr>
        <w:adjustRightInd w:val="0"/>
        <w:snapToGrid w:val="0"/>
        <w:spacing w:line="400" w:lineRule="exact"/>
        <w:ind w:firstLine="840" w:firstLineChars="400"/>
        <w:rPr>
          <w:rFonts w:hint="default" w:ascii="Times New Roman" w:hAnsi="Times New Roman" w:cs="Times New Roman" w:eastAsiaTheme="minorEastAsia"/>
          <w:color w:val="auto"/>
          <w:u w:val="single"/>
          <w:lang w:eastAsia="zh-CN"/>
        </w:rPr>
      </w:pPr>
      <w:r>
        <w:rPr>
          <w:rFonts w:hint="default" w:ascii="Times New Roman" w:hAnsi="Times New Roman" w:cs="Times New Roman" w:eastAsiaTheme="minorEastAsia"/>
          <w:color w:val="auto"/>
          <w:lang w:eastAsia="zh-CN"/>
        </w:rPr>
        <w:t>（2）履约地点</w:t>
      </w:r>
      <w:r>
        <w:rPr>
          <w:rFonts w:hint="default" w:ascii="Times New Roman" w:hAnsi="Times New Roman" w:cs="Times New Roman" w:eastAsiaTheme="minorEastAsia"/>
          <w:bCs/>
          <w:color w:val="auto"/>
          <w:lang w:eastAsia="zh-CN"/>
        </w:rPr>
        <w:t>：</w:t>
      </w:r>
      <w:r>
        <w:rPr>
          <w:rFonts w:hint="default" w:ascii="Times New Roman" w:hAnsi="Times New Roman" w:cs="Times New Roman" w:eastAsiaTheme="minorEastAsia"/>
          <w:color w:val="auto"/>
          <w:u w:val="single"/>
          <w:lang w:eastAsia="zh-CN"/>
        </w:rPr>
        <w:t xml:space="preserve">                             </w:t>
      </w:r>
    </w:p>
    <w:p w14:paraId="06607B95">
      <w:pPr>
        <w:adjustRightInd w:val="0"/>
        <w:snapToGrid w:val="0"/>
        <w:spacing w:line="400" w:lineRule="exact"/>
        <w:ind w:firstLine="840" w:firstLineChars="4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（3）履约担保：</w:t>
      </w:r>
    </w:p>
    <w:p w14:paraId="6ECDC65C">
      <w:pPr>
        <w:adjustRightInd w:val="0"/>
        <w:snapToGrid w:val="0"/>
        <w:spacing w:line="400" w:lineRule="exact"/>
        <w:ind w:firstLine="1365" w:firstLineChars="650"/>
        <w:rPr>
          <w:rFonts w:hint="default" w:ascii="Times New Roman" w:hAnsi="Times New Roman" w:cs="Times New Roman" w:eastAsiaTheme="minorEastAsia"/>
          <w:color w:val="auto"/>
          <w:u w:val="single"/>
          <w:lang w:eastAsia="zh-CN"/>
        </w:rPr>
      </w:pPr>
      <w:r>
        <w:rPr>
          <w:rFonts w:hint="default" w:ascii="Times New Roman" w:hAnsi="Times New Roman" w:cs="Times New Roman" w:eastAsiaTheme="minorEastAsia"/>
          <w:color w:val="auto"/>
          <w:lang w:val="en-US" w:eastAsia="zh-CN"/>
        </w:rPr>
        <w:t>是否收取履约保证金：</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u w:val="single"/>
        </w:rPr>
        <w:sym w:font="Wingdings" w:char="00FE"/>
      </w:r>
      <w:r>
        <w:rPr>
          <w:rFonts w:hint="default" w:ascii="Times New Roman" w:hAnsi="Times New Roman" w:cs="Times New Roman" w:eastAsiaTheme="minorEastAsia"/>
          <w:color w:val="auto"/>
          <w:u w:val="single"/>
          <w:lang w:eastAsia="zh-CN"/>
        </w:rPr>
        <w:t>是</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u w:val="single"/>
        </w:rPr>
        <w:sym w:font="Wingdings" w:char="00A8"/>
      </w:r>
      <w:r>
        <w:rPr>
          <w:rFonts w:hint="default" w:ascii="Times New Roman" w:hAnsi="Times New Roman" w:cs="Times New Roman" w:eastAsiaTheme="minorEastAsia"/>
          <w:color w:val="auto"/>
          <w:u w:val="single"/>
          <w:lang w:eastAsia="zh-CN"/>
        </w:rPr>
        <w:t>否</w:t>
      </w:r>
    </w:p>
    <w:p w14:paraId="654CAE6E">
      <w:pPr>
        <w:adjustRightInd w:val="0"/>
        <w:snapToGrid w:val="0"/>
        <w:spacing w:line="400" w:lineRule="exact"/>
        <w:ind w:left="3360" w:leftChars="600" w:hanging="2100" w:hangingChars="1000"/>
        <w:rPr>
          <w:rFonts w:hint="default" w:ascii="Times New Roman" w:hAnsi="Times New Roman" w:cs="Times New Roman" w:eastAsiaTheme="minorEastAsia"/>
          <w:color w:val="auto"/>
          <w:u w:val="single"/>
          <w:lang w:eastAsia="zh-CN"/>
        </w:rPr>
      </w:pPr>
      <w:r>
        <w:rPr>
          <w:rFonts w:hint="default" w:ascii="Times New Roman" w:hAnsi="Times New Roman" w:cs="Times New Roman" w:eastAsiaTheme="minorEastAsia"/>
          <w:color w:val="auto"/>
          <w:lang w:eastAsia="zh-CN"/>
        </w:rPr>
        <w:t xml:space="preserve"> 收取履约保证金形式：</w:t>
      </w:r>
      <w:r>
        <w:rPr>
          <w:rFonts w:hint="default" w:ascii="Times New Roman" w:hAnsi="Times New Roman" w:cs="Times New Roman" w:eastAsiaTheme="minorEastAsia"/>
          <w:color w:val="auto"/>
          <w:u w:val="single"/>
          <w:lang w:eastAsia="zh-CN"/>
        </w:rPr>
        <w:t xml:space="preserve">以支票、汇票、本票或者金融机构、担保机构出具的保函等非现金形式。                      </w:t>
      </w:r>
    </w:p>
    <w:p w14:paraId="3A9EF609">
      <w:pPr>
        <w:adjustRightInd w:val="0"/>
        <w:snapToGrid w:val="0"/>
        <w:spacing w:line="400" w:lineRule="exact"/>
        <w:ind w:firstLine="1365" w:firstLineChars="650"/>
        <w:rPr>
          <w:rFonts w:hint="default" w:ascii="Times New Roman" w:hAnsi="Times New Roman" w:cs="Times New Roman" w:eastAsiaTheme="minorEastAsia"/>
          <w:color w:val="auto"/>
          <w:u w:val="single"/>
          <w:lang w:eastAsia="zh-CN"/>
        </w:rPr>
      </w:pPr>
      <w:r>
        <w:rPr>
          <w:rFonts w:hint="default" w:ascii="Times New Roman" w:hAnsi="Times New Roman" w:cs="Times New Roman" w:eastAsiaTheme="minorEastAsia"/>
          <w:color w:val="auto"/>
          <w:lang w:eastAsia="zh-CN"/>
        </w:rPr>
        <w:t>收取履约保证金金额：</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u w:val="single"/>
          <w:lang w:val="en-US" w:eastAsia="zh-CN"/>
        </w:rPr>
        <w:t xml:space="preserve">  合同金额的5 %</w:t>
      </w:r>
      <w:r>
        <w:rPr>
          <w:rFonts w:hint="default" w:ascii="Times New Roman" w:hAnsi="Times New Roman" w:cs="Times New Roman" w:eastAsiaTheme="minorEastAsia"/>
          <w:color w:val="auto"/>
          <w:u w:val="single"/>
          <w:lang w:eastAsia="zh-CN"/>
        </w:rPr>
        <w:t xml:space="preserve">     </w:t>
      </w:r>
    </w:p>
    <w:p w14:paraId="18ABE21B">
      <w:pPr>
        <w:adjustRightInd w:val="0"/>
        <w:snapToGrid w:val="0"/>
        <w:spacing w:line="400" w:lineRule="exact"/>
        <w:ind w:firstLine="1260" w:firstLineChars="600"/>
        <w:rPr>
          <w:rFonts w:hint="default" w:ascii="Times New Roman" w:hAnsi="Times New Roman" w:cs="Times New Roman" w:eastAsiaTheme="minorEastAsia"/>
          <w:color w:val="auto"/>
          <w:u w:val="single"/>
          <w:lang w:val="en-US" w:eastAsia="zh-CN"/>
        </w:rPr>
      </w:pPr>
      <w:r>
        <w:rPr>
          <w:rFonts w:hint="default" w:ascii="Times New Roman" w:hAnsi="Times New Roman" w:cs="Times New Roman" w:eastAsiaTheme="minorEastAsia"/>
          <w:color w:val="auto"/>
          <w:lang w:val="en-US" w:eastAsia="zh-CN"/>
        </w:rPr>
        <w:t>履约担保期限</w:t>
      </w: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u w:val="single"/>
          <w:lang w:val="en-US" w:eastAsia="zh-CN"/>
        </w:rPr>
        <w:t>应当自本合同生效之日起至本项目验收合格之日止。</w:t>
      </w:r>
    </w:p>
    <w:p w14:paraId="372153A8">
      <w:pPr>
        <w:adjustRightInd w:val="0"/>
        <w:snapToGrid w:val="0"/>
        <w:spacing w:line="400" w:lineRule="exact"/>
        <w:ind w:firstLine="630" w:firstLineChars="300"/>
        <w:rPr>
          <w:rFonts w:hint="default" w:ascii="Times New Roman" w:hAnsi="Times New Roman" w:cs="Times New Roman" w:eastAsiaTheme="minorEastAsia"/>
          <w:color w:val="auto"/>
          <w:u w:val="single"/>
          <w:lang w:eastAsia="zh-CN"/>
        </w:rPr>
      </w:pPr>
      <w:r>
        <w:rPr>
          <w:rFonts w:hint="default" w:ascii="Times New Roman" w:hAnsi="Times New Roman" w:cs="Times New Roman" w:eastAsiaTheme="minorEastAsia"/>
          <w:color w:val="auto"/>
          <w:lang w:eastAsia="zh-CN"/>
        </w:rPr>
        <w:t xml:space="preserve">（4）分期履行要求： </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u w:val="single"/>
          <w:lang w:eastAsia="zh-CN"/>
        </w:rPr>
        <w:t xml:space="preserve"> </w:t>
      </w:r>
    </w:p>
    <w:p w14:paraId="45FA8B3F">
      <w:pPr>
        <w:adjustRightInd w:val="0"/>
        <w:snapToGrid w:val="0"/>
        <w:spacing w:line="400" w:lineRule="exact"/>
        <w:ind w:firstLine="630" w:firstLineChars="300"/>
        <w:rPr>
          <w:rFonts w:hint="default" w:ascii="Times New Roman" w:hAnsi="Times New Roman" w:cs="Times New Roman" w:eastAsiaTheme="minorEastAsia"/>
          <w:color w:val="auto"/>
          <w:u w:val="single"/>
          <w:lang w:eastAsia="zh-CN"/>
        </w:rPr>
      </w:pPr>
      <w:r>
        <w:rPr>
          <w:rFonts w:hint="default" w:ascii="Times New Roman" w:hAnsi="Times New Roman" w:cs="Times New Roman" w:eastAsiaTheme="minorEastAsia"/>
          <w:color w:val="auto"/>
          <w:lang w:eastAsia="zh-CN"/>
        </w:rPr>
        <w:t>（5）风险处置措施和替代方案：</w:t>
      </w:r>
      <w:r>
        <w:rPr>
          <w:rFonts w:hint="default" w:ascii="Times New Roman" w:hAnsi="Times New Roman" w:cs="Times New Roman" w:eastAsiaTheme="minorEastAsia"/>
          <w:color w:val="auto"/>
          <w:u w:val="single"/>
          <w:lang w:eastAsia="zh-CN"/>
        </w:rPr>
        <w:t xml:space="preserve">                                     </w:t>
      </w:r>
    </w:p>
    <w:p w14:paraId="3BD6DCB8">
      <w:pPr>
        <w:numPr>
          <w:ilvl w:val="0"/>
          <w:numId w:val="13"/>
        </w:numPr>
        <w:adjustRightInd w:val="0"/>
        <w:snapToGrid w:val="0"/>
        <w:spacing w:line="400" w:lineRule="exact"/>
        <w:ind w:firstLine="422" w:firstLineChars="200"/>
        <w:rPr>
          <w:rFonts w:hint="default" w:ascii="Times New Roman" w:hAnsi="Times New Roman" w:cs="Times New Roman" w:eastAsiaTheme="minorEastAsia"/>
          <w:b/>
          <w:color w:val="auto"/>
        </w:rPr>
      </w:pPr>
      <w:r>
        <w:rPr>
          <w:rFonts w:hint="default" w:ascii="Times New Roman" w:hAnsi="Times New Roman" w:cs="Times New Roman" w:eastAsiaTheme="minorEastAsia"/>
          <w:b/>
          <w:color w:val="auto"/>
        </w:rPr>
        <w:t>合同验收</w:t>
      </w:r>
    </w:p>
    <w:p w14:paraId="14E0F8E1">
      <w:pPr>
        <w:numPr>
          <w:ilvl w:val="0"/>
          <w:numId w:val="15"/>
        </w:numPr>
        <w:adjustRightInd w:val="0"/>
        <w:snapToGrid w:val="0"/>
        <w:spacing w:line="360" w:lineRule="auto"/>
        <w:ind w:firstLine="420" w:firstLineChars="200"/>
        <w:rPr>
          <w:rFonts w:hint="default" w:ascii="Times New Roman" w:hAnsi="Times New Roman" w:cs="Times New Roman" w:eastAsiaTheme="minorEastAsia"/>
          <w:bCs/>
          <w:color w:val="auto"/>
          <w:lang w:eastAsia="zh-CN"/>
        </w:rPr>
      </w:pPr>
      <w:r>
        <w:rPr>
          <w:rFonts w:hint="default" w:ascii="Times New Roman" w:hAnsi="Times New Roman" w:cs="Times New Roman" w:eastAsiaTheme="minorEastAsia"/>
          <w:bCs/>
          <w:color w:val="auto"/>
          <w:lang w:eastAsia="zh-CN"/>
        </w:rPr>
        <w:t>验收组织方式：</w:t>
      </w:r>
      <w:r>
        <w:rPr>
          <w:rFonts w:hint="default" w:ascii="Times New Roman" w:hAnsi="Times New Roman" w:cs="Times New Roman" w:eastAsiaTheme="minorEastAsia"/>
          <w:b/>
          <w:bCs/>
          <w:color w:val="auto"/>
          <w:lang w:eastAsia="zh-CN"/>
        </w:rPr>
        <w:t xml:space="preserve"> </w:t>
      </w:r>
      <w:r>
        <w:rPr>
          <w:rFonts w:hint="default" w:ascii="Times New Roman" w:hAnsi="Times New Roman" w:cs="Times New Roman" w:eastAsiaTheme="minorEastAsia"/>
          <w:b/>
          <w:bCs/>
          <w:color w:val="auto"/>
        </w:rPr>
        <w:sym w:font="Wingdings" w:char="00A8"/>
      </w:r>
      <w:r>
        <w:rPr>
          <w:rFonts w:hint="default" w:ascii="Times New Roman" w:hAnsi="Times New Roman" w:cs="Times New Roman" w:eastAsiaTheme="minorEastAsia"/>
          <w:b/>
          <w:bCs/>
          <w:color w:val="auto"/>
          <w:lang w:eastAsia="zh-CN"/>
        </w:rPr>
        <w:t xml:space="preserve">自行组织 </w:t>
      </w:r>
      <w:r>
        <w:rPr>
          <w:rFonts w:hint="default" w:ascii="Times New Roman" w:hAnsi="Times New Roman" w:cs="Times New Roman" w:eastAsiaTheme="minorEastAsia"/>
          <w:b/>
          <w:bCs/>
          <w:color w:val="auto"/>
        </w:rPr>
        <w:sym w:font="Wingdings" w:char="00FE"/>
      </w:r>
      <w:r>
        <w:rPr>
          <w:rFonts w:hint="default" w:ascii="Times New Roman" w:hAnsi="Times New Roman" w:cs="Times New Roman" w:eastAsiaTheme="minorEastAsia"/>
          <w:b/>
          <w:bCs/>
          <w:color w:val="auto"/>
          <w:lang w:eastAsia="zh-CN"/>
        </w:rPr>
        <w:t>委托第三方组织</w:t>
      </w:r>
    </w:p>
    <w:p w14:paraId="4FA5CC85">
      <w:pPr>
        <w:adjustRightInd w:val="0"/>
        <w:snapToGrid w:val="0"/>
        <w:spacing w:line="360" w:lineRule="auto"/>
        <w:rPr>
          <w:rFonts w:hint="default" w:ascii="Times New Roman" w:hAnsi="Times New Roman" w:cs="Times New Roman" w:eastAsiaTheme="minorEastAsia"/>
          <w:bCs/>
          <w:color w:val="auto"/>
          <w:lang w:eastAsia="zh-CN"/>
        </w:rPr>
      </w:pPr>
      <w:r>
        <w:rPr>
          <w:rFonts w:hint="default" w:ascii="Times New Roman" w:hAnsi="Times New Roman" w:cs="Times New Roman" w:eastAsiaTheme="minorEastAsia"/>
          <w:bCs/>
          <w:color w:val="auto"/>
          <w:lang w:val="en-US" w:eastAsia="zh-CN"/>
        </w:rPr>
        <w:t xml:space="preserve">         </w:t>
      </w:r>
      <w:r>
        <w:rPr>
          <w:rFonts w:hint="default" w:ascii="Times New Roman" w:hAnsi="Times New Roman" w:cs="Times New Roman" w:eastAsiaTheme="minorEastAsia"/>
          <w:bCs/>
          <w:color w:val="auto"/>
          <w:lang w:eastAsia="zh-CN"/>
        </w:rPr>
        <w:t>验收主体：</w:t>
      </w:r>
      <w:r>
        <w:rPr>
          <w:rFonts w:hint="default" w:ascii="Times New Roman" w:hAnsi="Times New Roman" w:cs="Times New Roman" w:eastAsiaTheme="minorEastAsia"/>
          <w:bCs/>
          <w:color w:val="auto"/>
          <w:u w:val="single"/>
          <w:lang w:eastAsia="zh-CN"/>
        </w:rPr>
        <w:t xml:space="preserve">   </w:t>
      </w:r>
      <w:r>
        <w:rPr>
          <w:rFonts w:hint="default" w:ascii="Times New Roman" w:hAnsi="Times New Roman" w:cs="Times New Roman" w:eastAsiaTheme="minorEastAsia"/>
          <w:bCs/>
          <w:color w:val="auto"/>
          <w:u w:val="single"/>
          <w:lang w:val="en-US" w:eastAsia="zh-CN"/>
        </w:rPr>
        <w:t xml:space="preserve"> 郑州铁路职业技术学院  </w:t>
      </w:r>
      <w:r>
        <w:rPr>
          <w:rFonts w:hint="default" w:ascii="Times New Roman" w:hAnsi="Times New Roman" w:cs="Times New Roman" w:eastAsiaTheme="minorEastAsia"/>
          <w:bCs/>
          <w:color w:val="auto"/>
          <w:u w:val="single"/>
          <w:lang w:eastAsia="zh-CN"/>
        </w:rPr>
        <w:t xml:space="preserve">       </w:t>
      </w:r>
    </w:p>
    <w:p w14:paraId="76DE3155">
      <w:pPr>
        <w:adjustRightInd w:val="0"/>
        <w:snapToGrid w:val="0"/>
        <w:spacing w:line="360" w:lineRule="auto"/>
        <w:rPr>
          <w:rFonts w:hint="default" w:ascii="Times New Roman" w:hAnsi="Times New Roman" w:cs="Times New Roman" w:eastAsiaTheme="minorEastAsia"/>
          <w:bCs/>
          <w:color w:val="auto"/>
          <w:lang w:eastAsia="zh-CN"/>
        </w:rPr>
      </w:pPr>
      <w:r>
        <w:rPr>
          <w:rFonts w:hint="default" w:ascii="Times New Roman" w:hAnsi="Times New Roman" w:cs="Times New Roman" w:eastAsiaTheme="minorEastAsia"/>
          <w:bCs/>
          <w:color w:val="auto"/>
          <w:lang w:val="en-US" w:eastAsia="zh-CN"/>
        </w:rPr>
        <w:t xml:space="preserve">        </w:t>
      </w:r>
      <w:r>
        <w:rPr>
          <w:rFonts w:hint="default" w:ascii="Times New Roman" w:hAnsi="Times New Roman" w:cs="Times New Roman" w:eastAsiaTheme="minorEastAsia"/>
          <w:bCs/>
          <w:color w:val="auto"/>
          <w:lang w:eastAsia="zh-CN"/>
        </w:rPr>
        <w:t>是否邀请本项目的其他供应商参加验收：</w:t>
      </w: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bCs/>
          <w:color w:val="auto"/>
          <w:lang w:eastAsia="zh-CN"/>
        </w:rPr>
        <w:t xml:space="preserve">是  </w:t>
      </w:r>
      <w:r>
        <w:rPr>
          <w:rFonts w:hint="default" w:ascii="Times New Roman" w:hAnsi="Times New Roman" w:cs="Times New Roman" w:eastAsiaTheme="minorEastAsia"/>
          <w:color w:val="auto"/>
        </w:rPr>
        <w:sym w:font="Wingdings" w:char="00FE"/>
      </w:r>
      <w:r>
        <w:rPr>
          <w:rFonts w:hint="default" w:ascii="Times New Roman" w:hAnsi="Times New Roman" w:cs="Times New Roman" w:eastAsiaTheme="minorEastAsia"/>
          <w:bCs/>
          <w:color w:val="auto"/>
          <w:lang w:eastAsia="zh-CN"/>
        </w:rPr>
        <w:t>否</w:t>
      </w:r>
    </w:p>
    <w:p w14:paraId="72D8D09F">
      <w:pPr>
        <w:adjustRightInd w:val="0"/>
        <w:snapToGrid w:val="0"/>
        <w:spacing w:line="360" w:lineRule="auto"/>
        <w:ind w:firstLine="840" w:firstLineChars="400"/>
        <w:rPr>
          <w:rFonts w:hint="default" w:ascii="Times New Roman" w:hAnsi="Times New Roman" w:cs="Times New Roman" w:eastAsiaTheme="minorEastAsia"/>
          <w:bCs/>
          <w:color w:val="auto"/>
          <w:lang w:eastAsia="zh-CN"/>
        </w:rPr>
      </w:pPr>
      <w:r>
        <w:rPr>
          <w:rFonts w:hint="default" w:ascii="Times New Roman" w:hAnsi="Times New Roman" w:cs="Times New Roman" w:eastAsiaTheme="minorEastAsia"/>
          <w:bCs/>
          <w:color w:val="auto"/>
          <w:lang w:eastAsia="zh-CN"/>
        </w:rPr>
        <w:t>是否邀请专家参加验收：</w:t>
      </w: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bCs/>
          <w:color w:val="auto"/>
          <w:lang w:eastAsia="zh-CN"/>
        </w:rPr>
        <w:t xml:space="preserve">是  </w:t>
      </w:r>
      <w:r>
        <w:rPr>
          <w:rFonts w:hint="default" w:ascii="Times New Roman" w:hAnsi="Times New Roman" w:cs="Times New Roman" w:eastAsiaTheme="minorEastAsia"/>
          <w:color w:val="auto"/>
        </w:rPr>
        <w:sym w:font="Wingdings" w:char="00FE"/>
      </w:r>
      <w:r>
        <w:rPr>
          <w:rFonts w:hint="default" w:ascii="Times New Roman" w:hAnsi="Times New Roman" w:cs="Times New Roman" w:eastAsiaTheme="minorEastAsia"/>
          <w:bCs/>
          <w:color w:val="auto"/>
          <w:lang w:eastAsia="zh-CN"/>
        </w:rPr>
        <w:t>否</w:t>
      </w:r>
    </w:p>
    <w:p w14:paraId="0BAF348C">
      <w:pPr>
        <w:adjustRightInd w:val="0"/>
        <w:snapToGrid w:val="0"/>
        <w:spacing w:line="360" w:lineRule="auto"/>
        <w:ind w:firstLine="840" w:firstLineChars="400"/>
        <w:rPr>
          <w:rFonts w:hint="default" w:ascii="Times New Roman" w:hAnsi="Times New Roman" w:cs="Times New Roman" w:eastAsiaTheme="minorEastAsia"/>
          <w:bCs/>
          <w:color w:val="auto"/>
          <w:lang w:eastAsia="zh-CN"/>
        </w:rPr>
      </w:pPr>
      <w:r>
        <w:rPr>
          <w:rFonts w:hint="default" w:ascii="Times New Roman" w:hAnsi="Times New Roman" w:cs="Times New Roman" w:eastAsiaTheme="minorEastAsia"/>
          <w:bCs/>
          <w:color w:val="auto"/>
          <w:lang w:eastAsia="zh-CN"/>
        </w:rPr>
        <w:t>是否邀请服务对象参加验收：</w:t>
      </w: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bCs/>
          <w:color w:val="auto"/>
          <w:lang w:eastAsia="zh-CN"/>
        </w:rPr>
        <w:t xml:space="preserve">是  </w:t>
      </w:r>
      <w:r>
        <w:rPr>
          <w:rFonts w:hint="default" w:ascii="Times New Roman" w:hAnsi="Times New Roman" w:cs="Times New Roman" w:eastAsiaTheme="minorEastAsia"/>
          <w:color w:val="auto"/>
        </w:rPr>
        <w:sym w:font="Wingdings" w:char="00FE"/>
      </w:r>
      <w:r>
        <w:rPr>
          <w:rFonts w:hint="default" w:ascii="Times New Roman" w:hAnsi="Times New Roman" w:cs="Times New Roman" w:eastAsiaTheme="minorEastAsia"/>
          <w:bCs/>
          <w:color w:val="auto"/>
          <w:lang w:eastAsia="zh-CN"/>
        </w:rPr>
        <w:t>否</w:t>
      </w:r>
    </w:p>
    <w:p w14:paraId="4F7D7987">
      <w:pPr>
        <w:adjustRightInd w:val="0"/>
        <w:snapToGrid w:val="0"/>
        <w:spacing w:line="360" w:lineRule="auto"/>
        <w:ind w:firstLine="840" w:firstLineChars="400"/>
        <w:rPr>
          <w:rFonts w:hint="default" w:ascii="Times New Roman" w:hAnsi="Times New Roman" w:cs="Times New Roman" w:eastAsiaTheme="minorEastAsia"/>
          <w:bCs/>
          <w:color w:val="auto"/>
          <w:lang w:eastAsia="zh-CN"/>
        </w:rPr>
      </w:pPr>
      <w:r>
        <w:rPr>
          <w:rFonts w:hint="default" w:ascii="Times New Roman" w:hAnsi="Times New Roman" w:cs="Times New Roman" w:eastAsiaTheme="minorEastAsia"/>
          <w:bCs/>
          <w:color w:val="auto"/>
          <w:lang w:eastAsia="zh-CN"/>
        </w:rPr>
        <w:t>是否邀请第三方检测机构参加验收：</w:t>
      </w:r>
      <w:r>
        <w:rPr>
          <w:rFonts w:hint="default" w:ascii="Times New Roman" w:hAnsi="Times New Roman" w:cs="Times New Roman" w:eastAsiaTheme="minorEastAsia"/>
          <w:color w:val="auto"/>
          <w:lang w:eastAsia="zh-CN"/>
        </w:rPr>
        <w:t xml:space="preserve"> </w:t>
      </w:r>
      <w:r>
        <w:rPr>
          <w:rFonts w:hint="default" w:ascii="Times New Roman" w:hAnsi="Times New Roman" w:cs="Times New Roman" w:eastAsiaTheme="minorEastAsia"/>
          <w:color w:val="auto"/>
        </w:rPr>
        <w:sym w:font="Wingdings" w:char="00FE"/>
      </w:r>
      <w:r>
        <w:rPr>
          <w:rFonts w:hint="default" w:ascii="Times New Roman" w:hAnsi="Times New Roman" w:cs="Times New Roman" w:eastAsiaTheme="minorEastAsia"/>
          <w:bCs/>
          <w:color w:val="auto"/>
          <w:lang w:eastAsia="zh-CN"/>
        </w:rPr>
        <w:t xml:space="preserve">是  </w:t>
      </w: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bCs/>
          <w:color w:val="auto"/>
          <w:lang w:eastAsia="zh-CN"/>
        </w:rPr>
        <w:t>否</w:t>
      </w:r>
    </w:p>
    <w:p w14:paraId="3267E6EA">
      <w:pPr>
        <w:pStyle w:val="70"/>
        <w:adjustRightInd w:val="0"/>
        <w:snapToGrid w:val="0"/>
        <w:spacing w:line="360" w:lineRule="auto"/>
        <w:ind w:firstLine="723" w:firstLineChars="300"/>
        <w:rPr>
          <w:rFonts w:hint="default" w:ascii="Times New Roman" w:hAnsi="Times New Roman" w:cs="Times New Roman" w:eastAsiaTheme="minorEastAsia"/>
          <w:bCs/>
          <w:color w:val="auto"/>
          <w:lang w:eastAsia="zh-CN"/>
        </w:rPr>
      </w:pPr>
      <w:r>
        <w:rPr>
          <w:rFonts w:hint="default" w:ascii="Times New Roman" w:hAnsi="Times New Roman" w:cs="Times New Roman" w:eastAsiaTheme="minorEastAsia"/>
          <w:b/>
          <w:bCs w:val="0"/>
          <w:strike w:val="0"/>
          <w:dstrike w:val="0"/>
          <w:color w:val="auto"/>
          <w:kern w:val="2"/>
          <w:sz w:val="24"/>
          <w:szCs w:val="24"/>
          <w:lang w:val="zh-TW" w:eastAsia="zh-CN" w:bidi="ar-SA"/>
        </w:rPr>
        <w:t>第三方验收，检测费用约为成交价格的1.6%，由成交供应商支付。</w:t>
      </w:r>
    </w:p>
    <w:p w14:paraId="19AB8D4C">
      <w:pPr>
        <w:adjustRightInd w:val="0"/>
        <w:snapToGrid w:val="0"/>
        <w:spacing w:line="400" w:lineRule="exact"/>
        <w:ind w:firstLine="840" w:firstLineChars="400"/>
        <w:rPr>
          <w:rFonts w:hint="default" w:ascii="Times New Roman" w:hAnsi="Times New Roman" w:cs="Times New Roman" w:eastAsiaTheme="minorEastAsia"/>
          <w:bCs/>
          <w:color w:val="auto"/>
          <w:lang w:eastAsia="zh-CN"/>
        </w:rPr>
      </w:pPr>
      <w:r>
        <w:rPr>
          <w:rFonts w:hint="default" w:ascii="Times New Roman" w:hAnsi="Times New Roman" w:cs="Times New Roman" w:eastAsiaTheme="minorEastAsia"/>
          <w:bCs/>
          <w:color w:val="auto"/>
          <w:lang w:eastAsia="zh-CN"/>
        </w:rPr>
        <w:t>是否进行抽查检测：</w:t>
      </w: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bCs/>
          <w:color w:val="auto"/>
          <w:lang w:eastAsia="zh-CN"/>
        </w:rPr>
        <w:t>是，抽查比例：</w:t>
      </w:r>
      <w:r>
        <w:rPr>
          <w:rFonts w:hint="default" w:ascii="Times New Roman" w:hAnsi="Times New Roman" w:cs="Times New Roman" w:eastAsiaTheme="minorEastAsia"/>
          <w:bCs/>
          <w:color w:val="auto"/>
          <w:u w:val="single"/>
          <w:lang w:eastAsia="zh-CN"/>
        </w:rPr>
        <w:t xml:space="preserve">   </w:t>
      </w:r>
      <w:r>
        <w:rPr>
          <w:rFonts w:hint="default" w:ascii="Times New Roman" w:hAnsi="Times New Roman" w:cs="Times New Roman" w:eastAsiaTheme="minorEastAsia"/>
          <w:bCs/>
          <w:color w:val="auto"/>
          <w:u w:val="single"/>
          <w:lang w:val="en-US" w:eastAsia="zh-CN"/>
        </w:rPr>
        <w:t xml:space="preserve">     </w:t>
      </w:r>
      <w:r>
        <w:rPr>
          <w:rFonts w:hint="default" w:ascii="Times New Roman" w:hAnsi="Times New Roman" w:cs="Times New Roman" w:eastAsiaTheme="minorEastAsia"/>
          <w:bCs/>
          <w:color w:val="auto"/>
          <w:lang w:eastAsia="zh-CN"/>
        </w:rPr>
        <w:t xml:space="preserve"> </w:t>
      </w:r>
      <w:r>
        <w:rPr>
          <w:rFonts w:hint="default" w:ascii="Times New Roman" w:hAnsi="Times New Roman" w:cs="Times New Roman" w:eastAsiaTheme="minorEastAsia"/>
          <w:color w:val="auto"/>
        </w:rPr>
        <w:sym w:font="Wingdings" w:char="00FE"/>
      </w:r>
      <w:r>
        <w:rPr>
          <w:rFonts w:hint="default" w:ascii="Times New Roman" w:hAnsi="Times New Roman" w:cs="Times New Roman" w:eastAsiaTheme="minorEastAsia"/>
          <w:bCs/>
          <w:color w:val="auto"/>
          <w:lang w:eastAsia="zh-CN"/>
        </w:rPr>
        <w:t>否</w:t>
      </w:r>
    </w:p>
    <w:p w14:paraId="02B66378">
      <w:pPr>
        <w:adjustRightInd w:val="0"/>
        <w:snapToGrid w:val="0"/>
        <w:spacing w:line="400" w:lineRule="exact"/>
        <w:ind w:firstLine="840" w:firstLineChars="400"/>
        <w:rPr>
          <w:rFonts w:hint="default" w:ascii="Times New Roman" w:hAnsi="Times New Roman" w:cs="Times New Roman" w:eastAsiaTheme="minorEastAsia"/>
          <w:bCs/>
          <w:color w:val="auto"/>
          <w:u w:val="single"/>
          <w:lang w:eastAsia="zh-CN"/>
        </w:rPr>
      </w:pPr>
      <w:r>
        <w:rPr>
          <w:rFonts w:hint="default" w:ascii="Times New Roman" w:hAnsi="Times New Roman" w:cs="Times New Roman" w:eastAsiaTheme="minorEastAsia"/>
          <w:bCs/>
          <w:color w:val="auto"/>
          <w:lang w:val="en-US" w:eastAsia="zh-CN"/>
        </w:rPr>
        <w:t>是否存在破坏性检测：</w:t>
      </w: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bCs/>
          <w:color w:val="auto"/>
          <w:lang w:eastAsia="zh-CN"/>
        </w:rPr>
        <w:t>是，</w:t>
      </w:r>
      <w:r>
        <w:rPr>
          <w:rFonts w:hint="default" w:ascii="Times New Roman" w:hAnsi="Times New Roman" w:cs="Times New Roman" w:eastAsiaTheme="minorEastAsia"/>
          <w:bCs/>
          <w:color w:val="auto"/>
          <w:u w:val="single"/>
          <w:lang w:eastAsia="zh-CN"/>
        </w:rPr>
        <w:t>（应明确对被破坏的检测产品的处理方式）</w:t>
      </w:r>
    </w:p>
    <w:p w14:paraId="3DABE762">
      <w:pPr>
        <w:adjustRightInd w:val="0"/>
        <w:snapToGrid w:val="0"/>
        <w:spacing w:line="400" w:lineRule="exact"/>
        <w:ind w:firstLine="840" w:firstLineChars="400"/>
        <w:rPr>
          <w:rFonts w:hint="default" w:ascii="Times New Roman" w:hAnsi="Times New Roman" w:cs="Times New Roman" w:eastAsiaTheme="minorEastAsia"/>
          <w:bCs/>
          <w:color w:val="auto"/>
          <w:lang w:eastAsia="zh-CN"/>
        </w:rPr>
      </w:pPr>
      <w:r>
        <w:rPr>
          <w:rFonts w:hint="default" w:ascii="Times New Roman" w:hAnsi="Times New Roman" w:cs="Times New Roman" w:eastAsiaTheme="minorEastAsia"/>
          <w:bCs/>
          <w:color w:val="auto"/>
          <w:lang w:val="en-US" w:eastAsia="zh-CN"/>
        </w:rPr>
        <w:t xml:space="preserve">                    </w:t>
      </w:r>
      <w:r>
        <w:rPr>
          <w:rFonts w:hint="default" w:ascii="Times New Roman" w:hAnsi="Times New Roman" w:cs="Times New Roman" w:eastAsiaTheme="minorEastAsia"/>
          <w:color w:val="auto"/>
        </w:rPr>
        <w:sym w:font="Wingdings" w:char="00FE"/>
      </w:r>
      <w:r>
        <w:rPr>
          <w:rFonts w:hint="default" w:ascii="Times New Roman" w:hAnsi="Times New Roman" w:cs="Times New Roman" w:eastAsiaTheme="minorEastAsia"/>
          <w:bCs/>
          <w:color w:val="auto"/>
          <w:lang w:eastAsia="zh-CN"/>
        </w:rPr>
        <w:t>否</w:t>
      </w:r>
    </w:p>
    <w:p w14:paraId="45CAE1ED">
      <w:pPr>
        <w:adjustRightInd w:val="0"/>
        <w:snapToGrid w:val="0"/>
        <w:spacing w:line="400" w:lineRule="exact"/>
        <w:ind w:firstLine="840" w:firstLineChars="400"/>
        <w:rPr>
          <w:rFonts w:hint="default" w:ascii="Times New Roman" w:hAnsi="Times New Roman" w:cs="Times New Roman" w:eastAsiaTheme="minorEastAsia"/>
          <w:bCs/>
          <w:color w:val="auto"/>
          <w:u w:val="single"/>
          <w:lang w:eastAsia="zh-CN"/>
        </w:rPr>
      </w:pPr>
      <w:r>
        <w:rPr>
          <w:rFonts w:hint="default" w:ascii="Times New Roman" w:hAnsi="Times New Roman" w:cs="Times New Roman" w:eastAsiaTheme="minorEastAsia"/>
          <w:bCs/>
          <w:color w:val="auto"/>
          <w:lang w:eastAsia="zh-CN"/>
        </w:rPr>
        <w:t>验收组织的其他事项：</w:t>
      </w:r>
      <w:r>
        <w:rPr>
          <w:rFonts w:hint="default" w:ascii="Times New Roman" w:hAnsi="Times New Roman" w:cs="Times New Roman" w:eastAsiaTheme="minorEastAsia"/>
          <w:bCs/>
          <w:color w:val="auto"/>
          <w:u w:val="single"/>
          <w:lang w:eastAsia="zh-CN"/>
        </w:rPr>
        <w:t xml:space="preserve">    </w:t>
      </w:r>
      <w:r>
        <w:rPr>
          <w:rFonts w:hint="default" w:ascii="Times New Roman" w:hAnsi="Times New Roman" w:cs="Times New Roman" w:eastAsiaTheme="minorEastAsia"/>
          <w:bCs/>
          <w:color w:val="auto"/>
          <w:u w:val="single"/>
          <w:lang w:val="en-US" w:eastAsia="zh-CN"/>
        </w:rPr>
        <w:t>无</w:t>
      </w:r>
      <w:r>
        <w:rPr>
          <w:rFonts w:hint="default" w:ascii="Times New Roman" w:hAnsi="Times New Roman" w:cs="Times New Roman" w:eastAsiaTheme="minorEastAsia"/>
          <w:bCs/>
          <w:color w:val="auto"/>
          <w:u w:val="single"/>
          <w:lang w:eastAsia="zh-CN"/>
        </w:rPr>
        <w:t xml:space="preserve">      </w:t>
      </w:r>
    </w:p>
    <w:p w14:paraId="089D18E7">
      <w:pPr>
        <w:adjustRightInd w:val="0"/>
        <w:snapToGrid w:val="0"/>
        <w:spacing w:line="400" w:lineRule="exact"/>
        <w:ind w:firstLine="420" w:firstLineChars="200"/>
        <w:rPr>
          <w:rFonts w:hint="default" w:ascii="Times New Roman" w:hAnsi="Times New Roman" w:cs="Times New Roman" w:eastAsiaTheme="minorEastAsia"/>
          <w:bCs/>
          <w:color w:val="auto"/>
          <w:u w:val="single"/>
          <w:lang w:eastAsia="zh-CN"/>
        </w:rPr>
      </w:pPr>
      <w:r>
        <w:rPr>
          <w:rFonts w:hint="default" w:ascii="Times New Roman" w:hAnsi="Times New Roman" w:cs="Times New Roman" w:eastAsiaTheme="minorEastAsia"/>
          <w:bCs/>
          <w:color w:val="auto"/>
          <w:lang w:eastAsia="zh-CN"/>
        </w:rPr>
        <w:t>（2）履约验收时间：</w:t>
      </w:r>
      <w:r>
        <w:rPr>
          <w:rFonts w:hint="default" w:ascii="Times New Roman" w:hAnsi="Times New Roman" w:cs="Times New Roman" w:eastAsiaTheme="minorEastAsia"/>
          <w:bCs/>
          <w:color w:val="auto"/>
          <w:u w:val="single"/>
          <w:lang w:eastAsia="zh-CN"/>
        </w:rPr>
        <w:t>（计划于何时验收/供应商提出验收申请之日起</w:t>
      </w:r>
      <w:r>
        <w:rPr>
          <w:rFonts w:hint="default" w:ascii="Times New Roman" w:hAnsi="Times New Roman" w:cs="Times New Roman" w:eastAsiaTheme="minorEastAsia"/>
          <w:bCs/>
          <w:color w:val="auto"/>
          <w:u w:val="single"/>
          <w:lang w:val="en-US" w:eastAsia="zh-CN"/>
        </w:rPr>
        <w:t>7</w:t>
      </w:r>
      <w:r>
        <w:rPr>
          <w:rFonts w:hint="default" w:ascii="Times New Roman" w:hAnsi="Times New Roman" w:cs="Times New Roman" w:eastAsiaTheme="minorEastAsia"/>
          <w:bCs/>
          <w:color w:val="auto"/>
          <w:u w:val="single"/>
          <w:lang w:eastAsia="zh-CN"/>
        </w:rPr>
        <w:t>日内组织验收）</w:t>
      </w:r>
      <w:r>
        <w:rPr>
          <w:rFonts w:hint="default" w:ascii="Times New Roman" w:hAnsi="Times New Roman" w:cs="Times New Roman" w:eastAsiaTheme="minorEastAsia"/>
          <w:bCs/>
          <w:color w:val="auto"/>
          <w:u w:val="single"/>
          <w:lang w:val="en-US" w:eastAsia="zh-CN"/>
        </w:rPr>
        <w:t xml:space="preserve"> </w:t>
      </w:r>
    </w:p>
    <w:p w14:paraId="57FDA935">
      <w:pPr>
        <w:adjustRightInd w:val="0"/>
        <w:snapToGrid w:val="0"/>
        <w:spacing w:line="400" w:lineRule="exact"/>
        <w:ind w:firstLine="420" w:firstLineChars="200"/>
        <w:rPr>
          <w:rFonts w:hint="default" w:ascii="Times New Roman" w:hAnsi="Times New Roman" w:cs="Times New Roman" w:eastAsiaTheme="minorEastAsia"/>
          <w:bCs/>
          <w:color w:val="auto"/>
          <w:lang w:eastAsia="zh-CN"/>
        </w:rPr>
      </w:pPr>
      <w:r>
        <w:rPr>
          <w:rFonts w:hint="default" w:ascii="Times New Roman" w:hAnsi="Times New Roman" w:cs="Times New Roman" w:eastAsiaTheme="minorEastAsia"/>
          <w:bCs/>
          <w:color w:val="auto"/>
          <w:lang w:eastAsia="zh-CN"/>
        </w:rPr>
        <w:t>（3）履约验收方式：</w:t>
      </w:r>
      <w:r>
        <w:rPr>
          <w:rFonts w:hint="default" w:ascii="Times New Roman" w:hAnsi="Times New Roman" w:cs="Times New Roman" w:eastAsiaTheme="minorEastAsia"/>
          <w:color w:val="auto"/>
          <w:lang w:eastAsia="zh-CN"/>
        </w:rPr>
        <w:t xml:space="preserve"> </w:t>
      </w:r>
      <w:r>
        <w:rPr>
          <w:rFonts w:hint="default" w:ascii="Times New Roman" w:hAnsi="Times New Roman" w:cs="Times New Roman" w:eastAsiaTheme="minorEastAsia"/>
          <w:color w:val="auto"/>
        </w:rPr>
        <w:sym w:font="Wingdings" w:char="00FE"/>
      </w:r>
      <w:r>
        <w:rPr>
          <w:rFonts w:hint="default" w:ascii="Times New Roman" w:hAnsi="Times New Roman" w:cs="Times New Roman" w:eastAsiaTheme="minorEastAsia"/>
          <w:bCs/>
          <w:color w:val="auto"/>
          <w:lang w:eastAsia="zh-CN"/>
        </w:rPr>
        <w:t xml:space="preserve">一次性验收         </w:t>
      </w:r>
    </w:p>
    <w:p w14:paraId="3878DF8E">
      <w:pPr>
        <w:adjustRightInd w:val="0"/>
        <w:snapToGrid w:val="0"/>
        <w:spacing w:line="400" w:lineRule="exact"/>
        <w:rPr>
          <w:rFonts w:hint="default" w:ascii="Times New Roman" w:hAnsi="Times New Roman" w:cs="Times New Roman" w:eastAsiaTheme="minorEastAsia"/>
          <w:bCs/>
          <w:color w:val="auto"/>
          <w:lang w:val="en-US" w:eastAsia="zh-CN"/>
        </w:rPr>
      </w:pPr>
      <w:r>
        <w:rPr>
          <w:rFonts w:hint="default" w:ascii="Times New Roman" w:hAnsi="Times New Roman" w:cs="Times New Roman" w:eastAsiaTheme="minorEastAsia"/>
          <w:bCs/>
          <w:color w:val="auto"/>
          <w:lang w:val="en-US" w:eastAsia="zh-CN"/>
        </w:rPr>
        <w:t xml:space="preserve">                        </w:t>
      </w:r>
      <w:r>
        <w:rPr>
          <w:rFonts w:hint="default" w:ascii="Times New Roman" w:hAnsi="Times New Roman" w:cs="Times New Roman" w:eastAsiaTheme="minorEastAsia"/>
          <w:color w:val="auto"/>
        </w:rPr>
        <w:sym w:font="Wingdings" w:char="00A8"/>
      </w:r>
      <w:r>
        <w:rPr>
          <w:rFonts w:hint="default" w:ascii="Times New Roman" w:hAnsi="Times New Roman" w:cs="Times New Roman" w:eastAsiaTheme="minorEastAsia"/>
          <w:bCs/>
          <w:color w:val="auto"/>
          <w:lang w:eastAsia="zh-CN"/>
        </w:rPr>
        <w:t>分期/分项验收： （应明确分期</w:t>
      </w:r>
      <w:r>
        <w:rPr>
          <w:rFonts w:hint="default" w:ascii="Times New Roman" w:hAnsi="Times New Roman" w:cs="Times New Roman" w:eastAsiaTheme="minorEastAsia"/>
          <w:bCs/>
          <w:color w:val="auto"/>
          <w:lang w:val="en" w:eastAsia="zh-CN"/>
        </w:rPr>
        <w:t>/分项验收的工作安排</w:t>
      </w:r>
      <w:r>
        <w:rPr>
          <w:rFonts w:hint="default" w:ascii="Times New Roman" w:hAnsi="Times New Roman" w:cs="Times New Roman" w:eastAsiaTheme="minorEastAsia"/>
          <w:bCs/>
          <w:color w:val="auto"/>
          <w:lang w:eastAsia="zh-CN"/>
        </w:rPr>
        <w:t xml:space="preserve">） </w:t>
      </w:r>
      <w:r>
        <w:rPr>
          <w:rFonts w:hint="default" w:ascii="Times New Roman" w:hAnsi="Times New Roman" w:cs="Times New Roman" w:eastAsiaTheme="minorEastAsia"/>
          <w:bCs/>
          <w:color w:val="auto"/>
          <w:lang w:val="en-US" w:eastAsia="zh-CN"/>
        </w:rPr>
        <w:t xml:space="preserve"> </w:t>
      </w:r>
    </w:p>
    <w:p w14:paraId="1BE12F74">
      <w:pPr>
        <w:adjustRightInd w:val="0"/>
        <w:snapToGrid w:val="0"/>
        <w:spacing w:line="400" w:lineRule="exact"/>
        <w:ind w:firstLine="420" w:firstLineChars="200"/>
        <w:rPr>
          <w:rFonts w:hint="default" w:ascii="Times New Roman" w:hAnsi="Times New Roman" w:cs="Times New Roman" w:eastAsiaTheme="minorEastAsia"/>
          <w:bCs/>
          <w:color w:val="auto"/>
          <w:lang w:val="en-US" w:eastAsia="zh-CN"/>
        </w:rPr>
      </w:pPr>
      <w:r>
        <w:rPr>
          <w:rFonts w:hint="default" w:ascii="Times New Roman" w:hAnsi="Times New Roman" w:cs="Times New Roman" w:eastAsiaTheme="minorEastAsia"/>
          <w:bCs/>
          <w:color w:val="auto"/>
          <w:lang w:eastAsia="zh-CN"/>
        </w:rPr>
        <w:t>（4）履约验收程序：</w:t>
      </w:r>
      <w:r>
        <w:rPr>
          <w:rFonts w:hint="default" w:ascii="Times New Roman" w:hAnsi="Times New Roman" w:cs="Times New Roman" w:eastAsiaTheme="minorEastAsia"/>
          <w:bCs/>
          <w:color w:val="auto"/>
          <w:lang w:val="en-US" w:eastAsia="zh-CN"/>
        </w:rPr>
        <w:t>1.到货验收。到货后，检查仪器设备内外包装是否完好，有无破损、碰伤、浸湿、受潮、 变形等情况。确认所验收货物件数与运输单据填写的件数一致。如发现上述问题，应做详细记录， 并拍照留据。</w:t>
      </w:r>
    </w:p>
    <w:p w14:paraId="32D08DF3">
      <w:pPr>
        <w:adjustRightInd w:val="0"/>
        <w:snapToGrid w:val="0"/>
        <w:spacing w:line="400" w:lineRule="exact"/>
        <w:ind w:firstLine="420" w:firstLineChars="200"/>
        <w:rPr>
          <w:rFonts w:hint="default" w:ascii="Times New Roman" w:hAnsi="Times New Roman" w:cs="Times New Roman" w:eastAsiaTheme="minorEastAsia"/>
          <w:bCs/>
          <w:color w:val="auto"/>
          <w:lang w:val="en-US" w:eastAsia="zh-CN"/>
        </w:rPr>
      </w:pPr>
      <w:r>
        <w:rPr>
          <w:rFonts w:hint="default" w:ascii="Times New Roman" w:hAnsi="Times New Roman" w:cs="Times New Roman" w:eastAsiaTheme="minorEastAsia"/>
          <w:bCs/>
          <w:color w:val="auto"/>
          <w:lang w:val="en-US" w:eastAsia="zh-CN"/>
        </w:rPr>
        <w:t>2.开箱(实物及数量参数)验收。到货后开箱检查仪器设备及附件外表有无残损、锈蚀、碰伤等，检查随机资料是否齐全，如仪器说明书、操作规程、检修手册、产品检验合格证书等。以装箱单为依据，逐件核对检查主机、附件的规格、型号、配置及数量。以供货合同为依据与装箱单 进行核对， 做好货物(设备)验收清单记录。</w:t>
      </w:r>
    </w:p>
    <w:p w14:paraId="216E5F92">
      <w:pPr>
        <w:adjustRightInd w:val="0"/>
        <w:snapToGrid w:val="0"/>
        <w:spacing w:line="400" w:lineRule="exact"/>
        <w:ind w:firstLine="420" w:firstLineChars="200"/>
        <w:rPr>
          <w:rFonts w:hint="default" w:ascii="Times New Roman" w:hAnsi="Times New Roman" w:cs="Times New Roman" w:eastAsiaTheme="minorEastAsia"/>
          <w:bCs/>
          <w:color w:val="auto"/>
          <w:lang w:val="en-US" w:eastAsia="zh-CN"/>
        </w:rPr>
      </w:pPr>
      <w:r>
        <w:rPr>
          <w:rFonts w:hint="default" w:ascii="Times New Roman" w:hAnsi="Times New Roman" w:cs="Times New Roman" w:eastAsiaTheme="minorEastAsia"/>
          <w:bCs/>
          <w:color w:val="auto"/>
          <w:lang w:val="en-US" w:eastAsia="zh-CN"/>
        </w:rPr>
        <w:t>3.质量验收。按照合同条款、货物(设备) 使用说明书及操作手册的规定和程序进行安装、 调试后进行质量验收，乙方技术人员参加，必要时可委托有资质的第三方(或政府主管部门)进行验收， 所需费用由乙方承担。验收时对照货物(设备)使用说明书，进行各种技术参数测试，检查仪 器的技术指标和性能是否达到要求，做好质量验收记录， 验收结束出具验收报告。若仪器出现质量 问题， 应将详细情况书面通知供应商。</w:t>
      </w:r>
    </w:p>
    <w:p w14:paraId="2D8D8FD2">
      <w:pPr>
        <w:adjustRightInd w:val="0"/>
        <w:snapToGrid w:val="0"/>
        <w:spacing w:line="400" w:lineRule="exact"/>
        <w:ind w:firstLine="420" w:firstLineChars="200"/>
        <w:rPr>
          <w:rFonts w:hint="default" w:ascii="Times New Roman" w:hAnsi="Times New Roman" w:cs="Times New Roman" w:eastAsiaTheme="minorEastAsia"/>
          <w:bCs/>
          <w:color w:val="auto"/>
          <w:lang w:eastAsia="zh-CN"/>
        </w:rPr>
      </w:pPr>
      <w:r>
        <w:rPr>
          <w:rFonts w:hint="default" w:ascii="Times New Roman" w:hAnsi="Times New Roman" w:cs="Times New Roman" w:eastAsiaTheme="minorEastAsia"/>
          <w:bCs/>
          <w:color w:val="auto"/>
          <w:lang w:val="en-US" w:eastAsia="zh-CN"/>
        </w:rPr>
        <w:t xml:space="preserve">4.正式验收。使用单位初验合格后，由学校或第三方验收机构进行正式验收，验收所产生的费用由乙方承担。   </w:t>
      </w:r>
      <w:r>
        <w:rPr>
          <w:rFonts w:hint="default" w:ascii="Times New Roman" w:hAnsi="Times New Roman" w:cs="Times New Roman" w:eastAsiaTheme="minorEastAsia"/>
          <w:bCs/>
          <w:color w:val="auto"/>
          <w:lang w:eastAsia="zh-CN"/>
        </w:rPr>
        <w:t xml:space="preserve">   </w:t>
      </w:r>
    </w:p>
    <w:p w14:paraId="0FAA0FEF">
      <w:pPr>
        <w:adjustRightInd w:val="0"/>
        <w:snapToGrid w:val="0"/>
        <w:spacing w:line="400" w:lineRule="exact"/>
        <w:ind w:firstLine="420" w:firstLineChars="200"/>
        <w:rPr>
          <w:rFonts w:hint="default" w:ascii="Times New Roman" w:hAnsi="Times New Roman" w:cs="Times New Roman" w:eastAsiaTheme="minorEastAsia"/>
          <w:bCs/>
          <w:color w:val="auto"/>
          <w:lang w:eastAsia="zh-CN"/>
        </w:rPr>
      </w:pPr>
      <w:r>
        <w:rPr>
          <w:rFonts w:hint="default" w:ascii="Times New Roman" w:hAnsi="Times New Roman" w:cs="Times New Roman" w:eastAsiaTheme="minorEastAsia"/>
          <w:bCs/>
          <w:color w:val="auto"/>
          <w:lang w:eastAsia="zh-CN"/>
        </w:rPr>
        <w:t xml:space="preserve">（5）履约验收的内容： （应当包括每一项技术和商务要求的履约情况，特别是落实政府采购扶持中小企业，支持绿色发展和乡村振兴等政策情况）                                      </w:t>
      </w:r>
    </w:p>
    <w:p w14:paraId="708507A1">
      <w:pPr>
        <w:adjustRightInd w:val="0"/>
        <w:snapToGrid w:val="0"/>
        <w:spacing w:line="400" w:lineRule="exact"/>
        <w:ind w:firstLine="420" w:firstLineChars="200"/>
        <w:rPr>
          <w:rFonts w:hint="default" w:ascii="Times New Roman" w:hAnsi="Times New Roman" w:cs="Times New Roman" w:eastAsiaTheme="minorEastAsia"/>
          <w:bCs/>
          <w:color w:val="auto"/>
          <w:u w:val="single"/>
          <w:lang w:eastAsia="zh-CN"/>
        </w:rPr>
      </w:pPr>
      <w:r>
        <w:rPr>
          <w:rFonts w:hint="default" w:ascii="Times New Roman" w:hAnsi="Times New Roman" w:cs="Times New Roman" w:eastAsiaTheme="minorEastAsia"/>
          <w:bCs/>
          <w:color w:val="auto"/>
          <w:lang w:eastAsia="zh-CN"/>
        </w:rPr>
        <w:t xml:space="preserve">（6）履约验收标准： </w:t>
      </w:r>
      <w:r>
        <w:rPr>
          <w:rFonts w:hint="default" w:ascii="Times New Roman" w:hAnsi="Times New Roman" w:cs="Times New Roman" w:eastAsiaTheme="minorEastAsia"/>
          <w:bCs/>
          <w:color w:val="auto"/>
          <w:u w:val="single"/>
          <w:lang w:eastAsia="zh-CN"/>
        </w:rPr>
        <w:t xml:space="preserve"> </w:t>
      </w:r>
      <w:r>
        <w:rPr>
          <w:rFonts w:hint="default" w:ascii="Times New Roman" w:hAnsi="Times New Roman" w:cs="Times New Roman" w:eastAsiaTheme="minorEastAsia"/>
          <w:bCs/>
          <w:color w:val="auto"/>
          <w:u w:val="single"/>
          <w:lang w:val="en-US" w:eastAsia="zh-CN"/>
        </w:rPr>
        <w:t>符合国家相关行业合格标准且满足采购人需求。</w:t>
      </w:r>
      <w:r>
        <w:rPr>
          <w:rFonts w:hint="default" w:ascii="Times New Roman" w:hAnsi="Times New Roman" w:cs="Times New Roman" w:eastAsiaTheme="minorEastAsia"/>
          <w:bCs/>
          <w:color w:val="auto"/>
          <w:u w:val="single"/>
          <w:lang w:eastAsia="zh-CN"/>
        </w:rPr>
        <w:t xml:space="preserve">     </w:t>
      </w:r>
    </w:p>
    <w:p w14:paraId="6BCB9071">
      <w:pPr>
        <w:pStyle w:val="260"/>
        <w:ind w:firstLine="420"/>
        <w:rPr>
          <w:rFonts w:hint="default" w:ascii="Times New Roman" w:hAnsi="Times New Roman" w:cs="Times New Roman" w:eastAsiaTheme="minorEastAsia"/>
          <w:sz w:val="21"/>
        </w:rPr>
      </w:pPr>
      <w:r>
        <w:rPr>
          <w:rFonts w:hint="default" w:ascii="Times New Roman" w:hAnsi="Times New Roman" w:cs="Times New Roman" w:eastAsiaTheme="minorEastAsia"/>
          <w:bCs/>
          <w:sz w:val="21"/>
        </w:rPr>
        <w:t>（7）是否以采购活动中供应商提供的样品作为参考：</w:t>
      </w:r>
      <w:r>
        <w:rPr>
          <w:rFonts w:hint="default" w:ascii="Times New Roman" w:hAnsi="Times New Roman" w:cs="Times New Roman" w:eastAsiaTheme="minorEastAsia"/>
          <w:sz w:val="21"/>
        </w:rPr>
        <w:sym w:font="Wingdings" w:char="00A8"/>
      </w:r>
      <w:r>
        <w:rPr>
          <w:rFonts w:hint="default" w:ascii="Times New Roman" w:hAnsi="Times New Roman" w:cs="Times New Roman" w:eastAsiaTheme="minorEastAsia"/>
          <w:bCs/>
          <w:sz w:val="21"/>
        </w:rPr>
        <w:t xml:space="preserve">是  </w:t>
      </w:r>
      <w:r>
        <w:rPr>
          <w:rFonts w:hint="default" w:ascii="Times New Roman" w:hAnsi="Times New Roman" w:cs="Times New Roman" w:eastAsiaTheme="minorEastAsia"/>
          <w:sz w:val="21"/>
        </w:rPr>
        <w:sym w:font="Wingdings" w:char="00FE"/>
      </w:r>
      <w:r>
        <w:rPr>
          <w:rFonts w:hint="default" w:ascii="Times New Roman" w:hAnsi="Times New Roman" w:cs="Times New Roman" w:eastAsiaTheme="minorEastAsia"/>
          <w:bCs/>
          <w:sz w:val="21"/>
        </w:rPr>
        <w:t>否</w:t>
      </w:r>
    </w:p>
    <w:p w14:paraId="6EFE7337">
      <w:pPr>
        <w:adjustRightInd w:val="0"/>
        <w:snapToGrid w:val="0"/>
        <w:spacing w:line="400" w:lineRule="exact"/>
        <w:ind w:firstLine="420" w:firstLineChars="200"/>
        <w:rPr>
          <w:rFonts w:hint="default" w:ascii="Times New Roman" w:hAnsi="Times New Roman" w:cs="Times New Roman" w:eastAsiaTheme="minorEastAsia"/>
          <w:bCs/>
          <w:color w:val="auto"/>
          <w:u w:val="single"/>
          <w:lang w:eastAsia="zh-CN"/>
        </w:rPr>
      </w:pPr>
      <w:r>
        <w:rPr>
          <w:rFonts w:hint="default" w:ascii="Times New Roman" w:hAnsi="Times New Roman" w:cs="Times New Roman" w:eastAsiaTheme="minorEastAsia"/>
          <w:bCs/>
          <w:color w:val="auto"/>
          <w:lang w:eastAsia="zh-CN"/>
        </w:rPr>
        <w:t>（8）履约验收其他事项：</w:t>
      </w:r>
      <w:r>
        <w:rPr>
          <w:rFonts w:hint="default" w:ascii="Times New Roman" w:hAnsi="Times New Roman" w:cs="Times New Roman" w:eastAsiaTheme="minorEastAsia"/>
          <w:bCs/>
          <w:color w:val="auto"/>
          <w:u w:val="single"/>
          <w:lang w:eastAsia="zh-CN"/>
        </w:rPr>
        <w:t xml:space="preserve">   </w:t>
      </w:r>
      <w:r>
        <w:rPr>
          <w:rFonts w:hint="default" w:ascii="Times New Roman" w:hAnsi="Times New Roman" w:cs="Times New Roman" w:eastAsiaTheme="minorEastAsia"/>
          <w:bCs/>
          <w:color w:val="auto"/>
          <w:u w:val="single"/>
          <w:lang w:val="en-US" w:eastAsia="zh-CN"/>
        </w:rPr>
        <w:t xml:space="preserve">  无                               </w:t>
      </w:r>
      <w:r>
        <w:rPr>
          <w:rFonts w:hint="default" w:ascii="Times New Roman" w:hAnsi="Times New Roman" w:cs="Times New Roman" w:eastAsiaTheme="minorEastAsia"/>
          <w:bCs/>
          <w:color w:val="auto"/>
          <w:u w:val="single"/>
          <w:lang w:eastAsia="zh-CN"/>
        </w:rPr>
        <w:t xml:space="preserve">    </w:t>
      </w:r>
      <w:r>
        <w:rPr>
          <w:rFonts w:hint="default" w:ascii="Times New Roman" w:hAnsi="Times New Roman" w:cs="Times New Roman" w:eastAsiaTheme="minorEastAsia"/>
          <w:bCs/>
          <w:color w:val="auto"/>
          <w:lang w:eastAsia="zh-CN"/>
        </w:rPr>
        <w:t xml:space="preserve">。      </w:t>
      </w:r>
    </w:p>
    <w:p w14:paraId="5DB1CE7C">
      <w:pPr>
        <w:numPr>
          <w:ilvl w:val="0"/>
          <w:numId w:val="13"/>
        </w:numPr>
        <w:adjustRightInd w:val="0"/>
        <w:snapToGrid w:val="0"/>
        <w:spacing w:line="400" w:lineRule="exact"/>
        <w:ind w:firstLine="422" w:firstLineChars="200"/>
        <w:rPr>
          <w:rFonts w:hint="default" w:ascii="Times New Roman" w:hAnsi="Times New Roman" w:cs="Times New Roman" w:eastAsiaTheme="minorEastAsia"/>
          <w:b/>
          <w:color w:val="auto"/>
        </w:rPr>
      </w:pPr>
      <w:r>
        <w:rPr>
          <w:rFonts w:hint="default" w:ascii="Times New Roman" w:hAnsi="Times New Roman" w:cs="Times New Roman" w:eastAsiaTheme="minorEastAsia"/>
          <w:b/>
          <w:color w:val="auto"/>
        </w:rPr>
        <w:t>组成合同的文件</w:t>
      </w:r>
    </w:p>
    <w:p w14:paraId="5E2FC012">
      <w:pPr>
        <w:adjustRightInd w:val="0"/>
        <w:snapToGrid w:val="0"/>
        <w:spacing w:line="400" w:lineRule="exact"/>
        <w:ind w:firstLine="420" w:firstLineChars="2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本协议书与下列文件一起构成合同文件，如下述文件之间有任何抵触、矛盾或歧义，应按以下顺序解释：</w:t>
      </w:r>
    </w:p>
    <w:p w14:paraId="2EBDBA26">
      <w:pPr>
        <w:adjustRightInd w:val="0"/>
        <w:snapToGrid w:val="0"/>
        <w:spacing w:line="400" w:lineRule="exact"/>
        <w:ind w:firstLine="420" w:firstLineChars="2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（1）政府采购合同协议书及其变更、补充协议</w:t>
      </w:r>
    </w:p>
    <w:p w14:paraId="507E2F3A">
      <w:pPr>
        <w:adjustRightInd w:val="0"/>
        <w:snapToGrid w:val="0"/>
        <w:spacing w:line="400" w:lineRule="exact"/>
        <w:ind w:firstLine="420" w:firstLineChars="2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2</w:t>
      </w:r>
      <w:r>
        <w:rPr>
          <w:rFonts w:hint="default" w:ascii="Times New Roman" w:hAnsi="Times New Roman" w:cs="Times New Roman" w:eastAsiaTheme="minorEastAsia"/>
          <w:color w:val="auto"/>
          <w:lang w:eastAsia="zh-CN"/>
        </w:rPr>
        <w:t>）政府采购合同专用条款</w:t>
      </w:r>
    </w:p>
    <w:p w14:paraId="4FFD4671">
      <w:pPr>
        <w:adjustRightInd w:val="0"/>
        <w:snapToGrid w:val="0"/>
        <w:spacing w:line="400" w:lineRule="exact"/>
        <w:ind w:firstLine="420" w:firstLineChars="2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3</w:t>
      </w:r>
      <w:r>
        <w:rPr>
          <w:rFonts w:hint="default" w:ascii="Times New Roman" w:hAnsi="Times New Roman" w:cs="Times New Roman" w:eastAsiaTheme="minorEastAsia"/>
          <w:color w:val="auto"/>
          <w:lang w:eastAsia="zh-CN"/>
        </w:rPr>
        <w:t>）政府采购合同通用条款</w:t>
      </w:r>
    </w:p>
    <w:p w14:paraId="7E83B83B">
      <w:pPr>
        <w:adjustRightInd w:val="0"/>
        <w:snapToGrid w:val="0"/>
        <w:spacing w:line="400" w:lineRule="exact"/>
        <w:ind w:firstLine="420" w:firstLineChars="2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4</w:t>
      </w:r>
      <w:r>
        <w:rPr>
          <w:rFonts w:hint="default" w:ascii="Times New Roman" w:hAnsi="Times New Roman" w:cs="Times New Roman" w:eastAsiaTheme="minorEastAsia"/>
          <w:color w:val="auto"/>
          <w:lang w:eastAsia="zh-CN"/>
        </w:rPr>
        <w:t>）中标（成交）通知书</w:t>
      </w:r>
    </w:p>
    <w:p w14:paraId="13FD0985">
      <w:pPr>
        <w:adjustRightInd w:val="0"/>
        <w:snapToGrid w:val="0"/>
        <w:spacing w:line="400" w:lineRule="exact"/>
        <w:ind w:firstLine="420" w:firstLineChars="2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5</w:t>
      </w:r>
      <w:r>
        <w:rPr>
          <w:rFonts w:hint="default" w:ascii="Times New Roman" w:hAnsi="Times New Roman" w:cs="Times New Roman" w:eastAsiaTheme="minorEastAsia"/>
          <w:color w:val="auto"/>
          <w:lang w:eastAsia="zh-CN"/>
        </w:rPr>
        <w:t>）投标（响应）文件</w:t>
      </w:r>
    </w:p>
    <w:p w14:paraId="3F372C81">
      <w:pPr>
        <w:adjustRightInd w:val="0"/>
        <w:snapToGrid w:val="0"/>
        <w:spacing w:line="400" w:lineRule="exact"/>
        <w:ind w:firstLine="420" w:firstLineChars="2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（6）采购文件</w:t>
      </w:r>
    </w:p>
    <w:p w14:paraId="6642C04D">
      <w:pPr>
        <w:adjustRightInd w:val="0"/>
        <w:snapToGrid w:val="0"/>
        <w:spacing w:line="400" w:lineRule="exact"/>
        <w:ind w:firstLine="420" w:firstLineChars="2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（7）有关技术文件，图纸</w:t>
      </w:r>
    </w:p>
    <w:p w14:paraId="6A74739D">
      <w:pPr>
        <w:pStyle w:val="260"/>
        <w:ind w:firstLine="420"/>
        <w:rPr>
          <w:rFonts w:hint="default" w:ascii="Times New Roman" w:hAnsi="Times New Roman" w:cs="Times New Roman" w:eastAsiaTheme="minorEastAsia"/>
          <w:kern w:val="2"/>
          <w:sz w:val="21"/>
        </w:rPr>
      </w:pPr>
      <w:r>
        <w:rPr>
          <w:rFonts w:hint="default" w:ascii="Times New Roman" w:hAnsi="Times New Roman" w:cs="Times New Roman" w:eastAsiaTheme="minorEastAsia"/>
          <w:sz w:val="21"/>
        </w:rPr>
        <w:t>（8）</w:t>
      </w:r>
      <w:r>
        <w:rPr>
          <w:rFonts w:hint="default" w:ascii="Times New Roman" w:hAnsi="Times New Roman" w:cs="Times New Roman" w:eastAsiaTheme="minorEastAsia"/>
          <w:kern w:val="2"/>
          <w:sz w:val="21"/>
        </w:rPr>
        <w:t>国家法律、行政法规和规章制度规定或合同约定的作为合同组成部分的其他文件</w:t>
      </w:r>
    </w:p>
    <w:p w14:paraId="24CB3E47">
      <w:pPr>
        <w:numPr>
          <w:ilvl w:val="0"/>
          <w:numId w:val="13"/>
        </w:numPr>
        <w:adjustRightInd w:val="0"/>
        <w:snapToGrid w:val="0"/>
        <w:spacing w:line="400" w:lineRule="exact"/>
        <w:ind w:firstLine="422" w:firstLineChars="200"/>
        <w:rPr>
          <w:rFonts w:hint="default" w:ascii="Times New Roman" w:hAnsi="Times New Roman" w:cs="Times New Roman" w:eastAsiaTheme="minorEastAsia"/>
          <w:b/>
          <w:color w:val="auto"/>
        </w:rPr>
      </w:pPr>
      <w:r>
        <w:rPr>
          <w:rFonts w:hint="default" w:ascii="Times New Roman" w:hAnsi="Times New Roman" w:cs="Times New Roman" w:eastAsiaTheme="minorEastAsia"/>
          <w:b/>
          <w:color w:val="auto"/>
        </w:rPr>
        <w:t>合同生效</w:t>
      </w:r>
    </w:p>
    <w:p w14:paraId="546247CB">
      <w:pPr>
        <w:adjustRightInd w:val="0"/>
        <w:snapToGrid w:val="0"/>
        <w:spacing w:line="400" w:lineRule="exact"/>
        <w:ind w:firstLine="420" w:firstLineChars="20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本合同自</w:t>
      </w:r>
      <w:r>
        <w:rPr>
          <w:rFonts w:hint="default" w:ascii="Times New Roman" w:hAnsi="Times New Roman" w:cs="Times New Roman" w:eastAsiaTheme="minorEastAsia"/>
          <w:color w:val="auto"/>
          <w:u w:val="single"/>
        </w:rPr>
        <w:t xml:space="preserve">                             </w:t>
      </w:r>
      <w:r>
        <w:rPr>
          <w:rFonts w:hint="default" w:ascii="Times New Roman" w:hAnsi="Times New Roman" w:cs="Times New Roman" w:eastAsiaTheme="minorEastAsia"/>
          <w:color w:val="auto"/>
        </w:rPr>
        <w:t>生效。</w:t>
      </w:r>
    </w:p>
    <w:p w14:paraId="7F7E559F">
      <w:pPr>
        <w:numPr>
          <w:ilvl w:val="0"/>
          <w:numId w:val="13"/>
        </w:numPr>
        <w:adjustRightInd w:val="0"/>
        <w:snapToGrid w:val="0"/>
        <w:spacing w:line="400" w:lineRule="exact"/>
        <w:ind w:firstLine="422" w:firstLineChars="200"/>
        <w:rPr>
          <w:rFonts w:hint="default" w:ascii="Times New Roman" w:hAnsi="Times New Roman" w:cs="Times New Roman" w:eastAsiaTheme="minorEastAsia"/>
          <w:b/>
          <w:color w:val="auto"/>
        </w:rPr>
      </w:pPr>
      <w:r>
        <w:rPr>
          <w:rFonts w:hint="default" w:ascii="Times New Roman" w:hAnsi="Times New Roman" w:cs="Times New Roman" w:eastAsiaTheme="minorEastAsia"/>
          <w:b/>
          <w:color w:val="auto"/>
        </w:rPr>
        <w:t>合同份数</w:t>
      </w:r>
    </w:p>
    <w:p w14:paraId="6437342B">
      <w:pPr>
        <w:adjustRightInd w:val="0"/>
        <w:snapToGrid w:val="0"/>
        <w:spacing w:line="400" w:lineRule="exact"/>
        <w:ind w:firstLine="420" w:firstLineChars="2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本合同一式</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lang w:eastAsia="zh-CN"/>
        </w:rPr>
        <w:t>份，甲方执</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lang w:eastAsia="zh-CN"/>
        </w:rPr>
        <w:t>份，乙方执</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u w:val="single"/>
          <w:lang w:val="en-US" w:eastAsia="zh-CN"/>
        </w:rPr>
        <w:t xml:space="preserve"> </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lang w:eastAsia="zh-CN"/>
        </w:rPr>
        <w:t>份，均具有同等法律效力。</w:t>
      </w:r>
    </w:p>
    <w:p w14:paraId="760C86EB">
      <w:pPr>
        <w:adjustRightInd w:val="0"/>
        <w:snapToGrid w:val="0"/>
        <w:spacing w:line="400" w:lineRule="exact"/>
        <w:ind w:firstLine="420" w:firstLineChars="2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合同订立时间：</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lang w:eastAsia="zh-CN"/>
        </w:rPr>
        <w:t>年</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lang w:eastAsia="zh-CN"/>
        </w:rPr>
        <w:t>月</w:t>
      </w:r>
      <w:r>
        <w:rPr>
          <w:rFonts w:hint="default" w:ascii="Times New Roman" w:hAnsi="Times New Roman" w:cs="Times New Roman" w:eastAsiaTheme="minorEastAsia"/>
          <w:color w:val="auto"/>
          <w:u w:val="single"/>
          <w:lang w:eastAsia="zh-CN"/>
        </w:rPr>
        <w:t xml:space="preserve">      </w:t>
      </w:r>
      <w:r>
        <w:rPr>
          <w:rFonts w:hint="default" w:ascii="Times New Roman" w:hAnsi="Times New Roman" w:cs="Times New Roman" w:eastAsiaTheme="minorEastAsia"/>
          <w:color w:val="auto"/>
          <w:lang w:eastAsia="zh-CN"/>
        </w:rPr>
        <w:t>日</w:t>
      </w:r>
    </w:p>
    <w:p w14:paraId="0A4DA86B">
      <w:pPr>
        <w:adjustRightInd w:val="0"/>
        <w:snapToGrid w:val="0"/>
        <w:spacing w:line="400" w:lineRule="exact"/>
        <w:ind w:firstLine="420" w:firstLineChars="2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合同订立地点：</w:t>
      </w:r>
      <w:r>
        <w:rPr>
          <w:rFonts w:hint="default" w:ascii="Times New Roman" w:hAnsi="Times New Roman" w:cs="Times New Roman" w:eastAsiaTheme="minorEastAsia"/>
          <w:color w:val="auto"/>
          <w:u w:val="single"/>
          <w:lang w:eastAsia="zh-CN"/>
        </w:rPr>
        <w:t xml:space="preserve">                           </w:t>
      </w:r>
    </w:p>
    <w:p w14:paraId="0A2E0F50">
      <w:pPr>
        <w:adjustRightInd w:val="0"/>
        <w:snapToGrid w:val="0"/>
        <w:spacing w:line="400" w:lineRule="exact"/>
        <w:ind w:firstLine="420" w:firstLineChars="2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附件：具体标的及其</w:t>
      </w:r>
      <w:r>
        <w:rPr>
          <w:rFonts w:hint="default" w:ascii="Times New Roman" w:hAnsi="Times New Roman" w:cs="Times New Roman" w:eastAsiaTheme="minorEastAsia"/>
          <w:color w:val="auto"/>
          <w:lang w:val="en-US" w:eastAsia="zh-CN"/>
        </w:rPr>
        <w:t>技术要求和商务要求</w:t>
      </w:r>
      <w:r>
        <w:rPr>
          <w:rFonts w:hint="default" w:ascii="Times New Roman" w:hAnsi="Times New Roman" w:cs="Times New Roman" w:eastAsiaTheme="minorEastAsia"/>
          <w:color w:val="auto"/>
          <w:lang w:eastAsia="zh-CN"/>
        </w:rPr>
        <w:t>、联合协议、分包意向协议等。</w:t>
      </w:r>
    </w:p>
    <w:p w14:paraId="2C491035">
      <w:pPr>
        <w:pStyle w:val="193"/>
        <w:spacing w:line="400" w:lineRule="exact"/>
        <w:rPr>
          <w:rFonts w:hint="default" w:ascii="Times New Roman" w:hAnsi="Times New Roman" w:cs="Times New Roman" w:eastAsiaTheme="minorEastAsia"/>
        </w:rPr>
      </w:pPr>
    </w:p>
    <w:p w14:paraId="333A38B7">
      <w:pPr>
        <w:spacing w:line="400" w:lineRule="exact"/>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 w:eastAsia="zh-CN"/>
        </w:rPr>
        <w:t xml:space="preserve">   </w:t>
      </w:r>
    </w:p>
    <w:p w14:paraId="295DAF64">
      <w:pP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br w:type="page"/>
      </w:r>
    </w:p>
    <w:p w14:paraId="30DDDADE">
      <w:pPr>
        <w:pStyle w:val="193"/>
        <w:rPr>
          <w:rFonts w:hint="default" w:ascii="Times New Roman" w:hAnsi="Times New Roman" w:cs="Times New Roman" w:eastAsiaTheme="minorEastAsia"/>
        </w:rPr>
      </w:pPr>
    </w:p>
    <w:tbl>
      <w:tblPr>
        <w:tblStyle w:val="5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41"/>
        <w:gridCol w:w="2348"/>
        <w:gridCol w:w="1926"/>
        <w:gridCol w:w="2060"/>
      </w:tblGrid>
      <w:tr w14:paraId="18EB7F3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2D4DD219">
            <w:pPr>
              <w:adjustRightInd w:val="0"/>
              <w:snapToGrid w:val="0"/>
              <w:spacing w:line="300" w:lineRule="exact"/>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甲方（采购人、受采购人委托签订合同的单位或采购文件约定的合同甲方）</w:t>
            </w:r>
          </w:p>
        </w:tc>
        <w:tc>
          <w:tcPr>
            <w:tcW w:w="2437" w:type="pct"/>
            <w:gridSpan w:val="2"/>
            <w:tcBorders>
              <w:left w:val="single" w:color="auto" w:sz="2" w:space="0"/>
              <w:bottom w:val="single" w:color="auto" w:sz="2" w:space="0"/>
            </w:tcBorders>
            <w:vAlign w:val="center"/>
          </w:tcPr>
          <w:p w14:paraId="465049AD">
            <w:pPr>
              <w:adjustRightInd w:val="0"/>
              <w:snapToGrid w:val="0"/>
              <w:spacing w:line="300" w:lineRule="exact"/>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乙方（供应商）</w:t>
            </w:r>
          </w:p>
        </w:tc>
      </w:tr>
      <w:tr w14:paraId="4C43099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75F2C88C">
            <w:pPr>
              <w:adjustRightInd w:val="0"/>
              <w:snapToGrid w:val="0"/>
              <w:spacing w:line="300" w:lineRule="exact"/>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2D5CAA2F">
            <w:pPr>
              <w:adjustRightInd w:val="0"/>
              <w:snapToGrid w:val="0"/>
              <w:spacing w:line="300" w:lineRule="exact"/>
              <w:jc w:val="center"/>
              <w:rPr>
                <w:rFonts w:hint="default" w:ascii="Times New Roman" w:hAnsi="Times New Roman" w:cs="Times New Roman" w:eastAsiaTheme="minorEastAsia"/>
                <w:color w:val="auto"/>
                <w:lang w:eastAsia="zh-CN"/>
              </w:rPr>
            </w:pPr>
          </w:p>
        </w:tc>
        <w:tc>
          <w:tcPr>
            <w:tcW w:w="1178" w:type="pct"/>
            <w:tcBorders>
              <w:top w:val="single" w:color="auto" w:sz="2" w:space="0"/>
              <w:left w:val="single" w:color="auto" w:sz="2" w:space="0"/>
              <w:bottom w:val="single" w:color="auto" w:sz="2" w:space="0"/>
              <w:right w:val="single" w:color="auto" w:sz="2" w:space="0"/>
            </w:tcBorders>
            <w:vAlign w:val="center"/>
          </w:tcPr>
          <w:p w14:paraId="5B102A77">
            <w:pPr>
              <w:adjustRightInd w:val="0"/>
              <w:snapToGrid w:val="0"/>
              <w:spacing w:line="300" w:lineRule="exact"/>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单位名称（公章或合同章）</w:t>
            </w:r>
          </w:p>
        </w:tc>
        <w:tc>
          <w:tcPr>
            <w:tcW w:w="1259" w:type="pct"/>
            <w:tcBorders>
              <w:top w:val="single" w:color="auto" w:sz="2" w:space="0"/>
              <w:left w:val="single" w:color="auto" w:sz="2" w:space="0"/>
              <w:bottom w:val="single" w:color="auto" w:sz="2" w:space="0"/>
            </w:tcBorders>
            <w:vAlign w:val="center"/>
          </w:tcPr>
          <w:p w14:paraId="6B13A5C5">
            <w:pPr>
              <w:adjustRightInd w:val="0"/>
              <w:snapToGrid w:val="0"/>
              <w:spacing w:line="300" w:lineRule="exact"/>
              <w:jc w:val="center"/>
              <w:rPr>
                <w:rFonts w:hint="default" w:ascii="Times New Roman" w:hAnsi="Times New Roman" w:cs="Times New Roman" w:eastAsiaTheme="minorEastAsia"/>
                <w:color w:val="auto"/>
                <w:spacing w:val="20"/>
                <w:lang w:eastAsia="zh-CN"/>
              </w:rPr>
            </w:pPr>
          </w:p>
        </w:tc>
      </w:tr>
      <w:tr w14:paraId="492E9D5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54D59EE1">
            <w:pPr>
              <w:adjustRightInd w:val="0"/>
              <w:snapToGrid w:val="0"/>
              <w:spacing w:line="300" w:lineRule="exact"/>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法定代表人</w:t>
            </w:r>
          </w:p>
          <w:p w14:paraId="28E02E24">
            <w:pPr>
              <w:adjustRightInd w:val="0"/>
              <w:snapToGrid w:val="0"/>
              <w:spacing w:line="300" w:lineRule="exact"/>
              <w:ind w:firstLine="100" w:firstLineChars="48"/>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或其委托代理人（签章）</w:t>
            </w:r>
          </w:p>
        </w:tc>
        <w:tc>
          <w:tcPr>
            <w:tcW w:w="1436" w:type="pct"/>
            <w:vMerge w:val="restart"/>
            <w:tcBorders>
              <w:top w:val="single" w:color="auto" w:sz="2" w:space="0"/>
              <w:left w:val="single" w:color="auto" w:sz="2" w:space="0"/>
              <w:right w:val="single" w:color="auto" w:sz="2" w:space="0"/>
            </w:tcBorders>
            <w:vAlign w:val="center"/>
          </w:tcPr>
          <w:p w14:paraId="71CF1714">
            <w:pPr>
              <w:adjustRightInd w:val="0"/>
              <w:snapToGrid w:val="0"/>
              <w:spacing w:line="300" w:lineRule="exact"/>
              <w:jc w:val="center"/>
              <w:rPr>
                <w:rFonts w:hint="default" w:ascii="Times New Roman" w:hAnsi="Times New Roman" w:cs="Times New Roman" w:eastAsiaTheme="minorEastAsia"/>
                <w:color w:val="auto"/>
                <w:lang w:eastAsia="zh-CN"/>
              </w:rPr>
            </w:pPr>
          </w:p>
        </w:tc>
        <w:tc>
          <w:tcPr>
            <w:tcW w:w="1178" w:type="pct"/>
            <w:tcBorders>
              <w:top w:val="single" w:color="auto" w:sz="2" w:space="0"/>
              <w:left w:val="single" w:color="auto" w:sz="2" w:space="0"/>
              <w:right w:val="single" w:color="auto" w:sz="2" w:space="0"/>
            </w:tcBorders>
            <w:vAlign w:val="center"/>
          </w:tcPr>
          <w:p w14:paraId="0783E890">
            <w:pPr>
              <w:adjustRightInd w:val="0"/>
              <w:snapToGrid w:val="0"/>
              <w:spacing w:line="300" w:lineRule="exact"/>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法定代表人</w:t>
            </w:r>
          </w:p>
          <w:p w14:paraId="63967461">
            <w:pPr>
              <w:adjustRightInd w:val="0"/>
              <w:snapToGrid w:val="0"/>
              <w:spacing w:line="300" w:lineRule="exact"/>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或其委托代理人（签章）</w:t>
            </w:r>
          </w:p>
        </w:tc>
        <w:tc>
          <w:tcPr>
            <w:tcW w:w="1259" w:type="pct"/>
            <w:tcBorders>
              <w:top w:val="single" w:color="auto" w:sz="2" w:space="0"/>
              <w:left w:val="single" w:color="auto" w:sz="2" w:space="0"/>
              <w:bottom w:val="single" w:color="auto" w:sz="2" w:space="0"/>
            </w:tcBorders>
            <w:vAlign w:val="center"/>
          </w:tcPr>
          <w:p w14:paraId="30F6333C">
            <w:pPr>
              <w:adjustRightInd w:val="0"/>
              <w:snapToGrid w:val="0"/>
              <w:spacing w:line="300" w:lineRule="exact"/>
              <w:jc w:val="center"/>
              <w:rPr>
                <w:rFonts w:hint="default" w:ascii="Times New Roman" w:hAnsi="Times New Roman" w:cs="Times New Roman" w:eastAsiaTheme="minorEastAsia"/>
                <w:color w:val="auto"/>
                <w:lang w:eastAsia="zh-CN"/>
              </w:rPr>
            </w:pPr>
          </w:p>
        </w:tc>
      </w:tr>
      <w:tr w14:paraId="6071D05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4388520A">
            <w:pPr>
              <w:adjustRightInd w:val="0"/>
              <w:snapToGrid w:val="0"/>
              <w:spacing w:line="300" w:lineRule="exact"/>
              <w:jc w:val="center"/>
              <w:rPr>
                <w:rFonts w:hint="default" w:ascii="Times New Roman" w:hAnsi="Times New Roman" w:cs="Times New Roman" w:eastAsiaTheme="minorEastAsia"/>
                <w:color w:val="auto"/>
                <w:lang w:eastAsia="zh-CN"/>
              </w:rPr>
            </w:pPr>
          </w:p>
        </w:tc>
        <w:tc>
          <w:tcPr>
            <w:tcW w:w="1436" w:type="pct"/>
            <w:vMerge w:val="continue"/>
            <w:tcBorders>
              <w:left w:val="single" w:color="auto" w:sz="2" w:space="0"/>
              <w:bottom w:val="single" w:color="auto" w:sz="2" w:space="0"/>
              <w:right w:val="single" w:color="auto" w:sz="2" w:space="0"/>
            </w:tcBorders>
            <w:vAlign w:val="center"/>
          </w:tcPr>
          <w:p w14:paraId="1B464A0F">
            <w:pPr>
              <w:adjustRightInd w:val="0"/>
              <w:snapToGrid w:val="0"/>
              <w:spacing w:line="300" w:lineRule="exact"/>
              <w:jc w:val="center"/>
              <w:rPr>
                <w:rFonts w:hint="default" w:ascii="Times New Roman" w:hAnsi="Times New Roman" w:cs="Times New Roman" w:eastAsiaTheme="minorEastAsia"/>
                <w:color w:val="auto"/>
                <w:lang w:eastAsia="zh-CN"/>
              </w:rPr>
            </w:pPr>
          </w:p>
        </w:tc>
        <w:tc>
          <w:tcPr>
            <w:tcW w:w="1178" w:type="pct"/>
            <w:tcBorders>
              <w:top w:val="single" w:color="auto" w:sz="2" w:space="0"/>
              <w:left w:val="single" w:color="auto" w:sz="2" w:space="0"/>
              <w:bottom w:val="single" w:color="auto" w:sz="2" w:space="0"/>
              <w:right w:val="single" w:color="auto" w:sz="2" w:space="0"/>
            </w:tcBorders>
            <w:vAlign w:val="center"/>
          </w:tcPr>
          <w:p w14:paraId="51D7D1B4">
            <w:pPr>
              <w:adjustRightInd w:val="0"/>
              <w:snapToGrid w:val="0"/>
              <w:spacing w:line="300" w:lineRule="exact"/>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拥有者性别</w:t>
            </w:r>
          </w:p>
        </w:tc>
        <w:tc>
          <w:tcPr>
            <w:tcW w:w="1259" w:type="pct"/>
            <w:tcBorders>
              <w:top w:val="single" w:color="auto" w:sz="2" w:space="0"/>
              <w:left w:val="single" w:color="auto" w:sz="2" w:space="0"/>
              <w:bottom w:val="single" w:color="auto" w:sz="2" w:space="0"/>
            </w:tcBorders>
            <w:vAlign w:val="center"/>
          </w:tcPr>
          <w:p w14:paraId="59A1166D">
            <w:pPr>
              <w:adjustRightInd w:val="0"/>
              <w:snapToGrid w:val="0"/>
              <w:spacing w:line="300" w:lineRule="exact"/>
              <w:jc w:val="center"/>
              <w:rPr>
                <w:rFonts w:hint="default" w:ascii="Times New Roman" w:hAnsi="Times New Roman" w:cs="Times New Roman" w:eastAsiaTheme="minorEastAsia"/>
                <w:color w:val="auto"/>
                <w:spacing w:val="20"/>
              </w:rPr>
            </w:pPr>
          </w:p>
        </w:tc>
      </w:tr>
      <w:tr w14:paraId="1EF4E07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CD68D89">
            <w:pPr>
              <w:adjustRightInd w:val="0"/>
              <w:snapToGrid w:val="0"/>
              <w:spacing w:line="300" w:lineRule="exact"/>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住</w:t>
            </w: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lang w:eastAsia="zh-CN"/>
              </w:rPr>
              <w:t>所</w:t>
            </w:r>
          </w:p>
        </w:tc>
        <w:tc>
          <w:tcPr>
            <w:tcW w:w="1436" w:type="pct"/>
            <w:tcBorders>
              <w:top w:val="single" w:color="auto" w:sz="2" w:space="0"/>
              <w:left w:val="single" w:color="auto" w:sz="2" w:space="0"/>
              <w:bottom w:val="single" w:color="auto" w:sz="2" w:space="0"/>
              <w:right w:val="single" w:color="auto" w:sz="2" w:space="0"/>
            </w:tcBorders>
            <w:vAlign w:val="center"/>
          </w:tcPr>
          <w:p w14:paraId="501EC566">
            <w:pPr>
              <w:adjustRightInd w:val="0"/>
              <w:snapToGrid w:val="0"/>
              <w:spacing w:line="300" w:lineRule="exact"/>
              <w:jc w:val="center"/>
              <w:rPr>
                <w:rFonts w:hint="default" w:ascii="Times New Roman" w:hAnsi="Times New Roman" w:cs="Times New Roman"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3B32BDC6">
            <w:pPr>
              <w:adjustRightInd w:val="0"/>
              <w:snapToGrid w:val="0"/>
              <w:spacing w:line="300" w:lineRule="exact"/>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住</w:t>
            </w: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lang w:eastAsia="zh-CN"/>
              </w:rPr>
              <w:t>所</w:t>
            </w:r>
          </w:p>
        </w:tc>
        <w:tc>
          <w:tcPr>
            <w:tcW w:w="1259" w:type="pct"/>
            <w:tcBorders>
              <w:top w:val="single" w:color="auto" w:sz="2" w:space="0"/>
              <w:left w:val="single" w:color="auto" w:sz="2" w:space="0"/>
              <w:bottom w:val="single" w:color="auto" w:sz="2" w:space="0"/>
            </w:tcBorders>
            <w:vAlign w:val="center"/>
          </w:tcPr>
          <w:p w14:paraId="118350AA">
            <w:pPr>
              <w:adjustRightInd w:val="0"/>
              <w:snapToGrid w:val="0"/>
              <w:spacing w:line="300" w:lineRule="exact"/>
              <w:jc w:val="center"/>
              <w:rPr>
                <w:rFonts w:hint="default" w:ascii="Times New Roman" w:hAnsi="Times New Roman" w:cs="Times New Roman" w:eastAsiaTheme="minorEastAsia"/>
                <w:color w:val="auto"/>
                <w:spacing w:val="20"/>
              </w:rPr>
            </w:pPr>
          </w:p>
        </w:tc>
      </w:tr>
      <w:tr w14:paraId="56D6960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DCB0D6D">
            <w:pPr>
              <w:adjustRightInd w:val="0"/>
              <w:snapToGrid w:val="0"/>
              <w:spacing w:line="300" w:lineRule="exact"/>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3D38A96C">
            <w:pPr>
              <w:adjustRightInd w:val="0"/>
              <w:snapToGrid w:val="0"/>
              <w:spacing w:line="300" w:lineRule="exact"/>
              <w:jc w:val="center"/>
              <w:rPr>
                <w:rFonts w:hint="default" w:ascii="Times New Roman" w:hAnsi="Times New Roman" w:cs="Times New Roman"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305A6397">
            <w:pPr>
              <w:adjustRightInd w:val="0"/>
              <w:snapToGrid w:val="0"/>
              <w:spacing w:line="300" w:lineRule="exact"/>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联 系 人</w:t>
            </w:r>
          </w:p>
        </w:tc>
        <w:tc>
          <w:tcPr>
            <w:tcW w:w="1259" w:type="pct"/>
            <w:tcBorders>
              <w:top w:val="single" w:color="auto" w:sz="2" w:space="0"/>
              <w:left w:val="single" w:color="auto" w:sz="2" w:space="0"/>
              <w:bottom w:val="single" w:color="auto" w:sz="2" w:space="0"/>
            </w:tcBorders>
            <w:vAlign w:val="center"/>
          </w:tcPr>
          <w:p w14:paraId="2EF710A8">
            <w:pPr>
              <w:adjustRightInd w:val="0"/>
              <w:snapToGrid w:val="0"/>
              <w:spacing w:line="300" w:lineRule="exact"/>
              <w:jc w:val="center"/>
              <w:rPr>
                <w:rFonts w:hint="default" w:ascii="Times New Roman" w:hAnsi="Times New Roman" w:cs="Times New Roman" w:eastAsiaTheme="minorEastAsia"/>
                <w:color w:val="auto"/>
                <w:spacing w:val="20"/>
              </w:rPr>
            </w:pPr>
          </w:p>
        </w:tc>
      </w:tr>
      <w:tr w14:paraId="5C31B19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4C18B9E">
            <w:pPr>
              <w:adjustRightInd w:val="0"/>
              <w:snapToGrid w:val="0"/>
              <w:spacing w:line="300" w:lineRule="exact"/>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74DE5175">
            <w:pPr>
              <w:adjustRightInd w:val="0"/>
              <w:snapToGrid w:val="0"/>
              <w:spacing w:line="300" w:lineRule="exact"/>
              <w:jc w:val="center"/>
              <w:rPr>
                <w:rFonts w:hint="default" w:ascii="Times New Roman" w:hAnsi="Times New Roman" w:cs="Times New Roman"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73EE5595">
            <w:pPr>
              <w:adjustRightInd w:val="0"/>
              <w:snapToGrid w:val="0"/>
              <w:spacing w:line="300" w:lineRule="exact"/>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联系电话</w:t>
            </w:r>
          </w:p>
        </w:tc>
        <w:tc>
          <w:tcPr>
            <w:tcW w:w="1259" w:type="pct"/>
            <w:tcBorders>
              <w:top w:val="single" w:color="auto" w:sz="2" w:space="0"/>
              <w:left w:val="single" w:color="auto" w:sz="2" w:space="0"/>
              <w:bottom w:val="single" w:color="auto" w:sz="2" w:space="0"/>
            </w:tcBorders>
            <w:vAlign w:val="center"/>
          </w:tcPr>
          <w:p w14:paraId="21EE43F5">
            <w:pPr>
              <w:adjustRightInd w:val="0"/>
              <w:snapToGrid w:val="0"/>
              <w:spacing w:line="300" w:lineRule="exact"/>
              <w:jc w:val="center"/>
              <w:rPr>
                <w:rFonts w:hint="default" w:ascii="Times New Roman" w:hAnsi="Times New Roman" w:cs="Times New Roman" w:eastAsiaTheme="minorEastAsia"/>
                <w:color w:val="auto"/>
                <w:spacing w:val="20"/>
              </w:rPr>
            </w:pPr>
          </w:p>
        </w:tc>
      </w:tr>
      <w:tr w14:paraId="7E9A0BF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207E213">
            <w:pPr>
              <w:adjustRightInd w:val="0"/>
              <w:snapToGrid w:val="0"/>
              <w:spacing w:line="300" w:lineRule="exact"/>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1B1631E9">
            <w:pPr>
              <w:adjustRightInd w:val="0"/>
              <w:snapToGrid w:val="0"/>
              <w:spacing w:line="300" w:lineRule="exact"/>
              <w:jc w:val="center"/>
              <w:rPr>
                <w:rFonts w:hint="default" w:ascii="Times New Roman" w:hAnsi="Times New Roman" w:cs="Times New Roman"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08360612">
            <w:pPr>
              <w:adjustRightInd w:val="0"/>
              <w:snapToGrid w:val="0"/>
              <w:spacing w:line="300" w:lineRule="exact"/>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lang w:eastAsia="zh-CN"/>
              </w:rPr>
              <w:t>通信地址</w:t>
            </w:r>
          </w:p>
        </w:tc>
        <w:tc>
          <w:tcPr>
            <w:tcW w:w="1259" w:type="pct"/>
            <w:tcBorders>
              <w:top w:val="single" w:color="auto" w:sz="2" w:space="0"/>
              <w:left w:val="single" w:color="auto" w:sz="2" w:space="0"/>
              <w:bottom w:val="single" w:color="auto" w:sz="2" w:space="0"/>
            </w:tcBorders>
            <w:vAlign w:val="center"/>
          </w:tcPr>
          <w:p w14:paraId="7A8321F4">
            <w:pPr>
              <w:adjustRightInd w:val="0"/>
              <w:snapToGrid w:val="0"/>
              <w:spacing w:line="300" w:lineRule="exact"/>
              <w:jc w:val="center"/>
              <w:rPr>
                <w:rFonts w:hint="default" w:ascii="Times New Roman" w:hAnsi="Times New Roman" w:cs="Times New Roman" w:eastAsiaTheme="minorEastAsia"/>
                <w:color w:val="auto"/>
                <w:spacing w:val="20"/>
              </w:rPr>
            </w:pPr>
          </w:p>
        </w:tc>
      </w:tr>
      <w:tr w14:paraId="28AC96E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7BFF028">
            <w:pPr>
              <w:adjustRightInd w:val="0"/>
              <w:snapToGrid w:val="0"/>
              <w:spacing w:line="300" w:lineRule="exact"/>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6E167040">
            <w:pPr>
              <w:adjustRightInd w:val="0"/>
              <w:snapToGrid w:val="0"/>
              <w:spacing w:line="300" w:lineRule="exact"/>
              <w:jc w:val="center"/>
              <w:rPr>
                <w:rFonts w:hint="default" w:ascii="Times New Roman" w:hAnsi="Times New Roman" w:cs="Times New Roman"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05750E72">
            <w:pPr>
              <w:adjustRightInd w:val="0"/>
              <w:snapToGrid w:val="0"/>
              <w:spacing w:line="300" w:lineRule="exact"/>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邮政编码</w:t>
            </w:r>
          </w:p>
        </w:tc>
        <w:tc>
          <w:tcPr>
            <w:tcW w:w="1259" w:type="pct"/>
            <w:tcBorders>
              <w:top w:val="single" w:color="auto" w:sz="2" w:space="0"/>
              <w:left w:val="single" w:color="auto" w:sz="2" w:space="0"/>
              <w:bottom w:val="single" w:color="auto" w:sz="2" w:space="0"/>
            </w:tcBorders>
            <w:vAlign w:val="center"/>
          </w:tcPr>
          <w:p w14:paraId="02BAEFEB">
            <w:pPr>
              <w:adjustRightInd w:val="0"/>
              <w:snapToGrid w:val="0"/>
              <w:spacing w:line="300" w:lineRule="exact"/>
              <w:jc w:val="center"/>
              <w:rPr>
                <w:rFonts w:hint="default" w:ascii="Times New Roman" w:hAnsi="Times New Roman" w:cs="Times New Roman" w:eastAsiaTheme="minorEastAsia"/>
                <w:color w:val="auto"/>
                <w:spacing w:val="20"/>
              </w:rPr>
            </w:pPr>
          </w:p>
        </w:tc>
      </w:tr>
      <w:tr w14:paraId="6B2503C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350D0EA">
            <w:pPr>
              <w:adjustRightInd w:val="0"/>
              <w:snapToGrid w:val="0"/>
              <w:spacing w:line="300" w:lineRule="exact"/>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5A75376E">
            <w:pPr>
              <w:adjustRightInd w:val="0"/>
              <w:snapToGrid w:val="0"/>
              <w:spacing w:line="300" w:lineRule="exact"/>
              <w:jc w:val="center"/>
              <w:rPr>
                <w:rFonts w:hint="default" w:ascii="Times New Roman" w:hAnsi="Times New Roman" w:cs="Times New Roman"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2F8880C1">
            <w:pPr>
              <w:adjustRightInd w:val="0"/>
              <w:snapToGrid w:val="0"/>
              <w:spacing w:line="300" w:lineRule="exact"/>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电子邮箱</w:t>
            </w:r>
          </w:p>
        </w:tc>
        <w:tc>
          <w:tcPr>
            <w:tcW w:w="1259" w:type="pct"/>
            <w:tcBorders>
              <w:top w:val="single" w:color="auto" w:sz="2" w:space="0"/>
              <w:left w:val="single" w:color="auto" w:sz="2" w:space="0"/>
              <w:bottom w:val="single" w:color="auto" w:sz="2" w:space="0"/>
            </w:tcBorders>
            <w:vAlign w:val="center"/>
          </w:tcPr>
          <w:p w14:paraId="26FE97D4">
            <w:pPr>
              <w:adjustRightInd w:val="0"/>
              <w:snapToGrid w:val="0"/>
              <w:spacing w:line="300" w:lineRule="exact"/>
              <w:jc w:val="center"/>
              <w:rPr>
                <w:rFonts w:hint="default" w:ascii="Times New Roman" w:hAnsi="Times New Roman" w:cs="Times New Roman" w:eastAsiaTheme="minorEastAsia"/>
                <w:color w:val="auto"/>
                <w:spacing w:val="20"/>
              </w:rPr>
            </w:pPr>
          </w:p>
        </w:tc>
      </w:tr>
      <w:tr w14:paraId="55F4972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CC548D4">
            <w:pPr>
              <w:adjustRightInd w:val="0"/>
              <w:snapToGrid w:val="0"/>
              <w:spacing w:line="300" w:lineRule="exact"/>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7247755B">
            <w:pPr>
              <w:adjustRightInd w:val="0"/>
              <w:snapToGrid w:val="0"/>
              <w:spacing w:line="300" w:lineRule="exact"/>
              <w:jc w:val="center"/>
              <w:rPr>
                <w:rFonts w:hint="default" w:ascii="Times New Roman" w:hAnsi="Times New Roman" w:cs="Times New Roman"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5A991F16">
            <w:pPr>
              <w:adjustRightInd w:val="0"/>
              <w:snapToGrid w:val="0"/>
              <w:spacing w:line="300" w:lineRule="exact"/>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统一社会信用代码</w:t>
            </w:r>
          </w:p>
        </w:tc>
        <w:tc>
          <w:tcPr>
            <w:tcW w:w="1259" w:type="pct"/>
            <w:tcBorders>
              <w:top w:val="single" w:color="auto" w:sz="2" w:space="0"/>
              <w:left w:val="single" w:color="auto" w:sz="2" w:space="0"/>
              <w:bottom w:val="single" w:color="auto" w:sz="2" w:space="0"/>
            </w:tcBorders>
            <w:vAlign w:val="center"/>
          </w:tcPr>
          <w:p w14:paraId="7A4CBC08">
            <w:pPr>
              <w:adjustRightInd w:val="0"/>
              <w:snapToGrid w:val="0"/>
              <w:spacing w:line="300" w:lineRule="exact"/>
              <w:jc w:val="center"/>
              <w:rPr>
                <w:rFonts w:hint="default" w:ascii="Times New Roman" w:hAnsi="Times New Roman" w:cs="Times New Roman" w:eastAsiaTheme="minorEastAsia"/>
                <w:color w:val="auto"/>
                <w:spacing w:val="20"/>
              </w:rPr>
            </w:pPr>
          </w:p>
        </w:tc>
      </w:tr>
      <w:tr w14:paraId="7536169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C9C9914">
            <w:pPr>
              <w:adjustRightInd w:val="0"/>
              <w:snapToGrid w:val="0"/>
              <w:spacing w:line="300" w:lineRule="exact"/>
              <w:jc w:val="center"/>
              <w:rPr>
                <w:rFonts w:hint="default" w:ascii="Times New Roman" w:hAnsi="Times New Roman" w:cs="Times New Roman" w:eastAsiaTheme="minorEastAsia"/>
                <w:color w:val="auto"/>
              </w:rPr>
            </w:pPr>
          </w:p>
        </w:tc>
        <w:tc>
          <w:tcPr>
            <w:tcW w:w="1436" w:type="pct"/>
            <w:tcBorders>
              <w:top w:val="single" w:color="auto" w:sz="2" w:space="0"/>
              <w:left w:val="single" w:color="auto" w:sz="2" w:space="0"/>
              <w:bottom w:val="single" w:color="auto" w:sz="2" w:space="0"/>
              <w:right w:val="single" w:color="auto" w:sz="2" w:space="0"/>
            </w:tcBorders>
            <w:vAlign w:val="center"/>
          </w:tcPr>
          <w:p w14:paraId="5E3947F9">
            <w:pPr>
              <w:adjustRightInd w:val="0"/>
              <w:snapToGrid w:val="0"/>
              <w:spacing w:line="300" w:lineRule="exact"/>
              <w:jc w:val="center"/>
              <w:rPr>
                <w:rFonts w:hint="default" w:ascii="Times New Roman" w:hAnsi="Times New Roman" w:cs="Times New Roman"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337F4A1C">
            <w:pPr>
              <w:adjustRightInd w:val="0"/>
              <w:snapToGrid w:val="0"/>
              <w:spacing w:line="300" w:lineRule="exact"/>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开户名称</w:t>
            </w:r>
          </w:p>
        </w:tc>
        <w:tc>
          <w:tcPr>
            <w:tcW w:w="1259" w:type="pct"/>
            <w:tcBorders>
              <w:top w:val="single" w:color="auto" w:sz="2" w:space="0"/>
              <w:left w:val="single" w:color="auto" w:sz="2" w:space="0"/>
              <w:bottom w:val="single" w:color="auto" w:sz="2" w:space="0"/>
            </w:tcBorders>
            <w:vAlign w:val="center"/>
          </w:tcPr>
          <w:p w14:paraId="38CEFA08">
            <w:pPr>
              <w:adjustRightInd w:val="0"/>
              <w:snapToGrid w:val="0"/>
              <w:spacing w:line="300" w:lineRule="exact"/>
              <w:jc w:val="center"/>
              <w:rPr>
                <w:rFonts w:hint="default" w:ascii="Times New Roman" w:hAnsi="Times New Roman" w:cs="Times New Roman" w:eastAsiaTheme="minorEastAsia"/>
                <w:color w:val="auto"/>
                <w:spacing w:val="20"/>
              </w:rPr>
            </w:pPr>
          </w:p>
        </w:tc>
      </w:tr>
      <w:tr w14:paraId="5CF829E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246E19F">
            <w:pPr>
              <w:adjustRightInd w:val="0"/>
              <w:snapToGrid w:val="0"/>
              <w:spacing w:line="300" w:lineRule="exact"/>
              <w:jc w:val="center"/>
              <w:rPr>
                <w:rFonts w:hint="default" w:ascii="Times New Roman" w:hAnsi="Times New Roman" w:cs="Times New Roman" w:eastAsiaTheme="minorEastAsia"/>
                <w:color w:val="auto"/>
              </w:rPr>
            </w:pPr>
          </w:p>
        </w:tc>
        <w:tc>
          <w:tcPr>
            <w:tcW w:w="1436" w:type="pct"/>
            <w:tcBorders>
              <w:top w:val="single" w:color="auto" w:sz="2" w:space="0"/>
              <w:left w:val="single" w:color="auto" w:sz="2" w:space="0"/>
              <w:bottom w:val="single" w:color="auto" w:sz="2" w:space="0"/>
              <w:right w:val="single" w:color="auto" w:sz="2" w:space="0"/>
            </w:tcBorders>
            <w:vAlign w:val="center"/>
          </w:tcPr>
          <w:p w14:paraId="4457C35C">
            <w:pPr>
              <w:adjustRightInd w:val="0"/>
              <w:snapToGrid w:val="0"/>
              <w:spacing w:line="300" w:lineRule="exact"/>
              <w:jc w:val="center"/>
              <w:rPr>
                <w:rFonts w:hint="default" w:ascii="Times New Roman" w:hAnsi="Times New Roman" w:cs="Times New Roman"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25B992CC">
            <w:pPr>
              <w:adjustRightInd w:val="0"/>
              <w:snapToGrid w:val="0"/>
              <w:spacing w:line="300" w:lineRule="exact"/>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开户银行</w:t>
            </w:r>
          </w:p>
        </w:tc>
        <w:tc>
          <w:tcPr>
            <w:tcW w:w="1259" w:type="pct"/>
            <w:tcBorders>
              <w:top w:val="single" w:color="auto" w:sz="2" w:space="0"/>
              <w:left w:val="single" w:color="auto" w:sz="2" w:space="0"/>
              <w:bottom w:val="single" w:color="auto" w:sz="2" w:space="0"/>
            </w:tcBorders>
            <w:vAlign w:val="center"/>
          </w:tcPr>
          <w:p w14:paraId="65AC50C7">
            <w:pPr>
              <w:adjustRightInd w:val="0"/>
              <w:snapToGrid w:val="0"/>
              <w:spacing w:line="300" w:lineRule="exact"/>
              <w:jc w:val="center"/>
              <w:rPr>
                <w:rFonts w:hint="default" w:ascii="Times New Roman" w:hAnsi="Times New Roman" w:cs="Times New Roman" w:eastAsiaTheme="minorEastAsia"/>
                <w:color w:val="auto"/>
                <w:spacing w:val="20"/>
              </w:rPr>
            </w:pPr>
          </w:p>
        </w:tc>
      </w:tr>
      <w:tr w14:paraId="734F6AD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2EBEA38">
            <w:pPr>
              <w:adjustRightInd w:val="0"/>
              <w:snapToGrid w:val="0"/>
              <w:spacing w:line="300" w:lineRule="exact"/>
              <w:jc w:val="center"/>
              <w:rPr>
                <w:rFonts w:hint="default" w:ascii="Times New Roman" w:hAnsi="Times New Roman" w:cs="Times New Roman" w:eastAsiaTheme="minorEastAsia"/>
                <w:color w:val="auto"/>
              </w:rPr>
            </w:pPr>
          </w:p>
        </w:tc>
        <w:tc>
          <w:tcPr>
            <w:tcW w:w="1436" w:type="pct"/>
            <w:tcBorders>
              <w:top w:val="single" w:color="auto" w:sz="2" w:space="0"/>
              <w:left w:val="single" w:color="auto" w:sz="2" w:space="0"/>
              <w:bottom w:val="single" w:color="auto" w:sz="2" w:space="0"/>
              <w:right w:val="single" w:color="auto" w:sz="2" w:space="0"/>
            </w:tcBorders>
            <w:vAlign w:val="center"/>
          </w:tcPr>
          <w:p w14:paraId="512E1D2D">
            <w:pPr>
              <w:adjustRightInd w:val="0"/>
              <w:snapToGrid w:val="0"/>
              <w:spacing w:line="300" w:lineRule="exact"/>
              <w:jc w:val="center"/>
              <w:rPr>
                <w:rFonts w:hint="default" w:ascii="Times New Roman" w:hAnsi="Times New Roman" w:cs="Times New Roman"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51C4D95E">
            <w:pPr>
              <w:adjustRightInd w:val="0"/>
              <w:snapToGrid w:val="0"/>
              <w:spacing w:line="300" w:lineRule="exact"/>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银行账号</w:t>
            </w:r>
          </w:p>
        </w:tc>
        <w:tc>
          <w:tcPr>
            <w:tcW w:w="1259" w:type="pct"/>
            <w:tcBorders>
              <w:top w:val="single" w:color="auto" w:sz="2" w:space="0"/>
              <w:left w:val="single" w:color="auto" w:sz="2" w:space="0"/>
              <w:bottom w:val="single" w:color="auto" w:sz="2" w:space="0"/>
            </w:tcBorders>
            <w:vAlign w:val="center"/>
          </w:tcPr>
          <w:p w14:paraId="4AD63C3D">
            <w:pPr>
              <w:adjustRightInd w:val="0"/>
              <w:snapToGrid w:val="0"/>
              <w:spacing w:line="300" w:lineRule="exact"/>
              <w:jc w:val="center"/>
              <w:rPr>
                <w:rFonts w:hint="default" w:ascii="Times New Roman" w:hAnsi="Times New Roman" w:cs="Times New Roman" w:eastAsiaTheme="minorEastAsia"/>
                <w:color w:val="auto"/>
                <w:spacing w:val="20"/>
              </w:rPr>
            </w:pPr>
          </w:p>
        </w:tc>
      </w:tr>
      <w:tr w14:paraId="0087E4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07C8B5D7">
            <w:pPr>
              <w:pStyle w:val="17"/>
              <w:adjustRightInd w:val="0"/>
              <w:snapToGrid w:val="0"/>
              <w:spacing w:before="120" w:beforeLines="50"/>
              <w:jc w:val="left"/>
              <w:rPr>
                <w:rFonts w:hint="default" w:ascii="Times New Roman" w:hAnsi="Times New Roman" w:cs="Times New Roman" w:eastAsiaTheme="minorEastAsia"/>
                <w:spacing w:val="20"/>
                <w:szCs w:val="21"/>
              </w:rPr>
            </w:pPr>
            <w:r>
              <w:rPr>
                <w:rFonts w:hint="default" w:ascii="Times New Roman" w:hAnsi="Times New Roman" w:cs="Times New Roman" w:eastAsiaTheme="minorEastAsia"/>
                <w:szCs w:val="21"/>
              </w:rPr>
              <w:t>注：涉及联合体或其他合同主体的信息应按上表格式加列。</w:t>
            </w:r>
          </w:p>
        </w:tc>
      </w:tr>
    </w:tbl>
    <w:p w14:paraId="7A5D89B8">
      <w:pPr>
        <w:adjustRightInd w:val="0"/>
        <w:snapToGrid w:val="0"/>
        <w:spacing w:before="120" w:beforeLines="50"/>
        <w:jc w:val="center"/>
        <w:rPr>
          <w:rFonts w:hint="default" w:ascii="Times New Roman" w:hAnsi="Times New Roman" w:cs="Times New Roman" w:eastAsiaTheme="minorEastAsia"/>
          <w:color w:val="auto"/>
          <w:u w:val="single"/>
          <w:lang w:eastAsia="zh-CN"/>
        </w:rPr>
      </w:pPr>
    </w:p>
    <w:p w14:paraId="2D0FF757">
      <w:pPr>
        <w:rPr>
          <w:rFonts w:hint="default" w:ascii="Times New Roman" w:hAnsi="Times New Roman" w:cs="Times New Roman" w:eastAsiaTheme="minorEastAsia"/>
          <w:color w:val="auto"/>
          <w:u w:val="single"/>
          <w:lang w:eastAsia="zh-CN"/>
        </w:rPr>
      </w:pPr>
    </w:p>
    <w:p w14:paraId="79B70106">
      <w:pPr>
        <w:pStyle w:val="70"/>
        <w:rPr>
          <w:rFonts w:hint="default" w:ascii="Times New Roman" w:hAnsi="Times New Roman" w:cs="Times New Roman"/>
          <w:color w:val="auto"/>
          <w:sz w:val="21"/>
          <w:szCs w:val="21"/>
          <w:u w:val="single"/>
        </w:rPr>
      </w:pPr>
    </w:p>
    <w:p w14:paraId="3F67549B">
      <w:pPr>
        <w:pStyle w:val="39"/>
        <w:ind w:left="556" w:hanging="278"/>
        <w:rPr>
          <w:rFonts w:hint="default" w:ascii="Times New Roman" w:hAnsi="Times New Roman" w:cs="Times New Roman"/>
          <w:color w:val="auto"/>
          <w:u w:val="single"/>
          <w:lang w:eastAsia="zh-CN"/>
        </w:rPr>
      </w:pPr>
    </w:p>
    <w:p w14:paraId="000A05AA">
      <w:pPr>
        <w:rPr>
          <w:rFonts w:hint="default" w:ascii="Times New Roman" w:hAnsi="Times New Roman" w:cs="Times New Roman"/>
          <w:color w:val="auto"/>
          <w:u w:val="single"/>
          <w:lang w:eastAsia="zh-CN"/>
        </w:rPr>
      </w:pPr>
    </w:p>
    <w:p w14:paraId="3EE764E9">
      <w:pPr>
        <w:pStyle w:val="3"/>
        <w:adjustRightInd w:val="0"/>
        <w:snapToGrid w:val="0"/>
        <w:spacing w:before="120" w:beforeLines="50"/>
        <w:jc w:val="center"/>
        <w:rPr>
          <w:rFonts w:hint="default" w:ascii="Times New Roman" w:hAnsi="Times New Roman" w:eastAsia="黑体" w:cs="Times New Roman"/>
          <w:color w:val="auto"/>
          <w:sz w:val="28"/>
          <w:szCs w:val="28"/>
          <w:lang w:eastAsia="zh-CN"/>
        </w:rPr>
      </w:pPr>
      <w:r>
        <w:rPr>
          <w:rFonts w:hint="default" w:ascii="Times New Roman" w:hAnsi="Times New Roman" w:cs="Times New Roman"/>
          <w:color w:val="auto"/>
          <w:sz w:val="21"/>
          <w:szCs w:val="21"/>
          <w:u w:val="single"/>
          <w:lang w:eastAsia="zh-CN"/>
        </w:rPr>
        <w:br w:type="page"/>
      </w:r>
      <w:bookmarkStart w:id="313" w:name="_Toc27624"/>
      <w:r>
        <w:rPr>
          <w:rFonts w:hint="default" w:ascii="Times New Roman" w:hAnsi="Times New Roman" w:eastAsia="黑体" w:cs="Times New Roman"/>
          <w:b w:val="0"/>
          <w:bCs w:val="0"/>
          <w:color w:val="auto"/>
          <w:sz w:val="28"/>
          <w:szCs w:val="28"/>
          <w:lang w:eastAsia="zh-CN"/>
        </w:rPr>
        <w:t>第二节 政府采购合同通用条款</w:t>
      </w:r>
      <w:bookmarkEnd w:id="313"/>
    </w:p>
    <w:p w14:paraId="44ADCB37">
      <w:pPr>
        <w:tabs>
          <w:tab w:val="left" w:pos="8820"/>
          <w:tab w:val="left" w:pos="9345"/>
          <w:tab w:val="left" w:pos="9765"/>
        </w:tabs>
        <w:adjustRightInd w:val="0"/>
        <w:snapToGrid w:val="0"/>
        <w:spacing w:line="400" w:lineRule="exact"/>
        <w:jc w:val="left"/>
        <w:rPr>
          <w:rFonts w:hint="default" w:ascii="Times New Roman" w:hAnsi="Times New Roman" w:cs="Times New Roman" w:eastAsiaTheme="minorEastAsia"/>
          <w:b/>
          <w:bCs/>
          <w:color w:val="auto"/>
          <w:sz w:val="24"/>
          <w:lang w:eastAsia="zh-CN"/>
        </w:rPr>
      </w:pPr>
      <w:r>
        <w:rPr>
          <w:rFonts w:hint="default" w:ascii="Times New Roman" w:hAnsi="Times New Roman" w:cs="Times New Roman" w:eastAsiaTheme="minorEastAsia"/>
          <w:b/>
          <w:color w:val="auto"/>
          <w:sz w:val="24"/>
          <w:lang w:eastAsia="zh-CN"/>
        </w:rPr>
        <w:t>1.</w:t>
      </w:r>
      <w:r>
        <w:rPr>
          <w:rFonts w:hint="default" w:ascii="Times New Roman" w:hAnsi="Times New Roman" w:cs="Times New Roman" w:eastAsiaTheme="minorEastAsia"/>
          <w:b/>
          <w:color w:val="auto"/>
          <w:sz w:val="24"/>
          <w:lang w:val="en-US" w:eastAsia="zh-CN"/>
        </w:rPr>
        <w:t xml:space="preserve"> </w:t>
      </w:r>
      <w:r>
        <w:rPr>
          <w:rFonts w:hint="default" w:ascii="Times New Roman" w:hAnsi="Times New Roman" w:cs="Times New Roman" w:eastAsiaTheme="minorEastAsia"/>
          <w:b/>
          <w:bCs/>
          <w:color w:val="auto"/>
          <w:sz w:val="24"/>
          <w:lang w:eastAsia="zh-CN"/>
        </w:rPr>
        <w:t>定义</w:t>
      </w:r>
    </w:p>
    <w:p w14:paraId="7D1446C7">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1.1合同当事人</w:t>
      </w:r>
    </w:p>
    <w:p w14:paraId="42AF2132">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（1）采购人（以下称甲方）是指使用财政性资金，通过政府采购方式向供应商购买货物</w:t>
      </w:r>
      <w:r>
        <w:rPr>
          <w:rFonts w:hint="default" w:ascii="Times New Roman" w:hAnsi="Times New Roman" w:cs="Times New Roman" w:eastAsiaTheme="minorEastAsia"/>
          <w:color w:val="auto"/>
          <w:lang w:val="en-US" w:eastAsia="zh-CN"/>
        </w:rPr>
        <w:t>及其相关服务的</w:t>
      </w:r>
      <w:r>
        <w:rPr>
          <w:rFonts w:hint="default" w:ascii="Times New Roman" w:hAnsi="Times New Roman" w:cs="Times New Roman" w:eastAsiaTheme="minorEastAsia"/>
          <w:color w:val="auto"/>
          <w:lang w:eastAsia="zh-CN"/>
        </w:rPr>
        <w:t>国家机关、事业单位、团体组织。</w:t>
      </w:r>
    </w:p>
    <w:p w14:paraId="65A8AE79">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（2）供应商（以下称乙方）是指参加政府采购活动并且中标（成交），向采购人提供</w:t>
      </w:r>
      <w:r>
        <w:rPr>
          <w:rFonts w:hint="default" w:ascii="Times New Roman" w:hAnsi="Times New Roman" w:cs="Times New Roman" w:eastAsiaTheme="minorEastAsia"/>
          <w:color w:val="auto"/>
          <w:lang w:val="en-US" w:eastAsia="zh-CN"/>
        </w:rPr>
        <w:t>合同约定的货物及其相关服务的法人、非法人组织或者自然人</w:t>
      </w:r>
      <w:r>
        <w:rPr>
          <w:rFonts w:hint="default" w:ascii="Times New Roman" w:hAnsi="Times New Roman" w:cs="Times New Roman" w:eastAsiaTheme="minorEastAsia"/>
          <w:color w:val="auto"/>
          <w:lang w:eastAsia="zh-CN"/>
        </w:rPr>
        <w:t>。</w:t>
      </w:r>
    </w:p>
    <w:p w14:paraId="31503DA0">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（3）其他合同主体是指除采购人和供应商以外，</w:t>
      </w:r>
      <w:r>
        <w:rPr>
          <w:rFonts w:hint="default" w:ascii="Times New Roman" w:hAnsi="Times New Roman" w:cs="Times New Roman" w:eastAsiaTheme="minorEastAsia"/>
          <w:bCs/>
          <w:color w:val="auto"/>
          <w:lang w:eastAsia="zh-CN"/>
        </w:rPr>
        <w:t>依法参与合同缔结或履行，享有权利、承担义务的合同当事人</w:t>
      </w:r>
      <w:r>
        <w:rPr>
          <w:rFonts w:hint="default" w:ascii="Times New Roman" w:hAnsi="Times New Roman" w:cs="Times New Roman" w:eastAsiaTheme="minorEastAsia"/>
          <w:color w:val="auto"/>
          <w:lang w:eastAsia="zh-CN"/>
        </w:rPr>
        <w:t>。</w:t>
      </w:r>
    </w:p>
    <w:p w14:paraId="2CAC05DC">
      <w:pPr>
        <w:tabs>
          <w:tab w:val="left" w:pos="570"/>
          <w:tab w:val="left" w:pos="9240"/>
          <w:tab w:val="left" w:pos="9555"/>
        </w:tabs>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1.2本合同下列术语应解释为：</w:t>
      </w:r>
    </w:p>
    <w:p w14:paraId="546CF500">
      <w:pPr>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（1）“合同”系指</w:t>
      </w:r>
      <w:r>
        <w:rPr>
          <w:rFonts w:hint="default" w:ascii="Times New Roman" w:hAnsi="Times New Roman" w:cs="Times New Roman" w:eastAsiaTheme="minorEastAsia"/>
          <w:bCs/>
          <w:color w:val="auto"/>
          <w:lang w:eastAsia="zh-CN"/>
        </w:rPr>
        <w:t>合同当事人意思表示达成一致的任何协议，包括签署的</w:t>
      </w:r>
      <w:r>
        <w:rPr>
          <w:rFonts w:hint="default" w:ascii="Times New Roman" w:hAnsi="Times New Roman" w:cs="Times New Roman" w:eastAsiaTheme="minorEastAsia"/>
          <w:color w:val="auto"/>
          <w:lang w:eastAsia="zh-CN"/>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5D004E55">
      <w:pPr>
        <w:tabs>
          <w:tab w:val="left" w:pos="570"/>
          <w:tab w:val="left" w:pos="9240"/>
          <w:tab w:val="left" w:pos="9555"/>
        </w:tabs>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2</w:t>
      </w:r>
      <w:r>
        <w:rPr>
          <w:rFonts w:hint="default" w:ascii="Times New Roman" w:hAnsi="Times New Roman" w:cs="Times New Roman" w:eastAsiaTheme="minorEastAsia"/>
          <w:color w:val="auto"/>
          <w:lang w:eastAsia="zh-CN"/>
        </w:rPr>
        <w:t>）“合同价</w:t>
      </w:r>
      <w:r>
        <w:rPr>
          <w:rFonts w:hint="default" w:ascii="Times New Roman" w:hAnsi="Times New Roman" w:cs="Times New Roman" w:eastAsiaTheme="minorEastAsia"/>
          <w:color w:val="auto"/>
          <w:lang w:val="en-US" w:eastAsia="zh-CN"/>
        </w:rPr>
        <w:t>款</w:t>
      </w:r>
      <w:r>
        <w:rPr>
          <w:rFonts w:hint="default" w:ascii="Times New Roman" w:hAnsi="Times New Roman" w:cs="Times New Roman" w:eastAsiaTheme="minorEastAsia"/>
          <w:color w:val="auto"/>
          <w:lang w:eastAsia="zh-CN"/>
        </w:rPr>
        <w:t>”系指根据本合同规定乙方在全面履行合同义务后甲方应支付给乙方的价款。</w:t>
      </w:r>
    </w:p>
    <w:p w14:paraId="63A3E172">
      <w:pPr>
        <w:tabs>
          <w:tab w:val="left" w:pos="570"/>
          <w:tab w:val="left" w:pos="9240"/>
          <w:tab w:val="left" w:pos="9555"/>
        </w:tabs>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3</w:t>
      </w:r>
      <w:r>
        <w:rPr>
          <w:rFonts w:hint="default" w:ascii="Times New Roman" w:hAnsi="Times New Roman" w:cs="Times New Roman" w:eastAsiaTheme="minorEastAsia"/>
          <w:color w:val="auto"/>
          <w:lang w:eastAsia="zh-CN"/>
        </w:rPr>
        <w:t>）“货物”系指乙方根据本合同规定须向甲方提供的各种形态和种类的物品，包括原材料、设备、产品（包括软件）及相关的其备品备件、工具、手册及</w:t>
      </w:r>
      <w:r>
        <w:rPr>
          <w:rFonts w:hint="default" w:ascii="Times New Roman" w:hAnsi="Times New Roman" w:cs="Times New Roman" w:eastAsiaTheme="minorEastAsia"/>
          <w:color w:val="auto"/>
          <w:lang w:val="en" w:eastAsia="zh-CN"/>
        </w:rPr>
        <w:t>其他</w:t>
      </w:r>
      <w:r>
        <w:rPr>
          <w:rFonts w:hint="default" w:ascii="Times New Roman" w:hAnsi="Times New Roman" w:cs="Times New Roman" w:eastAsiaTheme="minorEastAsia"/>
          <w:color w:val="auto"/>
          <w:lang w:eastAsia="zh-CN"/>
        </w:rPr>
        <w:t>技术资料和材料等。</w:t>
      </w:r>
    </w:p>
    <w:p w14:paraId="156EC34D">
      <w:pPr>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4</w:t>
      </w: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相关</w:t>
      </w:r>
      <w:r>
        <w:rPr>
          <w:rFonts w:hint="default" w:ascii="Times New Roman" w:hAnsi="Times New Roman" w:cs="Times New Roman" w:eastAsiaTheme="minorEastAsia"/>
          <w:color w:val="auto"/>
          <w:lang w:eastAsia="zh-CN"/>
        </w:rPr>
        <w:t>服务”系指根据合同规定，乙方应提供的</w:t>
      </w:r>
      <w:r>
        <w:rPr>
          <w:rFonts w:hint="default" w:ascii="Times New Roman" w:hAnsi="Times New Roman" w:cs="Times New Roman" w:eastAsiaTheme="minorEastAsia"/>
          <w:color w:val="auto"/>
          <w:lang w:val="en-US" w:eastAsia="zh-CN"/>
        </w:rPr>
        <w:t>与货物有关的</w:t>
      </w:r>
      <w:r>
        <w:rPr>
          <w:rFonts w:hint="default" w:ascii="Times New Roman" w:hAnsi="Times New Roman" w:cs="Times New Roman" w:eastAsiaTheme="minorEastAsia"/>
          <w:color w:val="auto"/>
          <w:lang w:eastAsia="zh-CN"/>
        </w:rPr>
        <w:t>技术、管理和</w:t>
      </w:r>
      <w:r>
        <w:rPr>
          <w:rFonts w:hint="default" w:ascii="Times New Roman" w:hAnsi="Times New Roman" w:cs="Times New Roman" w:eastAsiaTheme="minorEastAsia"/>
          <w:color w:val="auto"/>
          <w:lang w:val="en" w:eastAsia="zh-CN"/>
        </w:rPr>
        <w:t>其他</w:t>
      </w:r>
      <w:r>
        <w:rPr>
          <w:rFonts w:hint="default" w:ascii="Times New Roman" w:hAnsi="Times New Roman" w:cs="Times New Roman" w:eastAsiaTheme="minorEastAsia"/>
          <w:color w:val="auto"/>
          <w:lang w:eastAsia="zh-CN"/>
        </w:rPr>
        <w:t>服务，包括但不限于：管理和质量保证、运输、保险、检验、现场准备、安装、集成、调试、培训、维修、废弃处置、技术支持等以及合同中规定乙方应承担的</w:t>
      </w:r>
      <w:r>
        <w:rPr>
          <w:rFonts w:hint="default" w:ascii="Times New Roman" w:hAnsi="Times New Roman" w:cs="Times New Roman" w:eastAsiaTheme="minorEastAsia"/>
          <w:color w:val="auto"/>
          <w:lang w:val="en" w:eastAsia="zh-CN"/>
        </w:rPr>
        <w:t>其他</w:t>
      </w:r>
      <w:r>
        <w:rPr>
          <w:rFonts w:hint="default" w:ascii="Times New Roman" w:hAnsi="Times New Roman" w:cs="Times New Roman" w:eastAsiaTheme="minorEastAsia"/>
          <w:color w:val="auto"/>
          <w:lang w:eastAsia="zh-CN"/>
        </w:rPr>
        <w:t>义务。</w:t>
      </w:r>
    </w:p>
    <w:p w14:paraId="7B6B82D7">
      <w:pPr>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5</w:t>
      </w:r>
      <w:r>
        <w:rPr>
          <w:rFonts w:hint="default" w:ascii="Times New Roman" w:hAnsi="Times New Roman" w:cs="Times New Roman" w:eastAsiaTheme="minorEastAsia"/>
          <w:color w:val="auto"/>
          <w:lang w:eastAsia="zh-CN"/>
        </w:rPr>
        <w:t>）“分包”系指中标（成交）供应商按采购文件、投标（响应）文件的规定，根据分包意向协议，将中标（成交）项目中的部分履约内容，分给具有相应资质条件的供应商履行合同的行为。</w:t>
      </w:r>
    </w:p>
    <w:p w14:paraId="78342B82">
      <w:pPr>
        <w:tabs>
          <w:tab w:val="left" w:pos="570"/>
          <w:tab w:val="left" w:pos="9240"/>
          <w:tab w:val="left" w:pos="9555"/>
        </w:tabs>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6</w:t>
      </w:r>
      <w:r>
        <w:rPr>
          <w:rFonts w:hint="default" w:ascii="Times New Roman" w:hAnsi="Times New Roman" w:cs="Times New Roman" w:eastAsiaTheme="minorEastAsia"/>
          <w:color w:val="auto"/>
          <w:lang w:eastAsia="zh-CN"/>
        </w:rPr>
        <w:t>）“联合体”系指由两个以上的自然人、法人或者</w:t>
      </w:r>
      <w:r>
        <w:rPr>
          <w:rFonts w:hint="default" w:ascii="Times New Roman" w:hAnsi="Times New Roman" w:cs="Times New Roman" w:eastAsiaTheme="minorEastAsia"/>
          <w:color w:val="auto"/>
          <w:lang w:val="en-US" w:eastAsia="zh-CN"/>
        </w:rPr>
        <w:t>非法人</w:t>
      </w:r>
      <w:r>
        <w:rPr>
          <w:rFonts w:hint="default" w:ascii="Times New Roman" w:hAnsi="Times New Roman" w:cs="Times New Roman" w:eastAsiaTheme="minorEastAsia"/>
          <w:color w:val="auto"/>
          <w:lang w:eastAsia="zh-CN"/>
        </w:rPr>
        <w:t>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default" w:ascii="Times New Roman" w:hAnsi="Times New Roman" w:cs="Times New Roman" w:eastAsiaTheme="minorEastAsia"/>
          <w:b/>
          <w:bCs/>
          <w:color w:val="auto"/>
          <w:lang w:eastAsia="zh-CN"/>
        </w:rPr>
        <w:t>政府采购合同专用条款</w:t>
      </w:r>
      <w:r>
        <w:rPr>
          <w:rFonts w:hint="default" w:ascii="Times New Roman" w:hAnsi="Times New Roman" w:cs="Times New Roman" w:eastAsiaTheme="minorEastAsia"/>
          <w:color w:val="auto"/>
          <w:lang w:eastAsia="zh-CN"/>
        </w:rPr>
        <w:t>】。</w:t>
      </w:r>
    </w:p>
    <w:p w14:paraId="775E7D8A">
      <w:pPr>
        <w:tabs>
          <w:tab w:val="left" w:pos="570"/>
          <w:tab w:val="left" w:pos="9240"/>
          <w:tab w:val="left" w:pos="9555"/>
        </w:tabs>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7</w:t>
      </w:r>
      <w:r>
        <w:rPr>
          <w:rFonts w:hint="default" w:ascii="Times New Roman" w:hAnsi="Times New Roman" w:cs="Times New Roman" w:eastAsiaTheme="minorEastAsia"/>
          <w:color w:val="auto"/>
          <w:lang w:eastAsia="zh-CN"/>
        </w:rPr>
        <w:t>）其他术语解释，见【</w:t>
      </w:r>
      <w:r>
        <w:rPr>
          <w:rFonts w:hint="default" w:ascii="Times New Roman" w:hAnsi="Times New Roman" w:cs="Times New Roman" w:eastAsiaTheme="minorEastAsia"/>
          <w:b/>
          <w:bCs/>
          <w:color w:val="auto"/>
          <w:lang w:eastAsia="zh-CN"/>
        </w:rPr>
        <w:t>政府采购合同专用条款</w:t>
      </w:r>
      <w:r>
        <w:rPr>
          <w:rFonts w:hint="default" w:ascii="Times New Roman" w:hAnsi="Times New Roman" w:cs="Times New Roman" w:eastAsiaTheme="minorEastAsia"/>
          <w:color w:val="auto"/>
          <w:lang w:eastAsia="zh-CN"/>
        </w:rPr>
        <w:t>】。</w:t>
      </w:r>
    </w:p>
    <w:p w14:paraId="6AEDDF43">
      <w:pPr>
        <w:numPr>
          <w:ilvl w:val="0"/>
          <w:numId w:val="16"/>
        </w:numPr>
        <w:autoSpaceDE w:val="0"/>
        <w:autoSpaceDN w:val="0"/>
        <w:adjustRightInd w:val="0"/>
        <w:snapToGrid w:val="0"/>
        <w:spacing w:line="400" w:lineRule="exact"/>
        <w:jc w:val="left"/>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color w:val="auto"/>
          <w:sz w:val="24"/>
        </w:rPr>
        <w:t>合同标的及金额</w:t>
      </w:r>
    </w:p>
    <w:p w14:paraId="15D3D6ED">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b/>
          <w:bCs/>
          <w:i/>
          <w:iCs/>
          <w:color w:val="auto"/>
          <w:lang w:eastAsia="zh-CN"/>
        </w:rPr>
      </w:pPr>
      <w:r>
        <w:rPr>
          <w:rFonts w:hint="default" w:ascii="Times New Roman" w:hAnsi="Times New Roman" w:cs="Times New Roman" w:eastAsiaTheme="minorEastAsia"/>
          <w:color w:val="auto"/>
          <w:lang w:eastAsia="zh-CN"/>
        </w:rPr>
        <w:t>2.1 合同标的及金额应与中标（成交）结果一致。乙方为履行本合同而发生的所有费用均应包含在合同价款中，甲方不再另行支付</w:t>
      </w:r>
      <w:r>
        <w:rPr>
          <w:rFonts w:hint="default" w:ascii="Times New Roman" w:hAnsi="Times New Roman" w:cs="Times New Roman" w:eastAsiaTheme="minorEastAsia"/>
          <w:color w:val="auto"/>
          <w:lang w:val="en" w:eastAsia="zh-CN"/>
        </w:rPr>
        <w:t>其他</w:t>
      </w:r>
      <w:r>
        <w:rPr>
          <w:rFonts w:hint="default" w:ascii="Times New Roman" w:hAnsi="Times New Roman" w:cs="Times New Roman" w:eastAsiaTheme="minorEastAsia"/>
          <w:color w:val="auto"/>
          <w:lang w:eastAsia="zh-CN"/>
        </w:rPr>
        <w:t>任何费用。</w:t>
      </w:r>
    </w:p>
    <w:p w14:paraId="64FEF9D7">
      <w:pPr>
        <w:adjustRightInd w:val="0"/>
        <w:snapToGrid w:val="0"/>
        <w:spacing w:line="400" w:lineRule="exact"/>
        <w:jc w:val="left"/>
        <w:rPr>
          <w:rFonts w:hint="default" w:ascii="Times New Roman" w:hAnsi="Times New Roman" w:cs="Times New Roman" w:eastAsiaTheme="minorEastAsia"/>
          <w:b/>
          <w:color w:val="auto"/>
          <w:sz w:val="24"/>
          <w:lang w:eastAsia="zh-CN"/>
        </w:rPr>
      </w:pPr>
      <w:r>
        <w:rPr>
          <w:rFonts w:hint="default" w:ascii="Times New Roman" w:hAnsi="Times New Roman" w:cs="Times New Roman" w:eastAsiaTheme="minorEastAsia"/>
          <w:b/>
          <w:color w:val="auto"/>
          <w:sz w:val="24"/>
          <w:lang w:eastAsia="zh-CN"/>
        </w:rPr>
        <w:t>3</w:t>
      </w:r>
      <w:r>
        <w:rPr>
          <w:rFonts w:hint="default" w:ascii="Times New Roman" w:hAnsi="Times New Roman" w:cs="Times New Roman" w:eastAsiaTheme="minorEastAsia"/>
          <w:b/>
          <w:color w:val="auto"/>
          <w:sz w:val="24"/>
          <w:lang w:val="en-US" w:eastAsia="zh-CN"/>
        </w:rPr>
        <w:t xml:space="preserve">. </w:t>
      </w:r>
      <w:r>
        <w:rPr>
          <w:rFonts w:hint="default" w:ascii="Times New Roman" w:hAnsi="Times New Roman" w:cs="Times New Roman" w:eastAsiaTheme="minorEastAsia"/>
          <w:b/>
          <w:color w:val="auto"/>
          <w:sz w:val="24"/>
          <w:lang w:eastAsia="zh-CN"/>
        </w:rPr>
        <w:t>履行合同的时间、地点和方式</w:t>
      </w:r>
    </w:p>
    <w:p w14:paraId="3550AB2C">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3.1 乙方应当在约定的时间、地点，按照约定方式履行合同。</w:t>
      </w:r>
    </w:p>
    <w:p w14:paraId="76C1ACD4">
      <w:pPr>
        <w:autoSpaceDE w:val="0"/>
        <w:autoSpaceDN w:val="0"/>
        <w:adjustRightInd w:val="0"/>
        <w:snapToGrid w:val="0"/>
        <w:spacing w:line="400" w:lineRule="exact"/>
        <w:jc w:val="left"/>
        <w:rPr>
          <w:rFonts w:hint="default" w:ascii="Times New Roman" w:hAnsi="Times New Roman" w:cs="Times New Roman" w:eastAsiaTheme="minorEastAsia"/>
          <w:b/>
          <w:bCs/>
          <w:color w:val="auto"/>
          <w:sz w:val="24"/>
          <w:lang w:eastAsia="zh-CN"/>
        </w:rPr>
      </w:pPr>
      <w:r>
        <w:rPr>
          <w:rFonts w:hint="default" w:ascii="Times New Roman" w:hAnsi="Times New Roman" w:cs="Times New Roman" w:eastAsiaTheme="minorEastAsia"/>
          <w:b/>
          <w:bCs/>
          <w:color w:val="auto"/>
          <w:sz w:val="24"/>
          <w:lang w:eastAsia="zh-CN"/>
        </w:rPr>
        <w:t>4</w:t>
      </w:r>
      <w:r>
        <w:rPr>
          <w:rFonts w:hint="default" w:ascii="Times New Roman" w:hAnsi="Times New Roman" w:cs="Times New Roman" w:eastAsiaTheme="minorEastAsia"/>
          <w:b/>
          <w:bCs/>
          <w:color w:val="auto"/>
          <w:sz w:val="24"/>
          <w:lang w:val="en-US" w:eastAsia="zh-CN"/>
        </w:rPr>
        <w:t xml:space="preserve">. </w:t>
      </w:r>
      <w:r>
        <w:rPr>
          <w:rFonts w:hint="default" w:ascii="Times New Roman" w:hAnsi="Times New Roman" w:cs="Times New Roman" w:eastAsiaTheme="minorEastAsia"/>
          <w:b/>
          <w:bCs/>
          <w:color w:val="auto"/>
          <w:sz w:val="24"/>
          <w:lang w:eastAsia="zh-CN"/>
        </w:rPr>
        <w:t>甲方的权利和义务</w:t>
      </w:r>
    </w:p>
    <w:p w14:paraId="6E041ACA">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4.1 签署合同后，甲方应确定</w:t>
      </w:r>
      <w:r>
        <w:rPr>
          <w:rFonts w:hint="default" w:ascii="Times New Roman" w:hAnsi="Times New Roman" w:cs="Times New Roman" w:eastAsiaTheme="minorEastAsia"/>
          <w:color w:val="auto"/>
          <w:lang w:val="en-US" w:eastAsia="zh-CN"/>
        </w:rPr>
        <w:t>项目负责人（或项目联系人）</w:t>
      </w:r>
      <w:r>
        <w:rPr>
          <w:rFonts w:hint="default" w:ascii="Times New Roman" w:hAnsi="Times New Roman" w:cs="Times New Roman" w:eastAsiaTheme="minorEastAsia"/>
          <w:color w:val="auto"/>
          <w:lang w:eastAsia="zh-CN"/>
        </w:rPr>
        <w:t>，负责与本合同有关的事务。甲方有权对乙方的履约行为进行检查，并及时确认乙方提交的事项。甲方应当配合乙方完成相关项目实施工作。</w:t>
      </w:r>
    </w:p>
    <w:p w14:paraId="313AC336">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4.2 甲方有权要求乙方按时提交各阶段有关安排计划，并有权定期核对乙方提供货物数量、规格、质量等内容。甲方有权督促乙方工作并要求乙方更换不符合要求的货物。</w:t>
      </w:r>
    </w:p>
    <w:p w14:paraId="44231E4E">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4.3 甲方有权要求乙方对缺陷部分予以修复，并按合同约定享有货物保修及其他合同约定的权利。</w:t>
      </w:r>
    </w:p>
    <w:p w14:paraId="084C4C7C">
      <w:pPr>
        <w:snapToGrid w:val="0"/>
        <w:spacing w:line="400" w:lineRule="exact"/>
        <w:ind w:firstLine="420" w:firstLineChars="200"/>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4.4 甲方应当按照合同约定及时对交付的货物进行验收，</w:t>
      </w:r>
      <w:r>
        <w:rPr>
          <w:rFonts w:hint="default" w:ascii="Times New Roman" w:hAnsi="Times New Roman" w:cs="Times New Roman" w:eastAsiaTheme="minorEastAsia"/>
          <w:color w:val="auto"/>
          <w:lang w:eastAsia="zh-CN"/>
        </w:rPr>
        <w:t>未</w:t>
      </w:r>
      <w:r>
        <w:rPr>
          <w:rFonts w:hint="default" w:ascii="Times New Roman" w:hAnsi="Times New Roman" w:cs="Times New Roman" w:eastAsiaTheme="minorEastAsia"/>
          <w:color w:val="auto"/>
          <w:lang w:val="en-US" w:eastAsia="zh-CN"/>
        </w:rPr>
        <w:t>在</w:t>
      </w:r>
      <w:r>
        <w:rPr>
          <w:rFonts w:hint="default" w:ascii="Times New Roman" w:hAnsi="Times New Roman" w:cs="Times New Roman" w:eastAsiaTheme="minorEastAsia"/>
          <w:b/>
          <w:bCs/>
          <w:color w:val="auto"/>
          <w:lang w:eastAsia="zh-CN"/>
        </w:rPr>
        <w:t>【政府采购合同专用条款】</w:t>
      </w:r>
      <w:r>
        <w:rPr>
          <w:rFonts w:hint="default" w:ascii="Times New Roman" w:hAnsi="Times New Roman" w:cs="Times New Roman" w:eastAsiaTheme="minorEastAsia"/>
          <w:color w:val="auto"/>
          <w:lang w:eastAsia="zh-CN"/>
        </w:rPr>
        <w:t>约定的期限内对乙方履约提出任何异议或者向乙方作出任何说明的，</w:t>
      </w:r>
      <w:r>
        <w:rPr>
          <w:rFonts w:hint="default" w:ascii="Times New Roman" w:hAnsi="Times New Roman" w:cs="Times New Roman" w:eastAsiaTheme="minorEastAsia"/>
          <w:color w:val="auto"/>
          <w:lang w:val="en-US" w:eastAsia="zh-CN"/>
        </w:rPr>
        <w:t>视为验收通过。</w:t>
      </w:r>
    </w:p>
    <w:p w14:paraId="77698752">
      <w:pPr>
        <w:autoSpaceDE w:val="0"/>
        <w:autoSpaceDN w:val="0"/>
        <w:adjustRightInd w:val="0"/>
        <w:snapToGrid w:val="0"/>
        <w:spacing w:line="400" w:lineRule="exact"/>
        <w:ind w:firstLine="480" w:firstLineChars="200"/>
        <w:jc w:val="left"/>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4.</w:t>
      </w:r>
      <w:r>
        <w:rPr>
          <w:rFonts w:hint="default" w:ascii="Times New Roman" w:hAnsi="Times New Roman" w:cs="Times New Roman" w:eastAsiaTheme="minorEastAsia"/>
          <w:color w:val="auto"/>
          <w:sz w:val="24"/>
          <w:szCs w:val="24"/>
          <w:lang w:val="en-US" w:eastAsia="zh-CN"/>
        </w:rPr>
        <w:t>5</w:t>
      </w:r>
      <w:r>
        <w:rPr>
          <w:rFonts w:hint="default" w:ascii="Times New Roman" w:hAnsi="Times New Roman" w:cs="Times New Roman" w:eastAsiaTheme="minorEastAsia"/>
          <w:color w:val="auto"/>
          <w:sz w:val="24"/>
          <w:szCs w:val="24"/>
          <w:lang w:eastAsia="zh-CN"/>
        </w:rPr>
        <w:t xml:space="preserve"> 甲方应当根据合同约定及时向乙方支付合同价款，不得以内部人员变更、履行内部付款流程等为由，拒绝或迟延支付。</w:t>
      </w:r>
    </w:p>
    <w:p w14:paraId="5247DEEC">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4.</w:t>
      </w:r>
      <w:r>
        <w:rPr>
          <w:rFonts w:hint="default" w:ascii="Times New Roman" w:hAnsi="Times New Roman" w:cs="Times New Roman" w:eastAsiaTheme="minorEastAsia"/>
          <w:color w:val="auto"/>
          <w:lang w:val="en-US" w:eastAsia="zh-CN"/>
        </w:rPr>
        <w:t>6</w:t>
      </w:r>
      <w:r>
        <w:rPr>
          <w:rFonts w:hint="default" w:ascii="Times New Roman" w:hAnsi="Times New Roman" w:cs="Times New Roman" w:eastAsiaTheme="minorEastAsia"/>
          <w:color w:val="auto"/>
          <w:lang w:eastAsia="zh-CN"/>
        </w:rPr>
        <w:t xml:space="preserve"> 国家法律法规规定及</w:t>
      </w:r>
      <w:r>
        <w:rPr>
          <w:rFonts w:hint="default" w:ascii="Times New Roman" w:hAnsi="Times New Roman" w:cs="Times New Roman" w:eastAsiaTheme="minorEastAsia"/>
          <w:b/>
          <w:bCs/>
          <w:color w:val="auto"/>
          <w:lang w:eastAsia="zh-CN"/>
        </w:rPr>
        <w:t>【政府采购合同专用条款】</w:t>
      </w:r>
      <w:r>
        <w:rPr>
          <w:rFonts w:hint="default" w:ascii="Times New Roman" w:hAnsi="Times New Roman" w:cs="Times New Roman" w:eastAsiaTheme="minorEastAsia"/>
          <w:color w:val="auto"/>
          <w:lang w:eastAsia="zh-CN"/>
        </w:rPr>
        <w:t>约定应由甲方承担的其他义务和责任。</w:t>
      </w:r>
    </w:p>
    <w:p w14:paraId="346B6485">
      <w:pPr>
        <w:autoSpaceDE w:val="0"/>
        <w:autoSpaceDN w:val="0"/>
        <w:adjustRightInd w:val="0"/>
        <w:snapToGrid w:val="0"/>
        <w:spacing w:line="400" w:lineRule="exact"/>
        <w:jc w:val="left"/>
        <w:rPr>
          <w:rFonts w:hint="default" w:ascii="Times New Roman" w:hAnsi="Times New Roman" w:cs="Times New Roman" w:eastAsiaTheme="minorEastAsia"/>
          <w:b/>
          <w:bCs/>
          <w:color w:val="auto"/>
          <w:sz w:val="24"/>
          <w:lang w:eastAsia="zh-CN"/>
        </w:rPr>
      </w:pPr>
      <w:r>
        <w:rPr>
          <w:rFonts w:hint="default" w:ascii="Times New Roman" w:hAnsi="Times New Roman" w:cs="Times New Roman" w:eastAsiaTheme="minorEastAsia"/>
          <w:b/>
          <w:bCs/>
          <w:color w:val="auto"/>
          <w:sz w:val="24"/>
          <w:lang w:eastAsia="zh-CN"/>
        </w:rPr>
        <w:t>5</w:t>
      </w:r>
      <w:r>
        <w:rPr>
          <w:rFonts w:hint="default" w:ascii="Times New Roman" w:hAnsi="Times New Roman" w:cs="Times New Roman" w:eastAsiaTheme="minorEastAsia"/>
          <w:b/>
          <w:bCs/>
          <w:color w:val="auto"/>
          <w:sz w:val="24"/>
          <w:lang w:val="en-US" w:eastAsia="zh-CN"/>
        </w:rPr>
        <w:t xml:space="preserve">. </w:t>
      </w:r>
      <w:r>
        <w:rPr>
          <w:rFonts w:hint="default" w:ascii="Times New Roman" w:hAnsi="Times New Roman" w:cs="Times New Roman" w:eastAsiaTheme="minorEastAsia"/>
          <w:b/>
          <w:bCs/>
          <w:color w:val="auto"/>
          <w:sz w:val="24"/>
          <w:lang w:eastAsia="zh-CN"/>
        </w:rPr>
        <w:t>乙方的权利和义务</w:t>
      </w:r>
    </w:p>
    <w:p w14:paraId="0C9B0BB0">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5.1 签署合同后，乙方应确定</w:t>
      </w:r>
      <w:r>
        <w:rPr>
          <w:rFonts w:hint="default" w:ascii="Times New Roman" w:hAnsi="Times New Roman" w:cs="Times New Roman" w:eastAsiaTheme="minorEastAsia"/>
          <w:color w:val="auto"/>
          <w:lang w:val="en-US" w:eastAsia="zh-CN"/>
        </w:rPr>
        <w:t>项目负责人（或项目联系人）</w:t>
      </w:r>
      <w:r>
        <w:rPr>
          <w:rFonts w:hint="default" w:ascii="Times New Roman" w:hAnsi="Times New Roman" w:cs="Times New Roman" w:eastAsiaTheme="minorEastAsia"/>
          <w:color w:val="auto"/>
          <w:lang w:eastAsia="zh-CN"/>
        </w:rPr>
        <w:t>，负责与本合同有关的事务。</w:t>
      </w:r>
    </w:p>
    <w:p w14:paraId="48EA6C6A">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35E4B4EC">
      <w:pPr>
        <w:pStyle w:val="16"/>
        <w:spacing w:line="400" w:lineRule="exact"/>
        <w:ind w:firstLine="422" w:firstLineChars="176"/>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5.3乙方有权根据合同约定向甲方收取合同价款。</w:t>
      </w:r>
    </w:p>
    <w:p w14:paraId="3AD98C04">
      <w:pPr>
        <w:pStyle w:val="16"/>
        <w:spacing w:line="400" w:lineRule="exact"/>
        <w:ind w:firstLine="422" w:firstLineChars="176"/>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5.4国家法律法规规定及</w:t>
      </w:r>
      <w:r>
        <w:rPr>
          <w:rFonts w:hint="default" w:ascii="Times New Roman" w:hAnsi="Times New Roman" w:cs="Times New Roman" w:eastAsiaTheme="minorEastAsia"/>
          <w:b/>
          <w:bCs/>
          <w:szCs w:val="21"/>
        </w:rPr>
        <w:t>【政府采购合同专用条款】</w:t>
      </w:r>
      <w:r>
        <w:rPr>
          <w:rFonts w:hint="default" w:ascii="Times New Roman" w:hAnsi="Times New Roman" w:cs="Times New Roman" w:eastAsiaTheme="minorEastAsia"/>
          <w:szCs w:val="21"/>
        </w:rPr>
        <w:t>约定应由乙方承担的其他义务和责任。</w:t>
      </w:r>
    </w:p>
    <w:p w14:paraId="1C5EED05">
      <w:pPr>
        <w:numPr>
          <w:ilvl w:val="0"/>
          <w:numId w:val="17"/>
        </w:numPr>
        <w:autoSpaceDE w:val="0"/>
        <w:autoSpaceDN w:val="0"/>
        <w:adjustRightInd w:val="0"/>
        <w:snapToGrid w:val="0"/>
        <w:spacing w:line="400" w:lineRule="exact"/>
        <w:jc w:val="left"/>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rPr>
        <w:t>合同履</w:t>
      </w:r>
      <w:r>
        <w:rPr>
          <w:rFonts w:hint="default" w:ascii="Times New Roman" w:hAnsi="Times New Roman" w:cs="Times New Roman" w:eastAsiaTheme="minorEastAsia"/>
          <w:b/>
          <w:bCs/>
          <w:color w:val="auto"/>
          <w:sz w:val="24"/>
          <w:lang w:val="en-US" w:eastAsia="zh-CN"/>
        </w:rPr>
        <w:t>行</w:t>
      </w:r>
    </w:p>
    <w:p w14:paraId="77033187">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6.1 甲乙双方应当按照</w:t>
      </w:r>
      <w:r>
        <w:rPr>
          <w:rFonts w:hint="default" w:ascii="Times New Roman" w:hAnsi="Times New Roman" w:cs="Times New Roman" w:eastAsiaTheme="minorEastAsia"/>
          <w:b/>
          <w:bCs/>
          <w:color w:val="auto"/>
          <w:lang w:eastAsia="zh-CN"/>
        </w:rPr>
        <w:t>【政府采购合同专用条款】</w:t>
      </w:r>
      <w:r>
        <w:rPr>
          <w:rFonts w:hint="default" w:ascii="Times New Roman" w:hAnsi="Times New Roman" w:cs="Times New Roman" w:eastAsiaTheme="minorEastAsia"/>
          <w:color w:val="auto"/>
          <w:lang w:eastAsia="zh-CN"/>
        </w:rPr>
        <w:t>约定顺序履行合同义务；如果没有先后顺序的，应当同时履行。</w:t>
      </w:r>
    </w:p>
    <w:p w14:paraId="30AB7F94">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6.2 甲乙双方按照合同约定顺序履行合同义务时，应当先履行一方未履行的，后履行一方有权拒绝其履行请求。先履行一方履行不符合约定的，后履行一方有权拒绝其相应的履行请求。</w:t>
      </w:r>
    </w:p>
    <w:p w14:paraId="65A0B495">
      <w:pPr>
        <w:adjustRightInd w:val="0"/>
        <w:snapToGrid w:val="0"/>
        <w:spacing w:line="400" w:lineRule="exact"/>
        <w:jc w:val="left"/>
        <w:rPr>
          <w:rFonts w:hint="default" w:ascii="Times New Roman" w:hAnsi="Times New Roman" w:cs="Times New Roman" w:eastAsiaTheme="minorEastAsia"/>
          <w:b/>
          <w:bCs/>
          <w:color w:val="auto"/>
          <w:sz w:val="24"/>
          <w:lang w:eastAsia="zh-CN"/>
        </w:rPr>
      </w:pPr>
      <w:r>
        <w:rPr>
          <w:rFonts w:hint="default" w:ascii="Times New Roman" w:hAnsi="Times New Roman" w:cs="Times New Roman" w:eastAsiaTheme="minorEastAsia"/>
          <w:b/>
          <w:bCs/>
          <w:color w:val="auto"/>
          <w:sz w:val="24"/>
          <w:lang w:eastAsia="zh-CN"/>
        </w:rPr>
        <w:t>7</w:t>
      </w:r>
      <w:r>
        <w:rPr>
          <w:rFonts w:hint="default" w:ascii="Times New Roman" w:hAnsi="Times New Roman" w:cs="Times New Roman" w:eastAsiaTheme="minorEastAsia"/>
          <w:b/>
          <w:bCs/>
          <w:color w:val="auto"/>
          <w:sz w:val="24"/>
          <w:lang w:val="en-US" w:eastAsia="zh-CN"/>
        </w:rPr>
        <w:t xml:space="preserve">. </w:t>
      </w:r>
      <w:r>
        <w:rPr>
          <w:rFonts w:hint="default" w:ascii="Times New Roman" w:hAnsi="Times New Roman" w:cs="Times New Roman" w:eastAsiaTheme="minorEastAsia"/>
          <w:b/>
          <w:bCs/>
          <w:color w:val="auto"/>
          <w:sz w:val="24"/>
          <w:lang w:eastAsia="zh-CN"/>
        </w:rPr>
        <w:t>货物包装、运输、保险和交付要求</w:t>
      </w:r>
    </w:p>
    <w:p w14:paraId="23A00169">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7.1 本合同</w:t>
      </w:r>
      <w:r>
        <w:rPr>
          <w:rFonts w:hint="default" w:ascii="Times New Roman" w:hAnsi="Times New Roman" w:cs="Times New Roman" w:eastAsiaTheme="minorEastAsia"/>
          <w:bCs/>
          <w:color w:val="auto"/>
          <w:lang w:eastAsia="zh-CN"/>
        </w:rPr>
        <w:t>涉及商品包装、快递包装的，</w:t>
      </w:r>
      <w:r>
        <w:rPr>
          <w:rFonts w:hint="default" w:ascii="Times New Roman" w:hAnsi="Times New Roman" w:cs="Times New Roman" w:eastAsiaTheme="minorEastAsia"/>
          <w:color w:val="auto"/>
          <w:lang w:eastAsia="zh-CN"/>
        </w:rPr>
        <w:t>除</w:t>
      </w:r>
      <w:r>
        <w:rPr>
          <w:rFonts w:hint="default" w:ascii="Times New Roman" w:hAnsi="Times New Roman" w:cs="Times New Roman" w:eastAsiaTheme="minorEastAsia"/>
          <w:b/>
          <w:color w:val="auto"/>
          <w:lang w:eastAsia="zh-CN"/>
        </w:rPr>
        <w:t>【政府采购合同专用条款】</w:t>
      </w:r>
      <w:r>
        <w:rPr>
          <w:rFonts w:hint="default" w:ascii="Times New Roman" w:hAnsi="Times New Roman" w:cs="Times New Roman" w:eastAsiaTheme="minorEastAsia"/>
          <w:bCs/>
          <w:color w:val="auto"/>
          <w:lang w:eastAsia="zh-CN"/>
        </w:rPr>
        <w:t>另有约定外，</w:t>
      </w:r>
      <w:r>
        <w:rPr>
          <w:rFonts w:hint="default" w:ascii="Times New Roman" w:hAnsi="Times New Roman" w:cs="Times New Roman" w:eastAsiaTheme="minorEastAsia"/>
          <w:color w:val="auto"/>
          <w:lang w:eastAsia="zh-CN"/>
        </w:rPr>
        <w:t>包装应适应远距离运输、防潮、防震、防锈和防野蛮装卸等要求，确保货物安全无损地运抵</w:t>
      </w:r>
      <w:r>
        <w:rPr>
          <w:rFonts w:hint="default" w:ascii="Times New Roman" w:hAnsi="Times New Roman" w:cs="Times New Roman" w:eastAsiaTheme="minorEastAsia"/>
          <w:b/>
          <w:color w:val="auto"/>
          <w:lang w:eastAsia="zh-CN"/>
        </w:rPr>
        <w:t>【政府采购合同专用条款】</w:t>
      </w:r>
      <w:r>
        <w:rPr>
          <w:rFonts w:hint="default" w:ascii="Times New Roman" w:hAnsi="Times New Roman" w:cs="Times New Roman" w:eastAsiaTheme="minorEastAsia"/>
          <w:bCs/>
          <w:color w:val="auto"/>
          <w:lang w:eastAsia="zh-CN"/>
        </w:rPr>
        <w:t>约定的</w:t>
      </w:r>
      <w:r>
        <w:rPr>
          <w:rFonts w:hint="default" w:ascii="Times New Roman" w:hAnsi="Times New Roman" w:cs="Times New Roman" w:eastAsiaTheme="minorEastAsia"/>
          <w:color w:val="auto"/>
          <w:lang w:eastAsia="zh-CN"/>
        </w:rPr>
        <w:t>指定现场。</w:t>
      </w:r>
    </w:p>
    <w:p w14:paraId="1507D3DC">
      <w:pPr>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7.2 除</w:t>
      </w:r>
      <w:r>
        <w:rPr>
          <w:rFonts w:hint="default" w:ascii="Times New Roman" w:hAnsi="Times New Roman" w:cs="Times New Roman" w:eastAsiaTheme="minorEastAsia"/>
          <w:b/>
          <w:color w:val="auto"/>
          <w:lang w:eastAsia="zh-CN"/>
        </w:rPr>
        <w:t>【政府采购合同专用条款】</w:t>
      </w:r>
      <w:r>
        <w:rPr>
          <w:rFonts w:hint="default" w:ascii="Times New Roman" w:hAnsi="Times New Roman" w:cs="Times New Roman" w:eastAsiaTheme="minorEastAsia"/>
          <w:bCs/>
          <w:color w:val="auto"/>
          <w:lang w:eastAsia="zh-CN"/>
        </w:rPr>
        <w:t>另有约定外，</w:t>
      </w:r>
      <w:r>
        <w:rPr>
          <w:rFonts w:hint="default" w:ascii="Times New Roman" w:hAnsi="Times New Roman" w:cs="Times New Roman" w:eastAsiaTheme="minorEastAsia"/>
          <w:color w:val="auto"/>
          <w:lang w:eastAsia="zh-CN"/>
        </w:rPr>
        <w:t>乙方负责办理将货物运抵本合同规定的交货地点，并装卸、交付至甲方的一切运输事项，相关费用应包含在合同价款中。</w:t>
      </w:r>
    </w:p>
    <w:p w14:paraId="58D1B679">
      <w:pPr>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7.3 货物保险要求按</w:t>
      </w:r>
      <w:r>
        <w:rPr>
          <w:rFonts w:hint="default" w:ascii="Times New Roman" w:hAnsi="Times New Roman" w:cs="Times New Roman" w:eastAsiaTheme="minorEastAsia"/>
          <w:b/>
          <w:color w:val="auto"/>
          <w:lang w:eastAsia="zh-CN"/>
        </w:rPr>
        <w:t>【政府采购合同专用条款】</w:t>
      </w:r>
      <w:r>
        <w:rPr>
          <w:rFonts w:hint="default" w:ascii="Times New Roman" w:hAnsi="Times New Roman" w:cs="Times New Roman" w:eastAsiaTheme="minorEastAsia"/>
          <w:bCs/>
          <w:color w:val="auto"/>
          <w:lang w:eastAsia="zh-CN"/>
        </w:rPr>
        <w:t>规定执行</w:t>
      </w:r>
      <w:r>
        <w:rPr>
          <w:rFonts w:hint="default" w:ascii="Times New Roman" w:hAnsi="Times New Roman" w:cs="Times New Roman" w:eastAsiaTheme="minorEastAsia"/>
          <w:color w:val="auto"/>
          <w:lang w:eastAsia="zh-CN"/>
        </w:rPr>
        <w:t>。</w:t>
      </w:r>
    </w:p>
    <w:p w14:paraId="70943424">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 xml:space="preserve">7.4 </w:t>
      </w:r>
      <w:r>
        <w:rPr>
          <w:rFonts w:hint="default" w:ascii="Times New Roman" w:hAnsi="Times New Roman" w:cs="Times New Roman" w:eastAsiaTheme="minorEastAsia"/>
          <w:color w:val="auto"/>
          <w:lang w:val="en-US" w:eastAsia="zh-CN"/>
        </w:rPr>
        <w:t>除采购活动</w:t>
      </w:r>
      <w:r>
        <w:rPr>
          <w:rFonts w:hint="default" w:ascii="Times New Roman" w:hAnsi="Times New Roman" w:cs="Times New Roman" w:eastAsiaTheme="minorEastAsia"/>
          <w:color w:val="auto"/>
          <w:lang w:eastAsia="zh-CN"/>
        </w:rPr>
        <w:t>对商品包装、快递包装</w:t>
      </w:r>
      <w:r>
        <w:rPr>
          <w:rFonts w:hint="default" w:ascii="Times New Roman" w:hAnsi="Times New Roman" w:cs="Times New Roman" w:eastAsiaTheme="minorEastAsia"/>
          <w:color w:val="auto"/>
          <w:lang w:val="en-US" w:eastAsia="zh-CN"/>
        </w:rPr>
        <w:t>达成具体约定外</w:t>
      </w:r>
      <w:r>
        <w:rPr>
          <w:rFonts w:hint="default" w:ascii="Times New Roman" w:hAnsi="Times New Roman" w:cs="Times New Roman" w:eastAsiaTheme="minorEastAsia"/>
          <w:color w:val="auto"/>
          <w:lang w:eastAsia="zh-CN"/>
        </w:rPr>
        <w:t>，乙方提供产品及相关快递服务</w:t>
      </w:r>
      <w:r>
        <w:rPr>
          <w:rFonts w:hint="default" w:ascii="Times New Roman" w:hAnsi="Times New Roman" w:cs="Times New Roman" w:eastAsiaTheme="minorEastAsia"/>
          <w:color w:val="auto"/>
          <w:lang w:val="en-US" w:eastAsia="zh-CN"/>
        </w:rPr>
        <w:t>涉及到</w:t>
      </w:r>
      <w:r>
        <w:rPr>
          <w:rFonts w:hint="default" w:ascii="Times New Roman" w:hAnsi="Times New Roman" w:cs="Times New Roman" w:eastAsiaTheme="minorEastAsia"/>
          <w:color w:val="auto"/>
          <w:lang w:eastAsia="zh-CN"/>
        </w:rPr>
        <w:t>具体包装要求</w:t>
      </w:r>
      <w:r>
        <w:rPr>
          <w:rFonts w:hint="default" w:ascii="Times New Roman" w:hAnsi="Times New Roman" w:cs="Times New Roman" w:eastAsiaTheme="minorEastAsia"/>
          <w:color w:val="auto"/>
          <w:lang w:val="en-US" w:eastAsia="zh-CN"/>
        </w:rPr>
        <w:t>的，</w:t>
      </w:r>
      <w:r>
        <w:rPr>
          <w:rFonts w:hint="default" w:ascii="Times New Roman" w:hAnsi="Times New Roman" w:cs="Times New Roman" w:eastAsiaTheme="minorEastAsia"/>
          <w:color w:val="auto"/>
          <w:lang w:eastAsia="zh-CN"/>
        </w:rPr>
        <w:t>应</w:t>
      </w:r>
      <w:r>
        <w:rPr>
          <w:rFonts w:hint="default" w:ascii="Times New Roman" w:hAnsi="Times New Roman" w:cs="Times New Roman" w:eastAsiaTheme="minorEastAsia"/>
          <w:color w:val="auto"/>
          <w:lang w:val="en-US" w:eastAsia="zh-CN"/>
        </w:rPr>
        <w:t>不低于</w:t>
      </w:r>
      <w:r>
        <w:rPr>
          <w:rFonts w:hint="default" w:ascii="Times New Roman" w:hAnsi="Times New Roman" w:cs="Times New Roman" w:eastAsiaTheme="minorEastAsia"/>
          <w:color w:val="auto"/>
          <w:lang w:eastAsia="zh-CN"/>
        </w:rPr>
        <w:t>《商品包装政府采购需求标准（试行）》《快递包装政府采购需求标准（试行）》</w:t>
      </w:r>
      <w:r>
        <w:rPr>
          <w:rFonts w:hint="default" w:ascii="Times New Roman" w:hAnsi="Times New Roman" w:cs="Times New Roman" w:eastAsiaTheme="minorEastAsia"/>
          <w:color w:val="auto"/>
          <w:lang w:val="en-US" w:eastAsia="zh-CN"/>
        </w:rPr>
        <w:t>标准</w:t>
      </w:r>
      <w:r>
        <w:rPr>
          <w:rFonts w:hint="default" w:ascii="Times New Roman" w:hAnsi="Times New Roman" w:cs="Times New Roman" w:eastAsiaTheme="minorEastAsia"/>
          <w:color w:val="auto"/>
          <w:lang w:eastAsia="zh-CN"/>
        </w:rPr>
        <w:t>，并作为履约验收的内容，必要时甲方可以要求乙方在履约验收环节出具检测报告。</w:t>
      </w:r>
    </w:p>
    <w:p w14:paraId="6E9AFCA4">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val="en-US" w:eastAsia="zh-CN"/>
        </w:rPr>
        <w:t xml:space="preserve">7.5 </w:t>
      </w:r>
      <w:r>
        <w:rPr>
          <w:rFonts w:hint="default" w:ascii="Times New Roman" w:hAnsi="Times New Roman" w:cs="Times New Roman" w:eastAsiaTheme="minorEastAsia"/>
          <w:color w:val="auto"/>
          <w:lang w:eastAsia="zh-CN"/>
        </w:rPr>
        <w:t>乙方在运输到达之前应提前通知甲方，并提示货物运输装卸的注意事项，甲方配合乙方做好货物的接收工作。</w:t>
      </w:r>
    </w:p>
    <w:p w14:paraId="0481435C">
      <w:pPr>
        <w:pStyle w:val="260"/>
        <w:ind w:firstLine="420"/>
        <w:rPr>
          <w:rFonts w:hint="default" w:ascii="Times New Roman" w:hAnsi="Times New Roman" w:cs="Times New Roman" w:eastAsiaTheme="minorEastAsia"/>
          <w:sz w:val="21"/>
        </w:rPr>
      </w:pPr>
      <w:r>
        <w:rPr>
          <w:rFonts w:hint="default" w:ascii="Times New Roman" w:hAnsi="Times New Roman" w:cs="Times New Roman" w:eastAsiaTheme="minorEastAsia"/>
          <w:kern w:val="2"/>
          <w:sz w:val="21"/>
        </w:rPr>
        <w:t>7.6 如因包装、运输问题导致货物损毁、丢失或者品质下降，甲方有权要求降价、换货、拒收部分或整批货物，由此产生的费用和损失，均由乙方承担。</w:t>
      </w:r>
    </w:p>
    <w:p w14:paraId="5E58E246">
      <w:pPr>
        <w:adjustRightInd w:val="0"/>
        <w:snapToGrid w:val="0"/>
        <w:spacing w:line="400" w:lineRule="exact"/>
        <w:jc w:val="left"/>
        <w:rPr>
          <w:rFonts w:hint="default" w:ascii="Times New Roman" w:hAnsi="Times New Roman" w:cs="Times New Roman" w:eastAsiaTheme="minorEastAsia"/>
          <w:b/>
          <w:color w:val="auto"/>
          <w:sz w:val="24"/>
          <w:lang w:eastAsia="zh-CN"/>
        </w:rPr>
      </w:pPr>
      <w:r>
        <w:rPr>
          <w:rFonts w:hint="default" w:ascii="Times New Roman" w:hAnsi="Times New Roman" w:cs="Times New Roman" w:eastAsiaTheme="minorEastAsia"/>
          <w:b/>
          <w:color w:val="auto"/>
          <w:sz w:val="24"/>
          <w:lang w:eastAsia="zh-CN"/>
        </w:rPr>
        <w:t>8</w:t>
      </w:r>
      <w:r>
        <w:rPr>
          <w:rFonts w:hint="default" w:ascii="Times New Roman" w:hAnsi="Times New Roman" w:cs="Times New Roman" w:eastAsiaTheme="minorEastAsia"/>
          <w:b/>
          <w:color w:val="auto"/>
          <w:sz w:val="24"/>
          <w:lang w:val="en-US" w:eastAsia="zh-CN"/>
        </w:rPr>
        <w:t xml:space="preserve">. </w:t>
      </w:r>
      <w:r>
        <w:rPr>
          <w:rFonts w:hint="default" w:ascii="Times New Roman" w:hAnsi="Times New Roman" w:cs="Times New Roman" w:eastAsiaTheme="minorEastAsia"/>
          <w:b/>
          <w:color w:val="auto"/>
          <w:sz w:val="24"/>
          <w:lang w:eastAsia="zh-CN"/>
        </w:rPr>
        <w:t>质量标准和保证</w:t>
      </w:r>
    </w:p>
    <w:p w14:paraId="1D025F10">
      <w:pPr>
        <w:pStyle w:val="24"/>
        <w:adjustRightInd w:val="0"/>
        <w:snapToGrid w:val="0"/>
        <w:spacing w:line="400" w:lineRule="exact"/>
        <w:ind w:firstLine="400" w:firstLineChars="200"/>
        <w:jc w:val="left"/>
        <w:rPr>
          <w:rFonts w:hint="default" w:ascii="Times New Roman" w:hAnsi="Times New Roman" w:cs="Times New Roman" w:eastAsiaTheme="minorEastAsia"/>
          <w:b/>
        </w:rPr>
      </w:pPr>
      <w:r>
        <w:rPr>
          <w:rFonts w:hint="default" w:ascii="Times New Roman" w:hAnsi="Times New Roman" w:cs="Times New Roman" w:eastAsiaTheme="minorEastAsia"/>
        </w:rPr>
        <w:t>8.1 质量标准</w:t>
      </w:r>
    </w:p>
    <w:p w14:paraId="68776094">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D5182AB">
      <w:pPr>
        <w:pStyle w:val="24"/>
        <w:adjustRightInd w:val="0"/>
        <w:snapToGrid w:val="0"/>
        <w:spacing w:line="400" w:lineRule="exact"/>
        <w:ind w:firstLine="400" w:firstLineChars="200"/>
        <w:jc w:val="left"/>
        <w:rPr>
          <w:rFonts w:hint="default" w:ascii="Times New Roman" w:hAnsi="Times New Roman" w:cs="Times New Roman" w:eastAsiaTheme="minorEastAsia"/>
        </w:rPr>
      </w:pPr>
      <w:r>
        <w:rPr>
          <w:rFonts w:hint="default" w:ascii="Times New Roman" w:hAnsi="Times New Roman" w:cs="Times New Roman" w:eastAsiaTheme="minorEastAsia"/>
        </w:rPr>
        <w:t>（2）采用中华人民共和国法定计量单位。</w:t>
      </w:r>
    </w:p>
    <w:p w14:paraId="53A6B34D">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（3）乙方所提供的货物应符合国家有关安全、环保、卫生的规定。</w:t>
      </w:r>
    </w:p>
    <w:p w14:paraId="4F9AA374">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（4）乙方应向甲方提交所提供货物的技术文件，包括相应的中文技术文件，如：产品目录、图纸、操作手册、使用说明、维护手册或服务指南等。上述文件应包装好随货物一同发运。</w:t>
      </w:r>
    </w:p>
    <w:p w14:paraId="04E4E955">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8.2 保证</w:t>
      </w:r>
    </w:p>
    <w:p w14:paraId="505D014F">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default" w:ascii="Times New Roman" w:hAnsi="Times New Roman" w:cs="Times New Roman" w:eastAsiaTheme="minorEastAsia"/>
          <w:b/>
          <w:color w:val="auto"/>
          <w:lang w:eastAsia="zh-CN"/>
        </w:rPr>
        <w:t>【政府采购合同专用条款】</w:t>
      </w:r>
      <w:r>
        <w:rPr>
          <w:rFonts w:hint="default" w:ascii="Times New Roman" w:hAnsi="Times New Roman" w:cs="Times New Roman" w:eastAsiaTheme="minorEastAsia"/>
          <w:color w:val="auto"/>
          <w:lang w:eastAsia="zh-CN"/>
        </w:rPr>
        <w:t>规定或乙方书面承诺（两者以较长的为准）的质量保证期内，本保证保持有效。</w:t>
      </w:r>
    </w:p>
    <w:p w14:paraId="0A040C82">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（2）在质量保证期内所发现的缺陷，甲方应尽快以书面形式通知乙方。</w:t>
      </w:r>
    </w:p>
    <w:p w14:paraId="0E03A02F">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（3）乙方收到通知后，应在</w:t>
      </w:r>
      <w:r>
        <w:rPr>
          <w:rFonts w:hint="default" w:ascii="Times New Roman" w:hAnsi="Times New Roman" w:cs="Times New Roman" w:eastAsiaTheme="minorEastAsia"/>
          <w:b/>
          <w:color w:val="auto"/>
          <w:lang w:eastAsia="zh-CN"/>
        </w:rPr>
        <w:t>【政府采购合同专用条款】</w:t>
      </w:r>
      <w:r>
        <w:rPr>
          <w:rFonts w:hint="default" w:ascii="Times New Roman" w:hAnsi="Times New Roman" w:cs="Times New Roman" w:eastAsiaTheme="minorEastAsia"/>
          <w:color w:val="auto"/>
          <w:lang w:eastAsia="zh-CN"/>
        </w:rPr>
        <w:t>规定的响应时间内以合理的速度免费维修或更换有缺陷的货物或部件。</w:t>
      </w:r>
    </w:p>
    <w:p w14:paraId="524FB7B5">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（4）在质量保证期内，如果货物的质量或规格与合同不符，或证实货物是有缺陷的，包括潜在的缺陷或使用不符合要求的材料等，甲方可以根据本合同第1</w:t>
      </w:r>
      <w:r>
        <w:rPr>
          <w:rFonts w:hint="default" w:ascii="Times New Roman" w:hAnsi="Times New Roman" w:cs="Times New Roman" w:eastAsiaTheme="minorEastAsia"/>
          <w:color w:val="auto"/>
          <w:lang w:val="en-US" w:eastAsia="zh-CN"/>
        </w:rPr>
        <w:t>5</w:t>
      </w:r>
      <w:r>
        <w:rPr>
          <w:rFonts w:hint="default" w:ascii="Times New Roman" w:hAnsi="Times New Roman" w:cs="Times New Roman" w:eastAsiaTheme="minorEastAsia"/>
          <w:color w:val="auto"/>
          <w:lang w:eastAsia="zh-CN"/>
        </w:rPr>
        <w:t>.1条规定以书面形式追究乙方的违约责任。</w:t>
      </w:r>
    </w:p>
    <w:p w14:paraId="260E7A38">
      <w:pPr>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（5）乙方在约定的时间内未能弥补缺陷，甲方可采取必要的补救措施，但其风险和费用将由乙方承担，甲方根据合同约定对乙方行使的其他权利不受影响。</w:t>
      </w:r>
    </w:p>
    <w:p w14:paraId="522A7FA6">
      <w:pPr>
        <w:adjustRightInd w:val="0"/>
        <w:snapToGrid w:val="0"/>
        <w:spacing w:line="400" w:lineRule="exact"/>
        <w:jc w:val="left"/>
        <w:rPr>
          <w:rFonts w:hint="default" w:ascii="Times New Roman" w:hAnsi="Times New Roman" w:cs="Times New Roman" w:eastAsiaTheme="minorEastAsia"/>
          <w:b/>
          <w:bCs/>
          <w:color w:val="auto"/>
          <w:sz w:val="24"/>
          <w:lang w:eastAsia="zh-CN"/>
        </w:rPr>
      </w:pPr>
      <w:r>
        <w:rPr>
          <w:rFonts w:hint="default" w:ascii="Times New Roman" w:hAnsi="Times New Roman" w:cs="Times New Roman" w:eastAsiaTheme="minorEastAsia"/>
          <w:b/>
          <w:bCs/>
          <w:color w:val="auto"/>
          <w:sz w:val="24"/>
          <w:lang w:eastAsia="zh-CN"/>
        </w:rPr>
        <w:t>9.</w:t>
      </w:r>
      <w:r>
        <w:rPr>
          <w:rFonts w:hint="default" w:ascii="Times New Roman" w:hAnsi="Times New Roman" w:cs="Times New Roman" w:eastAsiaTheme="minorEastAsia"/>
          <w:b/>
          <w:bCs/>
          <w:color w:val="auto"/>
          <w:sz w:val="24"/>
          <w:lang w:val="en-US" w:eastAsia="zh-CN"/>
        </w:rPr>
        <w:t xml:space="preserve"> </w:t>
      </w:r>
      <w:r>
        <w:rPr>
          <w:rFonts w:hint="default" w:ascii="Times New Roman" w:hAnsi="Times New Roman" w:cs="Times New Roman" w:eastAsiaTheme="minorEastAsia"/>
          <w:b/>
          <w:bCs/>
          <w:color w:val="auto"/>
          <w:sz w:val="24"/>
          <w:lang w:eastAsia="zh-CN"/>
        </w:rPr>
        <w:t>权利瑕疵担保</w:t>
      </w:r>
    </w:p>
    <w:p w14:paraId="72E285A7">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9.1 乙方保证对其出售的货物享有合法的权利。</w:t>
      </w:r>
    </w:p>
    <w:p w14:paraId="592D341C">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 xml:space="preserve">9.2 </w:t>
      </w:r>
      <w:r>
        <w:rPr>
          <w:rFonts w:hint="default" w:ascii="Times New Roman" w:hAnsi="Times New Roman" w:cs="Times New Roman" w:eastAsiaTheme="minorEastAsia"/>
          <w:color w:val="auto"/>
          <w:szCs w:val="15"/>
          <w:lang w:eastAsia="zh-CN"/>
        </w:rPr>
        <w:t>乙方保证在交付的货物上不存在抵押权等担保物权。</w:t>
      </w:r>
    </w:p>
    <w:p w14:paraId="1E01D2A9">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9.3 如甲方使用</w:t>
      </w:r>
      <w:r>
        <w:rPr>
          <w:rFonts w:hint="default" w:ascii="Times New Roman" w:hAnsi="Times New Roman" w:cs="Times New Roman" w:eastAsiaTheme="minorEastAsia"/>
          <w:color w:val="auto"/>
          <w:lang w:val="en-US" w:eastAsia="zh-CN"/>
        </w:rPr>
        <w:t>上述</w:t>
      </w:r>
      <w:r>
        <w:rPr>
          <w:rFonts w:hint="default" w:ascii="Times New Roman" w:hAnsi="Times New Roman" w:cs="Times New Roman" w:eastAsiaTheme="minorEastAsia"/>
          <w:color w:val="auto"/>
          <w:lang w:eastAsia="zh-CN"/>
        </w:rPr>
        <w:t>货物构成</w:t>
      </w:r>
      <w:r>
        <w:rPr>
          <w:rFonts w:hint="default" w:ascii="Times New Roman" w:hAnsi="Times New Roman" w:cs="Times New Roman" w:eastAsiaTheme="minorEastAsia"/>
          <w:color w:val="auto"/>
          <w:lang w:val="en-US" w:eastAsia="zh-CN"/>
        </w:rPr>
        <w:t>对第三人</w:t>
      </w:r>
      <w:r>
        <w:rPr>
          <w:rFonts w:hint="default" w:ascii="Times New Roman" w:hAnsi="Times New Roman" w:cs="Times New Roman" w:eastAsiaTheme="minorEastAsia"/>
          <w:color w:val="auto"/>
          <w:lang w:eastAsia="zh-CN"/>
        </w:rPr>
        <w:t>侵权的，则由乙方承担全部责任。</w:t>
      </w:r>
    </w:p>
    <w:p w14:paraId="032B1AD3">
      <w:pPr>
        <w:autoSpaceDE w:val="0"/>
        <w:autoSpaceDN w:val="0"/>
        <w:adjustRightInd w:val="0"/>
        <w:snapToGrid w:val="0"/>
        <w:spacing w:line="400" w:lineRule="exact"/>
        <w:jc w:val="left"/>
        <w:rPr>
          <w:rFonts w:hint="default" w:ascii="Times New Roman" w:hAnsi="Times New Roman" w:cs="Times New Roman" w:eastAsiaTheme="minorEastAsia"/>
          <w:b/>
          <w:bCs/>
          <w:color w:val="auto"/>
          <w:sz w:val="24"/>
          <w:lang w:eastAsia="zh-CN"/>
        </w:rPr>
      </w:pPr>
      <w:r>
        <w:rPr>
          <w:rFonts w:hint="default" w:ascii="Times New Roman" w:hAnsi="Times New Roman" w:cs="Times New Roman" w:eastAsiaTheme="minorEastAsia"/>
          <w:b/>
          <w:bCs/>
          <w:color w:val="auto"/>
          <w:sz w:val="24"/>
          <w:lang w:eastAsia="zh-CN"/>
        </w:rPr>
        <w:t>10.</w:t>
      </w:r>
      <w:r>
        <w:rPr>
          <w:rFonts w:hint="default" w:ascii="Times New Roman" w:hAnsi="Times New Roman" w:cs="Times New Roman" w:eastAsiaTheme="minorEastAsia"/>
          <w:b/>
          <w:bCs/>
          <w:color w:val="auto"/>
          <w:sz w:val="24"/>
          <w:lang w:val="en-US" w:eastAsia="zh-CN"/>
        </w:rPr>
        <w:t xml:space="preserve"> </w:t>
      </w:r>
      <w:r>
        <w:rPr>
          <w:rFonts w:hint="default" w:ascii="Times New Roman" w:hAnsi="Times New Roman" w:cs="Times New Roman" w:eastAsiaTheme="minorEastAsia"/>
          <w:b/>
          <w:bCs/>
          <w:color w:val="auto"/>
          <w:sz w:val="24"/>
          <w:lang w:eastAsia="zh-CN"/>
        </w:rPr>
        <w:t>知识产权保护</w:t>
      </w:r>
    </w:p>
    <w:p w14:paraId="0EF4D86F">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10.1 乙方对其所销售的货物应当享有知识产权或经权利人合法授权，保证没有侵犯任何第三人的知识产权等权利。</w:t>
      </w:r>
      <w:bookmarkStart w:id="314" w:name="_Hlk163047038"/>
      <w:r>
        <w:rPr>
          <w:rFonts w:hint="default" w:ascii="Times New Roman" w:hAnsi="Times New Roman" w:cs="Times New Roman" w:eastAsiaTheme="minorEastAsia"/>
          <w:color w:val="auto"/>
          <w:szCs w:val="15"/>
          <w:lang w:eastAsia="zh-CN"/>
        </w:rPr>
        <w:t>因违反前述约定对第三人构成侵权的，应当由乙方向第三人承担法律责任；甲方依法向第三人赔偿后，有权向乙方追偿。甲方有其他损失的，乙方应当赔偿</w:t>
      </w:r>
      <w:bookmarkEnd w:id="314"/>
      <w:r>
        <w:rPr>
          <w:rFonts w:hint="default" w:ascii="Times New Roman" w:hAnsi="Times New Roman" w:cs="Times New Roman" w:eastAsiaTheme="minorEastAsia"/>
          <w:color w:val="auto"/>
          <w:lang w:eastAsia="zh-CN"/>
        </w:rPr>
        <w:t>。</w:t>
      </w:r>
    </w:p>
    <w:p w14:paraId="7B9D972D">
      <w:pPr>
        <w:autoSpaceDE w:val="0"/>
        <w:autoSpaceDN w:val="0"/>
        <w:adjustRightInd w:val="0"/>
        <w:snapToGrid w:val="0"/>
        <w:spacing w:line="400" w:lineRule="exact"/>
        <w:jc w:val="left"/>
        <w:rPr>
          <w:rFonts w:hint="default" w:ascii="Times New Roman" w:hAnsi="Times New Roman" w:cs="Times New Roman" w:eastAsiaTheme="minorEastAsia"/>
          <w:b/>
          <w:bCs/>
          <w:color w:val="auto"/>
          <w:sz w:val="24"/>
          <w:lang w:eastAsia="zh-CN"/>
        </w:rPr>
      </w:pPr>
      <w:r>
        <w:rPr>
          <w:rFonts w:hint="default" w:ascii="Times New Roman" w:hAnsi="Times New Roman" w:cs="Times New Roman" w:eastAsiaTheme="minorEastAsia"/>
          <w:b/>
          <w:bCs/>
          <w:color w:val="auto"/>
          <w:sz w:val="24"/>
          <w:lang w:eastAsia="zh-CN"/>
        </w:rPr>
        <w:t>11.</w:t>
      </w:r>
      <w:r>
        <w:rPr>
          <w:rFonts w:hint="default" w:ascii="Times New Roman" w:hAnsi="Times New Roman" w:cs="Times New Roman" w:eastAsiaTheme="minorEastAsia"/>
          <w:b/>
          <w:bCs/>
          <w:color w:val="auto"/>
          <w:sz w:val="24"/>
          <w:lang w:val="en-US" w:eastAsia="zh-CN"/>
        </w:rPr>
        <w:t xml:space="preserve"> </w:t>
      </w:r>
      <w:r>
        <w:rPr>
          <w:rFonts w:hint="default" w:ascii="Times New Roman" w:hAnsi="Times New Roman" w:cs="Times New Roman" w:eastAsiaTheme="minorEastAsia"/>
          <w:b/>
          <w:bCs/>
          <w:color w:val="auto"/>
          <w:sz w:val="24"/>
          <w:lang w:eastAsia="zh-CN"/>
        </w:rPr>
        <w:t>保密义务</w:t>
      </w:r>
    </w:p>
    <w:p w14:paraId="1788E0E1">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szCs w:val="15"/>
          <w:lang w:eastAsia="zh-CN"/>
        </w:rPr>
      </w:pPr>
      <w:r>
        <w:rPr>
          <w:rFonts w:hint="default" w:ascii="Times New Roman" w:hAnsi="Times New Roman" w:cs="Times New Roman" w:eastAsiaTheme="minorEastAsia"/>
          <w:color w:val="auto"/>
          <w:szCs w:val="15"/>
          <w:lang w:val="en-US" w:eastAsia="zh-CN"/>
        </w:rPr>
        <w:t xml:space="preserve">11.1 </w:t>
      </w:r>
      <w:r>
        <w:rPr>
          <w:rFonts w:hint="default" w:ascii="Times New Roman" w:hAnsi="Times New Roman" w:cs="Times New Roman" w:eastAsiaTheme="minorEastAsia"/>
          <w:color w:val="auto"/>
          <w:szCs w:val="15"/>
          <w:lang w:eastAsia="zh-CN"/>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default" w:ascii="Times New Roman" w:hAnsi="Times New Roman" w:cs="Times New Roman" w:eastAsiaTheme="minorEastAsia"/>
          <w:b/>
          <w:bCs/>
          <w:color w:val="auto"/>
          <w:szCs w:val="15"/>
          <w:lang w:eastAsia="zh-CN"/>
        </w:rPr>
        <w:t>【政府采购合同专用条款】</w:t>
      </w:r>
      <w:r>
        <w:rPr>
          <w:rFonts w:hint="default" w:ascii="Times New Roman" w:hAnsi="Times New Roman" w:cs="Times New Roman" w:eastAsiaTheme="minorEastAsia"/>
          <w:color w:val="auto"/>
          <w:szCs w:val="15"/>
          <w:lang w:eastAsia="zh-CN"/>
        </w:rPr>
        <w:t>中约定。</w:t>
      </w:r>
    </w:p>
    <w:p w14:paraId="3018D859">
      <w:pPr>
        <w:autoSpaceDE w:val="0"/>
        <w:autoSpaceDN w:val="0"/>
        <w:adjustRightInd w:val="0"/>
        <w:snapToGrid w:val="0"/>
        <w:spacing w:line="400" w:lineRule="exact"/>
        <w:jc w:val="left"/>
        <w:rPr>
          <w:rFonts w:hint="default" w:ascii="Times New Roman" w:hAnsi="Times New Roman" w:cs="Times New Roman" w:eastAsiaTheme="minorEastAsia"/>
          <w:b/>
          <w:bCs/>
          <w:color w:val="auto"/>
          <w:sz w:val="24"/>
          <w:lang w:eastAsia="zh-CN"/>
        </w:rPr>
      </w:pPr>
      <w:r>
        <w:rPr>
          <w:rFonts w:hint="default" w:ascii="Times New Roman" w:hAnsi="Times New Roman" w:cs="Times New Roman" w:eastAsiaTheme="minorEastAsia"/>
          <w:b/>
          <w:bCs/>
          <w:color w:val="auto"/>
          <w:sz w:val="24"/>
          <w:lang w:eastAsia="zh-CN"/>
        </w:rPr>
        <w:t>12.</w:t>
      </w:r>
      <w:r>
        <w:rPr>
          <w:rFonts w:hint="default" w:ascii="Times New Roman" w:hAnsi="Times New Roman" w:cs="Times New Roman" w:eastAsiaTheme="minorEastAsia"/>
          <w:b/>
          <w:bCs/>
          <w:color w:val="auto"/>
          <w:sz w:val="24"/>
          <w:lang w:val="en-US" w:eastAsia="zh-CN"/>
        </w:rPr>
        <w:t xml:space="preserve"> </w:t>
      </w:r>
      <w:r>
        <w:rPr>
          <w:rFonts w:hint="default" w:ascii="Times New Roman" w:hAnsi="Times New Roman" w:cs="Times New Roman" w:eastAsiaTheme="minorEastAsia"/>
          <w:b/>
          <w:bCs/>
          <w:color w:val="auto"/>
          <w:sz w:val="24"/>
          <w:lang w:eastAsia="zh-CN"/>
        </w:rPr>
        <w:t>合同价款支付</w:t>
      </w:r>
    </w:p>
    <w:p w14:paraId="304F4C16">
      <w:pPr>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12.1 合同价款支付按照国库集中支付制度及财政管理相关规定执行。</w:t>
      </w:r>
    </w:p>
    <w:p w14:paraId="5CCCEFA6">
      <w:pPr>
        <w:spacing w:line="400" w:lineRule="exact"/>
        <w:ind w:firstLine="420" w:firstLineChars="2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val="en-US" w:eastAsia="zh-CN"/>
        </w:rPr>
        <w:t xml:space="preserve">12.2 </w:t>
      </w:r>
      <w:r>
        <w:rPr>
          <w:rFonts w:hint="default" w:ascii="Times New Roman" w:hAnsi="Times New Roman" w:cs="Times New Roman" w:eastAsiaTheme="minorEastAsia"/>
          <w:color w:val="auto"/>
          <w:lang w:eastAsia="zh-CN"/>
        </w:rPr>
        <w:t>对于满足合同约定支付条件的，</w:t>
      </w:r>
      <w:r>
        <w:rPr>
          <w:rFonts w:hint="default" w:ascii="Times New Roman" w:hAnsi="Times New Roman" w:cs="Times New Roman" w:eastAsiaTheme="minorEastAsia"/>
          <w:color w:val="auto"/>
          <w:lang w:val="en-US" w:eastAsia="zh-CN"/>
        </w:rPr>
        <w:t>甲方</w:t>
      </w:r>
      <w:r>
        <w:rPr>
          <w:rFonts w:hint="default" w:ascii="Times New Roman" w:hAnsi="Times New Roman" w:cs="Times New Roman" w:eastAsiaTheme="minorEastAsia"/>
          <w:color w:val="auto"/>
          <w:lang w:eastAsia="zh-CN"/>
        </w:rPr>
        <w:t>原则上应当自收到发票后10个工作日内将资金支付到合同约定的乙方账户，不得以机构变动、人员更替、政策调整等为由迟延付款，不得将采购文件和合同中未规定的义务作为向</w:t>
      </w:r>
      <w:r>
        <w:rPr>
          <w:rFonts w:hint="default" w:ascii="Times New Roman" w:hAnsi="Times New Roman" w:cs="Times New Roman" w:eastAsiaTheme="minorEastAsia"/>
          <w:color w:val="auto"/>
          <w:lang w:val="en-US" w:eastAsia="zh-CN"/>
        </w:rPr>
        <w:t>乙方</w:t>
      </w:r>
      <w:r>
        <w:rPr>
          <w:rFonts w:hint="default" w:ascii="Times New Roman" w:hAnsi="Times New Roman" w:cs="Times New Roman" w:eastAsiaTheme="minorEastAsia"/>
          <w:color w:val="auto"/>
          <w:lang w:eastAsia="zh-CN"/>
        </w:rPr>
        <w:t>付款的条件。具体合同价款支付时间在【</w:t>
      </w:r>
      <w:r>
        <w:rPr>
          <w:rFonts w:hint="default" w:ascii="Times New Roman" w:hAnsi="Times New Roman" w:cs="Times New Roman" w:eastAsiaTheme="minorEastAsia"/>
          <w:b/>
          <w:bCs/>
          <w:color w:val="auto"/>
          <w:lang w:eastAsia="zh-CN"/>
        </w:rPr>
        <w:t>政府采购合同专用条款</w:t>
      </w:r>
      <w:r>
        <w:rPr>
          <w:rFonts w:hint="default" w:ascii="Times New Roman" w:hAnsi="Times New Roman" w:cs="Times New Roman" w:eastAsiaTheme="minorEastAsia"/>
          <w:color w:val="auto"/>
          <w:lang w:eastAsia="zh-CN"/>
        </w:rPr>
        <w:t>】中约定。</w:t>
      </w:r>
    </w:p>
    <w:p w14:paraId="76A76E42">
      <w:pPr>
        <w:pStyle w:val="16"/>
        <w:spacing w:line="400" w:lineRule="exact"/>
        <w:rPr>
          <w:rFonts w:hint="default" w:ascii="Times New Roman" w:hAnsi="Times New Roman" w:cs="Times New Roman" w:eastAsiaTheme="minorEastAsia"/>
          <w:b/>
          <w:bCs/>
        </w:rPr>
      </w:pPr>
      <w:r>
        <w:rPr>
          <w:rFonts w:hint="default" w:ascii="Times New Roman" w:hAnsi="Times New Roman" w:cs="Times New Roman" w:eastAsiaTheme="minorEastAsia"/>
          <w:b/>
          <w:bCs/>
        </w:rPr>
        <w:t>13. 履约保证金</w:t>
      </w:r>
    </w:p>
    <w:p w14:paraId="725FD1ED">
      <w:pPr>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 xml:space="preserve">13.1 </w:t>
      </w:r>
      <w:r>
        <w:rPr>
          <w:rFonts w:hint="default" w:ascii="Times New Roman" w:hAnsi="Times New Roman" w:cs="Times New Roman" w:eastAsiaTheme="minorEastAsia"/>
          <w:color w:val="auto"/>
          <w:szCs w:val="15"/>
          <w:lang w:eastAsia="zh-CN"/>
        </w:rPr>
        <w:t>乙方应当以支票、汇票、本票或者金融机构、担保机构出具的保函等非现金形式提交。</w:t>
      </w:r>
    </w:p>
    <w:p w14:paraId="1C6FD44B">
      <w:pPr>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13.2 如果乙方出现</w:t>
      </w:r>
      <w:r>
        <w:rPr>
          <w:rFonts w:hint="default" w:ascii="Times New Roman" w:hAnsi="Times New Roman" w:cs="Times New Roman" w:eastAsiaTheme="minorEastAsia"/>
          <w:b/>
          <w:bCs/>
          <w:color w:val="auto"/>
          <w:szCs w:val="15"/>
          <w:lang w:eastAsia="zh-CN"/>
        </w:rPr>
        <w:t>【政府采购合同专用条款】</w:t>
      </w:r>
      <w:r>
        <w:rPr>
          <w:rFonts w:hint="default" w:ascii="Times New Roman" w:hAnsi="Times New Roman" w:cs="Times New Roman" w:eastAsiaTheme="minorEastAsia"/>
          <w:color w:val="auto"/>
          <w:szCs w:val="15"/>
          <w:lang w:eastAsia="zh-CN"/>
        </w:rPr>
        <w:t>约定情形的</w:t>
      </w:r>
      <w:r>
        <w:rPr>
          <w:rFonts w:hint="default" w:ascii="Times New Roman" w:hAnsi="Times New Roman" w:cs="Times New Roman" w:eastAsiaTheme="minorEastAsia"/>
          <w:color w:val="auto"/>
          <w:lang w:eastAsia="zh-CN"/>
        </w:rPr>
        <w:t>，履约保证金不予退还；如果乙方未能按合同约定全面履行义务，甲方有权从履约保证金中取得补偿或赔偿，且不影响甲方要求乙方承担合同约定的超过履约保证金的违约责任的权利。</w:t>
      </w:r>
    </w:p>
    <w:p w14:paraId="20887A00">
      <w:pPr>
        <w:spacing w:line="400" w:lineRule="exact"/>
        <w:ind w:firstLine="42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13.3 甲方在项目通过验收后按照</w:t>
      </w:r>
      <w:r>
        <w:rPr>
          <w:rFonts w:hint="default" w:ascii="Times New Roman" w:hAnsi="Times New Roman" w:cs="Times New Roman" w:eastAsiaTheme="minorEastAsia"/>
          <w:b/>
          <w:color w:val="auto"/>
          <w:lang w:eastAsia="zh-CN"/>
        </w:rPr>
        <w:t>【政府采购合同专用条款】</w:t>
      </w:r>
      <w:r>
        <w:rPr>
          <w:rFonts w:hint="default" w:ascii="Times New Roman" w:hAnsi="Times New Roman" w:cs="Times New Roman" w:eastAsiaTheme="minorEastAsia"/>
          <w:color w:val="auto"/>
          <w:lang w:eastAsia="zh-CN"/>
        </w:rPr>
        <w:t>规定的时间内将履约保证金退还乙方；逾期退还的，乙方可要求甲方支付违约金，违约金按照</w:t>
      </w:r>
      <w:r>
        <w:rPr>
          <w:rFonts w:hint="default" w:ascii="Times New Roman" w:hAnsi="Times New Roman" w:cs="Times New Roman" w:eastAsiaTheme="minorEastAsia"/>
          <w:b/>
          <w:color w:val="auto"/>
          <w:lang w:eastAsia="zh-CN"/>
        </w:rPr>
        <w:t>【政府采购合同专用条款】</w:t>
      </w:r>
      <w:r>
        <w:rPr>
          <w:rFonts w:hint="default" w:ascii="Times New Roman" w:hAnsi="Times New Roman" w:cs="Times New Roman" w:eastAsiaTheme="minorEastAsia"/>
          <w:color w:val="auto"/>
          <w:lang w:eastAsia="zh-CN"/>
        </w:rPr>
        <w:t>规定支付。</w:t>
      </w:r>
    </w:p>
    <w:p w14:paraId="5C941371">
      <w:pPr>
        <w:autoSpaceDE w:val="0"/>
        <w:autoSpaceDN w:val="0"/>
        <w:adjustRightInd w:val="0"/>
        <w:snapToGrid w:val="0"/>
        <w:spacing w:line="400" w:lineRule="exact"/>
        <w:jc w:val="left"/>
        <w:rPr>
          <w:rFonts w:hint="default" w:ascii="Times New Roman" w:hAnsi="Times New Roman" w:cs="Times New Roman" w:eastAsiaTheme="minorEastAsia"/>
          <w:b/>
          <w:color w:val="auto"/>
          <w:sz w:val="24"/>
          <w:lang w:eastAsia="zh-CN"/>
        </w:rPr>
      </w:pPr>
      <w:r>
        <w:rPr>
          <w:rFonts w:hint="default" w:ascii="Times New Roman" w:hAnsi="Times New Roman" w:cs="Times New Roman" w:eastAsiaTheme="minorEastAsia"/>
          <w:b/>
          <w:bCs/>
          <w:color w:val="auto"/>
          <w:sz w:val="24"/>
          <w:lang w:eastAsia="zh-CN"/>
        </w:rPr>
        <w:t>14.</w:t>
      </w:r>
      <w:r>
        <w:rPr>
          <w:rFonts w:hint="default" w:ascii="Times New Roman" w:hAnsi="Times New Roman" w:cs="Times New Roman" w:eastAsiaTheme="minorEastAsia"/>
          <w:b/>
          <w:bCs/>
          <w:color w:val="auto"/>
          <w:sz w:val="24"/>
          <w:lang w:val="en-US" w:eastAsia="zh-CN"/>
        </w:rPr>
        <w:t xml:space="preserve"> </w:t>
      </w:r>
      <w:r>
        <w:rPr>
          <w:rFonts w:hint="default" w:ascii="Times New Roman" w:hAnsi="Times New Roman" w:cs="Times New Roman" w:eastAsiaTheme="minorEastAsia"/>
          <w:b/>
          <w:color w:val="auto"/>
          <w:sz w:val="24"/>
          <w:lang w:eastAsia="zh-CN"/>
        </w:rPr>
        <w:t>售后服务</w:t>
      </w:r>
    </w:p>
    <w:p w14:paraId="69146F9D">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14.1 除项目不涉及或采购活动中明确约定无须承担外，乙方还应提供下列服务：</w:t>
      </w:r>
    </w:p>
    <w:p w14:paraId="056F021C">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（1）货物的现场移动、安装、调试、启动监督及技术支持；</w:t>
      </w:r>
    </w:p>
    <w:p w14:paraId="07F4929C">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（2）提供货物组装和维修所需的专用工具和辅助材料；</w:t>
      </w:r>
    </w:p>
    <w:p w14:paraId="1766C6F5">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（3）在</w:t>
      </w:r>
      <w:r>
        <w:rPr>
          <w:rFonts w:hint="default" w:ascii="Times New Roman" w:hAnsi="Times New Roman" w:cs="Times New Roman" w:eastAsiaTheme="minorEastAsia"/>
          <w:b/>
          <w:bCs/>
          <w:color w:val="auto"/>
          <w:szCs w:val="15"/>
          <w:lang w:eastAsia="zh-CN"/>
        </w:rPr>
        <w:t>【政府采购合同专用条款】</w:t>
      </w:r>
      <w:r>
        <w:rPr>
          <w:rFonts w:hint="default" w:ascii="Times New Roman" w:hAnsi="Times New Roman" w:cs="Times New Roman" w:eastAsiaTheme="minorEastAsia"/>
          <w:color w:val="auto"/>
          <w:lang w:eastAsia="zh-CN"/>
        </w:rPr>
        <w:t>约定的期限内对所有的货物实施运行监督、维修，但前提条件是该服务并不能免除乙方在质量保证期内所承担的义务；</w:t>
      </w:r>
    </w:p>
    <w:p w14:paraId="7E78E720">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（4）在制造商所在地或指定现场就货物的安装、启动、运营、维护、废弃处置等对甲方操作人员进行培训</w:t>
      </w:r>
      <w:r>
        <w:rPr>
          <w:rFonts w:hint="default" w:ascii="Times New Roman" w:hAnsi="Times New Roman" w:cs="Times New Roman" w:eastAsiaTheme="minorEastAsia"/>
          <w:color w:val="auto"/>
          <w:szCs w:val="15"/>
          <w:lang w:eastAsia="zh-CN"/>
        </w:rPr>
        <w:t>；</w:t>
      </w:r>
    </w:p>
    <w:p w14:paraId="7E38A8E6">
      <w:pPr>
        <w:pStyle w:val="260"/>
        <w:ind w:firstLine="420"/>
        <w:rPr>
          <w:rFonts w:hint="default" w:ascii="Times New Roman" w:hAnsi="Times New Roman" w:cs="Times New Roman" w:eastAsiaTheme="minorEastAsia"/>
          <w:sz w:val="21"/>
        </w:rPr>
      </w:pPr>
      <w:r>
        <w:rPr>
          <w:rFonts w:hint="default" w:ascii="Times New Roman" w:hAnsi="Times New Roman" w:cs="Times New Roman" w:eastAsiaTheme="minorEastAsia"/>
          <w:sz w:val="21"/>
        </w:rPr>
        <w:t>（5）依照法律、行政法规的规定或者按照</w:t>
      </w:r>
      <w:r>
        <w:rPr>
          <w:rFonts w:hint="default" w:ascii="Times New Roman" w:hAnsi="Times New Roman" w:cs="Times New Roman" w:eastAsiaTheme="minorEastAsia"/>
          <w:b/>
          <w:bCs/>
          <w:sz w:val="21"/>
        </w:rPr>
        <w:t>【政府采购合同专用条款】</w:t>
      </w:r>
      <w:r>
        <w:rPr>
          <w:rFonts w:hint="default" w:ascii="Times New Roman" w:hAnsi="Times New Roman" w:cs="Times New Roman" w:eastAsiaTheme="minorEastAsia"/>
          <w:sz w:val="21"/>
        </w:rPr>
        <w:t>约定，货物在有效使用年限届满后应予回收的，乙方负有自行或者委托第三人对货物予以回收的义务；</w:t>
      </w:r>
    </w:p>
    <w:p w14:paraId="3AF02E42">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6</w:t>
      </w: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b/>
          <w:color w:val="auto"/>
          <w:lang w:eastAsia="zh-CN"/>
        </w:rPr>
        <w:t>【政府采购合同专用条款】</w:t>
      </w:r>
      <w:r>
        <w:rPr>
          <w:rFonts w:hint="default" w:ascii="Times New Roman" w:hAnsi="Times New Roman" w:cs="Times New Roman" w:eastAsiaTheme="minorEastAsia"/>
          <w:color w:val="auto"/>
          <w:lang w:eastAsia="zh-CN"/>
        </w:rPr>
        <w:t>规定由乙方提供的其他服务。</w:t>
      </w:r>
    </w:p>
    <w:p w14:paraId="70752DE6">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w:t>
      </w:r>
      <w:r>
        <w:rPr>
          <w:rFonts w:hint="default" w:ascii="Times New Roman" w:hAnsi="Times New Roman" w:cs="Times New Roman" w:eastAsiaTheme="minorEastAsia"/>
          <w:color w:val="auto"/>
          <w:lang w:val="en-US" w:eastAsia="zh-CN"/>
        </w:rPr>
        <w:t>4</w:t>
      </w:r>
      <w:r>
        <w:rPr>
          <w:rFonts w:hint="default" w:ascii="Times New Roman" w:hAnsi="Times New Roman" w:cs="Times New Roman" w:eastAsiaTheme="minorEastAsia"/>
          <w:color w:val="auto"/>
          <w:lang w:eastAsia="zh-CN"/>
        </w:rPr>
        <w:t>.2 乙方提供的售后服务的费用</w:t>
      </w:r>
      <w:r>
        <w:rPr>
          <w:rFonts w:hint="default" w:ascii="Times New Roman" w:hAnsi="Times New Roman" w:cs="Times New Roman" w:eastAsiaTheme="minorEastAsia"/>
          <w:color w:val="auto"/>
          <w:lang w:val="en-US" w:eastAsia="zh-CN"/>
        </w:rPr>
        <w:t>已</w:t>
      </w:r>
      <w:r>
        <w:rPr>
          <w:rFonts w:hint="default" w:ascii="Times New Roman" w:hAnsi="Times New Roman" w:cs="Times New Roman" w:eastAsiaTheme="minorEastAsia"/>
          <w:color w:val="auto"/>
          <w:lang w:eastAsia="zh-CN"/>
        </w:rPr>
        <w:t>包含在合同价款中，甲方不再另行支付。</w:t>
      </w:r>
    </w:p>
    <w:p w14:paraId="50BBCC1E">
      <w:pPr>
        <w:adjustRightInd w:val="0"/>
        <w:snapToGrid w:val="0"/>
        <w:spacing w:line="400" w:lineRule="exact"/>
        <w:jc w:val="left"/>
        <w:rPr>
          <w:rFonts w:hint="default" w:ascii="Times New Roman" w:hAnsi="Times New Roman" w:cs="Times New Roman" w:eastAsiaTheme="minorEastAsia"/>
          <w:b/>
          <w:bCs/>
          <w:color w:val="auto"/>
          <w:sz w:val="24"/>
          <w:lang w:eastAsia="zh-CN"/>
        </w:rPr>
      </w:pPr>
      <w:r>
        <w:rPr>
          <w:rFonts w:hint="default" w:ascii="Times New Roman" w:hAnsi="Times New Roman" w:cs="Times New Roman" w:eastAsiaTheme="minorEastAsia"/>
          <w:b/>
          <w:bCs/>
          <w:color w:val="auto"/>
          <w:sz w:val="24"/>
          <w:lang w:eastAsia="zh-CN"/>
        </w:rPr>
        <w:t>15.</w:t>
      </w:r>
      <w:r>
        <w:rPr>
          <w:rFonts w:hint="default" w:ascii="Times New Roman" w:hAnsi="Times New Roman" w:cs="Times New Roman" w:eastAsiaTheme="minorEastAsia"/>
          <w:b/>
          <w:bCs/>
          <w:color w:val="auto"/>
          <w:sz w:val="24"/>
          <w:lang w:val="en-US" w:eastAsia="zh-CN"/>
        </w:rPr>
        <w:t xml:space="preserve"> </w:t>
      </w:r>
      <w:r>
        <w:rPr>
          <w:rFonts w:hint="default" w:ascii="Times New Roman" w:hAnsi="Times New Roman" w:cs="Times New Roman" w:eastAsiaTheme="minorEastAsia"/>
          <w:b/>
          <w:bCs/>
          <w:color w:val="auto"/>
          <w:sz w:val="24"/>
          <w:lang w:eastAsia="zh-CN"/>
        </w:rPr>
        <w:t>违约责任</w:t>
      </w:r>
    </w:p>
    <w:p w14:paraId="789B22D3">
      <w:pPr>
        <w:adjustRightInd w:val="0"/>
        <w:snapToGrid w:val="0"/>
        <w:spacing w:line="400" w:lineRule="exact"/>
        <w:ind w:firstLine="420" w:firstLineChars="200"/>
        <w:jc w:val="left"/>
        <w:rPr>
          <w:rFonts w:hint="default" w:ascii="Times New Roman" w:hAnsi="Times New Roman" w:cs="Times New Roman" w:eastAsiaTheme="minorEastAsia"/>
          <w:bCs/>
          <w:color w:val="auto"/>
          <w:lang w:eastAsia="zh-CN"/>
        </w:rPr>
      </w:pPr>
      <w:r>
        <w:rPr>
          <w:rFonts w:hint="default" w:ascii="Times New Roman" w:hAnsi="Times New Roman" w:cs="Times New Roman" w:eastAsiaTheme="minorEastAsia"/>
          <w:bCs/>
          <w:color w:val="auto"/>
          <w:lang w:eastAsia="zh-CN"/>
        </w:rPr>
        <w:t>15.1质量瑕疵的违约责任</w:t>
      </w:r>
    </w:p>
    <w:p w14:paraId="1570E6B5">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乙方提供的产品不符合合同约定的质量标准或存在产品质量缺陷，甲方有权要求乙方根据</w:t>
      </w:r>
      <w:r>
        <w:rPr>
          <w:rFonts w:hint="default" w:ascii="Times New Roman" w:hAnsi="Times New Roman" w:cs="Times New Roman" w:eastAsiaTheme="minorEastAsia"/>
          <w:b/>
          <w:color w:val="auto"/>
          <w:lang w:eastAsia="zh-CN"/>
        </w:rPr>
        <w:t>【政府采购合同专用条款】</w:t>
      </w:r>
      <w:r>
        <w:rPr>
          <w:rFonts w:hint="default" w:ascii="Times New Roman" w:hAnsi="Times New Roman" w:cs="Times New Roman" w:eastAsiaTheme="minorEastAsia"/>
          <w:bCs/>
          <w:color w:val="auto"/>
          <w:lang w:eastAsia="zh-CN"/>
        </w:rPr>
        <w:t>要求</w:t>
      </w:r>
      <w:r>
        <w:rPr>
          <w:rFonts w:hint="default" w:ascii="Times New Roman" w:hAnsi="Times New Roman" w:cs="Times New Roman" w:eastAsiaTheme="minorEastAsia"/>
          <w:color w:val="auto"/>
          <w:lang w:eastAsia="zh-CN"/>
        </w:rPr>
        <w:t>及时修理、重作、更换，并承担由此给甲方造成的损失。</w:t>
      </w:r>
    </w:p>
    <w:p w14:paraId="303BE0AA">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bCs/>
          <w:color w:val="auto"/>
          <w:lang w:eastAsia="zh-CN"/>
        </w:rPr>
      </w:pPr>
      <w:r>
        <w:rPr>
          <w:rFonts w:hint="default" w:ascii="Times New Roman" w:hAnsi="Times New Roman" w:cs="Times New Roman" w:eastAsiaTheme="minorEastAsia"/>
          <w:bCs/>
          <w:color w:val="auto"/>
          <w:lang w:eastAsia="zh-CN"/>
        </w:rPr>
        <w:t>15.2 迟延交货的违约责任</w:t>
      </w:r>
    </w:p>
    <w:p w14:paraId="04799E05">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5DF7A680">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（2）如果乙方没有按照合同规定的时间交货和提供相关服务，甲方有权从货款中扣除误期赔偿费而不影响合同项下的其他补救方法，赔偿费按</w:t>
      </w:r>
      <w:r>
        <w:rPr>
          <w:rFonts w:hint="default" w:ascii="Times New Roman" w:hAnsi="Times New Roman" w:cs="Times New Roman" w:eastAsiaTheme="minorEastAsia"/>
          <w:b/>
          <w:color w:val="auto"/>
          <w:lang w:eastAsia="zh-CN"/>
        </w:rPr>
        <w:t>【政府采购合同专用条款】</w:t>
      </w:r>
      <w:r>
        <w:rPr>
          <w:rFonts w:hint="default" w:ascii="Times New Roman" w:hAnsi="Times New Roman" w:cs="Times New Roman" w:eastAsiaTheme="minorEastAsia"/>
          <w:color w:val="auto"/>
          <w:lang w:eastAsia="zh-CN"/>
        </w:rPr>
        <w:t>规定执行。如果涉及公共利益，且赔偿金额无法弥补公共利益损失，甲方可要求继续履行或者采取其他补救措施。</w:t>
      </w:r>
    </w:p>
    <w:p w14:paraId="6CF18FD8">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15.3 迟延支付的违约责任</w:t>
      </w:r>
    </w:p>
    <w:p w14:paraId="6E964ADC">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甲方存在迟延支付乙方合同款项的，应当承担</w:t>
      </w:r>
      <w:r>
        <w:rPr>
          <w:rFonts w:hint="default" w:ascii="Times New Roman" w:hAnsi="Times New Roman" w:cs="Times New Roman" w:eastAsiaTheme="minorEastAsia"/>
          <w:b/>
          <w:bCs/>
          <w:color w:val="auto"/>
          <w:lang w:eastAsia="zh-CN"/>
        </w:rPr>
        <w:t>【政府采购合同专用条款】</w:t>
      </w:r>
      <w:r>
        <w:rPr>
          <w:rFonts w:hint="default" w:ascii="Times New Roman" w:hAnsi="Times New Roman" w:cs="Times New Roman" w:eastAsiaTheme="minorEastAsia"/>
          <w:color w:val="auto"/>
          <w:lang w:eastAsia="zh-CN"/>
        </w:rPr>
        <w:t>规定的逾期付款利息。</w:t>
      </w:r>
    </w:p>
    <w:p w14:paraId="412E1400">
      <w:pPr>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bCs/>
          <w:color w:val="auto"/>
          <w:lang w:eastAsia="zh-CN"/>
        </w:rPr>
        <w:t>15.4其他违约责任根据项目实际需要按</w:t>
      </w:r>
      <w:r>
        <w:rPr>
          <w:rFonts w:hint="default" w:ascii="Times New Roman" w:hAnsi="Times New Roman" w:cs="Times New Roman" w:eastAsiaTheme="minorEastAsia"/>
          <w:b/>
          <w:bCs/>
          <w:color w:val="auto"/>
          <w:lang w:eastAsia="zh-CN"/>
        </w:rPr>
        <w:t>【政府采购合同专用条款】</w:t>
      </w:r>
      <w:r>
        <w:rPr>
          <w:rFonts w:hint="default" w:ascii="Times New Roman" w:hAnsi="Times New Roman" w:cs="Times New Roman" w:eastAsiaTheme="minorEastAsia"/>
          <w:color w:val="auto"/>
          <w:lang w:eastAsia="zh-CN"/>
        </w:rPr>
        <w:t>规定执行。</w:t>
      </w:r>
    </w:p>
    <w:p w14:paraId="6088A710">
      <w:pPr>
        <w:numPr>
          <w:ilvl w:val="0"/>
          <w:numId w:val="18"/>
        </w:numPr>
        <w:autoSpaceDE w:val="0"/>
        <w:autoSpaceDN w:val="0"/>
        <w:adjustRightInd w:val="0"/>
        <w:snapToGrid w:val="0"/>
        <w:spacing w:line="400" w:lineRule="exact"/>
        <w:jc w:val="left"/>
        <w:rPr>
          <w:rFonts w:hint="default" w:ascii="Times New Roman" w:hAnsi="Times New Roman" w:cs="Times New Roman" w:eastAsiaTheme="minorEastAsia"/>
          <w:b/>
          <w:color w:val="auto"/>
          <w:sz w:val="24"/>
        </w:rPr>
      </w:pPr>
      <w:r>
        <w:rPr>
          <w:rFonts w:hint="default" w:ascii="Times New Roman" w:hAnsi="Times New Roman" w:cs="Times New Roman" w:eastAsiaTheme="minorEastAsia"/>
          <w:b/>
          <w:color w:val="auto"/>
          <w:sz w:val="24"/>
        </w:rPr>
        <w:t>合同变更</w:t>
      </w:r>
      <w:r>
        <w:rPr>
          <w:rFonts w:hint="default" w:ascii="Times New Roman" w:hAnsi="Times New Roman" w:cs="Times New Roman" w:eastAsiaTheme="minorEastAsia"/>
          <w:b/>
          <w:color w:val="auto"/>
          <w:sz w:val="24"/>
          <w:lang w:eastAsia="zh-CN"/>
        </w:rPr>
        <w:t>、中止与终止</w:t>
      </w:r>
    </w:p>
    <w:p w14:paraId="2814CFC2">
      <w:pPr>
        <w:adjustRightInd w:val="0"/>
        <w:snapToGrid w:val="0"/>
        <w:spacing w:line="400" w:lineRule="exact"/>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color w:val="auto"/>
        </w:rPr>
        <w:t>1</w:t>
      </w:r>
      <w:r>
        <w:rPr>
          <w:rFonts w:hint="default" w:ascii="Times New Roman" w:hAnsi="Times New Roman" w:cs="Times New Roman" w:eastAsiaTheme="minorEastAsia"/>
          <w:color w:val="auto"/>
          <w:lang w:val="en-US" w:eastAsia="zh-CN"/>
        </w:rPr>
        <w:t>6</w:t>
      </w:r>
      <w:r>
        <w:rPr>
          <w:rFonts w:hint="default" w:ascii="Times New Roman" w:hAnsi="Times New Roman" w:cs="Times New Roman" w:eastAsiaTheme="minorEastAsia"/>
          <w:color w:val="auto"/>
        </w:rPr>
        <w:t>.1合同的</w:t>
      </w:r>
      <w:r>
        <w:rPr>
          <w:rFonts w:hint="default" w:ascii="Times New Roman" w:hAnsi="Times New Roman" w:cs="Times New Roman" w:eastAsiaTheme="minorEastAsia"/>
          <w:color w:val="auto"/>
          <w:lang w:eastAsia="zh-CN"/>
        </w:rPr>
        <w:t>变更</w:t>
      </w:r>
    </w:p>
    <w:p w14:paraId="46D0C974">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政府采购合同履行中，在不改变合同其他条款的前提下，甲方可以在合同价款10%的范围内追加与合同标的相同的货物，并就此与乙方协商一致后签订补充协议。</w:t>
      </w:r>
    </w:p>
    <w:p w14:paraId="340DD14B">
      <w:pPr>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w:t>
      </w:r>
      <w:r>
        <w:rPr>
          <w:rFonts w:hint="default" w:ascii="Times New Roman" w:hAnsi="Times New Roman" w:cs="Times New Roman" w:eastAsiaTheme="minorEastAsia"/>
          <w:color w:val="auto"/>
          <w:lang w:val="en-US" w:eastAsia="zh-CN"/>
        </w:rPr>
        <w:t>6</w:t>
      </w: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2</w:t>
      </w:r>
      <w:r>
        <w:rPr>
          <w:rFonts w:hint="default" w:ascii="Times New Roman" w:hAnsi="Times New Roman" w:cs="Times New Roman" w:eastAsiaTheme="minorEastAsia"/>
          <w:color w:val="auto"/>
          <w:lang w:eastAsia="zh-CN"/>
        </w:rPr>
        <w:t>合同的中止</w:t>
      </w:r>
    </w:p>
    <w:p w14:paraId="5B83D4AB">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（1）合同履行过程中因供应商就采购文件、采购过程或结果提起投诉的，甲方认为有必要的，可以中止合同的履行。</w:t>
      </w:r>
    </w:p>
    <w:p w14:paraId="16B861C3">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（2）</w:t>
      </w:r>
      <w:r>
        <w:rPr>
          <w:rFonts w:hint="default" w:ascii="Times New Roman" w:hAnsi="Times New Roman" w:cs="Times New Roman" w:eastAsiaTheme="minorEastAsia"/>
          <w:color w:val="auto"/>
          <w:lang w:val="en-US" w:eastAsia="zh-CN"/>
        </w:rPr>
        <w:t>合同履行过程中，</w:t>
      </w:r>
      <w:r>
        <w:rPr>
          <w:rFonts w:hint="default" w:ascii="Times New Roman" w:hAnsi="Times New Roman" w:cs="Times New Roman" w:eastAsiaTheme="minorEastAsia"/>
          <w:color w:val="auto"/>
          <w:lang w:eastAsia="zh-CN"/>
        </w:rPr>
        <w:t>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766CD473">
      <w:pPr>
        <w:pStyle w:val="260"/>
        <w:ind w:firstLine="420"/>
        <w:jc w:val="both"/>
        <w:rPr>
          <w:rFonts w:hint="default" w:ascii="Times New Roman" w:hAnsi="Times New Roman" w:cs="Times New Roman" w:eastAsiaTheme="minorEastAsia"/>
          <w:sz w:val="21"/>
        </w:rPr>
      </w:pPr>
      <w:r>
        <w:rPr>
          <w:rFonts w:hint="default" w:ascii="Times New Roman" w:hAnsi="Times New Roman" w:cs="Times New Roman" w:eastAsiaTheme="minorEastAsia"/>
          <w:sz w:val="21"/>
        </w:rPr>
        <w:t>（3）乙方分立、合并或者变更住所的，应当及时以书面形式告知甲方。乙方没有及时告知甲方，致使合同履行发生困难的，甲方可以中止合同履行并要求乙方承担由此给甲方造成的损失。</w:t>
      </w:r>
    </w:p>
    <w:p w14:paraId="394F127B">
      <w:pPr>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4</w:t>
      </w:r>
      <w:r>
        <w:rPr>
          <w:rFonts w:hint="default" w:ascii="Times New Roman" w:hAnsi="Times New Roman" w:cs="Times New Roman" w:eastAsiaTheme="minorEastAsia"/>
          <w:color w:val="auto"/>
          <w:lang w:eastAsia="zh-CN"/>
        </w:rPr>
        <w:t>）甲方不得以行政区划调整、政府换届、机构或者职能调整以及相关责任人更替为由中止合同。</w:t>
      </w:r>
    </w:p>
    <w:p w14:paraId="0D72747B">
      <w:pPr>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w:t>
      </w:r>
      <w:r>
        <w:rPr>
          <w:rFonts w:hint="default" w:ascii="Times New Roman" w:hAnsi="Times New Roman" w:cs="Times New Roman" w:eastAsiaTheme="minorEastAsia"/>
          <w:color w:val="auto"/>
          <w:lang w:val="en-US" w:eastAsia="zh-CN"/>
        </w:rPr>
        <w:t>6</w:t>
      </w: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3</w:t>
      </w:r>
      <w:r>
        <w:rPr>
          <w:rFonts w:hint="default" w:ascii="Times New Roman" w:hAnsi="Times New Roman" w:cs="Times New Roman" w:eastAsiaTheme="minorEastAsia"/>
          <w:color w:val="auto"/>
          <w:lang w:eastAsia="zh-CN"/>
        </w:rPr>
        <w:t>合同的终止</w:t>
      </w:r>
    </w:p>
    <w:p w14:paraId="3C6253D9">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（1）合同因有效期限届满而终止；</w:t>
      </w:r>
    </w:p>
    <w:p w14:paraId="66902193">
      <w:pPr>
        <w:snapToGrid w:val="0"/>
        <w:spacing w:line="400" w:lineRule="exact"/>
        <w:ind w:firstLine="420" w:firstLineChars="20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（2）乙方未按合同约定履行，构成根本性违约的，甲方有权终止合同，并追究乙方的违约责</w:t>
      </w:r>
      <w:r>
        <w:rPr>
          <w:rFonts w:hint="default" w:ascii="Times New Roman" w:hAnsi="Times New Roman" w:cs="Times New Roman" w:eastAsiaTheme="minorEastAsia"/>
          <w:color w:val="auto"/>
          <w:lang w:val="en-US" w:eastAsia="zh-CN"/>
        </w:rPr>
        <w:t>任</w:t>
      </w:r>
      <w:r>
        <w:rPr>
          <w:rFonts w:hint="default" w:ascii="Times New Roman" w:hAnsi="Times New Roman" w:cs="Times New Roman" w:eastAsiaTheme="minorEastAsia"/>
          <w:color w:val="auto"/>
          <w:lang w:eastAsia="zh-CN"/>
        </w:rPr>
        <w:t>。</w:t>
      </w:r>
    </w:p>
    <w:p w14:paraId="3D9928D9">
      <w:pPr>
        <w:pStyle w:val="260"/>
        <w:rPr>
          <w:rFonts w:hint="default" w:ascii="Times New Roman" w:hAnsi="Times New Roman" w:cs="Times New Roman" w:eastAsiaTheme="minorEastAsia"/>
        </w:rPr>
      </w:pPr>
      <w:r>
        <w:rPr>
          <w:rFonts w:hint="default" w:ascii="Times New Roman" w:hAnsi="Times New Roman" w:cs="Times New Roman" w:eastAsiaTheme="minorEastAsia"/>
        </w:rPr>
        <w:t xml:space="preserve">16.4 </w:t>
      </w:r>
      <w:r>
        <w:rPr>
          <w:rFonts w:hint="default" w:ascii="Times New Roman" w:hAnsi="Times New Roman" w:cs="Times New Roman" w:eastAsiaTheme="minorEastAsia"/>
          <w:kern w:val="2"/>
          <w:sz w:val="21"/>
        </w:rPr>
        <w:t>涉及国家利益、社会公共利益的情形</w:t>
      </w:r>
    </w:p>
    <w:p w14:paraId="0B24AEAD">
      <w:pPr>
        <w:pStyle w:val="260"/>
        <w:ind w:firstLine="420"/>
        <w:jc w:val="both"/>
        <w:rPr>
          <w:rFonts w:hint="default" w:ascii="Times New Roman" w:hAnsi="Times New Roman" w:cs="Times New Roman" w:eastAsiaTheme="minorEastAsia"/>
          <w:sz w:val="21"/>
        </w:rPr>
      </w:pPr>
      <w:r>
        <w:rPr>
          <w:rFonts w:hint="default" w:ascii="Times New Roman" w:hAnsi="Times New Roman" w:cs="Times New Roman" w:eastAsiaTheme="minorEastAsia"/>
          <w:sz w:val="21"/>
        </w:rPr>
        <w:t>政府采购合同继续履行将损害国家利益和社会公共利益的，双方当事人应当变更、中止或者终止合同。有过错的一方应当承担赔偿责任，双方都有过错的，各自承担相应的责任。</w:t>
      </w:r>
    </w:p>
    <w:p w14:paraId="08794C67">
      <w:pPr>
        <w:autoSpaceDE w:val="0"/>
        <w:autoSpaceDN w:val="0"/>
        <w:adjustRightInd w:val="0"/>
        <w:snapToGrid w:val="0"/>
        <w:spacing w:line="400" w:lineRule="exact"/>
        <w:jc w:val="left"/>
        <w:rPr>
          <w:rFonts w:hint="default" w:ascii="Times New Roman" w:hAnsi="Times New Roman" w:cs="Times New Roman" w:eastAsiaTheme="minorEastAsia"/>
          <w:b/>
          <w:bCs/>
          <w:color w:val="auto"/>
          <w:sz w:val="24"/>
          <w:lang w:eastAsia="zh-CN"/>
        </w:rPr>
      </w:pPr>
      <w:r>
        <w:rPr>
          <w:rFonts w:hint="default" w:ascii="Times New Roman" w:hAnsi="Times New Roman" w:cs="Times New Roman" w:eastAsiaTheme="minorEastAsia"/>
          <w:b/>
          <w:bCs/>
          <w:color w:val="auto"/>
          <w:sz w:val="24"/>
          <w:lang w:eastAsia="zh-CN"/>
        </w:rPr>
        <w:t>1</w:t>
      </w:r>
      <w:r>
        <w:rPr>
          <w:rFonts w:hint="default" w:ascii="Times New Roman" w:hAnsi="Times New Roman" w:cs="Times New Roman" w:eastAsiaTheme="minorEastAsia"/>
          <w:b/>
          <w:bCs/>
          <w:color w:val="auto"/>
          <w:sz w:val="24"/>
          <w:lang w:val="en-US" w:eastAsia="zh-CN"/>
        </w:rPr>
        <w:t>7</w:t>
      </w:r>
      <w:r>
        <w:rPr>
          <w:rFonts w:hint="default" w:ascii="Times New Roman" w:hAnsi="Times New Roman" w:cs="Times New Roman" w:eastAsiaTheme="minorEastAsia"/>
          <w:b/>
          <w:bCs/>
          <w:color w:val="auto"/>
          <w:sz w:val="24"/>
          <w:lang w:eastAsia="zh-CN"/>
        </w:rPr>
        <w:t>.</w:t>
      </w:r>
      <w:r>
        <w:rPr>
          <w:rFonts w:hint="default" w:ascii="Times New Roman" w:hAnsi="Times New Roman" w:cs="Times New Roman" w:eastAsiaTheme="minorEastAsia"/>
          <w:b/>
          <w:bCs/>
          <w:color w:val="auto"/>
          <w:sz w:val="24"/>
          <w:lang w:val="en-US" w:eastAsia="zh-CN"/>
        </w:rPr>
        <w:t xml:space="preserve"> </w:t>
      </w:r>
      <w:r>
        <w:rPr>
          <w:rFonts w:hint="default" w:ascii="Times New Roman" w:hAnsi="Times New Roman" w:cs="Times New Roman" w:eastAsiaTheme="minorEastAsia"/>
          <w:b/>
          <w:bCs/>
          <w:color w:val="auto"/>
          <w:sz w:val="24"/>
          <w:lang w:eastAsia="zh-CN"/>
        </w:rPr>
        <w:t>合同分包</w:t>
      </w:r>
    </w:p>
    <w:p w14:paraId="0269739B">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w:t>
      </w:r>
      <w:r>
        <w:rPr>
          <w:rFonts w:hint="default" w:ascii="Times New Roman" w:hAnsi="Times New Roman" w:cs="Times New Roman" w:eastAsiaTheme="minorEastAsia"/>
          <w:color w:val="auto"/>
          <w:lang w:val="en-US" w:eastAsia="zh-CN"/>
        </w:rPr>
        <w:t>7</w:t>
      </w:r>
      <w:r>
        <w:rPr>
          <w:rFonts w:hint="default" w:ascii="Times New Roman" w:hAnsi="Times New Roman" w:cs="Times New Roman" w:eastAsiaTheme="minorEastAsia"/>
          <w:color w:val="auto"/>
          <w:lang w:eastAsia="zh-CN"/>
        </w:rPr>
        <w:t>.1 乙方不得将合同转包给其他供应商。涉及合同分包的，乙方</w:t>
      </w:r>
      <w:r>
        <w:rPr>
          <w:rFonts w:hint="default" w:ascii="Times New Roman" w:hAnsi="Times New Roman" w:cs="Times New Roman" w:eastAsiaTheme="minorEastAsia"/>
          <w:color w:val="auto"/>
          <w:lang w:val="en-US" w:eastAsia="zh-CN"/>
        </w:rPr>
        <w:t>应</w:t>
      </w:r>
      <w:r>
        <w:rPr>
          <w:rFonts w:hint="default" w:ascii="Times New Roman" w:hAnsi="Times New Roman" w:cs="Times New Roman" w:eastAsiaTheme="minorEastAsia"/>
          <w:color w:val="auto"/>
          <w:lang w:eastAsia="zh-CN"/>
        </w:rPr>
        <w:t>根据采购文件和投标（响应）文件规定进行合同分包。</w:t>
      </w:r>
    </w:p>
    <w:p w14:paraId="275D70B8">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w:t>
      </w:r>
      <w:r>
        <w:rPr>
          <w:rFonts w:hint="default" w:ascii="Times New Roman" w:hAnsi="Times New Roman" w:cs="Times New Roman" w:eastAsiaTheme="minorEastAsia"/>
          <w:color w:val="auto"/>
          <w:lang w:val="en-US" w:eastAsia="zh-CN"/>
        </w:rPr>
        <w:t>7</w:t>
      </w:r>
      <w:r>
        <w:rPr>
          <w:rFonts w:hint="default" w:ascii="Times New Roman" w:hAnsi="Times New Roman" w:cs="Times New Roman" w:eastAsiaTheme="minorEastAsia"/>
          <w:color w:val="auto"/>
          <w:lang w:eastAsia="zh-CN"/>
        </w:rPr>
        <w:t>.2 乙方执行政府采购政策向中小企业依法分包的，乙方应当按采购文件和投标（响应）文件签订分包意向协议，分包意向协议属于本合同组成部分。</w:t>
      </w:r>
    </w:p>
    <w:p w14:paraId="43FD07FC">
      <w:pPr>
        <w:autoSpaceDE w:val="0"/>
        <w:autoSpaceDN w:val="0"/>
        <w:adjustRightInd w:val="0"/>
        <w:snapToGrid w:val="0"/>
        <w:spacing w:line="400" w:lineRule="exact"/>
        <w:jc w:val="left"/>
        <w:rPr>
          <w:rFonts w:hint="default" w:ascii="Times New Roman" w:hAnsi="Times New Roman" w:cs="Times New Roman" w:eastAsiaTheme="minorEastAsia"/>
          <w:b/>
          <w:bCs/>
          <w:color w:val="auto"/>
          <w:sz w:val="24"/>
          <w:lang w:eastAsia="zh-CN"/>
        </w:rPr>
      </w:pPr>
      <w:r>
        <w:rPr>
          <w:rFonts w:hint="default" w:ascii="Times New Roman" w:hAnsi="Times New Roman" w:cs="Times New Roman" w:eastAsiaTheme="minorEastAsia"/>
          <w:b/>
          <w:bCs/>
          <w:color w:val="auto"/>
          <w:sz w:val="24"/>
          <w:lang w:eastAsia="zh-CN"/>
        </w:rPr>
        <w:t>1</w:t>
      </w:r>
      <w:r>
        <w:rPr>
          <w:rFonts w:hint="default" w:ascii="Times New Roman" w:hAnsi="Times New Roman" w:cs="Times New Roman" w:eastAsiaTheme="minorEastAsia"/>
          <w:b/>
          <w:bCs/>
          <w:color w:val="auto"/>
          <w:sz w:val="24"/>
          <w:lang w:val="en-US" w:eastAsia="zh-CN"/>
        </w:rPr>
        <w:t>8</w:t>
      </w:r>
      <w:r>
        <w:rPr>
          <w:rFonts w:hint="default" w:ascii="Times New Roman" w:hAnsi="Times New Roman" w:cs="Times New Roman" w:eastAsiaTheme="minorEastAsia"/>
          <w:b/>
          <w:bCs/>
          <w:color w:val="auto"/>
          <w:sz w:val="24"/>
          <w:lang w:eastAsia="zh-CN"/>
        </w:rPr>
        <w:t>.</w:t>
      </w:r>
      <w:r>
        <w:rPr>
          <w:rFonts w:hint="default" w:ascii="Times New Roman" w:hAnsi="Times New Roman" w:cs="Times New Roman" w:eastAsiaTheme="minorEastAsia"/>
          <w:b/>
          <w:bCs/>
          <w:color w:val="auto"/>
          <w:sz w:val="24"/>
          <w:lang w:val="en-US" w:eastAsia="zh-CN"/>
        </w:rPr>
        <w:t xml:space="preserve"> </w:t>
      </w:r>
      <w:r>
        <w:rPr>
          <w:rFonts w:hint="default" w:ascii="Times New Roman" w:hAnsi="Times New Roman" w:cs="Times New Roman" w:eastAsiaTheme="minorEastAsia"/>
          <w:b/>
          <w:bCs/>
          <w:color w:val="auto"/>
          <w:sz w:val="24"/>
          <w:lang w:eastAsia="zh-CN"/>
        </w:rPr>
        <w:t>不可抗力</w:t>
      </w:r>
    </w:p>
    <w:p w14:paraId="4DFB0030">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w:t>
      </w:r>
      <w:r>
        <w:rPr>
          <w:rFonts w:hint="default" w:ascii="Times New Roman" w:hAnsi="Times New Roman" w:cs="Times New Roman" w:eastAsiaTheme="minorEastAsia"/>
          <w:color w:val="auto"/>
          <w:lang w:val="en-US" w:eastAsia="zh-CN"/>
        </w:rPr>
        <w:t>8</w:t>
      </w:r>
      <w:r>
        <w:rPr>
          <w:rFonts w:hint="default" w:ascii="Times New Roman" w:hAnsi="Times New Roman" w:cs="Times New Roman" w:eastAsiaTheme="minorEastAsia"/>
          <w:color w:val="auto"/>
          <w:lang w:eastAsia="zh-CN"/>
        </w:rPr>
        <w:t>.1 不可抗力是指合同双方不能预见、不能避免且不能克服的客观情况。</w:t>
      </w:r>
    </w:p>
    <w:p w14:paraId="1E0C04AC">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w:t>
      </w:r>
      <w:r>
        <w:rPr>
          <w:rFonts w:hint="default" w:ascii="Times New Roman" w:hAnsi="Times New Roman" w:cs="Times New Roman" w:eastAsiaTheme="minorEastAsia"/>
          <w:color w:val="auto"/>
          <w:lang w:val="en-US" w:eastAsia="zh-CN"/>
        </w:rPr>
        <w:t>8</w:t>
      </w:r>
      <w:r>
        <w:rPr>
          <w:rFonts w:hint="default" w:ascii="Times New Roman" w:hAnsi="Times New Roman" w:cs="Times New Roman" w:eastAsiaTheme="minorEastAsia"/>
          <w:color w:val="auto"/>
          <w:lang w:eastAsia="zh-CN"/>
        </w:rPr>
        <w:t>.2 任何一方对由于不可抗力造成的部分或全部不能履行合同不承担违约责任。但迟延履行后发生不可抗力的，不能免除责任。</w:t>
      </w:r>
    </w:p>
    <w:p w14:paraId="4D7E6C52">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1</w:t>
      </w:r>
      <w:r>
        <w:rPr>
          <w:rFonts w:hint="default" w:ascii="Times New Roman" w:hAnsi="Times New Roman" w:cs="Times New Roman" w:eastAsiaTheme="minorEastAsia"/>
          <w:color w:val="auto"/>
          <w:lang w:val="en-US" w:eastAsia="zh-CN"/>
        </w:rPr>
        <w:t>8</w:t>
      </w:r>
      <w:r>
        <w:rPr>
          <w:rFonts w:hint="default" w:ascii="Times New Roman" w:hAnsi="Times New Roman" w:cs="Times New Roman" w:eastAsiaTheme="minorEastAsia"/>
          <w:color w:val="auto"/>
          <w:lang w:eastAsia="zh-CN"/>
        </w:rPr>
        <w:t>.3 遇有不可抗力的一方，应及时将事件情况以书面形式告知另一方，并在事件发生后及时向另一方提交合同不能履行或部分不能履行或需要延期履行的详细报告，以</w:t>
      </w:r>
      <w:r>
        <w:rPr>
          <w:rFonts w:hint="default" w:ascii="Times New Roman" w:hAnsi="Times New Roman" w:cs="Times New Roman" w:eastAsiaTheme="minorEastAsia"/>
          <w:color w:val="auto"/>
          <w:lang w:val="en-US" w:eastAsia="zh-CN"/>
        </w:rPr>
        <w:t>及证明不可抗力发生及其持续时间的证据</w:t>
      </w:r>
      <w:r>
        <w:rPr>
          <w:rFonts w:hint="default" w:ascii="Times New Roman" w:hAnsi="Times New Roman" w:cs="Times New Roman" w:eastAsiaTheme="minorEastAsia"/>
          <w:color w:val="auto"/>
          <w:lang w:eastAsia="zh-CN"/>
        </w:rPr>
        <w:t>。</w:t>
      </w:r>
    </w:p>
    <w:p w14:paraId="055D23B5">
      <w:pPr>
        <w:autoSpaceDE w:val="0"/>
        <w:autoSpaceDN w:val="0"/>
        <w:adjustRightInd w:val="0"/>
        <w:snapToGrid w:val="0"/>
        <w:spacing w:line="400" w:lineRule="exact"/>
        <w:jc w:val="left"/>
        <w:rPr>
          <w:rFonts w:hint="default" w:ascii="Times New Roman" w:hAnsi="Times New Roman" w:cs="Times New Roman" w:eastAsiaTheme="minorEastAsia"/>
          <w:b/>
          <w:bCs/>
          <w:color w:val="auto"/>
          <w:sz w:val="24"/>
          <w:lang w:eastAsia="zh-CN"/>
        </w:rPr>
      </w:pPr>
      <w:r>
        <w:rPr>
          <w:rFonts w:hint="default" w:ascii="Times New Roman" w:hAnsi="Times New Roman" w:cs="Times New Roman" w:eastAsiaTheme="minorEastAsia"/>
          <w:b/>
          <w:bCs/>
          <w:color w:val="auto"/>
          <w:sz w:val="24"/>
          <w:lang w:val="en-US" w:eastAsia="zh-CN"/>
        </w:rPr>
        <w:t>19</w:t>
      </w:r>
      <w:r>
        <w:rPr>
          <w:rFonts w:hint="default" w:ascii="Times New Roman" w:hAnsi="Times New Roman" w:cs="Times New Roman" w:eastAsiaTheme="minorEastAsia"/>
          <w:b/>
          <w:bCs/>
          <w:color w:val="auto"/>
          <w:sz w:val="24"/>
          <w:lang w:eastAsia="zh-CN"/>
        </w:rPr>
        <w:t>.</w:t>
      </w:r>
      <w:r>
        <w:rPr>
          <w:rFonts w:hint="default" w:ascii="Times New Roman" w:hAnsi="Times New Roman" w:cs="Times New Roman" w:eastAsiaTheme="minorEastAsia"/>
          <w:b/>
          <w:bCs/>
          <w:color w:val="auto"/>
          <w:sz w:val="24"/>
          <w:lang w:val="en-US" w:eastAsia="zh-CN"/>
        </w:rPr>
        <w:t xml:space="preserve"> </w:t>
      </w:r>
      <w:r>
        <w:rPr>
          <w:rFonts w:hint="default" w:ascii="Times New Roman" w:hAnsi="Times New Roman" w:cs="Times New Roman" w:eastAsiaTheme="minorEastAsia"/>
          <w:b/>
          <w:bCs/>
          <w:color w:val="auto"/>
          <w:sz w:val="24"/>
          <w:lang w:eastAsia="zh-CN"/>
        </w:rPr>
        <w:t>解决争议的方法</w:t>
      </w:r>
    </w:p>
    <w:p w14:paraId="28629F4F">
      <w:pPr>
        <w:pStyle w:val="260"/>
        <w:ind w:firstLine="420"/>
        <w:jc w:val="both"/>
        <w:rPr>
          <w:rFonts w:hint="default" w:ascii="Times New Roman" w:hAnsi="Times New Roman" w:cs="Times New Roman" w:eastAsiaTheme="minorEastAsia"/>
          <w:sz w:val="21"/>
        </w:rPr>
      </w:pPr>
      <w:r>
        <w:rPr>
          <w:rFonts w:hint="default" w:ascii="Times New Roman" w:hAnsi="Times New Roman" w:cs="Times New Roman" w:eastAsiaTheme="minorEastAsia"/>
          <w:sz w:val="21"/>
        </w:rPr>
        <w:t>19.1 因本合同及合同有关事项发生的争议，由甲乙双方友好协商解决。协商不成时，可以向有关组织申请调解。合同一方或双方不愿调解或调解不成的，可以通过仲裁或诉讼的方式解决争议。</w:t>
      </w:r>
    </w:p>
    <w:p w14:paraId="2A570796">
      <w:pPr>
        <w:pStyle w:val="260"/>
        <w:ind w:firstLine="420"/>
        <w:jc w:val="both"/>
        <w:rPr>
          <w:rFonts w:hint="default" w:ascii="Times New Roman" w:hAnsi="Times New Roman" w:cs="Times New Roman" w:eastAsiaTheme="minorEastAsia"/>
          <w:sz w:val="21"/>
        </w:rPr>
      </w:pPr>
      <w:r>
        <w:rPr>
          <w:rFonts w:hint="default" w:ascii="Times New Roman" w:hAnsi="Times New Roman" w:cs="Times New Roman" w:eastAsiaTheme="minorEastAsia"/>
          <w:sz w:val="21"/>
        </w:rPr>
        <w:t>19.2 选择仲裁的，应在</w:t>
      </w:r>
      <w:r>
        <w:rPr>
          <w:rFonts w:hint="default" w:ascii="Times New Roman" w:hAnsi="Times New Roman" w:cs="Times New Roman" w:eastAsiaTheme="minorEastAsia"/>
          <w:b/>
          <w:bCs/>
          <w:sz w:val="21"/>
        </w:rPr>
        <w:t>【政府采购合同专用条款】</w:t>
      </w:r>
      <w:r>
        <w:rPr>
          <w:rFonts w:hint="default" w:ascii="Times New Roman" w:hAnsi="Times New Roman" w:cs="Times New Roman" w:eastAsiaTheme="minorEastAsia"/>
          <w:sz w:val="21"/>
        </w:rPr>
        <w:t>中明确仲裁机构及仲裁地；通过诉讼方式解决的，可以在</w:t>
      </w:r>
      <w:r>
        <w:rPr>
          <w:rFonts w:hint="default" w:ascii="Times New Roman" w:hAnsi="Times New Roman" w:cs="Times New Roman" w:eastAsiaTheme="minorEastAsia"/>
          <w:b/>
          <w:bCs/>
          <w:sz w:val="21"/>
        </w:rPr>
        <w:t>【政府采购合同专用条款】</w:t>
      </w:r>
      <w:r>
        <w:rPr>
          <w:rFonts w:hint="default" w:ascii="Times New Roman" w:hAnsi="Times New Roman" w:cs="Times New Roman" w:eastAsiaTheme="minorEastAsia"/>
          <w:sz w:val="21"/>
        </w:rPr>
        <w:t>中进一步约定选择与争议有实际联系的地点的人民法院管辖，但管辖法院的约定不得违反级别管辖和专属管辖的规定。</w:t>
      </w:r>
    </w:p>
    <w:p w14:paraId="5A655DB6">
      <w:pPr>
        <w:pStyle w:val="260"/>
        <w:ind w:firstLine="420"/>
        <w:jc w:val="both"/>
        <w:rPr>
          <w:rFonts w:hint="default" w:ascii="Times New Roman" w:hAnsi="Times New Roman" w:cs="Times New Roman" w:eastAsiaTheme="minorEastAsia"/>
          <w:sz w:val="21"/>
        </w:rPr>
      </w:pPr>
      <w:r>
        <w:rPr>
          <w:rFonts w:hint="default" w:ascii="Times New Roman" w:hAnsi="Times New Roman" w:cs="Times New Roman" w:eastAsiaTheme="minorEastAsia"/>
          <w:sz w:val="21"/>
        </w:rPr>
        <w:t>19.3 如甲乙双方有争议的事项不影响合同其他部分的履行，在争议解决期间，合同其他部分应当继续履行。</w:t>
      </w:r>
    </w:p>
    <w:p w14:paraId="19FDD383">
      <w:pPr>
        <w:autoSpaceDE w:val="0"/>
        <w:autoSpaceDN w:val="0"/>
        <w:adjustRightInd w:val="0"/>
        <w:snapToGrid w:val="0"/>
        <w:spacing w:line="400" w:lineRule="exact"/>
        <w:jc w:val="left"/>
        <w:rPr>
          <w:rFonts w:hint="default" w:ascii="Times New Roman" w:hAnsi="Times New Roman" w:cs="Times New Roman" w:eastAsiaTheme="minorEastAsia"/>
          <w:color w:val="auto"/>
          <w:sz w:val="24"/>
          <w:lang w:eastAsia="zh-CN"/>
        </w:rPr>
      </w:pPr>
      <w:r>
        <w:rPr>
          <w:rFonts w:hint="default" w:ascii="Times New Roman" w:hAnsi="Times New Roman" w:cs="Times New Roman" w:eastAsiaTheme="minorEastAsia"/>
          <w:b/>
          <w:color w:val="auto"/>
          <w:sz w:val="24"/>
          <w:lang w:val="en-US" w:eastAsia="zh-CN"/>
        </w:rPr>
        <w:t>20</w:t>
      </w:r>
      <w:r>
        <w:rPr>
          <w:rFonts w:hint="default" w:ascii="Times New Roman" w:hAnsi="Times New Roman" w:cs="Times New Roman" w:eastAsiaTheme="minorEastAsia"/>
          <w:b/>
          <w:color w:val="auto"/>
          <w:sz w:val="24"/>
          <w:lang w:eastAsia="zh-CN"/>
        </w:rPr>
        <w:t>.</w:t>
      </w:r>
      <w:r>
        <w:rPr>
          <w:rFonts w:hint="default" w:ascii="Times New Roman" w:hAnsi="Times New Roman" w:cs="Times New Roman" w:eastAsiaTheme="minorEastAsia"/>
          <w:b/>
          <w:color w:val="auto"/>
          <w:sz w:val="24"/>
          <w:lang w:val="en-US" w:eastAsia="zh-CN"/>
        </w:rPr>
        <w:t xml:space="preserve"> </w:t>
      </w:r>
      <w:r>
        <w:rPr>
          <w:rFonts w:hint="default" w:ascii="Times New Roman" w:hAnsi="Times New Roman" w:cs="Times New Roman" w:eastAsiaTheme="minorEastAsia"/>
          <w:b/>
          <w:color w:val="auto"/>
          <w:sz w:val="24"/>
          <w:lang w:eastAsia="zh-CN"/>
        </w:rPr>
        <w:t>政府采购政策</w:t>
      </w:r>
    </w:p>
    <w:p w14:paraId="4932EF66">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 xml:space="preserve">20.1 </w:t>
      </w:r>
      <w:r>
        <w:rPr>
          <w:rFonts w:hint="default" w:ascii="Times New Roman" w:hAnsi="Times New Roman" w:cs="Times New Roman" w:eastAsiaTheme="minorEastAsia"/>
          <w:color w:val="auto"/>
          <w:lang w:val="en-GB" w:eastAsia="zh-CN"/>
        </w:rPr>
        <w:t>本合同应当按照规定执行政府采购政策。</w:t>
      </w:r>
    </w:p>
    <w:p w14:paraId="2906975A">
      <w:pPr>
        <w:autoSpaceDE w:val="0"/>
        <w:autoSpaceDN w:val="0"/>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2</w:t>
      </w:r>
      <w:r>
        <w:rPr>
          <w:rFonts w:hint="default" w:ascii="Times New Roman" w:hAnsi="Times New Roman" w:cs="Times New Roman" w:eastAsiaTheme="minorEastAsia"/>
          <w:color w:val="auto"/>
          <w:lang w:val="en-US" w:eastAsia="zh-CN"/>
        </w:rPr>
        <w:t>0</w:t>
      </w: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2</w:t>
      </w:r>
      <w:r>
        <w:rPr>
          <w:rFonts w:hint="default" w:ascii="Times New Roman" w:hAnsi="Times New Roman" w:cs="Times New Roman" w:eastAsiaTheme="minorEastAsia"/>
          <w:color w:val="auto"/>
          <w:lang w:eastAsia="zh-CN"/>
        </w:rPr>
        <w:t xml:space="preserve"> 本合同依法执行政府采购政策的方式和内容，属于合同履约验收的范围。甲乙双方</w:t>
      </w:r>
      <w:r>
        <w:rPr>
          <w:rFonts w:hint="default" w:ascii="Times New Roman" w:hAnsi="Times New Roman" w:cs="Times New Roman" w:eastAsiaTheme="minorEastAsia"/>
          <w:color w:val="auto"/>
          <w:lang w:val="en-GB" w:eastAsia="zh-CN"/>
        </w:rPr>
        <w:t>未按规定要求执行政府采购政策造成损失的</w:t>
      </w:r>
      <w:r>
        <w:rPr>
          <w:rFonts w:hint="default" w:ascii="Times New Roman" w:hAnsi="Times New Roman" w:cs="Times New Roman" w:eastAsiaTheme="minorEastAsia"/>
          <w:color w:val="auto"/>
          <w:lang w:eastAsia="zh-CN"/>
        </w:rPr>
        <w:t>，有过错的一方应当承担赔偿责任，双方都有过错的，各自承担相应的责任。</w:t>
      </w:r>
    </w:p>
    <w:p w14:paraId="711EF1FA">
      <w:pPr>
        <w:pStyle w:val="16"/>
        <w:spacing w:line="400" w:lineRule="exact"/>
        <w:ind w:firstLine="480" w:firstLineChars="200"/>
        <w:rPr>
          <w:rFonts w:hint="default" w:ascii="Times New Roman" w:hAnsi="Times New Roman" w:cs="Times New Roman" w:eastAsiaTheme="minorEastAsia"/>
        </w:rPr>
      </w:pPr>
      <w:r>
        <w:rPr>
          <w:rFonts w:hint="default" w:ascii="Times New Roman" w:hAnsi="Times New Roman" w:cs="Times New Roman" w:eastAsiaTheme="minorEastAsia"/>
          <w:szCs w:val="21"/>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1397E619">
      <w:pPr>
        <w:autoSpaceDE w:val="0"/>
        <w:autoSpaceDN w:val="0"/>
        <w:adjustRightInd w:val="0"/>
        <w:snapToGrid w:val="0"/>
        <w:spacing w:line="400" w:lineRule="exact"/>
        <w:jc w:val="left"/>
        <w:rPr>
          <w:rFonts w:hint="default" w:ascii="Times New Roman" w:hAnsi="Times New Roman" w:cs="Times New Roman" w:eastAsiaTheme="minorEastAsia"/>
          <w:b/>
          <w:color w:val="auto"/>
          <w:sz w:val="24"/>
          <w:lang w:eastAsia="zh-CN"/>
        </w:rPr>
      </w:pPr>
      <w:r>
        <w:rPr>
          <w:rFonts w:hint="default" w:ascii="Times New Roman" w:hAnsi="Times New Roman" w:cs="Times New Roman" w:eastAsiaTheme="minorEastAsia"/>
          <w:b/>
          <w:color w:val="auto"/>
          <w:sz w:val="24"/>
          <w:lang w:eastAsia="zh-CN"/>
        </w:rPr>
        <w:t>2</w:t>
      </w:r>
      <w:r>
        <w:rPr>
          <w:rFonts w:hint="default" w:ascii="Times New Roman" w:hAnsi="Times New Roman" w:cs="Times New Roman" w:eastAsiaTheme="minorEastAsia"/>
          <w:b/>
          <w:color w:val="auto"/>
          <w:sz w:val="24"/>
          <w:lang w:val="en-US" w:eastAsia="zh-CN"/>
        </w:rPr>
        <w:t>1</w:t>
      </w:r>
      <w:r>
        <w:rPr>
          <w:rFonts w:hint="default" w:ascii="Times New Roman" w:hAnsi="Times New Roman" w:cs="Times New Roman" w:eastAsiaTheme="minorEastAsia"/>
          <w:b/>
          <w:color w:val="auto"/>
          <w:sz w:val="24"/>
          <w:lang w:eastAsia="zh-CN"/>
        </w:rPr>
        <w:t>.</w:t>
      </w:r>
      <w:r>
        <w:rPr>
          <w:rFonts w:hint="default" w:ascii="Times New Roman" w:hAnsi="Times New Roman" w:cs="Times New Roman" w:eastAsiaTheme="minorEastAsia"/>
          <w:b/>
          <w:color w:val="auto"/>
          <w:sz w:val="24"/>
          <w:lang w:val="en-US" w:eastAsia="zh-CN"/>
        </w:rPr>
        <w:t xml:space="preserve"> </w:t>
      </w:r>
      <w:r>
        <w:rPr>
          <w:rFonts w:hint="default" w:ascii="Times New Roman" w:hAnsi="Times New Roman" w:cs="Times New Roman" w:eastAsiaTheme="minorEastAsia"/>
          <w:b/>
          <w:color w:val="auto"/>
          <w:sz w:val="24"/>
          <w:lang w:eastAsia="zh-CN"/>
        </w:rPr>
        <w:t>法律适用</w:t>
      </w:r>
    </w:p>
    <w:p w14:paraId="433C0082">
      <w:pPr>
        <w:pStyle w:val="260"/>
        <w:ind w:firstLine="420"/>
        <w:jc w:val="both"/>
        <w:rPr>
          <w:rFonts w:hint="default" w:ascii="Times New Roman" w:hAnsi="Times New Roman" w:cs="Times New Roman" w:eastAsiaTheme="minorEastAsia"/>
          <w:sz w:val="21"/>
        </w:rPr>
      </w:pPr>
      <w:r>
        <w:rPr>
          <w:rFonts w:hint="default" w:ascii="Times New Roman" w:hAnsi="Times New Roman" w:cs="Times New Roman" w:eastAsiaTheme="minorEastAsia"/>
          <w:sz w:val="21"/>
        </w:rPr>
        <w:t>21.1 本合同的订立、生效、解释、履行及与本合同有关的争议解决，均适用法律、行政法规。</w:t>
      </w:r>
    </w:p>
    <w:p w14:paraId="42412408">
      <w:pPr>
        <w:pStyle w:val="260"/>
        <w:ind w:firstLine="420"/>
        <w:jc w:val="both"/>
        <w:rPr>
          <w:rFonts w:hint="default" w:ascii="Times New Roman" w:hAnsi="Times New Roman" w:cs="Times New Roman" w:eastAsiaTheme="minorEastAsia"/>
          <w:sz w:val="21"/>
        </w:rPr>
      </w:pPr>
      <w:r>
        <w:rPr>
          <w:rFonts w:hint="default" w:ascii="Times New Roman" w:hAnsi="Times New Roman" w:cs="Times New Roman" w:eastAsiaTheme="minorEastAsia"/>
          <w:sz w:val="21"/>
        </w:rPr>
        <w:t>21.2 本合同条款与法律、行政法规的强制性规定不一致的，双方当事人应按照法律、行政法规的强制性规定修改本合同的相关条款。</w:t>
      </w:r>
    </w:p>
    <w:p w14:paraId="660D6DF6">
      <w:pPr>
        <w:autoSpaceDE w:val="0"/>
        <w:autoSpaceDN w:val="0"/>
        <w:adjustRightInd w:val="0"/>
        <w:snapToGrid w:val="0"/>
        <w:spacing w:line="400" w:lineRule="exact"/>
        <w:jc w:val="left"/>
        <w:rPr>
          <w:rFonts w:hint="default" w:ascii="Times New Roman" w:hAnsi="Times New Roman" w:cs="Times New Roman" w:eastAsiaTheme="minorEastAsia"/>
          <w:b/>
          <w:color w:val="auto"/>
          <w:sz w:val="24"/>
          <w:lang w:eastAsia="zh-CN"/>
        </w:rPr>
      </w:pPr>
      <w:r>
        <w:rPr>
          <w:rFonts w:hint="default" w:ascii="Times New Roman" w:hAnsi="Times New Roman" w:cs="Times New Roman" w:eastAsiaTheme="minorEastAsia"/>
          <w:b/>
          <w:color w:val="auto"/>
          <w:sz w:val="24"/>
          <w:lang w:val="en-US" w:eastAsia="zh-CN"/>
        </w:rPr>
        <w:t xml:space="preserve">22. </w:t>
      </w:r>
      <w:r>
        <w:rPr>
          <w:rFonts w:hint="default" w:ascii="Times New Roman" w:hAnsi="Times New Roman" w:cs="Times New Roman" w:eastAsiaTheme="minorEastAsia"/>
          <w:b/>
          <w:color w:val="auto"/>
          <w:sz w:val="24"/>
          <w:lang w:eastAsia="zh-CN"/>
        </w:rPr>
        <w:t>通知</w:t>
      </w:r>
    </w:p>
    <w:p w14:paraId="3566C758">
      <w:pPr>
        <w:pStyle w:val="260"/>
        <w:ind w:firstLine="420"/>
        <w:jc w:val="both"/>
        <w:rPr>
          <w:rFonts w:hint="default" w:ascii="Times New Roman" w:hAnsi="Times New Roman" w:cs="Times New Roman" w:eastAsiaTheme="minorEastAsia"/>
          <w:sz w:val="21"/>
        </w:rPr>
      </w:pPr>
      <w:r>
        <w:rPr>
          <w:rFonts w:hint="default" w:ascii="Times New Roman" w:hAnsi="Times New Roman" w:cs="Times New Roman" w:eastAsiaTheme="minorEastAsia"/>
          <w:sz w:val="21"/>
        </w:rPr>
        <w:t>22.1 本合同任何一方向对方发出的通知、信件、数据电文等，应当发送至本合同第一部分《政府采购合同协议书》所约定的通讯地址、联系人、联系电话或电子邮箱。</w:t>
      </w:r>
    </w:p>
    <w:p w14:paraId="3C4B21B3">
      <w:pPr>
        <w:pStyle w:val="260"/>
        <w:ind w:firstLine="0" w:firstLineChars="0"/>
        <w:jc w:val="both"/>
        <w:rPr>
          <w:rFonts w:hint="default" w:ascii="Times New Roman" w:hAnsi="Times New Roman" w:cs="Times New Roman" w:eastAsiaTheme="minorEastAsia"/>
          <w:sz w:val="21"/>
        </w:rPr>
      </w:pPr>
      <w:r>
        <w:rPr>
          <w:rFonts w:hint="default" w:ascii="Times New Roman" w:hAnsi="Times New Roman" w:cs="Times New Roman" w:eastAsiaTheme="minorEastAsia"/>
          <w:sz w:val="21"/>
        </w:rPr>
        <w:t xml:space="preserve">    22.2 一方当事人变更名称、住所、联系人、联系电话或电子邮箱等信息的，应当在变更后3日内及时书面通知对方，对方实际收到变更通知前的送达仍为有效送达。</w:t>
      </w:r>
    </w:p>
    <w:p w14:paraId="36E74F2F">
      <w:pPr>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2</w:t>
      </w:r>
      <w:r>
        <w:rPr>
          <w:rFonts w:hint="default" w:ascii="Times New Roman" w:hAnsi="Times New Roman" w:cs="Times New Roman" w:eastAsiaTheme="minorEastAsia"/>
          <w:color w:val="auto"/>
          <w:lang w:val="en-US" w:eastAsia="zh-CN"/>
        </w:rPr>
        <w:t>2</w:t>
      </w: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3</w:t>
      </w:r>
      <w:r>
        <w:rPr>
          <w:rFonts w:hint="default" w:ascii="Times New Roman" w:hAnsi="Times New Roman" w:cs="Times New Roman" w:eastAsiaTheme="minorEastAsia"/>
          <w:color w:val="auto"/>
          <w:lang w:eastAsia="zh-CN"/>
        </w:rPr>
        <w:t>本合同一方给另一方的通知均应采用书面形式，传真或快递送到本合同中规定的对方的地址和办理签收手续。</w:t>
      </w:r>
    </w:p>
    <w:p w14:paraId="59099E8C">
      <w:pPr>
        <w:adjustRightInd w:val="0"/>
        <w:snapToGrid w:val="0"/>
        <w:spacing w:line="400" w:lineRule="exact"/>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2</w:t>
      </w:r>
      <w:r>
        <w:rPr>
          <w:rFonts w:hint="default" w:ascii="Times New Roman" w:hAnsi="Times New Roman" w:cs="Times New Roman" w:eastAsiaTheme="minorEastAsia"/>
          <w:color w:val="auto"/>
          <w:lang w:val="en-US" w:eastAsia="zh-CN"/>
        </w:rPr>
        <w:t>2</w:t>
      </w: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lang w:val="en-US" w:eastAsia="zh-CN"/>
        </w:rPr>
        <w:t>4</w:t>
      </w:r>
      <w:r>
        <w:rPr>
          <w:rFonts w:hint="default" w:ascii="Times New Roman" w:hAnsi="Times New Roman" w:cs="Times New Roman" w:eastAsiaTheme="minorEastAsia"/>
          <w:color w:val="auto"/>
          <w:lang w:eastAsia="zh-CN"/>
        </w:rPr>
        <w:t>通知以送达之日或通知书中规定的生效之日起生效，两者中以较迟之日为准。</w:t>
      </w:r>
    </w:p>
    <w:p w14:paraId="1738231D">
      <w:pPr>
        <w:numPr>
          <w:ilvl w:val="0"/>
          <w:numId w:val="19"/>
        </w:numPr>
        <w:adjustRightInd w:val="0"/>
        <w:snapToGrid w:val="0"/>
        <w:spacing w:line="400" w:lineRule="exact"/>
        <w:jc w:val="left"/>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rPr>
        <w:t>合同未尽事项</w:t>
      </w:r>
    </w:p>
    <w:p w14:paraId="09B8DCC2">
      <w:pPr>
        <w:adjustRightInd w:val="0"/>
        <w:snapToGrid w:val="0"/>
        <w:spacing w:line="400" w:lineRule="exact"/>
        <w:ind w:firstLine="420" w:firstLineChars="200"/>
        <w:jc w:val="left"/>
        <w:rPr>
          <w:rFonts w:hint="default" w:ascii="Times New Roman" w:hAnsi="Times New Roman" w:cs="Times New Roman" w:eastAsiaTheme="minorEastAsia"/>
          <w:bCs/>
          <w:color w:val="auto"/>
          <w:lang w:eastAsia="zh-CN"/>
        </w:rPr>
      </w:pPr>
      <w:r>
        <w:rPr>
          <w:rFonts w:hint="default" w:ascii="Times New Roman" w:hAnsi="Times New Roman" w:cs="Times New Roman" w:eastAsiaTheme="minorEastAsia"/>
          <w:bCs/>
          <w:color w:val="auto"/>
          <w:lang w:eastAsia="zh-CN"/>
        </w:rPr>
        <w:t>2</w:t>
      </w:r>
      <w:r>
        <w:rPr>
          <w:rFonts w:hint="default" w:ascii="Times New Roman" w:hAnsi="Times New Roman" w:cs="Times New Roman" w:eastAsiaTheme="minorEastAsia"/>
          <w:bCs/>
          <w:color w:val="auto"/>
          <w:lang w:val="en-US" w:eastAsia="zh-CN"/>
        </w:rPr>
        <w:t>3</w:t>
      </w:r>
      <w:r>
        <w:rPr>
          <w:rFonts w:hint="default" w:ascii="Times New Roman" w:hAnsi="Times New Roman" w:cs="Times New Roman" w:eastAsiaTheme="minorEastAsia"/>
          <w:bCs/>
          <w:color w:val="auto"/>
          <w:lang w:eastAsia="zh-CN"/>
        </w:rPr>
        <w:t>.1合同未尽事项见</w:t>
      </w:r>
      <w:r>
        <w:rPr>
          <w:rFonts w:hint="default" w:ascii="Times New Roman" w:hAnsi="Times New Roman" w:cs="Times New Roman" w:eastAsiaTheme="minorEastAsia"/>
          <w:b/>
          <w:color w:val="auto"/>
          <w:lang w:eastAsia="zh-CN"/>
        </w:rPr>
        <w:t>【政府采购合同专用条款】</w:t>
      </w:r>
      <w:r>
        <w:rPr>
          <w:rFonts w:hint="default" w:ascii="Times New Roman" w:hAnsi="Times New Roman" w:cs="Times New Roman" w:eastAsiaTheme="minorEastAsia"/>
          <w:bCs/>
          <w:color w:val="auto"/>
          <w:lang w:eastAsia="zh-CN"/>
        </w:rPr>
        <w:t>。</w:t>
      </w:r>
    </w:p>
    <w:p w14:paraId="46F767C7">
      <w:pPr>
        <w:adjustRightInd w:val="0"/>
        <w:snapToGrid w:val="0"/>
        <w:spacing w:line="400" w:lineRule="exact"/>
        <w:jc w:val="left"/>
        <w:rPr>
          <w:rFonts w:hint="default" w:ascii="Times New Roman" w:hAnsi="Times New Roman" w:cs="Times New Roman" w:eastAsiaTheme="minorEastAsia"/>
          <w:color w:val="auto"/>
          <w:sz w:val="28"/>
          <w:szCs w:val="28"/>
          <w:lang w:val="en-US"/>
        </w:rPr>
      </w:pPr>
      <w:r>
        <w:rPr>
          <w:rFonts w:hint="default" w:ascii="Times New Roman" w:hAnsi="Times New Roman" w:cs="Times New Roman" w:eastAsiaTheme="minorEastAsia"/>
          <w:bCs/>
          <w:color w:val="auto"/>
          <w:lang w:val="en-US" w:eastAsia="zh-CN"/>
        </w:rPr>
        <w:t xml:space="preserve">    23.2 合同附件与合同正文具有同等的法律效力。</w:t>
      </w:r>
      <w:bookmarkStart w:id="315" w:name="_Toc20313"/>
    </w:p>
    <w:p w14:paraId="384CC34A">
      <w:pPr>
        <w:adjustRightInd w:val="0"/>
        <w:snapToGrid w:val="0"/>
        <w:jc w:val="center"/>
        <w:rPr>
          <w:rFonts w:hint="default" w:ascii="Times New Roman" w:hAnsi="Times New Roman" w:eastAsia="黑体" w:cs="Times New Roman"/>
          <w:color w:val="auto"/>
          <w:sz w:val="28"/>
          <w:szCs w:val="28"/>
          <w:lang w:val="en-US"/>
        </w:rPr>
      </w:pPr>
      <w:r>
        <w:rPr>
          <w:rFonts w:hint="default" w:ascii="Times New Roman" w:hAnsi="Times New Roman" w:eastAsia="黑体" w:cs="Times New Roman"/>
          <w:color w:val="auto"/>
          <w:sz w:val="28"/>
          <w:szCs w:val="28"/>
          <w:lang w:val="en-US"/>
        </w:rPr>
        <w:br w:type="page"/>
      </w:r>
    </w:p>
    <w:p w14:paraId="2E3D05A6">
      <w:pPr>
        <w:pStyle w:val="3"/>
        <w:adjustRightInd w:val="0"/>
        <w:snapToGrid w:val="0"/>
        <w:jc w:val="center"/>
        <w:rPr>
          <w:rFonts w:hint="default" w:ascii="Times New Roman" w:hAnsi="Times New Roman" w:eastAsia="黑体" w:cs="Times New Roman"/>
          <w:b w:val="0"/>
          <w:bCs w:val="0"/>
          <w:color w:val="auto"/>
          <w:sz w:val="28"/>
          <w:szCs w:val="28"/>
          <w:lang w:eastAsia="zh-CN"/>
        </w:rPr>
      </w:pPr>
      <w:r>
        <w:rPr>
          <w:rFonts w:hint="default" w:ascii="Times New Roman" w:hAnsi="Times New Roman" w:eastAsia="黑体" w:cs="Times New Roman"/>
          <w:b w:val="0"/>
          <w:bCs w:val="0"/>
          <w:color w:val="auto"/>
          <w:sz w:val="28"/>
          <w:szCs w:val="28"/>
          <w:lang w:eastAsia="zh-CN"/>
        </w:rPr>
        <w:t>第三节 政府采购合同专用条款</w:t>
      </w:r>
      <w:bookmarkEnd w:id="315"/>
    </w:p>
    <w:tbl>
      <w:tblPr>
        <w:tblStyle w:val="52"/>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604BB7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A6EFC49">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7714F29E">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第1.2（</w:t>
            </w:r>
            <w:r>
              <w:rPr>
                <w:rFonts w:hint="default" w:ascii="Times New Roman" w:hAnsi="Times New Roman" w:cs="Times New Roman" w:eastAsiaTheme="minorEastAsia"/>
                <w:color w:val="auto"/>
                <w:lang w:val="en-US" w:eastAsia="zh-CN"/>
              </w:rPr>
              <w:t>6</w:t>
            </w:r>
            <w:r>
              <w:rPr>
                <w:rFonts w:hint="default" w:ascii="Times New Roman" w:hAnsi="Times New Roman" w:cs="Times New Roman" w:eastAsiaTheme="minorEastAsia"/>
                <w:color w:val="auto"/>
              </w:rPr>
              <w:t>）项</w:t>
            </w:r>
          </w:p>
        </w:tc>
        <w:tc>
          <w:tcPr>
            <w:tcW w:w="1742" w:type="dxa"/>
            <w:vAlign w:val="center"/>
          </w:tcPr>
          <w:p w14:paraId="6C2C98D2">
            <w:pPr>
              <w:adjustRightInd w:val="0"/>
              <w:snapToGrid w:val="0"/>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lang w:eastAsia="zh-CN"/>
              </w:rPr>
              <w:t>联合体具体要求</w:t>
            </w:r>
          </w:p>
        </w:tc>
        <w:tc>
          <w:tcPr>
            <w:tcW w:w="5170" w:type="dxa"/>
            <w:vAlign w:val="center"/>
          </w:tcPr>
          <w:p w14:paraId="2BA6959E">
            <w:pPr>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kern w:val="0"/>
                <w:lang w:val="en-US" w:eastAsia="zh-CN" w:bidi="ar"/>
              </w:rPr>
              <w:t xml:space="preserve">不接受联合体 </w:t>
            </w:r>
          </w:p>
        </w:tc>
      </w:tr>
      <w:tr w14:paraId="3ADCAF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49331D4F">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67479B6E">
            <w:pPr>
              <w:adjustRightInd w:val="0"/>
              <w:snapToGrid w:val="0"/>
              <w:jc w:val="center"/>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rPr>
              <w:t>第1.2（</w:t>
            </w:r>
            <w:r>
              <w:rPr>
                <w:rFonts w:hint="default" w:ascii="Times New Roman" w:hAnsi="Times New Roman" w:cs="Times New Roman" w:eastAsiaTheme="minorEastAsia"/>
                <w:color w:val="auto"/>
                <w:lang w:val="en-US" w:eastAsia="zh-CN"/>
              </w:rPr>
              <w:t>7</w:t>
            </w:r>
            <w:r>
              <w:rPr>
                <w:rFonts w:hint="default" w:ascii="Times New Roman" w:hAnsi="Times New Roman" w:cs="Times New Roman" w:eastAsiaTheme="minorEastAsia"/>
                <w:color w:val="auto"/>
              </w:rPr>
              <w:t>）项</w:t>
            </w:r>
          </w:p>
        </w:tc>
        <w:tc>
          <w:tcPr>
            <w:tcW w:w="1742" w:type="dxa"/>
            <w:vAlign w:val="center"/>
          </w:tcPr>
          <w:p w14:paraId="7067DA65">
            <w:pPr>
              <w:adjustRightInd w:val="0"/>
              <w:snapToGrid w:val="0"/>
              <w:jc w:val="left"/>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rPr>
              <w:t>其他术语解释</w:t>
            </w:r>
          </w:p>
        </w:tc>
        <w:tc>
          <w:tcPr>
            <w:tcW w:w="5170" w:type="dxa"/>
            <w:vAlign w:val="center"/>
          </w:tcPr>
          <w:p w14:paraId="1717C870">
            <w:pPr>
              <w:jc w:val="left"/>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kern w:val="0"/>
                <w:lang w:val="en-US" w:eastAsia="zh-CN" w:bidi="ar"/>
              </w:rPr>
              <w:t xml:space="preserve">无 </w:t>
            </w:r>
          </w:p>
        </w:tc>
      </w:tr>
      <w:tr w14:paraId="2BF01D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81467EE">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6298606E">
            <w:pPr>
              <w:adjustRightInd w:val="0"/>
              <w:snapToGrid w:val="0"/>
              <w:jc w:val="center"/>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eastAsia="zh-CN"/>
              </w:rPr>
              <w:t>第</w:t>
            </w:r>
            <w:r>
              <w:rPr>
                <w:rFonts w:hint="default" w:ascii="Times New Roman" w:hAnsi="Times New Roman" w:cs="Times New Roman" w:eastAsiaTheme="minorEastAsia"/>
                <w:color w:val="auto"/>
                <w:lang w:val="en-US" w:eastAsia="zh-CN"/>
              </w:rPr>
              <w:t>4.4款</w:t>
            </w:r>
          </w:p>
        </w:tc>
        <w:tc>
          <w:tcPr>
            <w:tcW w:w="1742" w:type="dxa"/>
            <w:vAlign w:val="center"/>
          </w:tcPr>
          <w:p w14:paraId="6FE1892D">
            <w:pPr>
              <w:adjustRightInd w:val="0"/>
              <w:snapToGrid w:val="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履约验收中甲方提出异议或作出说明的期限</w:t>
            </w:r>
          </w:p>
        </w:tc>
        <w:tc>
          <w:tcPr>
            <w:tcW w:w="5170" w:type="dxa"/>
            <w:vAlign w:val="center"/>
          </w:tcPr>
          <w:p w14:paraId="2AE6B496">
            <w:pPr>
              <w:adjustRightInd w:val="0"/>
              <w:snapToGrid w:val="0"/>
              <w:jc w:val="left"/>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10个工作日</w:t>
            </w:r>
          </w:p>
        </w:tc>
      </w:tr>
      <w:tr w14:paraId="28C6EC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5D05C91">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3875CD7D">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lang w:eastAsia="zh-CN"/>
              </w:rPr>
              <w:t>第</w:t>
            </w:r>
            <w:r>
              <w:rPr>
                <w:rFonts w:hint="default" w:ascii="Times New Roman" w:hAnsi="Times New Roman" w:cs="Times New Roman" w:eastAsiaTheme="minorEastAsia"/>
                <w:color w:val="auto"/>
                <w:lang w:val="en-US" w:eastAsia="zh-CN"/>
              </w:rPr>
              <w:t>4.6款</w:t>
            </w:r>
          </w:p>
        </w:tc>
        <w:tc>
          <w:tcPr>
            <w:tcW w:w="1742" w:type="dxa"/>
            <w:vAlign w:val="center"/>
          </w:tcPr>
          <w:p w14:paraId="301F5105">
            <w:pPr>
              <w:adjustRightInd w:val="0"/>
              <w:snapToGrid w:val="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约定甲方承担的其他义务和责任</w:t>
            </w:r>
          </w:p>
        </w:tc>
        <w:tc>
          <w:tcPr>
            <w:tcW w:w="5170" w:type="dxa"/>
            <w:vAlign w:val="center"/>
          </w:tcPr>
          <w:p w14:paraId="6535B0B5">
            <w:pPr>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kern w:val="0"/>
                <w:lang w:val="en-US" w:eastAsia="zh-CN" w:bidi="ar"/>
              </w:rPr>
              <w:t xml:space="preserve">无 </w:t>
            </w:r>
          </w:p>
          <w:p w14:paraId="47CD7262">
            <w:pPr>
              <w:adjustRightInd w:val="0"/>
              <w:snapToGrid w:val="0"/>
              <w:jc w:val="left"/>
              <w:rPr>
                <w:rFonts w:hint="default" w:ascii="Times New Roman" w:hAnsi="Times New Roman" w:cs="Times New Roman" w:eastAsiaTheme="minorEastAsia"/>
                <w:color w:val="auto"/>
                <w:lang w:val="en-US" w:eastAsia="zh-CN"/>
              </w:rPr>
            </w:pPr>
          </w:p>
        </w:tc>
      </w:tr>
      <w:tr w14:paraId="1AF9DC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47BA31C">
            <w:pPr>
              <w:adjustRightInd w:val="0"/>
              <w:snapToGrid w:val="0"/>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第二节</w:t>
            </w:r>
          </w:p>
          <w:p w14:paraId="1E17284D">
            <w:pPr>
              <w:snapToGrid w:val="0"/>
              <w:jc w:val="center"/>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eastAsia="zh-CN"/>
              </w:rPr>
              <w:t>第</w:t>
            </w:r>
            <w:r>
              <w:rPr>
                <w:rFonts w:hint="default" w:ascii="Times New Roman" w:hAnsi="Times New Roman" w:cs="Times New Roman" w:eastAsiaTheme="minorEastAsia"/>
                <w:color w:val="auto"/>
                <w:lang w:val="en-US" w:eastAsia="zh-CN"/>
              </w:rPr>
              <w:t>5.4款</w:t>
            </w:r>
          </w:p>
        </w:tc>
        <w:tc>
          <w:tcPr>
            <w:tcW w:w="1742" w:type="dxa"/>
            <w:vAlign w:val="center"/>
          </w:tcPr>
          <w:p w14:paraId="0F531DFA">
            <w:pPr>
              <w:adjustRightInd w:val="0"/>
              <w:snapToGrid w:val="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约定乙方承担的其他义务和责任</w:t>
            </w:r>
          </w:p>
        </w:tc>
        <w:tc>
          <w:tcPr>
            <w:tcW w:w="5170" w:type="dxa"/>
            <w:vAlign w:val="center"/>
          </w:tcPr>
          <w:p w14:paraId="0534C008">
            <w:pPr>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kern w:val="0"/>
                <w:lang w:val="en-US" w:eastAsia="zh-CN" w:bidi="ar"/>
              </w:rPr>
              <w:t xml:space="preserve">无 </w:t>
            </w:r>
          </w:p>
          <w:p w14:paraId="321D00B7">
            <w:pPr>
              <w:adjustRightInd w:val="0"/>
              <w:snapToGrid w:val="0"/>
              <w:jc w:val="left"/>
              <w:rPr>
                <w:rFonts w:hint="default" w:ascii="Times New Roman" w:hAnsi="Times New Roman" w:cs="Times New Roman" w:eastAsiaTheme="minorEastAsia"/>
                <w:color w:val="auto"/>
                <w:lang w:val="en-US" w:eastAsia="zh-CN"/>
              </w:rPr>
            </w:pPr>
          </w:p>
        </w:tc>
      </w:tr>
      <w:tr w14:paraId="7556F3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E569928">
            <w:pPr>
              <w:adjustRightInd w:val="0"/>
              <w:snapToGrid w:val="0"/>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第二节</w:t>
            </w:r>
          </w:p>
          <w:p w14:paraId="3ADD21E8">
            <w:pPr>
              <w:snapToGrid w:val="0"/>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第</w:t>
            </w:r>
            <w:r>
              <w:rPr>
                <w:rFonts w:hint="default" w:ascii="Times New Roman" w:hAnsi="Times New Roman" w:cs="Times New Roman" w:eastAsiaTheme="minorEastAsia"/>
                <w:color w:val="auto"/>
                <w:lang w:val="en-US" w:eastAsia="zh-CN"/>
              </w:rPr>
              <w:t>6.1款</w:t>
            </w:r>
          </w:p>
        </w:tc>
        <w:tc>
          <w:tcPr>
            <w:tcW w:w="1742" w:type="dxa"/>
            <w:vAlign w:val="center"/>
          </w:tcPr>
          <w:p w14:paraId="2CA1F326">
            <w:pPr>
              <w:adjustRightInd w:val="0"/>
              <w:snapToGrid w:val="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履行合同义务的顺序</w:t>
            </w:r>
          </w:p>
        </w:tc>
        <w:tc>
          <w:tcPr>
            <w:tcW w:w="5170" w:type="dxa"/>
            <w:vAlign w:val="center"/>
          </w:tcPr>
          <w:p w14:paraId="05B4E737">
            <w:pPr>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kern w:val="0"/>
                <w:lang w:val="en-US" w:eastAsia="zh-CN" w:bidi="ar"/>
              </w:rPr>
              <w:t xml:space="preserve">无 </w:t>
            </w:r>
          </w:p>
          <w:p w14:paraId="60CB42E9">
            <w:pPr>
              <w:adjustRightInd w:val="0"/>
              <w:snapToGrid w:val="0"/>
              <w:jc w:val="left"/>
              <w:rPr>
                <w:rFonts w:hint="default" w:ascii="Times New Roman" w:hAnsi="Times New Roman" w:cs="Times New Roman" w:eastAsiaTheme="minorEastAsia"/>
                <w:color w:val="auto"/>
                <w:lang w:val="en-US" w:eastAsia="zh-CN"/>
              </w:rPr>
            </w:pPr>
          </w:p>
        </w:tc>
      </w:tr>
      <w:tr w14:paraId="11802C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7B0FA6D2">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07DAF1E4">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w:t>
            </w:r>
            <w:r>
              <w:rPr>
                <w:rFonts w:hint="default" w:ascii="Times New Roman" w:hAnsi="Times New Roman" w:cs="Times New Roman" w:eastAsiaTheme="minorEastAsia"/>
                <w:color w:val="auto"/>
                <w:lang w:val="en-US" w:eastAsia="zh-CN"/>
              </w:rPr>
              <w:t>7</w:t>
            </w:r>
            <w:r>
              <w:rPr>
                <w:rFonts w:hint="default" w:ascii="Times New Roman" w:hAnsi="Times New Roman" w:cs="Times New Roman" w:eastAsiaTheme="minorEastAsia"/>
                <w:color w:val="auto"/>
              </w:rPr>
              <w:t>.1</w:t>
            </w:r>
            <w:r>
              <w:rPr>
                <w:rFonts w:hint="default" w:ascii="Times New Roman" w:hAnsi="Times New Roman" w:cs="Times New Roman" w:eastAsiaTheme="minorEastAsia"/>
                <w:color w:val="auto"/>
                <w:lang w:val="en-US" w:eastAsia="zh-CN"/>
              </w:rPr>
              <w:t>款</w:t>
            </w:r>
          </w:p>
        </w:tc>
        <w:tc>
          <w:tcPr>
            <w:tcW w:w="1742" w:type="dxa"/>
            <w:vAlign w:val="center"/>
          </w:tcPr>
          <w:p w14:paraId="1279C7AC">
            <w:pPr>
              <w:adjustRightInd w:val="0"/>
              <w:snapToGrid w:val="0"/>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包装</w:t>
            </w:r>
            <w:r>
              <w:rPr>
                <w:rFonts w:hint="default" w:ascii="Times New Roman" w:hAnsi="Times New Roman" w:cs="Times New Roman" w:eastAsiaTheme="minorEastAsia"/>
                <w:color w:val="auto"/>
                <w:lang w:eastAsia="zh-CN"/>
              </w:rPr>
              <w:t>特殊要求</w:t>
            </w:r>
          </w:p>
        </w:tc>
        <w:tc>
          <w:tcPr>
            <w:tcW w:w="5170" w:type="dxa"/>
            <w:vAlign w:val="center"/>
          </w:tcPr>
          <w:p w14:paraId="238C824F">
            <w:pPr>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kern w:val="0"/>
                <w:lang w:val="en-US" w:eastAsia="zh-CN" w:bidi="ar"/>
              </w:rPr>
              <w:t xml:space="preserve">无 </w:t>
            </w:r>
          </w:p>
          <w:p w14:paraId="0B968153">
            <w:pPr>
              <w:rPr>
                <w:rFonts w:hint="default" w:ascii="Times New Roman" w:hAnsi="Times New Roman" w:cs="Times New Roman" w:eastAsiaTheme="minorEastAsia"/>
                <w:color w:val="auto"/>
              </w:rPr>
            </w:pPr>
          </w:p>
        </w:tc>
      </w:tr>
      <w:tr w14:paraId="41C952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48FCA940">
            <w:pPr>
              <w:adjustRightInd w:val="0"/>
              <w:snapToGrid w:val="0"/>
              <w:jc w:val="center"/>
              <w:rPr>
                <w:rFonts w:hint="default" w:ascii="Times New Roman" w:hAnsi="Times New Roman" w:cs="Times New Roman" w:eastAsiaTheme="minorEastAsia"/>
                <w:color w:val="auto"/>
              </w:rPr>
            </w:pPr>
          </w:p>
        </w:tc>
        <w:tc>
          <w:tcPr>
            <w:tcW w:w="1742" w:type="dxa"/>
            <w:vAlign w:val="center"/>
          </w:tcPr>
          <w:p w14:paraId="50510C0E">
            <w:pPr>
              <w:adjustRightInd w:val="0"/>
              <w:snapToGrid w:val="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指定现场</w:t>
            </w:r>
          </w:p>
        </w:tc>
        <w:tc>
          <w:tcPr>
            <w:tcW w:w="5170" w:type="dxa"/>
            <w:vAlign w:val="center"/>
          </w:tcPr>
          <w:p w14:paraId="40258BC0">
            <w:pPr>
              <w:spacing w:line="360" w:lineRule="auto"/>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val="en" w:eastAsia="zh-CN"/>
              </w:rPr>
              <w:t>郑州铁路职业技术学院（河南省郑州市郑东新区通惠路298号）</w:t>
            </w:r>
          </w:p>
        </w:tc>
      </w:tr>
      <w:tr w14:paraId="7DCC5E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4020D9B5">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4990B2D9">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w:t>
            </w:r>
            <w:r>
              <w:rPr>
                <w:rFonts w:hint="default" w:ascii="Times New Roman" w:hAnsi="Times New Roman" w:cs="Times New Roman" w:eastAsiaTheme="minorEastAsia"/>
                <w:color w:val="auto"/>
                <w:lang w:val="en-US" w:eastAsia="zh-CN"/>
              </w:rPr>
              <w:t>7</w:t>
            </w:r>
            <w:r>
              <w:rPr>
                <w:rFonts w:hint="default" w:ascii="Times New Roman" w:hAnsi="Times New Roman" w:cs="Times New Roman" w:eastAsiaTheme="minorEastAsia"/>
                <w:color w:val="auto"/>
              </w:rPr>
              <w:t>.2</w:t>
            </w:r>
            <w:r>
              <w:rPr>
                <w:rFonts w:hint="default" w:ascii="Times New Roman" w:hAnsi="Times New Roman" w:cs="Times New Roman" w:eastAsiaTheme="minorEastAsia"/>
                <w:color w:val="auto"/>
                <w:lang w:val="en-US" w:eastAsia="zh-CN"/>
              </w:rPr>
              <w:t>款</w:t>
            </w:r>
          </w:p>
        </w:tc>
        <w:tc>
          <w:tcPr>
            <w:tcW w:w="1742" w:type="dxa"/>
            <w:vAlign w:val="center"/>
          </w:tcPr>
          <w:p w14:paraId="4C1F475C">
            <w:pPr>
              <w:adjustRightInd w:val="0"/>
              <w:snapToGrid w:val="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运输特殊要求</w:t>
            </w:r>
          </w:p>
        </w:tc>
        <w:tc>
          <w:tcPr>
            <w:tcW w:w="5170" w:type="dxa"/>
            <w:vAlign w:val="center"/>
          </w:tcPr>
          <w:p w14:paraId="4143402A">
            <w:pPr>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kern w:val="0"/>
                <w:lang w:val="en-US" w:eastAsia="zh-CN" w:bidi="ar"/>
              </w:rPr>
              <w:t xml:space="preserve">无 </w:t>
            </w:r>
          </w:p>
          <w:p w14:paraId="13F048A8">
            <w:pPr>
              <w:rPr>
                <w:rFonts w:hint="default" w:ascii="Times New Roman" w:hAnsi="Times New Roman" w:cs="Times New Roman" w:eastAsiaTheme="minorEastAsia"/>
                <w:color w:val="auto"/>
              </w:rPr>
            </w:pPr>
          </w:p>
        </w:tc>
      </w:tr>
      <w:tr w14:paraId="4C7FD0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4FFDE344">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4ED89157">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w:t>
            </w:r>
            <w:r>
              <w:rPr>
                <w:rFonts w:hint="default" w:ascii="Times New Roman" w:hAnsi="Times New Roman" w:cs="Times New Roman" w:eastAsiaTheme="minorEastAsia"/>
                <w:color w:val="auto"/>
                <w:lang w:val="en-US" w:eastAsia="zh-CN"/>
              </w:rPr>
              <w:t>7</w:t>
            </w:r>
            <w:r>
              <w:rPr>
                <w:rFonts w:hint="default" w:ascii="Times New Roman" w:hAnsi="Times New Roman" w:cs="Times New Roman" w:eastAsiaTheme="minorEastAsia"/>
                <w:color w:val="auto"/>
              </w:rPr>
              <w:t>.3</w:t>
            </w:r>
            <w:r>
              <w:rPr>
                <w:rFonts w:hint="default" w:ascii="Times New Roman" w:hAnsi="Times New Roman" w:cs="Times New Roman" w:eastAsiaTheme="minorEastAsia"/>
                <w:color w:val="auto"/>
                <w:lang w:val="en-US" w:eastAsia="zh-CN"/>
              </w:rPr>
              <w:t>款</w:t>
            </w:r>
          </w:p>
        </w:tc>
        <w:tc>
          <w:tcPr>
            <w:tcW w:w="1742" w:type="dxa"/>
            <w:vAlign w:val="center"/>
          </w:tcPr>
          <w:p w14:paraId="444A65DC">
            <w:pPr>
              <w:adjustRightInd w:val="0"/>
              <w:snapToGrid w:val="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保险要求</w:t>
            </w:r>
          </w:p>
        </w:tc>
        <w:tc>
          <w:tcPr>
            <w:tcW w:w="5170" w:type="dxa"/>
            <w:vAlign w:val="center"/>
          </w:tcPr>
          <w:p w14:paraId="31C10E5E">
            <w:pPr>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kern w:val="0"/>
                <w:lang w:val="en-US" w:eastAsia="zh-CN" w:bidi="ar"/>
              </w:rPr>
              <w:t xml:space="preserve">无 </w:t>
            </w:r>
          </w:p>
          <w:p w14:paraId="6EBBEBB5">
            <w:pPr>
              <w:rPr>
                <w:rFonts w:hint="default" w:ascii="Times New Roman" w:hAnsi="Times New Roman" w:cs="Times New Roman" w:eastAsiaTheme="minorEastAsia"/>
                <w:color w:val="auto"/>
              </w:rPr>
            </w:pPr>
          </w:p>
        </w:tc>
      </w:tr>
      <w:tr w14:paraId="1E6220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0CE3136">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46229683">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w:t>
            </w:r>
            <w:r>
              <w:rPr>
                <w:rFonts w:hint="default" w:ascii="Times New Roman" w:hAnsi="Times New Roman" w:cs="Times New Roman" w:eastAsiaTheme="minorEastAsia"/>
                <w:color w:val="auto"/>
                <w:lang w:val="en-US" w:eastAsia="zh-CN"/>
              </w:rPr>
              <w:t>8</w:t>
            </w:r>
            <w:r>
              <w:rPr>
                <w:rFonts w:hint="default" w:ascii="Times New Roman" w:hAnsi="Times New Roman" w:cs="Times New Roman" w:eastAsiaTheme="minorEastAsia"/>
                <w:color w:val="auto"/>
              </w:rPr>
              <w:t>.2（1）项</w:t>
            </w:r>
          </w:p>
        </w:tc>
        <w:tc>
          <w:tcPr>
            <w:tcW w:w="1742" w:type="dxa"/>
            <w:vAlign w:val="center"/>
          </w:tcPr>
          <w:p w14:paraId="024E489A">
            <w:pPr>
              <w:adjustRightInd w:val="0"/>
              <w:snapToGrid w:val="0"/>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质量保证期</w:t>
            </w:r>
          </w:p>
        </w:tc>
        <w:tc>
          <w:tcPr>
            <w:tcW w:w="5170" w:type="dxa"/>
            <w:vAlign w:val="center"/>
          </w:tcPr>
          <w:p w14:paraId="5F2C8DA0">
            <w:pPr>
              <w:pStyle w:val="24"/>
              <w:rPr>
                <w:rFonts w:hint="default" w:ascii="Times New Roman" w:hAnsi="Times New Roman" w:cs="Times New Roman"/>
              </w:rPr>
            </w:pPr>
            <w:r>
              <w:rPr>
                <w:rFonts w:hint="default" w:ascii="Times New Roman" w:hAnsi="Times New Roman" w:cs="Times New Roman"/>
              </w:rPr>
              <w:t>质量保证期：</w:t>
            </w:r>
            <w:r>
              <w:rPr>
                <w:rFonts w:hint="default" w:ascii="Times New Roman" w:hAnsi="Times New Roman" w:cs="Times New Roman"/>
                <w:lang w:val="en-US" w:eastAsia="zh-CN"/>
              </w:rPr>
              <w:t>3</w:t>
            </w:r>
            <w:r>
              <w:rPr>
                <w:rFonts w:hint="default" w:ascii="Times New Roman" w:hAnsi="Times New Roman" w:cs="Times New Roman"/>
              </w:rPr>
              <w:t>年，从验收合格之日起开始计算。非人为或不抗力因素，导致产品损坏，供应商须免费上门维修（第一年只换不修）</w:t>
            </w:r>
          </w:p>
        </w:tc>
      </w:tr>
      <w:tr w14:paraId="5BE2AC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F351CAD">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7577134C">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w:t>
            </w:r>
            <w:r>
              <w:rPr>
                <w:rFonts w:hint="default" w:ascii="Times New Roman" w:hAnsi="Times New Roman" w:cs="Times New Roman" w:eastAsiaTheme="minorEastAsia"/>
                <w:color w:val="auto"/>
                <w:lang w:val="en-US" w:eastAsia="zh-CN"/>
              </w:rPr>
              <w:t>8</w:t>
            </w:r>
            <w:r>
              <w:rPr>
                <w:rFonts w:hint="default" w:ascii="Times New Roman" w:hAnsi="Times New Roman" w:cs="Times New Roman" w:eastAsiaTheme="minorEastAsia"/>
                <w:color w:val="auto"/>
              </w:rPr>
              <w:t>.2（3）项</w:t>
            </w:r>
          </w:p>
        </w:tc>
        <w:tc>
          <w:tcPr>
            <w:tcW w:w="1742" w:type="dxa"/>
            <w:vAlign w:val="center"/>
          </w:tcPr>
          <w:p w14:paraId="190C3BBC">
            <w:pPr>
              <w:adjustRightInd w:val="0"/>
              <w:snapToGrid w:val="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货物质量缺陷</w:t>
            </w:r>
          </w:p>
          <w:p w14:paraId="644E38EE">
            <w:pPr>
              <w:adjustRightInd w:val="0"/>
              <w:snapToGrid w:val="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响应时间</w:t>
            </w:r>
          </w:p>
        </w:tc>
        <w:tc>
          <w:tcPr>
            <w:tcW w:w="5170" w:type="dxa"/>
            <w:vAlign w:val="center"/>
          </w:tcPr>
          <w:p w14:paraId="3453EF96">
            <w:pPr>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对所反映的任何问题在2小时之内得到及时响应，在远程不能解决问题的情况下，应确保24小时之内赶到现场以求实地解决问题；</w:t>
            </w:r>
          </w:p>
        </w:tc>
      </w:tr>
      <w:tr w14:paraId="558B6C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7974DB9">
            <w:pPr>
              <w:snapToGrid w:val="0"/>
              <w:jc w:val="center"/>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第二节</w:t>
            </w:r>
          </w:p>
          <w:p w14:paraId="20DB74EC">
            <w:pPr>
              <w:pStyle w:val="260"/>
              <w:ind w:firstLine="0" w:firstLineChars="0"/>
              <w:jc w:val="center"/>
              <w:rPr>
                <w:rFonts w:hint="default" w:ascii="Times New Roman" w:hAnsi="Times New Roman" w:cs="Times New Roman" w:eastAsiaTheme="minorEastAsia"/>
              </w:rPr>
            </w:pPr>
            <w:r>
              <w:rPr>
                <w:rFonts w:hint="default" w:ascii="Times New Roman" w:hAnsi="Times New Roman" w:cs="Times New Roman" w:eastAsiaTheme="minorEastAsia"/>
              </w:rPr>
              <w:t>第11.1款</w:t>
            </w:r>
          </w:p>
        </w:tc>
        <w:tc>
          <w:tcPr>
            <w:tcW w:w="1742" w:type="dxa"/>
            <w:vAlign w:val="center"/>
          </w:tcPr>
          <w:p w14:paraId="2E36CA44">
            <w:pPr>
              <w:adjustRightInd w:val="0"/>
              <w:snapToGrid w:val="0"/>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其他应当保密的信息</w:t>
            </w:r>
          </w:p>
        </w:tc>
        <w:tc>
          <w:tcPr>
            <w:tcW w:w="5170" w:type="dxa"/>
            <w:vAlign w:val="center"/>
          </w:tcPr>
          <w:p w14:paraId="6E546CF9">
            <w:pPr>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kern w:val="0"/>
                <w:lang w:val="en-US" w:eastAsia="zh-CN" w:bidi="ar"/>
              </w:rPr>
              <w:t xml:space="preserve">无 </w:t>
            </w:r>
          </w:p>
        </w:tc>
      </w:tr>
      <w:tr w14:paraId="5C9ED6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65B4B985">
            <w:pPr>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第二节</w:t>
            </w:r>
          </w:p>
          <w:p w14:paraId="46061C6E">
            <w:pPr>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第12.2款</w:t>
            </w:r>
          </w:p>
        </w:tc>
        <w:tc>
          <w:tcPr>
            <w:tcW w:w="1742" w:type="dxa"/>
            <w:vAlign w:val="center"/>
          </w:tcPr>
          <w:p w14:paraId="7F54C5FF">
            <w:pPr>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合同价款支付时间</w:t>
            </w:r>
          </w:p>
        </w:tc>
        <w:tc>
          <w:tcPr>
            <w:tcW w:w="5170" w:type="dxa"/>
            <w:vAlign w:val="center"/>
          </w:tcPr>
          <w:p w14:paraId="699D2131">
            <w:pPr>
              <w:snapToGrid w:val="0"/>
              <w:rPr>
                <w:rFonts w:hint="default" w:ascii="Times New Roman" w:hAnsi="Times New Roman" w:cs="Times New Roman" w:eastAsiaTheme="minorEastAsia"/>
                <w:color w:val="auto"/>
                <w:lang w:val="en-US" w:eastAsia="zh-CN"/>
              </w:rPr>
            </w:pPr>
            <w:r>
              <w:rPr>
                <w:rFonts w:hint="eastAsia" w:ascii="Times New Roman" w:hAnsi="Times New Roman" w:cs="Times New Roman" w:eastAsiaTheme="minorEastAsia"/>
                <w:color w:val="auto"/>
                <w:u w:val="none"/>
                <w:lang w:val="en-US" w:eastAsia="zh-CN"/>
              </w:rPr>
              <w:t>(1)</w:t>
            </w:r>
            <w:r>
              <w:rPr>
                <w:rFonts w:hint="default" w:ascii="Times New Roman" w:hAnsi="Times New Roman" w:cs="Times New Roman" w:eastAsiaTheme="minorEastAsia"/>
                <w:color w:val="auto"/>
                <w:u w:val="none"/>
                <w:lang w:eastAsia="zh-CN"/>
              </w:rPr>
              <w:t>合同生效后，甲方在15个工作日内向乙方支付合同总金额的30%作为预付款。（2）</w:t>
            </w:r>
            <w:r>
              <w:rPr>
                <w:rFonts w:hint="default" w:ascii="Times New Roman" w:hAnsi="Times New Roman" w:cs="Times New Roman" w:eastAsiaTheme="minorEastAsia"/>
                <w:color w:val="auto"/>
                <w:u w:val="none"/>
                <w:lang w:val="en-US" w:eastAsia="zh-CN"/>
              </w:rPr>
              <w:t>货物到货验收完毕支付合同总价款的40%，项目建设完成验收合格后，10个工作日内支付剩余总价款的30%。</w:t>
            </w:r>
          </w:p>
        </w:tc>
      </w:tr>
      <w:tr w14:paraId="227336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6CD8BF49">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102AAD96">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w:t>
            </w:r>
            <w:r>
              <w:rPr>
                <w:rFonts w:hint="default" w:ascii="Times New Roman" w:hAnsi="Times New Roman" w:cs="Times New Roman" w:eastAsiaTheme="minorEastAsia"/>
                <w:color w:val="auto"/>
                <w:lang w:val="en-US" w:eastAsia="zh-CN"/>
              </w:rPr>
              <w:t>13.2</w:t>
            </w:r>
            <w:r>
              <w:rPr>
                <w:rFonts w:hint="default" w:ascii="Times New Roman" w:hAnsi="Times New Roman" w:cs="Times New Roman" w:eastAsiaTheme="minorEastAsia"/>
                <w:color w:val="auto"/>
              </w:rPr>
              <w:t>款</w:t>
            </w:r>
          </w:p>
        </w:tc>
        <w:tc>
          <w:tcPr>
            <w:tcW w:w="1742" w:type="dxa"/>
            <w:vAlign w:val="center"/>
          </w:tcPr>
          <w:p w14:paraId="16A79546">
            <w:pPr>
              <w:adjustRightInd w:val="0"/>
              <w:snapToGrid w:val="0"/>
              <w:jc w:val="left"/>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履约保证金不予退还的情形</w:t>
            </w:r>
          </w:p>
        </w:tc>
        <w:tc>
          <w:tcPr>
            <w:tcW w:w="5170" w:type="dxa"/>
            <w:vAlign w:val="center"/>
          </w:tcPr>
          <w:p w14:paraId="452CDD5E">
            <w:pPr>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kern w:val="0"/>
                <w:lang w:val="en-US" w:eastAsia="zh-CN" w:bidi="ar"/>
              </w:rPr>
              <w:t xml:space="preserve">无 </w:t>
            </w:r>
          </w:p>
        </w:tc>
      </w:tr>
      <w:tr w14:paraId="131315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8DC0C61">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34CB10BA">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w:t>
            </w:r>
            <w:r>
              <w:rPr>
                <w:rFonts w:hint="default" w:ascii="Times New Roman" w:hAnsi="Times New Roman" w:cs="Times New Roman" w:eastAsiaTheme="minorEastAsia"/>
                <w:color w:val="auto"/>
                <w:lang w:val="en-US" w:eastAsia="zh-CN"/>
              </w:rPr>
              <w:t>13.3</w:t>
            </w:r>
            <w:r>
              <w:rPr>
                <w:rFonts w:hint="default" w:ascii="Times New Roman" w:hAnsi="Times New Roman" w:cs="Times New Roman" w:eastAsiaTheme="minorEastAsia"/>
                <w:color w:val="auto"/>
              </w:rPr>
              <w:t>款</w:t>
            </w:r>
          </w:p>
        </w:tc>
        <w:tc>
          <w:tcPr>
            <w:tcW w:w="1742" w:type="dxa"/>
            <w:vAlign w:val="center"/>
          </w:tcPr>
          <w:p w14:paraId="21C43419">
            <w:pPr>
              <w:adjustRightInd w:val="0"/>
              <w:snapToGrid w:val="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履约保证金退还时间及逾期退还的违约金</w:t>
            </w:r>
          </w:p>
        </w:tc>
        <w:tc>
          <w:tcPr>
            <w:tcW w:w="5170" w:type="dxa"/>
            <w:vAlign w:val="center"/>
          </w:tcPr>
          <w:p w14:paraId="2F9468FC">
            <w:pPr>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kern w:val="0"/>
                <w:lang w:val="en-US" w:eastAsia="zh-CN" w:bidi="ar"/>
              </w:rPr>
              <w:t xml:space="preserve">无 </w:t>
            </w:r>
          </w:p>
        </w:tc>
      </w:tr>
      <w:tr w14:paraId="79A74B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1530054B">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451864B7">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第1</w:t>
            </w:r>
            <w:r>
              <w:rPr>
                <w:rFonts w:hint="default" w:ascii="Times New Roman" w:hAnsi="Times New Roman" w:cs="Times New Roman" w:eastAsiaTheme="minorEastAsia"/>
                <w:color w:val="auto"/>
                <w:lang w:val="en-US" w:eastAsia="zh-CN"/>
              </w:rPr>
              <w:t>4</w:t>
            </w:r>
            <w:r>
              <w:rPr>
                <w:rFonts w:hint="default" w:ascii="Times New Roman" w:hAnsi="Times New Roman" w:cs="Times New Roman" w:eastAsiaTheme="minorEastAsia"/>
                <w:color w:val="auto"/>
              </w:rPr>
              <w:t>.1（</w:t>
            </w:r>
            <w:r>
              <w:rPr>
                <w:rFonts w:hint="default" w:ascii="Times New Roman" w:hAnsi="Times New Roman" w:cs="Times New Roman" w:eastAsiaTheme="minorEastAsia"/>
                <w:color w:val="auto"/>
                <w:lang w:val="en-US" w:eastAsia="zh-CN"/>
              </w:rPr>
              <w:t>3</w:t>
            </w:r>
            <w:r>
              <w:rPr>
                <w:rFonts w:hint="default" w:ascii="Times New Roman" w:hAnsi="Times New Roman" w:cs="Times New Roman" w:eastAsiaTheme="minorEastAsia"/>
                <w:color w:val="auto"/>
              </w:rPr>
              <w:t>）项</w:t>
            </w:r>
          </w:p>
        </w:tc>
        <w:tc>
          <w:tcPr>
            <w:tcW w:w="1742" w:type="dxa"/>
            <w:vAlign w:val="center"/>
          </w:tcPr>
          <w:p w14:paraId="048D3065">
            <w:pPr>
              <w:adjustRightInd w:val="0"/>
              <w:snapToGrid w:val="0"/>
              <w:jc w:val="left"/>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运行监督、维修期限</w:t>
            </w:r>
          </w:p>
        </w:tc>
        <w:tc>
          <w:tcPr>
            <w:tcW w:w="5170" w:type="dxa"/>
            <w:vAlign w:val="center"/>
          </w:tcPr>
          <w:p w14:paraId="3CD255DE">
            <w:pPr>
              <w:adjustRightInd w:val="0"/>
              <w:snapToGrid w:val="0"/>
              <w:jc w:val="left"/>
              <w:rPr>
                <w:rFonts w:hint="default" w:ascii="Times New Roman" w:hAnsi="Times New Roman" w:cs="Times New Roman"/>
                <w:color w:val="auto"/>
                <w:lang w:eastAsia="zh-CN"/>
              </w:rPr>
            </w:pPr>
            <w:r>
              <w:rPr>
                <w:rFonts w:hint="default" w:ascii="Times New Roman" w:hAnsi="Times New Roman" w:cs="Times New Roman" w:eastAsiaTheme="minorEastAsia"/>
                <w:color w:val="auto"/>
                <w:lang w:val="en-US" w:eastAsia="zh-CN"/>
              </w:rPr>
              <w:t>无</w:t>
            </w:r>
          </w:p>
        </w:tc>
      </w:tr>
      <w:tr w14:paraId="1E1763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3F694221">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7C40E86F">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第1</w:t>
            </w:r>
            <w:r>
              <w:rPr>
                <w:rFonts w:hint="default" w:ascii="Times New Roman" w:hAnsi="Times New Roman" w:cs="Times New Roman" w:eastAsiaTheme="minorEastAsia"/>
                <w:color w:val="auto"/>
                <w:lang w:val="en-US" w:eastAsia="zh-CN"/>
              </w:rPr>
              <w:t>4</w:t>
            </w:r>
            <w:r>
              <w:rPr>
                <w:rFonts w:hint="default" w:ascii="Times New Roman" w:hAnsi="Times New Roman" w:cs="Times New Roman" w:eastAsiaTheme="minorEastAsia"/>
                <w:color w:val="auto"/>
              </w:rPr>
              <w:t>.1（</w:t>
            </w:r>
            <w:r>
              <w:rPr>
                <w:rFonts w:hint="default" w:ascii="Times New Roman" w:hAnsi="Times New Roman" w:cs="Times New Roman" w:eastAsiaTheme="minorEastAsia"/>
                <w:color w:val="auto"/>
                <w:lang w:val="en-US" w:eastAsia="zh-CN"/>
              </w:rPr>
              <w:t>5</w:t>
            </w:r>
            <w:r>
              <w:rPr>
                <w:rFonts w:hint="default" w:ascii="Times New Roman" w:hAnsi="Times New Roman" w:cs="Times New Roman" w:eastAsiaTheme="minorEastAsia"/>
                <w:color w:val="auto"/>
              </w:rPr>
              <w:t>）项</w:t>
            </w:r>
          </w:p>
        </w:tc>
        <w:tc>
          <w:tcPr>
            <w:tcW w:w="1742" w:type="dxa"/>
            <w:vAlign w:val="center"/>
          </w:tcPr>
          <w:p w14:paraId="3AFCEB34">
            <w:pPr>
              <w:adjustRightInd w:val="0"/>
              <w:snapToGrid w:val="0"/>
              <w:jc w:val="left"/>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货物回收的约定</w:t>
            </w:r>
          </w:p>
        </w:tc>
        <w:tc>
          <w:tcPr>
            <w:tcW w:w="5170" w:type="dxa"/>
            <w:vAlign w:val="center"/>
          </w:tcPr>
          <w:p w14:paraId="2AAAD83C">
            <w:pPr>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kern w:val="0"/>
                <w:lang w:val="en-US" w:eastAsia="zh-CN" w:bidi="ar"/>
              </w:rPr>
              <w:t xml:space="preserve">无 </w:t>
            </w:r>
          </w:p>
        </w:tc>
      </w:tr>
      <w:tr w14:paraId="7F7B33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BE9B407">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2A83BEED">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第1</w:t>
            </w:r>
            <w:r>
              <w:rPr>
                <w:rFonts w:hint="default" w:ascii="Times New Roman" w:hAnsi="Times New Roman" w:cs="Times New Roman" w:eastAsiaTheme="minorEastAsia"/>
                <w:color w:val="auto"/>
                <w:lang w:val="en-US" w:eastAsia="zh-CN"/>
              </w:rPr>
              <w:t>4</w:t>
            </w:r>
            <w:r>
              <w:rPr>
                <w:rFonts w:hint="default" w:ascii="Times New Roman" w:hAnsi="Times New Roman" w:cs="Times New Roman" w:eastAsiaTheme="minorEastAsia"/>
                <w:color w:val="auto"/>
              </w:rPr>
              <w:t>.1（</w:t>
            </w:r>
            <w:r>
              <w:rPr>
                <w:rFonts w:hint="default" w:ascii="Times New Roman" w:hAnsi="Times New Roman" w:cs="Times New Roman" w:eastAsiaTheme="minorEastAsia"/>
                <w:color w:val="auto"/>
                <w:lang w:val="en-US" w:eastAsia="zh-CN"/>
              </w:rPr>
              <w:t>6</w:t>
            </w:r>
            <w:r>
              <w:rPr>
                <w:rFonts w:hint="default" w:ascii="Times New Roman" w:hAnsi="Times New Roman" w:cs="Times New Roman" w:eastAsiaTheme="minorEastAsia"/>
                <w:color w:val="auto"/>
              </w:rPr>
              <w:t>）项</w:t>
            </w:r>
          </w:p>
        </w:tc>
        <w:tc>
          <w:tcPr>
            <w:tcW w:w="1742" w:type="dxa"/>
            <w:vAlign w:val="center"/>
          </w:tcPr>
          <w:p w14:paraId="247D00E3">
            <w:pPr>
              <w:adjustRightInd w:val="0"/>
              <w:snapToGrid w:val="0"/>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乙方提供的其他服务</w:t>
            </w:r>
          </w:p>
        </w:tc>
        <w:tc>
          <w:tcPr>
            <w:tcW w:w="5170" w:type="dxa"/>
            <w:vAlign w:val="center"/>
          </w:tcPr>
          <w:p w14:paraId="705B6575">
            <w:pPr>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kern w:val="0"/>
                <w:lang w:val="en-US" w:eastAsia="zh-CN" w:bidi="ar"/>
              </w:rPr>
              <w:t xml:space="preserve">无 </w:t>
            </w:r>
          </w:p>
        </w:tc>
      </w:tr>
      <w:tr w14:paraId="1079F9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8B51DA7">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2B8023A7">
            <w:pPr>
              <w:adjustRightInd w:val="0"/>
              <w:snapToGrid w:val="0"/>
              <w:jc w:val="center"/>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rPr>
              <w:t>第1</w:t>
            </w:r>
            <w:r>
              <w:rPr>
                <w:rFonts w:hint="default" w:ascii="Times New Roman" w:hAnsi="Times New Roman" w:cs="Times New Roman" w:eastAsiaTheme="minorEastAsia"/>
                <w:color w:val="auto"/>
                <w:lang w:val="en-US" w:eastAsia="zh-CN"/>
              </w:rPr>
              <w:t>5</w:t>
            </w:r>
            <w:r>
              <w:rPr>
                <w:rFonts w:hint="default" w:ascii="Times New Roman" w:hAnsi="Times New Roman" w:cs="Times New Roman" w:eastAsiaTheme="minorEastAsia"/>
                <w:color w:val="auto"/>
              </w:rPr>
              <w:t>.</w:t>
            </w:r>
            <w:r>
              <w:rPr>
                <w:rFonts w:hint="default" w:ascii="Times New Roman" w:hAnsi="Times New Roman" w:cs="Times New Roman" w:eastAsiaTheme="minorEastAsia"/>
                <w:color w:val="auto"/>
                <w:lang w:val="en-US" w:eastAsia="zh-CN"/>
              </w:rPr>
              <w:t>1款</w:t>
            </w:r>
          </w:p>
        </w:tc>
        <w:tc>
          <w:tcPr>
            <w:tcW w:w="1742" w:type="dxa"/>
            <w:vAlign w:val="center"/>
          </w:tcPr>
          <w:p w14:paraId="440B0B87">
            <w:pPr>
              <w:adjustRightInd w:val="0"/>
              <w:snapToGrid w:val="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修理、重作、更换相关具体规定</w:t>
            </w:r>
          </w:p>
        </w:tc>
        <w:tc>
          <w:tcPr>
            <w:tcW w:w="5170" w:type="dxa"/>
            <w:vAlign w:val="center"/>
          </w:tcPr>
          <w:p w14:paraId="7C68B0D8">
            <w:pPr>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kern w:val="0"/>
                <w:lang w:val="en-US" w:eastAsia="zh-CN" w:bidi="ar"/>
              </w:rPr>
              <w:t xml:space="preserve">无 </w:t>
            </w:r>
          </w:p>
        </w:tc>
      </w:tr>
      <w:tr w14:paraId="66FF22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6EBD708">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2F9AF2E7">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第1</w:t>
            </w:r>
            <w:r>
              <w:rPr>
                <w:rFonts w:hint="default" w:ascii="Times New Roman" w:hAnsi="Times New Roman" w:cs="Times New Roman" w:eastAsiaTheme="minorEastAsia"/>
                <w:color w:val="auto"/>
                <w:lang w:val="en-US" w:eastAsia="zh-CN"/>
              </w:rPr>
              <w:t>5</w:t>
            </w:r>
            <w:r>
              <w:rPr>
                <w:rFonts w:hint="default" w:ascii="Times New Roman" w:hAnsi="Times New Roman" w:cs="Times New Roman" w:eastAsiaTheme="minorEastAsia"/>
                <w:color w:val="auto"/>
              </w:rPr>
              <w:t>.2（2）项</w:t>
            </w:r>
          </w:p>
        </w:tc>
        <w:tc>
          <w:tcPr>
            <w:tcW w:w="1742" w:type="dxa"/>
            <w:vAlign w:val="center"/>
          </w:tcPr>
          <w:p w14:paraId="6D008453">
            <w:pPr>
              <w:adjustRightInd w:val="0"/>
              <w:snapToGrid w:val="0"/>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迟延交货赔偿费</w:t>
            </w:r>
          </w:p>
        </w:tc>
        <w:tc>
          <w:tcPr>
            <w:tcW w:w="5170" w:type="dxa"/>
            <w:vAlign w:val="center"/>
          </w:tcPr>
          <w:p w14:paraId="63B9EBFD">
            <w:pPr>
              <w:jc w:val="left"/>
              <w:rPr>
                <w:rFonts w:hint="default" w:ascii="Times New Roman" w:hAnsi="Times New Roman" w:cs="Times New Roman" w:eastAsiaTheme="minorEastAsia"/>
                <w:color w:val="auto"/>
                <w:u w:val="single"/>
                <w:lang w:eastAsia="zh-CN"/>
              </w:rPr>
            </w:pPr>
            <w:r>
              <w:rPr>
                <w:rFonts w:hint="default" w:ascii="Times New Roman" w:hAnsi="Times New Roman" w:cs="Times New Roman" w:eastAsiaTheme="minorEastAsia"/>
                <w:color w:val="auto"/>
                <w:kern w:val="0"/>
                <w:lang w:val="en-US" w:eastAsia="zh-CN" w:bidi="ar"/>
              </w:rPr>
              <w:t xml:space="preserve">无 </w:t>
            </w:r>
          </w:p>
        </w:tc>
      </w:tr>
      <w:tr w14:paraId="3A157E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9C4B287">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61C95662">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第1</w:t>
            </w:r>
            <w:r>
              <w:rPr>
                <w:rFonts w:hint="default" w:ascii="Times New Roman" w:hAnsi="Times New Roman" w:cs="Times New Roman" w:eastAsiaTheme="minorEastAsia"/>
                <w:color w:val="auto"/>
                <w:lang w:val="en-US" w:eastAsia="zh-CN"/>
              </w:rPr>
              <w:t>5</w:t>
            </w:r>
            <w:r>
              <w:rPr>
                <w:rFonts w:hint="default" w:ascii="Times New Roman" w:hAnsi="Times New Roman" w:cs="Times New Roman" w:eastAsiaTheme="minorEastAsia"/>
                <w:color w:val="auto"/>
              </w:rPr>
              <w:t>.</w:t>
            </w:r>
            <w:r>
              <w:rPr>
                <w:rFonts w:hint="default" w:ascii="Times New Roman" w:hAnsi="Times New Roman" w:cs="Times New Roman" w:eastAsiaTheme="minorEastAsia"/>
                <w:color w:val="auto"/>
                <w:lang w:val="en-US" w:eastAsia="zh-CN"/>
              </w:rPr>
              <w:t>3款</w:t>
            </w:r>
          </w:p>
        </w:tc>
        <w:tc>
          <w:tcPr>
            <w:tcW w:w="1742" w:type="dxa"/>
            <w:vAlign w:val="center"/>
          </w:tcPr>
          <w:p w14:paraId="7F6CAAB4">
            <w:pPr>
              <w:adjustRightInd w:val="0"/>
              <w:snapToGrid w:val="0"/>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逾期付款利息</w:t>
            </w:r>
          </w:p>
        </w:tc>
        <w:tc>
          <w:tcPr>
            <w:tcW w:w="5170" w:type="dxa"/>
            <w:vAlign w:val="center"/>
          </w:tcPr>
          <w:p w14:paraId="511F1978">
            <w:pPr>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kern w:val="0"/>
                <w:lang w:val="en-US" w:eastAsia="zh-CN" w:bidi="ar"/>
              </w:rPr>
              <w:t xml:space="preserve">无 </w:t>
            </w:r>
          </w:p>
        </w:tc>
      </w:tr>
      <w:tr w14:paraId="0513BC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63218A5B">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04CB8100">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第1</w:t>
            </w:r>
            <w:r>
              <w:rPr>
                <w:rFonts w:hint="default" w:ascii="Times New Roman" w:hAnsi="Times New Roman" w:cs="Times New Roman" w:eastAsiaTheme="minorEastAsia"/>
                <w:color w:val="auto"/>
                <w:lang w:val="en-US" w:eastAsia="zh-CN"/>
              </w:rPr>
              <w:t>5</w:t>
            </w:r>
            <w:r>
              <w:rPr>
                <w:rFonts w:hint="default" w:ascii="Times New Roman" w:hAnsi="Times New Roman" w:cs="Times New Roman" w:eastAsiaTheme="minorEastAsia"/>
                <w:color w:val="auto"/>
              </w:rPr>
              <w:t>.4</w:t>
            </w:r>
            <w:r>
              <w:rPr>
                <w:rFonts w:hint="default" w:ascii="Times New Roman" w:hAnsi="Times New Roman" w:cs="Times New Roman" w:eastAsiaTheme="minorEastAsia"/>
                <w:color w:val="auto"/>
                <w:lang w:val="en-US" w:eastAsia="zh-CN"/>
              </w:rPr>
              <w:t>款</w:t>
            </w:r>
          </w:p>
        </w:tc>
        <w:tc>
          <w:tcPr>
            <w:tcW w:w="1742" w:type="dxa"/>
            <w:tcBorders>
              <w:left w:val="single" w:color="auto" w:sz="2" w:space="0"/>
              <w:bottom w:val="single" w:color="auto" w:sz="2" w:space="0"/>
              <w:right w:val="single" w:color="auto" w:sz="2" w:space="0"/>
            </w:tcBorders>
            <w:vAlign w:val="center"/>
          </w:tcPr>
          <w:p w14:paraId="564AA36C">
            <w:pPr>
              <w:adjustRightInd w:val="0"/>
              <w:snapToGrid w:val="0"/>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其他违约责任</w:t>
            </w:r>
          </w:p>
        </w:tc>
        <w:tc>
          <w:tcPr>
            <w:tcW w:w="5170" w:type="dxa"/>
            <w:tcBorders>
              <w:left w:val="single" w:color="auto" w:sz="2" w:space="0"/>
              <w:bottom w:val="single" w:color="auto" w:sz="2" w:space="0"/>
            </w:tcBorders>
            <w:vAlign w:val="center"/>
          </w:tcPr>
          <w:p w14:paraId="608CF50E">
            <w:pPr>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kern w:val="0"/>
                <w:lang w:val="en-US" w:eastAsia="zh-CN" w:bidi="ar"/>
              </w:rPr>
              <w:t xml:space="preserve">无 </w:t>
            </w:r>
          </w:p>
        </w:tc>
      </w:tr>
      <w:tr w14:paraId="3FC38B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2F201955">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3B8F2776">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w:t>
            </w:r>
            <w:r>
              <w:rPr>
                <w:rFonts w:hint="default" w:ascii="Times New Roman" w:hAnsi="Times New Roman" w:cs="Times New Roman" w:eastAsiaTheme="minorEastAsia"/>
                <w:color w:val="auto"/>
                <w:lang w:val="en-US" w:eastAsia="zh-CN"/>
              </w:rPr>
              <w:t>19</w:t>
            </w:r>
            <w:r>
              <w:rPr>
                <w:rFonts w:hint="default" w:ascii="Times New Roman" w:hAnsi="Times New Roman" w:cs="Times New Roman" w:eastAsiaTheme="minorEastAsia"/>
                <w:color w:val="auto"/>
              </w:rPr>
              <w:t>.2</w:t>
            </w:r>
            <w:r>
              <w:rPr>
                <w:rFonts w:hint="default" w:ascii="Times New Roman" w:hAnsi="Times New Roman" w:cs="Times New Roman" w:eastAsiaTheme="minorEastAsia"/>
                <w:color w:val="auto"/>
                <w:lang w:val="en-US" w:eastAsia="zh-CN"/>
              </w:rPr>
              <w:t>款</w:t>
            </w:r>
          </w:p>
        </w:tc>
        <w:tc>
          <w:tcPr>
            <w:tcW w:w="1742" w:type="dxa"/>
            <w:tcBorders>
              <w:top w:val="single" w:color="auto" w:sz="2" w:space="0"/>
              <w:left w:val="single" w:color="auto" w:sz="2" w:space="0"/>
              <w:right w:val="single" w:color="auto" w:sz="2" w:space="0"/>
            </w:tcBorders>
            <w:vAlign w:val="center"/>
          </w:tcPr>
          <w:p w14:paraId="5E5895CF">
            <w:pPr>
              <w:adjustRightInd w:val="0"/>
              <w:snapToGrid w:val="0"/>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lang w:val="en-US" w:eastAsia="zh-CN"/>
              </w:rPr>
              <w:t>解决争议的方法</w:t>
            </w:r>
          </w:p>
        </w:tc>
        <w:tc>
          <w:tcPr>
            <w:tcW w:w="5170" w:type="dxa"/>
            <w:tcBorders>
              <w:top w:val="single" w:color="auto" w:sz="2" w:space="0"/>
              <w:left w:val="single" w:color="auto" w:sz="2" w:space="0"/>
            </w:tcBorders>
            <w:vAlign w:val="center"/>
          </w:tcPr>
          <w:p w14:paraId="74D719FD">
            <w:pPr>
              <w:autoSpaceDE w:val="0"/>
              <w:autoSpaceDN w:val="0"/>
              <w:adjustRightInd w:val="0"/>
              <w:snapToGrid w:val="0"/>
              <w:spacing w:line="400" w:lineRule="exact"/>
              <w:jc w:val="left"/>
              <w:rPr>
                <w:rFonts w:hint="default" w:ascii="Times New Roman" w:hAnsi="Times New Roman" w:cs="Times New Roman" w:eastAsiaTheme="minorEastAsia"/>
                <w:iCs/>
                <w:color w:val="auto"/>
                <w:lang w:eastAsia="zh-CN"/>
              </w:rPr>
            </w:pPr>
            <w:r>
              <w:rPr>
                <w:rFonts w:hint="default" w:ascii="Times New Roman" w:hAnsi="Times New Roman" w:cs="Times New Roman" w:eastAsiaTheme="minorEastAsia"/>
                <w:iCs/>
                <w:color w:val="auto"/>
                <w:lang w:eastAsia="zh-CN"/>
              </w:rPr>
              <w:t>因本合同及合同有关事项发生的争议，按下列第</w:t>
            </w:r>
            <w:r>
              <w:rPr>
                <w:rFonts w:hint="default" w:ascii="Times New Roman" w:hAnsi="Times New Roman" w:cs="Times New Roman" w:eastAsiaTheme="minorEastAsia"/>
                <w:iCs/>
                <w:color w:val="auto"/>
                <w:u w:val="single"/>
                <w:lang w:eastAsia="zh-CN"/>
              </w:rPr>
              <w:t xml:space="preserve"> （</w:t>
            </w:r>
            <w:r>
              <w:rPr>
                <w:rFonts w:hint="default" w:ascii="Times New Roman" w:hAnsi="Times New Roman" w:cs="Times New Roman" w:eastAsiaTheme="minorEastAsia"/>
                <w:iCs/>
                <w:color w:val="auto"/>
                <w:u w:val="single"/>
                <w:lang w:val="en-US" w:eastAsia="zh-CN"/>
              </w:rPr>
              <w:t>2</w:t>
            </w:r>
            <w:r>
              <w:rPr>
                <w:rFonts w:hint="default" w:ascii="Times New Roman" w:hAnsi="Times New Roman" w:cs="Times New Roman" w:eastAsiaTheme="minorEastAsia"/>
                <w:iCs/>
                <w:color w:val="auto"/>
                <w:u w:val="single"/>
                <w:lang w:eastAsia="zh-CN"/>
              </w:rPr>
              <w:t xml:space="preserve">） </w:t>
            </w:r>
            <w:r>
              <w:rPr>
                <w:rFonts w:hint="default" w:ascii="Times New Roman" w:hAnsi="Times New Roman" w:cs="Times New Roman" w:eastAsiaTheme="minorEastAsia"/>
                <w:iCs/>
                <w:color w:val="auto"/>
                <w:lang w:eastAsia="zh-CN"/>
              </w:rPr>
              <w:t>种方式解决：</w:t>
            </w:r>
          </w:p>
          <w:p w14:paraId="1A692C66">
            <w:pPr>
              <w:autoSpaceDE w:val="0"/>
              <w:autoSpaceDN w:val="0"/>
              <w:adjustRightInd w:val="0"/>
              <w:snapToGrid w:val="0"/>
              <w:spacing w:line="400" w:lineRule="exact"/>
              <w:jc w:val="left"/>
              <w:rPr>
                <w:rFonts w:hint="default" w:ascii="Times New Roman" w:hAnsi="Times New Roman" w:cs="Times New Roman" w:eastAsiaTheme="minorEastAsia"/>
                <w:iCs/>
                <w:color w:val="auto"/>
                <w:lang w:eastAsia="zh-CN"/>
              </w:rPr>
            </w:pPr>
            <w:r>
              <w:rPr>
                <w:rFonts w:hint="default" w:ascii="Times New Roman" w:hAnsi="Times New Roman" w:cs="Times New Roman" w:eastAsiaTheme="minorEastAsia"/>
                <w:iCs/>
                <w:color w:val="auto"/>
                <w:lang w:eastAsia="zh-CN"/>
              </w:rPr>
              <w:t>（1）向</w:t>
            </w:r>
            <w:r>
              <w:rPr>
                <w:rFonts w:hint="default" w:ascii="Times New Roman" w:hAnsi="Times New Roman" w:cs="Times New Roman" w:eastAsiaTheme="minorEastAsia"/>
                <w:iCs/>
                <w:color w:val="auto"/>
                <w:u w:val="single"/>
                <w:lang w:eastAsia="zh-CN"/>
              </w:rPr>
              <w:t xml:space="preserve">        </w:t>
            </w:r>
            <w:r>
              <w:rPr>
                <w:rFonts w:hint="default" w:ascii="Times New Roman" w:hAnsi="Times New Roman" w:cs="Times New Roman" w:eastAsiaTheme="minorEastAsia"/>
                <w:iCs/>
                <w:color w:val="auto"/>
                <w:lang w:eastAsia="zh-CN"/>
              </w:rPr>
              <w:t>仲裁委员会申请仲裁，仲裁地点为</w:t>
            </w:r>
            <w:r>
              <w:rPr>
                <w:rFonts w:hint="default" w:ascii="Times New Roman" w:hAnsi="Times New Roman" w:cs="Times New Roman" w:eastAsiaTheme="minorEastAsia"/>
                <w:iCs/>
                <w:color w:val="auto"/>
                <w:u w:val="single"/>
                <w:lang w:eastAsia="zh-CN"/>
              </w:rPr>
              <w:t xml:space="preserve">           </w:t>
            </w:r>
            <w:r>
              <w:rPr>
                <w:rFonts w:hint="default" w:ascii="Times New Roman" w:hAnsi="Times New Roman" w:cs="Times New Roman" w:eastAsiaTheme="minorEastAsia"/>
                <w:iCs/>
                <w:color w:val="auto"/>
                <w:lang w:eastAsia="zh-CN"/>
              </w:rPr>
              <w:t>；</w:t>
            </w:r>
          </w:p>
          <w:p w14:paraId="33DEBD52">
            <w:pPr>
              <w:adjustRightInd w:val="0"/>
              <w:snapToGrid w:val="0"/>
              <w:jc w:val="left"/>
              <w:rPr>
                <w:rFonts w:hint="default" w:ascii="Times New Roman" w:hAnsi="Times New Roman" w:cs="Times New Roman" w:eastAsiaTheme="minorEastAsia"/>
                <w:color w:val="auto"/>
                <w:u w:val="single"/>
                <w:lang w:eastAsia="zh-CN"/>
              </w:rPr>
            </w:pPr>
            <w:r>
              <w:rPr>
                <w:rFonts w:hint="default" w:ascii="Times New Roman" w:hAnsi="Times New Roman" w:cs="Times New Roman" w:eastAsiaTheme="minorEastAsia"/>
                <w:iCs/>
                <w:color w:val="auto"/>
                <w:lang w:eastAsia="zh-CN"/>
              </w:rPr>
              <w:t>（2）向</w:t>
            </w:r>
            <w:r>
              <w:rPr>
                <w:rFonts w:hint="default" w:ascii="Times New Roman" w:hAnsi="Times New Roman" w:cs="Times New Roman" w:eastAsiaTheme="minorEastAsia"/>
                <w:iCs/>
                <w:color w:val="auto"/>
                <w:u w:val="single"/>
                <w:lang w:eastAsia="zh-CN"/>
              </w:rPr>
              <w:t xml:space="preserve"> </w:t>
            </w:r>
            <w:r>
              <w:rPr>
                <w:rFonts w:hint="default" w:ascii="Times New Roman" w:hAnsi="Times New Roman" w:cs="Times New Roman" w:eastAsiaTheme="minorEastAsia"/>
                <w:iCs/>
                <w:color w:val="auto"/>
                <w:u w:val="single"/>
                <w:lang w:val="en-US" w:eastAsia="zh-CN"/>
              </w:rPr>
              <w:t>甲方所在地</w:t>
            </w:r>
            <w:r>
              <w:rPr>
                <w:rFonts w:hint="default" w:ascii="Times New Roman" w:hAnsi="Times New Roman" w:cs="Times New Roman" w:eastAsiaTheme="minorEastAsia"/>
                <w:iCs/>
                <w:color w:val="auto"/>
                <w:u w:val="single"/>
                <w:lang w:eastAsia="zh-CN"/>
              </w:rPr>
              <w:t xml:space="preserve"> </w:t>
            </w:r>
            <w:r>
              <w:rPr>
                <w:rFonts w:hint="default" w:ascii="Times New Roman" w:hAnsi="Times New Roman" w:cs="Times New Roman" w:eastAsiaTheme="minorEastAsia"/>
                <w:iCs/>
                <w:color w:val="auto"/>
                <w:lang w:eastAsia="zh-CN"/>
              </w:rPr>
              <w:t>人民法院起诉。</w:t>
            </w:r>
          </w:p>
        </w:tc>
      </w:tr>
      <w:tr w14:paraId="7E3182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580C4697">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第二节</w:t>
            </w:r>
          </w:p>
          <w:p w14:paraId="43AA5985">
            <w:pPr>
              <w:adjustRightInd w:val="0"/>
              <w:snapToGrid w:val="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第2</w:t>
            </w:r>
            <w:r>
              <w:rPr>
                <w:rFonts w:hint="default" w:ascii="Times New Roman" w:hAnsi="Times New Roman" w:cs="Times New Roman" w:eastAsiaTheme="minorEastAsia"/>
                <w:color w:val="auto"/>
                <w:lang w:val="en-US" w:eastAsia="zh-CN"/>
              </w:rPr>
              <w:t>3.1</w:t>
            </w:r>
            <w:r>
              <w:rPr>
                <w:rFonts w:hint="default" w:ascii="Times New Roman" w:hAnsi="Times New Roman" w:cs="Times New Roman" w:eastAsiaTheme="minorEastAsia"/>
                <w:color w:val="auto"/>
                <w:lang w:eastAsia="zh-CN"/>
              </w:rPr>
              <w:t>款</w:t>
            </w:r>
          </w:p>
        </w:tc>
        <w:tc>
          <w:tcPr>
            <w:tcW w:w="1742" w:type="dxa"/>
            <w:vAlign w:val="center"/>
          </w:tcPr>
          <w:p w14:paraId="3A5C80FE">
            <w:pPr>
              <w:adjustRightInd w:val="0"/>
              <w:snapToGrid w:val="0"/>
              <w:jc w:val="left"/>
              <w:rPr>
                <w:rFonts w:hint="default" w:ascii="Times New Roman" w:hAnsi="Times New Roman" w:cs="Times New Roman" w:eastAsiaTheme="minorEastAsia"/>
                <w:color w:val="auto"/>
              </w:rPr>
            </w:pPr>
            <w:r>
              <w:rPr>
                <w:rFonts w:hint="default" w:ascii="Times New Roman" w:hAnsi="Times New Roman" w:cs="Times New Roman" w:eastAsiaTheme="minorEastAsia"/>
                <w:bCs/>
                <w:color w:val="auto"/>
                <w:lang w:eastAsia="zh-CN"/>
              </w:rPr>
              <w:t>其他专用条款</w:t>
            </w:r>
          </w:p>
        </w:tc>
        <w:tc>
          <w:tcPr>
            <w:tcW w:w="5170" w:type="dxa"/>
            <w:vAlign w:val="center"/>
          </w:tcPr>
          <w:p w14:paraId="59C17C11">
            <w:pPr>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kern w:val="0"/>
                <w:lang w:val="en-US" w:eastAsia="zh-CN" w:bidi="ar"/>
              </w:rPr>
              <w:t xml:space="preserve">无 </w:t>
            </w:r>
          </w:p>
        </w:tc>
      </w:tr>
    </w:tbl>
    <w:p w14:paraId="653F2C36">
      <w:pPr>
        <w:widowControl w:val="0"/>
        <w:spacing w:before="240" w:after="60"/>
        <w:jc w:val="left"/>
        <w:rPr>
          <w:rFonts w:hint="default" w:ascii="Times New Roman" w:hAnsi="Times New Roman" w:eastAsia="宋体" w:cs="Times New Roman"/>
          <w:b/>
          <w:bCs/>
          <w:color w:val="auto"/>
          <w:sz w:val="30"/>
          <w:szCs w:val="30"/>
          <w:lang w:val="en-US" w:eastAsia="zh-CN"/>
        </w:rPr>
      </w:pPr>
    </w:p>
    <w:p w14:paraId="7568CFD0">
      <w:pPr>
        <w:widowControl w:val="0"/>
        <w:spacing w:before="240" w:after="60"/>
        <w:jc w:val="left"/>
        <w:rPr>
          <w:rFonts w:hint="default" w:ascii="Times New Roman" w:hAnsi="Times New Roman" w:eastAsia="宋体" w:cs="Times New Roman"/>
          <w:b/>
          <w:bCs/>
          <w:color w:val="auto"/>
          <w:sz w:val="30"/>
          <w:szCs w:val="30"/>
          <w:lang w:val="en-US" w:eastAsia="zh-CN"/>
        </w:rPr>
      </w:pPr>
    </w:p>
    <w:p w14:paraId="527E581B">
      <w:pPr>
        <w:widowControl w:val="0"/>
        <w:spacing w:before="240" w:after="60"/>
        <w:jc w:val="left"/>
        <w:rPr>
          <w:rFonts w:hint="default" w:ascii="Times New Roman" w:hAnsi="Times New Roman" w:eastAsia="宋体" w:cs="Times New Roman"/>
          <w:b/>
          <w:bCs/>
          <w:color w:val="auto"/>
          <w:sz w:val="30"/>
          <w:szCs w:val="30"/>
          <w:lang w:val="en-US" w:eastAsia="zh-CN"/>
        </w:rPr>
      </w:pPr>
    </w:p>
    <w:p w14:paraId="5B6EC203">
      <w:pPr>
        <w:widowControl w:val="0"/>
        <w:spacing w:before="240" w:after="60"/>
        <w:jc w:val="left"/>
        <w:outlineLvl w:val="1"/>
        <w:rPr>
          <w:rFonts w:hint="default" w:ascii="Times New Roman" w:hAnsi="Times New Roman" w:eastAsia="宋体" w:cs="Times New Roman"/>
          <w:b/>
          <w:bCs/>
          <w:color w:val="auto"/>
          <w:sz w:val="28"/>
          <w:szCs w:val="24"/>
          <w:lang w:val="en-US" w:eastAsia="zh-CN"/>
        </w:rPr>
      </w:pPr>
      <w:r>
        <w:rPr>
          <w:rFonts w:hint="default" w:ascii="Times New Roman" w:hAnsi="Times New Roman" w:eastAsia="宋体" w:cs="Times New Roman"/>
          <w:b/>
          <w:bCs/>
          <w:color w:val="auto"/>
          <w:sz w:val="30"/>
          <w:szCs w:val="30"/>
          <w:lang w:val="en-US" w:eastAsia="zh-CN"/>
        </w:rPr>
        <w:br w:type="page"/>
      </w:r>
      <w:r>
        <w:rPr>
          <w:rFonts w:hint="default" w:ascii="Times New Roman" w:hAnsi="Times New Roman" w:eastAsia="宋体" w:cs="Times New Roman"/>
          <w:b/>
          <w:bCs/>
          <w:color w:val="auto"/>
          <w:sz w:val="30"/>
          <w:szCs w:val="30"/>
          <w:lang w:val="en-US" w:eastAsia="zh-CN"/>
        </w:rPr>
        <w:t>附件1：河南省政府采购合同融资政策告知函</w:t>
      </w:r>
      <w:bookmarkEnd w:id="300"/>
      <w:bookmarkEnd w:id="301"/>
      <w:bookmarkEnd w:id="302"/>
      <w:bookmarkEnd w:id="303"/>
      <w:bookmarkEnd w:id="304"/>
      <w:bookmarkEnd w:id="305"/>
      <w:bookmarkEnd w:id="306"/>
      <w:bookmarkEnd w:id="307"/>
      <w:bookmarkEnd w:id="308"/>
      <w:bookmarkEnd w:id="309"/>
      <w:bookmarkEnd w:id="310"/>
      <w:bookmarkEnd w:id="311"/>
    </w:p>
    <w:p w14:paraId="377444C3">
      <w:pPr>
        <w:widowControl w:val="0"/>
        <w:spacing w:before="240" w:after="60"/>
        <w:jc w:val="left"/>
        <w:rPr>
          <w:rFonts w:hint="default" w:ascii="Times New Roman" w:hAnsi="Times New Roman" w:eastAsia="宋体" w:cs="Times New Roman"/>
          <w:b/>
          <w:bCs/>
          <w:color w:val="auto"/>
          <w:sz w:val="28"/>
          <w:szCs w:val="24"/>
          <w:lang w:val="en-US" w:eastAsia="zh-CN"/>
        </w:rPr>
      </w:pPr>
    </w:p>
    <w:p w14:paraId="3A22F4F8">
      <w:pPr>
        <w:jc w:val="center"/>
        <w:rPr>
          <w:rFonts w:hint="default" w:ascii="Times New Roman" w:hAnsi="Times New Roman" w:eastAsia="宋体" w:cs="Times New Roman"/>
          <w:b/>
          <w:bCs/>
          <w:color w:val="auto"/>
          <w:sz w:val="36"/>
          <w:szCs w:val="28"/>
          <w:lang w:val="en-US" w:eastAsia="zh-CN"/>
        </w:rPr>
      </w:pPr>
      <w:bookmarkStart w:id="316" w:name="_Toc285380293_WPSOffice_Level1"/>
      <w:bookmarkStart w:id="317" w:name="_Toc1775221587_WPSOffice_Level1"/>
      <w:bookmarkStart w:id="318" w:name="_Toc495162933_WPSOffice_Level2"/>
      <w:bookmarkStart w:id="319" w:name="_Toc1740618990_WPSOffice_Level1"/>
      <w:r>
        <w:rPr>
          <w:rFonts w:hint="default" w:ascii="Times New Roman" w:hAnsi="Times New Roman" w:eastAsia="宋体" w:cs="Times New Roman"/>
          <w:b/>
          <w:bCs/>
          <w:color w:val="auto"/>
          <w:sz w:val="36"/>
          <w:szCs w:val="28"/>
          <w:lang w:val="en-US" w:eastAsia="zh-CN"/>
        </w:rPr>
        <w:t>河南省政府采购合同融资政策告知函</w:t>
      </w:r>
      <w:bookmarkEnd w:id="316"/>
      <w:bookmarkEnd w:id="317"/>
      <w:bookmarkEnd w:id="318"/>
      <w:bookmarkEnd w:id="319"/>
    </w:p>
    <w:p w14:paraId="7569E506">
      <w:pPr>
        <w:widowControl w:val="0"/>
        <w:rPr>
          <w:rFonts w:hint="default" w:ascii="Times New Roman" w:hAnsi="Times New Roman" w:eastAsia="仿宋" w:cs="Times New Roman"/>
          <w:color w:val="auto"/>
          <w:sz w:val="32"/>
          <w:szCs w:val="32"/>
          <w:lang w:val="en-US" w:eastAsia="zh-CN"/>
        </w:rPr>
      </w:pPr>
    </w:p>
    <w:p w14:paraId="69A7E0F6">
      <w:pPr>
        <w:widowControl w:val="0"/>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各供应商：</w:t>
      </w:r>
    </w:p>
    <w:p w14:paraId="51F5D34B">
      <w:pPr>
        <w:widowControl w:val="0"/>
        <w:spacing w:line="360" w:lineRule="auto"/>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欢迎贵公司参与河南省政府采购活动！</w:t>
      </w:r>
    </w:p>
    <w:p w14:paraId="011A1D93">
      <w:pPr>
        <w:widowControl w:val="0"/>
        <w:spacing w:line="360" w:lineRule="auto"/>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3A90A0A8">
      <w:pPr>
        <w:widowControl w:val="0"/>
        <w:spacing w:line="360" w:lineRule="auto"/>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贷款渠道和提供贷款的金融机构，可在河南省政府采购网“河南省政府采购合同融资平台”查询联系。</w:t>
      </w:r>
    </w:p>
    <w:p w14:paraId="10DD0D65">
      <w:pPr>
        <w:spacing w:line="360" w:lineRule="auto"/>
        <w:ind w:left="1080" w:hanging="540"/>
        <w:jc w:val="center"/>
        <w:rPr>
          <w:rFonts w:hint="default" w:ascii="Times New Roman" w:hAnsi="Times New Roman" w:eastAsia="仿宋_GB2312" w:cs="Times New Roman"/>
          <w:color w:val="auto"/>
          <w:sz w:val="28"/>
          <w:szCs w:val="28"/>
          <w:lang w:val="en-US" w:eastAsia="zh-CN"/>
        </w:rPr>
      </w:pPr>
    </w:p>
    <w:p w14:paraId="72237159">
      <w:pPr>
        <w:rPr>
          <w:rFonts w:hint="default" w:ascii="Times New Roman" w:hAnsi="Times New Roman" w:eastAsia="宋体" w:cs="Times New Roman"/>
          <w:b/>
          <w:bCs/>
          <w:color w:val="auto"/>
          <w:sz w:val="36"/>
          <w:szCs w:val="36"/>
          <w:lang w:eastAsia="zh-CN"/>
        </w:rPr>
      </w:pPr>
    </w:p>
    <w:p w14:paraId="751822EC">
      <w:pPr>
        <w:spacing w:line="616" w:lineRule="exact"/>
        <w:ind w:right="86"/>
        <w:jc w:val="center"/>
        <w:rPr>
          <w:rFonts w:hint="default" w:ascii="Times New Roman" w:hAnsi="Times New Roman" w:cs="Times New Roman"/>
          <w:b/>
          <w:color w:val="auto"/>
          <w:sz w:val="52"/>
          <w:szCs w:val="52"/>
          <w:lang w:eastAsia="zh-CN"/>
        </w:rPr>
      </w:pPr>
    </w:p>
    <w:p w14:paraId="52AB7712">
      <w:pPr>
        <w:spacing w:line="360" w:lineRule="auto"/>
        <w:jc w:val="left"/>
        <w:rPr>
          <w:rFonts w:hint="default" w:ascii="Times New Roman" w:hAnsi="Times New Roman" w:cs="Times New Roman"/>
          <w:b/>
          <w:bCs/>
          <w:color w:val="auto"/>
          <w:sz w:val="28"/>
          <w:szCs w:val="28"/>
          <w:lang w:eastAsia="zh-CN"/>
        </w:rPr>
        <w:sectPr>
          <w:headerReference r:id="rId11" w:type="default"/>
          <w:footerReference r:id="rId12" w:type="default"/>
          <w:pgSz w:w="11900" w:h="16840"/>
          <w:pgMar w:top="1440" w:right="1797" w:bottom="1440" w:left="1797" w:header="851" w:footer="992" w:gutter="0"/>
          <w:cols w:space="720" w:num="1"/>
          <w:docGrid w:linePitch="286" w:charSpace="0"/>
        </w:sectPr>
      </w:pPr>
    </w:p>
    <w:p w14:paraId="4771A6F8">
      <w:pPr>
        <w:rPr>
          <w:rFonts w:hint="default" w:ascii="Times New Roman" w:hAnsi="Times New Roman" w:eastAsia="黑体" w:cs="Times New Roman"/>
          <w:color w:val="auto"/>
          <w:sz w:val="28"/>
          <w:szCs w:val="28"/>
          <w:lang w:eastAsia="zh-CN"/>
        </w:rPr>
      </w:pPr>
      <w:bookmarkStart w:id="320" w:name="_Toc898079186_WPSOffice_Level3"/>
      <w:r>
        <w:rPr>
          <w:rFonts w:hint="default" w:ascii="Times New Roman" w:hAnsi="Times New Roman" w:cs="Times New Roman"/>
          <w:b/>
          <w:bCs/>
          <w:color w:val="auto"/>
          <w:sz w:val="32"/>
          <w:szCs w:val="32"/>
          <w:lang w:eastAsia="zh-CN"/>
        </w:rPr>
        <w:t>附：</w:t>
      </w:r>
      <w:bookmarkEnd w:id="320"/>
    </w:p>
    <w:p w14:paraId="2AE50CC7">
      <w:pPr>
        <w:jc w:val="center"/>
        <w:outlineLvl w:val="1"/>
        <w:rPr>
          <w:rFonts w:hint="default" w:ascii="Times New Roman" w:hAnsi="Times New Roman" w:cs="Times New Roman"/>
          <w:b/>
          <w:bCs/>
          <w:color w:val="auto"/>
          <w:sz w:val="32"/>
          <w:szCs w:val="32"/>
          <w:lang w:eastAsia="zh-CN"/>
        </w:rPr>
      </w:pPr>
      <w:bookmarkStart w:id="321" w:name="_Toc347624563"/>
      <w:bookmarkStart w:id="322" w:name="_Toc1587242122"/>
      <w:bookmarkStart w:id="323" w:name="_Toc853194655"/>
      <w:bookmarkStart w:id="324" w:name="_Toc658018444_WPSOffice_Level2"/>
      <w:r>
        <w:rPr>
          <w:rFonts w:hint="default" w:ascii="Times New Roman" w:hAnsi="Times New Roman" w:cs="Times New Roman"/>
          <w:b/>
          <w:bCs/>
          <w:color w:val="auto"/>
          <w:sz w:val="32"/>
          <w:szCs w:val="32"/>
          <w:lang w:eastAsia="zh-CN"/>
        </w:rPr>
        <w:t>关于印发中小企业划型标准规定的通知</w:t>
      </w:r>
      <w:bookmarkEnd w:id="321"/>
      <w:bookmarkEnd w:id="322"/>
      <w:bookmarkEnd w:id="323"/>
      <w:bookmarkEnd w:id="324"/>
    </w:p>
    <w:p w14:paraId="7B5E0FED">
      <w:pPr>
        <w:pStyle w:val="46"/>
        <w:spacing w:line="480" w:lineRule="exact"/>
        <w:jc w:val="center"/>
        <w:rPr>
          <w:rFonts w:hint="default" w:ascii="Times New Roman" w:hAnsi="Times New Roman" w:eastAsia="仿宋_GB2312" w:cs="Times New Roman"/>
          <w:sz w:val="28"/>
          <w:szCs w:val="28"/>
        </w:rPr>
      </w:pPr>
      <w:bookmarkStart w:id="325" w:name="_Toc1413325678_WPSOffice_Level3"/>
      <w:r>
        <w:rPr>
          <w:rFonts w:hint="default" w:ascii="Times New Roman" w:hAnsi="Times New Roman" w:eastAsia="仿宋_GB2312" w:cs="Times New Roman"/>
          <w:sz w:val="28"/>
          <w:szCs w:val="28"/>
        </w:rPr>
        <w:t>工信部联企业[2011]300号</w:t>
      </w:r>
      <w:bookmarkEnd w:id="325"/>
    </w:p>
    <w:p w14:paraId="35DBC525">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各省、自治区、直辖市人民政府，国务院各部委、各直属机构及有关单位：</w:t>
      </w:r>
    </w:p>
    <w:p w14:paraId="6A69E6AA">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181FCF4">
      <w:pPr>
        <w:pStyle w:val="46"/>
        <w:spacing w:line="480" w:lineRule="exact"/>
        <w:jc w:val="righ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工业和信息化部　国家统计局</w:t>
      </w:r>
    </w:p>
    <w:p w14:paraId="5F38A58F">
      <w:pPr>
        <w:pStyle w:val="46"/>
        <w:spacing w:line="480" w:lineRule="exact"/>
        <w:jc w:val="righ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国家发展和改革委员会　财政部</w:t>
      </w:r>
    </w:p>
    <w:p w14:paraId="34A119D3">
      <w:pPr>
        <w:pStyle w:val="46"/>
        <w:spacing w:line="480" w:lineRule="exact"/>
        <w:jc w:val="righ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二〇一一年六月十八日</w:t>
      </w:r>
    </w:p>
    <w:p w14:paraId="09B78F53">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附件： </w:t>
      </w:r>
    </w:p>
    <w:p w14:paraId="584D2E2A">
      <w:pPr>
        <w:pStyle w:val="46"/>
        <w:spacing w:line="480" w:lineRule="exact"/>
        <w:jc w:val="center"/>
        <w:rPr>
          <w:rFonts w:hint="default" w:ascii="Times New Roman" w:hAnsi="Times New Roman" w:eastAsia="仿宋_GB2312" w:cs="Times New Roman"/>
          <w:sz w:val="28"/>
          <w:szCs w:val="28"/>
        </w:rPr>
      </w:pPr>
      <w:bookmarkStart w:id="326" w:name="_Toc1817875417_WPSOffice_Level2"/>
      <w:r>
        <w:rPr>
          <w:rStyle w:val="55"/>
          <w:rFonts w:hint="default" w:ascii="Times New Roman" w:hAnsi="Times New Roman" w:eastAsia="仿宋_GB2312" w:cs="Times New Roman"/>
          <w:sz w:val="28"/>
          <w:szCs w:val="28"/>
        </w:rPr>
        <w:t>中小企业划型标准规定</w:t>
      </w:r>
      <w:bookmarkEnd w:id="326"/>
    </w:p>
    <w:p w14:paraId="6C5550BE">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一、根据《中华人民共和国中小企业促进法》和《国务院关于进一步促进中小企业发展的若干意见》(国发〔2009〕36号)，制定本规定。</w:t>
      </w:r>
    </w:p>
    <w:p w14:paraId="465C6032">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二、中小企业划分为中型、小型、微型三种类型，具体标准根据企业从业人员、营业收入、资产总额等指标，结合行业特点制定。</w:t>
      </w:r>
    </w:p>
    <w:p w14:paraId="62C92487">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093D94B">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四、各行业划型标准为：</w:t>
      </w:r>
    </w:p>
    <w:p w14:paraId="2DA15A40">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（一）农、林、牧、渔业。营业收入20000万元以下的为中小微型企业。其中，营业收入500万元及以上的为中型企业，营业收入50万元及以上的为小型企业，营业收入50万元以下的为微型企业。</w:t>
      </w:r>
    </w:p>
    <w:p w14:paraId="5DEC1668">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50E7F10">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593C64FC">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13DDD341">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8886454">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2DBD94F4">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683F142">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17042F6">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919D6A0">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4041DC2">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BED64E3">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F5EDCAB">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9697AC5">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D64AA69">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9EECF7F">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（十六）其他未列明行业。从业人员300人以下的为中小微型企业。其中，从业人员100人及以上的为中型企业；从业人员10人及以上的为小型企业；从业人员10人以下的为微型企业。</w:t>
      </w:r>
    </w:p>
    <w:p w14:paraId="5AE49436">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五、企业类型的划分以统计部门的统计数据为依据。</w:t>
      </w:r>
    </w:p>
    <w:p w14:paraId="1321010D">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六、本规定适用于在中华人民共和国境内依法设立的各类所有制和各种组织形式的企业。个体工商户和本规定以外的行业，参照本规定进行划型。</w:t>
      </w:r>
    </w:p>
    <w:p w14:paraId="1AC35EB9">
      <w:pPr>
        <w:pStyle w:val="46"/>
        <w:spacing w:line="480" w:lineRule="exact"/>
        <w:rPr>
          <w:rFonts w:hint="default" w:ascii="Times New Roman" w:hAnsi="Times New Roman" w:eastAsia="仿宋_GB2312" w:cs="Times New Roman"/>
          <w:sz w:val="28"/>
          <w:szCs w:val="28"/>
        </w:rPr>
        <w:sectPr>
          <w:footerReference r:id="rId13" w:type="default"/>
          <w:pgSz w:w="11906" w:h="16839"/>
          <w:pgMar w:top="1431" w:right="1193" w:bottom="1386" w:left="1193" w:header="0" w:footer="1213" w:gutter="0"/>
          <w:cols w:space="720" w:num="1"/>
        </w:sectPr>
      </w:pPr>
    </w:p>
    <w:p w14:paraId="256CEA19">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七、本规定的中型企业标准上限即为大型企业标准的下限，国家统计部门据此制定大中小微型企业的统计分类。国务院有关部门据此进行相关数据分析，不得制定与本规定不一致的企业划型标准。</w:t>
      </w:r>
    </w:p>
    <w:p w14:paraId="409FF01E">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八、本规定由工业和信息化部、国家统计局会同有关部门根据《国民经济行业分类》修订情况和企业发展变化情况适时修订。</w:t>
      </w:r>
    </w:p>
    <w:p w14:paraId="40CF22BA">
      <w:pPr>
        <w:pStyle w:val="46"/>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九、本规定由工业和信息化部、国家统计局会同有关部门负责解释。</w:t>
      </w:r>
    </w:p>
    <w:p w14:paraId="339715A5">
      <w:pPr>
        <w:pStyle w:val="46"/>
        <w:spacing w:line="480" w:lineRule="exact"/>
        <w:rPr>
          <w:rFonts w:hint="default" w:ascii="Times New Roman" w:hAnsi="Times New Roman" w:eastAsia="仿宋" w:cs="Times New Roman"/>
          <w:b/>
          <w:bCs/>
          <w:sz w:val="28"/>
          <w:szCs w:val="28"/>
        </w:rPr>
        <w:sectPr>
          <w:footerReference r:id="rId14" w:type="default"/>
          <w:pgSz w:w="11906" w:h="16839"/>
          <w:pgMar w:top="1431" w:right="1193" w:bottom="1386" w:left="1193" w:header="0" w:footer="1213" w:gutter="0"/>
          <w:cols w:space="720" w:num="1"/>
        </w:sectPr>
      </w:pPr>
      <w:r>
        <w:rPr>
          <w:rFonts w:hint="default" w:ascii="Times New Roman" w:hAnsi="Times New Roman" w:eastAsia="仿宋_GB2312" w:cs="Times New Roman"/>
          <w:sz w:val="28"/>
          <w:szCs w:val="28"/>
        </w:rPr>
        <w:t>　　十、本规定自发布之日起执行，原国家经贸委、原国家计委、财政部和国家统计局2003年颁布的《中小企业标准暂行规定》同时废止</w:t>
      </w:r>
      <w:bookmarkEnd w:id="259"/>
      <w:bookmarkEnd w:id="260"/>
      <w:bookmarkEnd w:id="261"/>
      <w:bookmarkEnd w:id="262"/>
      <w:bookmarkEnd w:id="263"/>
      <w:bookmarkEnd w:id="264"/>
      <w:bookmarkEnd w:id="265"/>
      <w:bookmarkEnd w:id="266"/>
      <w:bookmarkEnd w:id="267"/>
      <w:bookmarkEnd w:id="268"/>
      <w:bookmarkEnd w:id="269"/>
      <w:bookmarkEnd w:id="270"/>
      <w:bookmarkEnd w:id="271"/>
      <w:r>
        <w:rPr>
          <w:rFonts w:hint="default" w:ascii="Times New Roman" w:hAnsi="Times New Roman" w:eastAsia="仿宋_GB2312" w:cs="Times New Roman"/>
          <w:sz w:val="28"/>
          <w:szCs w:val="28"/>
        </w:rPr>
        <w:t>。</w:t>
      </w:r>
    </w:p>
    <w:p w14:paraId="1CAB86C2">
      <w:pPr>
        <w:pStyle w:val="46"/>
        <w:spacing w:line="480" w:lineRule="exact"/>
        <w:rPr>
          <w:rFonts w:hint="default" w:ascii="Times New Roman" w:hAnsi="Times New Roman" w:cs="Times New Roman"/>
        </w:rPr>
      </w:pPr>
    </w:p>
    <w:sectPr>
      <w:headerReference r:id="rId15" w:type="default"/>
      <w:footerReference r:id="rId16" w:type="default"/>
      <w:pgSz w:w="11900" w:h="16840"/>
      <w:pgMar w:top="1440" w:right="1797" w:bottom="1440" w:left="1797" w:header="851" w:footer="992"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38164F4-C20B-47B8-91D7-0308C4D8B4A6}"/>
  </w:font>
  <w:font w:name="Arial">
    <w:panose1 w:val="020B0604020202020204"/>
    <w:charset w:val="01"/>
    <w:family w:val="swiss"/>
    <w:pitch w:val="default"/>
    <w:sig w:usb0="E0002EFF" w:usb1="C000785B" w:usb2="00000009" w:usb3="00000000" w:csb0="400001FF" w:csb1="FFFF0000"/>
    <w:embedRegular r:id="rId2" w:fontKey="{0583BFB8-A277-4F1D-A8B5-F97612623775}"/>
  </w:font>
  <w:font w:name="黑体">
    <w:panose1 w:val="02010609060101010101"/>
    <w:charset w:val="86"/>
    <w:family w:val="auto"/>
    <w:pitch w:val="default"/>
    <w:sig w:usb0="800002BF" w:usb1="38CF7CFA" w:usb2="00000016" w:usb3="00000000" w:csb0="00040001" w:csb1="00000000"/>
    <w:embedRegular r:id="rId3" w:fontKey="{78F04461-3B24-4532-ACAA-51E5E84349E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7F" w:usb3="00000000" w:csb0="203F01FF" w:csb1="DFFF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D4B7C01B-FB70-47FA-9538-857DAB116FE2}"/>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embedRegular r:id="rId5" w:fontKey="{3CCAFA9C-F01A-4BC0-B342-33FB60FA3D9F}"/>
  </w:font>
  <w:font w:name="monospace">
    <w:altName w:val="华文仿宋"/>
    <w:panose1 w:val="00000000000000000000"/>
    <w:charset w:val="00"/>
    <w:family w:val="auto"/>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ActionIcon ! important">
    <w:altName w:val="华文仿宋"/>
    <w:panose1 w:val="00000000000000000000"/>
    <w:charset w:val="00"/>
    <w:family w:val="auto"/>
    <w:pitch w:val="default"/>
    <w:sig w:usb0="00000000" w:usb1="00000000" w:usb2="00000000" w:usb3="00000000" w:csb0="00040001" w:csb1="00000000"/>
  </w:font>
  <w:font w:name="Helvetica Neue">
    <w:altName w:val="Times New Roman"/>
    <w:panose1 w:val="00000000000000000000"/>
    <w:charset w:val="00"/>
    <w:family w:val="auto"/>
    <w:pitch w:val="default"/>
    <w:sig w:usb0="00000000" w:usb1="00000000" w:usb2="00000010" w:usb3="00000000" w:csb0="00000000" w:csb1="00000000"/>
  </w:font>
  <w:font w:name="微软雅黑">
    <w:panose1 w:val="020B0503020204020204"/>
    <w:charset w:val="86"/>
    <w:family w:val="swiss"/>
    <w:pitch w:val="default"/>
    <w:sig w:usb0="80000287" w:usb1="2ACF3C50" w:usb2="00000016" w:usb3="00000000" w:csb0="0004001F" w:csb1="00000000"/>
    <w:embedRegular r:id="rId6" w:fontKey="{9A905C05-33FF-44DB-8D79-BA72DAB7AA68}"/>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 w:name="CESI宋体-GB2312">
    <w:altName w:val="宋体"/>
    <w:panose1 w:val="02000500000000000000"/>
    <w:charset w:val="86"/>
    <w:family w:val="auto"/>
    <w:pitch w:val="default"/>
    <w:sig w:usb0="00000000" w:usb1="00000000" w:usb2="00000010" w:usb3="00000000" w:csb0="0004000F" w:csb1="00000000"/>
    <w:embedRegular r:id="rId7" w:fontKey="{BF2E3204-8983-4D4E-B3C4-462220F69A1B}"/>
  </w:font>
  <w:font w:name="方正小标宋_GBK">
    <w:panose1 w:val="02000000000000000000"/>
    <w:charset w:val="86"/>
    <w:family w:val="script"/>
    <w:pitch w:val="default"/>
    <w:sig w:usb0="A00002BF" w:usb1="38CF7CFA" w:usb2="00082016" w:usb3="00000000" w:csb0="00040001" w:csb1="00000000"/>
    <w:embedRegular r:id="rId8" w:fontKey="{160A7DE4-D480-4BE8-812B-615C31917A9C}"/>
  </w:font>
  <w:font w:name="仿宋">
    <w:panose1 w:val="02010609060101010101"/>
    <w:charset w:val="86"/>
    <w:family w:val="modern"/>
    <w:pitch w:val="default"/>
    <w:sig w:usb0="800002BF" w:usb1="38CF7CFA" w:usb2="00000016" w:usb3="00000000" w:csb0="00040001" w:csb1="00000000"/>
    <w:embedRegular r:id="rId9" w:fontKey="{751F94B0-4775-42C8-9BD1-08AF4D10E907}"/>
  </w:font>
  <w:font w:name="PMingLiU">
    <w:altName w:val="Microsoft JhengHei UI"/>
    <w:panose1 w:val="02010601000101010101"/>
    <w:charset w:val="88"/>
    <w:family w:val="roman"/>
    <w:pitch w:val="default"/>
    <w:sig w:usb0="00000000" w:usb1="00000000" w:usb2="00000016" w:usb3="00000000" w:csb0="00100001" w:csb1="00000000"/>
    <w:embedRegular r:id="rId10" w:fontKey="{C7FE2E3D-C43B-4D73-990F-AEB2C51A0321}"/>
  </w:font>
  <w:font w:name="Microsoft JhengHei UI">
    <w:panose1 w:val="020B0604030504040204"/>
    <w:charset w:val="88"/>
    <w:family w:val="auto"/>
    <w:pitch w:val="default"/>
    <w:sig w:usb0="000002A7" w:usb1="28CF4400" w:usb2="00000016" w:usb3="00000000" w:csb0="00100009" w:csb1="00000000"/>
  </w:font>
  <w:font w:name="Wingdings 2">
    <w:panose1 w:val="05020102010507070707"/>
    <w:charset w:val="02"/>
    <w:family w:val="roman"/>
    <w:pitch w:val="default"/>
    <w:sig w:usb0="00000000" w:usb1="00000000" w:usb2="00000000" w:usb3="00000000" w:csb0="80000000" w:csb1="00000000"/>
    <w:embedRegular r:id="rId11" w:fontKey="{7FB3102B-9401-4A4E-87DA-FF6168C4F008}"/>
  </w:font>
  <w:font w:name="汉仪书宋二S">
    <w:panose1 w:val="00020600040101010101"/>
    <w:charset w:val="86"/>
    <w:family w:val="auto"/>
    <w:pitch w:val="default"/>
    <w:sig w:usb0="A00002BF" w:usb1="18EF7CFA" w:usb2="00000016" w:usb3="00000000" w:csb0="00040000" w:csb1="00000000"/>
    <w:embedRegular r:id="rId12" w:fontKey="{B31A9498-622E-44D8-A069-6BA08E5A22AD}"/>
  </w:font>
  <w:font w:name="MS Gothic">
    <w:panose1 w:val="020B0609070205080204"/>
    <w:charset w:val="80"/>
    <w:family w:val="modern"/>
    <w:pitch w:val="default"/>
    <w:sig w:usb0="E00002FF" w:usb1="6AC7FDFB" w:usb2="08000012" w:usb3="00000000" w:csb0="4002009F" w:csb1="DFD70000"/>
    <w:embedRegular r:id="rId13" w:fontKey="{F06D9E76-EA17-45E7-BC59-56B9D9A1176F}"/>
  </w:font>
  <w:font w:name="WPSEMBED1">
    <w:panose1 w:val="02000000000000000000"/>
    <w:charset w:val="86"/>
    <w:family w:val="auto"/>
    <w:pitch w:val="default"/>
    <w:sig w:usb0="A00002BF" w:usb1="38CF7CFA" w:usb2="00082016" w:usb3="00000000" w:csb0="00040001" w:csb1="00000000"/>
  </w:font>
  <w:font w:name="WPSEMBED2">
    <w:panose1 w:val="00020600040101010101"/>
    <w:charset w:val="86"/>
    <w:family w:val="auto"/>
    <w:pitch w:val="default"/>
    <w:sig w:usb0="A00002BF" w:usb1="18EF7CFA" w:usb2="00000016"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591ED">
    <w:pPr>
      <w:pStyle w:val="2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6793C0">
                          <w:pPr>
                            <w:pStyle w:val="29"/>
                          </w:pPr>
                          <w:r>
                            <w:fldChar w:fldCharType="begin"/>
                          </w:r>
                          <w:r>
                            <w:instrText xml:space="preserve"> PAGE  \* MERGEFORMAT </w:instrText>
                          </w:r>
                          <w:r>
                            <w:fldChar w:fldCharType="separate"/>
                          </w:r>
                          <w:r>
                            <w:rPr>
                              <w:rFonts w:hint="default"/>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LgtAgAAVw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LgtAgAAVwQAAA4AAAAAAAAAAQAgAAAAHwEAAGRycy9lMm9Eb2MueG1sUEsFBgAAAAAG&#10;AAYAWQEAAL4FAAAAAA==&#10;">
              <v:fill on="f" focussize="0,0"/>
              <v:stroke on="f" weight="0.5pt"/>
              <v:imagedata o:title=""/>
              <o:lock v:ext="edit" aspectratio="f"/>
              <v:textbox inset="0mm,0mm,0mm,0mm" style="mso-fit-shape-to-text:t;">
                <w:txbxContent>
                  <w:p w14:paraId="7A6793C0">
                    <w:pPr>
                      <w:pStyle w:val="29"/>
                    </w:pPr>
                    <w:r>
                      <w:fldChar w:fldCharType="begin"/>
                    </w:r>
                    <w:r>
                      <w:instrText xml:space="preserve"> PAGE  \* MERGEFORMAT </w:instrText>
                    </w:r>
                    <w:r>
                      <w:fldChar w:fldCharType="separate"/>
                    </w:r>
                    <w:r>
                      <w:rPr>
                        <w:rFonts w:hint="default"/>
                      </w:rP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14624">
    <w:pPr>
      <w:pStyle w:val="29"/>
    </w:pPr>
    <w:r>
      <w:rPr>
        <w:rFonts w:hint="default"/>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BB7D033">
                          <w:pPr>
                            <w:pStyle w:val="29"/>
                          </w:pPr>
                          <w:r>
                            <w:fldChar w:fldCharType="begin"/>
                          </w:r>
                          <w:r>
                            <w:instrText xml:space="preserve"> PAGE  \* MERGEFORMAT </w:instrText>
                          </w:r>
                          <w:r>
                            <w:fldChar w:fldCharType="separate"/>
                          </w:r>
                          <w:r>
                            <w:rPr>
                              <w:rFonts w:hint="default"/>
                            </w:rPr>
                            <w:t>12</w:t>
                          </w:r>
                          <w:r>
                            <w:fldChar w:fldCharType="end"/>
                          </w:r>
                        </w:p>
                      </w:txbxContent>
                    </wps:txbx>
                    <wps:bodyPr vert="horz" wrap="none" lIns="0" tIns="0" rIns="0" bIns="0" anchor="t" anchorCtr="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BPCYi02wEAAMADAAAOAAAAAAAAAAEA&#10;IAAAAB4BAABkcnMvZTJvRG9jLnhtbFBLBQYAAAAABgAGAFkBAABrBQAAAAA=&#10;">
              <v:fill on="f" focussize="0,0"/>
              <v:stroke on="f"/>
              <v:imagedata o:title=""/>
              <o:lock v:ext="edit" aspectratio="f"/>
              <v:textbox inset="0mm,0mm,0mm,0mm" style="mso-fit-shape-to-text:t;">
                <w:txbxContent>
                  <w:p w14:paraId="2BB7D033">
                    <w:pPr>
                      <w:pStyle w:val="29"/>
                    </w:pPr>
                    <w:r>
                      <w:fldChar w:fldCharType="begin"/>
                    </w:r>
                    <w:r>
                      <w:instrText xml:space="preserve"> PAGE  \* MERGEFORMAT </w:instrText>
                    </w:r>
                    <w:r>
                      <w:fldChar w:fldCharType="separate"/>
                    </w:r>
                    <w:r>
                      <w:rPr>
                        <w:rFonts w:hint="default"/>
                      </w:rPr>
                      <w:t>12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5662A">
    <w:pPr>
      <w:pStyle w:val="2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8757EF">
                          <w:pPr>
                            <w:pStyle w:val="29"/>
                          </w:pPr>
                          <w:r>
                            <w:fldChar w:fldCharType="begin"/>
                          </w:r>
                          <w:r>
                            <w:instrText xml:space="preserve"> PAGE  \* MERGEFORMAT </w:instrText>
                          </w:r>
                          <w:r>
                            <w:fldChar w:fldCharType="separate"/>
                          </w:r>
                          <w:r>
                            <w:rPr>
                              <w:rFonts w:hint="default"/>
                            </w:rPr>
                            <w:t>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Y2NaItAgAAVwQAAA4AAABkcnMvZTJvRG9jLnhtbK1UzY7TMBC+I/EO&#10;lu80aYFVqZ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JtX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Y2NaItAgAAVwQAAA4AAAAAAAAAAQAgAAAAHwEAAGRycy9lMm9Eb2MueG1sUEsFBgAAAAAG&#10;AAYAWQEAAL4FAAAAAA==&#10;">
              <v:fill on="f" focussize="0,0"/>
              <v:stroke on="f" weight="0.5pt"/>
              <v:imagedata o:title=""/>
              <o:lock v:ext="edit" aspectratio="f"/>
              <v:textbox inset="0mm,0mm,0mm,0mm" style="mso-fit-shape-to-text:t;">
                <w:txbxContent>
                  <w:p w14:paraId="2F8757EF">
                    <w:pPr>
                      <w:pStyle w:val="29"/>
                    </w:pPr>
                    <w:r>
                      <w:fldChar w:fldCharType="begin"/>
                    </w:r>
                    <w:r>
                      <w:instrText xml:space="preserve"> PAGE  \* MERGEFORMAT </w:instrText>
                    </w:r>
                    <w:r>
                      <w:fldChar w:fldCharType="separate"/>
                    </w:r>
                    <w:r>
                      <w:rPr>
                        <w:rFonts w:hint="default"/>
                      </w:rPr>
                      <w:t>45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383FA">
    <w:pPr>
      <w:pStyle w:val="29"/>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E3ADE6">
                          <w:pPr>
                            <w:pStyle w:val="29"/>
                          </w:pPr>
                          <w:r>
                            <w:fldChar w:fldCharType="begin"/>
                          </w:r>
                          <w:r>
                            <w:instrText xml:space="preserve"> PAGE  \* MERGEFORMAT </w:instrText>
                          </w:r>
                          <w:r>
                            <w:fldChar w:fldCharType="separate"/>
                          </w:r>
                          <w:r>
                            <w:rPr>
                              <w:rFonts w:hint="default"/>
                            </w:rPr>
                            <w:t>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57ZuItAgAAVwQAAA4AAABkcnMvZTJvRG9jLnhtbK1UzY7TMBC+I/EO&#10;lu80adGu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57ZuItAgAAVwQAAA4AAAAAAAAAAQAgAAAAHwEAAGRycy9lMm9Eb2MueG1sUEsFBgAAAAAG&#10;AAYAWQEAAL4FAAAAAA==&#10;">
              <v:fill on="f" focussize="0,0"/>
              <v:stroke on="f" weight="0.5pt"/>
              <v:imagedata o:title=""/>
              <o:lock v:ext="edit" aspectratio="f"/>
              <v:textbox inset="0mm,0mm,0mm,0mm" style="mso-fit-shape-to-text:t;">
                <w:txbxContent>
                  <w:p w14:paraId="70E3ADE6">
                    <w:pPr>
                      <w:pStyle w:val="29"/>
                    </w:pPr>
                    <w:r>
                      <w:fldChar w:fldCharType="begin"/>
                    </w:r>
                    <w:r>
                      <w:instrText xml:space="preserve"> PAGE  \* MERGEFORMAT </w:instrText>
                    </w:r>
                    <w:r>
                      <w:fldChar w:fldCharType="separate"/>
                    </w:r>
                    <w:r>
                      <w:rPr>
                        <w:rFonts w:hint="default"/>
                      </w:rPr>
                      <w:t>61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EDA15">
    <w:pPr>
      <w:pStyle w:val="29"/>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D89167">
                          <w:pPr>
                            <w:pStyle w:val="29"/>
                          </w:pPr>
                          <w:r>
                            <w:fldChar w:fldCharType="begin"/>
                          </w:r>
                          <w:r>
                            <w:instrText xml:space="preserve"> PAGE  \* MERGEFORMAT </w:instrText>
                          </w:r>
                          <w:r>
                            <w:fldChar w:fldCharType="separate"/>
                          </w:r>
                          <w:r>
                            <w:rPr>
                              <w:rFonts w:hint="default"/>
                            </w:rP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DD89167">
                    <w:pPr>
                      <w:pStyle w:val="29"/>
                    </w:pPr>
                    <w:r>
                      <w:fldChar w:fldCharType="begin"/>
                    </w:r>
                    <w:r>
                      <w:instrText xml:space="preserve"> PAGE  \* MERGEFORMAT </w:instrText>
                    </w:r>
                    <w:r>
                      <w:fldChar w:fldCharType="separate"/>
                    </w:r>
                    <w:r>
                      <w:rPr>
                        <w:rFonts w:hint="default"/>
                      </w:rPr>
                      <w:t>71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FFFA4">
    <w:pPr>
      <w:pStyle w:val="29"/>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2" name="文本框 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69488F">
                          <w:pPr>
                            <w:pStyle w:val="29"/>
                          </w:pPr>
                          <w:r>
                            <w:fldChar w:fldCharType="begin"/>
                          </w:r>
                          <w:r>
                            <w:instrText xml:space="preserve"> PAGE  \* MERGEFORMAT </w:instrText>
                          </w:r>
                          <w:r>
                            <w:fldChar w:fldCharType="separate"/>
                          </w:r>
                          <w:r>
                            <w:rPr>
                              <w:rFonts w:hint="default"/>
                            </w:rP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wcprws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LBymvCwCAABZBAAADgAAAAAAAAABACAAAAAfAQAAZHJzL2Uyb0RvYy54bWxQSwUGAAAAAAYA&#10;BgBZAQAAvQUAAAAA&#10;">
              <v:fill on="f" focussize="0,0"/>
              <v:stroke on="f" weight="0.5pt"/>
              <v:imagedata o:title=""/>
              <o:lock v:ext="edit" aspectratio="f"/>
              <v:textbox inset="0mm,0mm,0mm,0mm" style="mso-fit-shape-to-text:t;">
                <w:txbxContent>
                  <w:p w14:paraId="7569488F">
                    <w:pPr>
                      <w:pStyle w:val="29"/>
                    </w:pPr>
                    <w:r>
                      <w:fldChar w:fldCharType="begin"/>
                    </w:r>
                    <w:r>
                      <w:instrText xml:space="preserve"> PAGE  \* MERGEFORMAT </w:instrText>
                    </w:r>
                    <w:r>
                      <w:fldChar w:fldCharType="separate"/>
                    </w:r>
                    <w:r>
                      <w:rPr>
                        <w:rFonts w:hint="default"/>
                      </w:rPr>
                      <w:t>71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2104C">
    <w:pPr>
      <w:pStyle w:val="29"/>
      <w:ind w:right="36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 name="文本框 1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02A801">
                          <w:pPr>
                            <w:pStyle w:val="29"/>
                          </w:pPr>
                          <w:r>
                            <w:fldChar w:fldCharType="begin"/>
                          </w:r>
                          <w:r>
                            <w:instrText xml:space="preserve"> PAGE  \* MERGEFORMAT </w:instrText>
                          </w:r>
                          <w:r>
                            <w:fldChar w:fldCharType="separate"/>
                          </w:r>
                          <w:r>
                            <w:rPr>
                              <w:rFonts w:hint="default"/>
                            </w:rPr>
                            <w:t>141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DiuEtAgAAWQ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JDiuEtAgAAWQQAAA4AAAAAAAAAAQAgAAAAHwEAAGRycy9lMm9Eb2MueG1sUEsFBgAAAAAG&#10;AAYAWQEAAL4FAAAAAA==&#10;">
              <v:fill on="f" focussize="0,0"/>
              <v:stroke on="f" weight="0.5pt"/>
              <v:imagedata o:title=""/>
              <o:lock v:ext="edit" aspectratio="f"/>
              <v:textbox inset="0mm,0mm,0mm,0mm" style="mso-fit-shape-to-text:t;">
                <w:txbxContent>
                  <w:p w14:paraId="5102A801">
                    <w:pPr>
                      <w:pStyle w:val="29"/>
                    </w:pPr>
                    <w:r>
                      <w:fldChar w:fldCharType="begin"/>
                    </w:r>
                    <w:r>
                      <w:instrText xml:space="preserve"> PAGE  \* MERGEFORMAT </w:instrText>
                    </w:r>
                    <w:r>
                      <w:fldChar w:fldCharType="separate"/>
                    </w:r>
                    <w:r>
                      <w:rPr>
                        <w:rFonts w:hint="default"/>
                      </w:rPr>
                      <w:t>141</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16AEB23"/>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ytsHcxAgAAZ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dYwVaRp6mEipKz1aod23&#10;Pc+9Kc6g6Uw3Kd7yTY1StsyHB+YwGigfjyfcYymlQUrTW5RUxn3513mMR8fgpaTBqOVU42VRIt9r&#10;dBKAYTDcYOwHQx/VncHsojmoJZm44IIczNIZ9RkvahVzwMU0R6achsG8C92440VysVqlIMyeZWGr&#10;d5ZH6CiPt6tjgJxJ5ShKpwS6EzeYvtSn/qXE8f5zn6Ie/w7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8rbB3MQIAAGUEAAAOAAAAAAAAAAEAIAAAAB8BAABkcnMvZTJvRG9jLnhtbFBLBQYA&#10;AAAABgAGAFkBAADCBQAAAAA=&#10;">
              <v:fill on="f" focussize="0,0"/>
              <v:stroke on="f" weight="0.5pt"/>
              <v:imagedata o:title=""/>
              <o:lock v:ext="edit" aspectratio="f"/>
              <v:textbox inset="0mm,0mm,0mm,0mm" style="mso-fit-shape-to-text:t;">
                <w:txbxContent>
                  <w:p w14:paraId="116AEB23"/>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AE4BC">
    <w:pPr>
      <w:pStyle w:val="16"/>
      <w:spacing w:line="189" w:lineRule="auto"/>
      <w:ind w:left="4716"/>
      <w:rPr>
        <w:rFonts w:hint="eastAsia"/>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527050" cy="490220"/>
              <wp:effectExtent l="0" t="0" r="0" b="0"/>
              <wp:wrapNone/>
              <wp:docPr id="124" name="文本框 124"/>
              <wp:cNvGraphicFramePr/>
              <a:graphic xmlns:a="http://schemas.openxmlformats.org/drawingml/2006/main">
                <a:graphicData uri="http://schemas.microsoft.com/office/word/2010/wordprocessingShape">
                  <wps:wsp>
                    <wps:cNvSpPr txBox="1"/>
                    <wps:spPr>
                      <a:xfrm>
                        <a:off x="0" y="0"/>
                        <a:ext cx="527050" cy="4902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1244B0">
                          <w:pPr>
                            <w:pStyle w:val="29"/>
                          </w:pPr>
                          <w:r>
                            <w:fldChar w:fldCharType="begin"/>
                          </w:r>
                          <w:r>
                            <w:instrText xml:space="preserve"> PAGE  \* MERGEFORMAT </w:instrText>
                          </w:r>
                          <w:r>
                            <w:fldChar w:fldCharType="separate"/>
                          </w:r>
                          <w:r>
                            <w:rPr>
                              <w:rFonts w:hint="default"/>
                            </w:rPr>
                            <w:t>145</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38.6pt;width:41.5pt;mso-position-horizontal:center;mso-position-horizontal-relative:margin;z-index:251666432;mso-width-relative:page;mso-height-relative:page;" filled="f" stroked="f" coordsize="21600,21600" o:gfxdata="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CZr1gnSAAAAAwEAAA8AAAAAAAAAAQAgAAAAIgAAAGRycy9kb3ducmV2LnhtbFBLAQIU&#10;ABQAAAAIAIdO4kC9YoewMgIAAFkEAAAOAAAAAAAAAAEAIAAAACEBAABkcnMvZTJvRG9jLnhtbFBL&#10;BQYAAAAABgAGAFkBAADFBQAAAAA=&#10;">
              <v:fill on="f" focussize="0,0"/>
              <v:stroke on="f" weight="0.5pt"/>
              <v:imagedata o:title=""/>
              <o:lock v:ext="edit" aspectratio="f"/>
              <v:textbox inset="0mm,0mm,0mm,0mm">
                <w:txbxContent>
                  <w:p w14:paraId="0C1244B0">
                    <w:pPr>
                      <w:pStyle w:val="29"/>
                    </w:pPr>
                    <w:r>
                      <w:fldChar w:fldCharType="begin"/>
                    </w:r>
                    <w:r>
                      <w:instrText xml:space="preserve"> PAGE  \* MERGEFORMAT </w:instrText>
                    </w:r>
                    <w:r>
                      <w:fldChar w:fldCharType="separate"/>
                    </w:r>
                    <w:r>
                      <w:rPr>
                        <w:rFonts w:hint="default"/>
                      </w:rPr>
                      <w:t>145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582EB">
    <w:pPr>
      <w:pStyle w:val="29"/>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B85FE">
    <w:pPr>
      <w:pStyle w:val="29"/>
      <w:ind w:right="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9F187D5"/>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69F187D5"/>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78C9E">
    <w:pPr>
      <w:pStyle w:val="3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D79FB">
    <w:pPr>
      <w:pStyle w:val="214"/>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7697F">
    <w:pPr>
      <w:pStyle w:val="30"/>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A29D1">
    <w:pPr>
      <w:pStyle w:val="3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2822864"/>
    <w:multiLevelType w:val="singleLevel"/>
    <w:tmpl w:val="C2822864"/>
    <w:lvl w:ilvl="0" w:tentative="0">
      <w:start w:val="10"/>
      <w:numFmt w:val="decimal"/>
      <w:lvlText w:val="%1."/>
      <w:lvlJc w:val="left"/>
      <w:pPr>
        <w:tabs>
          <w:tab w:val="left" w:pos="312"/>
        </w:tabs>
      </w:pPr>
    </w:lvl>
  </w:abstractNum>
  <w:abstractNum w:abstractNumId="2">
    <w:nsid w:val="CDB61949"/>
    <w:multiLevelType w:val="singleLevel"/>
    <w:tmpl w:val="CDB61949"/>
    <w:lvl w:ilvl="0" w:tentative="0">
      <w:start w:val="6"/>
      <w:numFmt w:val="decimal"/>
      <w:suff w:val="space"/>
      <w:lvlText w:val="%1."/>
      <w:lvlJc w:val="left"/>
    </w:lvl>
  </w:abstractNum>
  <w:abstractNum w:abstractNumId="3">
    <w:nsid w:val="CDEEA42E"/>
    <w:multiLevelType w:val="singleLevel"/>
    <w:tmpl w:val="CDEEA42E"/>
    <w:lvl w:ilvl="0" w:tentative="0">
      <w:start w:val="1"/>
      <w:numFmt w:val="decimal"/>
      <w:suff w:val="nothing"/>
      <w:lvlText w:val="（%1）"/>
      <w:lvlJc w:val="left"/>
    </w:lvl>
  </w:abstractNum>
  <w:abstractNum w:abstractNumId="4">
    <w:nsid w:val="CE5A28F9"/>
    <w:multiLevelType w:val="singleLevel"/>
    <w:tmpl w:val="CE5A28F9"/>
    <w:lvl w:ilvl="0" w:tentative="0">
      <w:start w:val="4"/>
      <w:numFmt w:val="decimal"/>
      <w:suff w:val="nothing"/>
      <w:lvlText w:val="%1、"/>
      <w:lvlJc w:val="left"/>
    </w:lvl>
  </w:abstractNum>
  <w:abstractNum w:abstractNumId="5">
    <w:nsid w:val="CFE7C3F8"/>
    <w:multiLevelType w:val="singleLevel"/>
    <w:tmpl w:val="CFE7C3F8"/>
    <w:lvl w:ilvl="0" w:tentative="0">
      <w:start w:val="1"/>
      <w:numFmt w:val="decimal"/>
      <w:suff w:val="nothing"/>
      <w:lvlText w:val="（%1）"/>
      <w:lvlJc w:val="left"/>
    </w:lvl>
  </w:abstractNum>
  <w:abstractNum w:abstractNumId="6">
    <w:nsid w:val="DBB86F32"/>
    <w:multiLevelType w:val="singleLevel"/>
    <w:tmpl w:val="DBB86F32"/>
    <w:lvl w:ilvl="0" w:tentative="0">
      <w:start w:val="2"/>
      <w:numFmt w:val="decimal"/>
      <w:suff w:val="nothing"/>
      <w:lvlText w:val="（%1）"/>
      <w:lvlJc w:val="left"/>
    </w:lvl>
  </w:abstractNum>
  <w:abstractNum w:abstractNumId="7">
    <w:nsid w:val="DDECD3BC"/>
    <w:multiLevelType w:val="singleLevel"/>
    <w:tmpl w:val="DDECD3BC"/>
    <w:lvl w:ilvl="0" w:tentative="0">
      <w:start w:val="6"/>
      <w:numFmt w:val="decimal"/>
      <w:suff w:val="space"/>
      <w:lvlText w:val="%1."/>
      <w:lvlJc w:val="left"/>
    </w:lvl>
  </w:abstractNum>
  <w:abstractNum w:abstractNumId="8">
    <w:nsid w:val="DE759F4B"/>
    <w:multiLevelType w:val="singleLevel"/>
    <w:tmpl w:val="DE759F4B"/>
    <w:lvl w:ilvl="0" w:tentative="0">
      <w:start w:val="2"/>
      <w:numFmt w:val="decimal"/>
      <w:suff w:val="space"/>
      <w:lvlText w:val="%1."/>
      <w:lvlJc w:val="left"/>
    </w:lvl>
  </w:abstractNum>
  <w:abstractNum w:abstractNumId="9">
    <w:nsid w:val="DEABE1DB"/>
    <w:multiLevelType w:val="singleLevel"/>
    <w:tmpl w:val="DEABE1DB"/>
    <w:lvl w:ilvl="0" w:tentative="0">
      <w:start w:val="23"/>
      <w:numFmt w:val="decimal"/>
      <w:suff w:val="space"/>
      <w:lvlText w:val="%1."/>
      <w:lvlJc w:val="left"/>
    </w:lvl>
  </w:abstractNum>
  <w:abstractNum w:abstractNumId="10">
    <w:nsid w:val="DFC7208C"/>
    <w:multiLevelType w:val="singleLevel"/>
    <w:tmpl w:val="DFC7208C"/>
    <w:lvl w:ilvl="0" w:tentative="0">
      <w:start w:val="18"/>
      <w:numFmt w:val="decimal"/>
      <w:lvlText w:val="%1."/>
      <w:lvlJc w:val="left"/>
      <w:pPr>
        <w:tabs>
          <w:tab w:val="left" w:pos="312"/>
        </w:tabs>
      </w:pPr>
    </w:lvl>
  </w:abstractNum>
  <w:abstractNum w:abstractNumId="11">
    <w:nsid w:val="F6FB636C"/>
    <w:multiLevelType w:val="singleLevel"/>
    <w:tmpl w:val="F6FB636C"/>
    <w:lvl w:ilvl="0" w:tentative="0">
      <w:start w:val="28"/>
      <w:numFmt w:val="decimal"/>
      <w:suff w:val="space"/>
      <w:lvlText w:val="%1."/>
      <w:lvlJc w:val="left"/>
    </w:lvl>
  </w:abstractNum>
  <w:abstractNum w:abstractNumId="12">
    <w:nsid w:val="F7F65B83"/>
    <w:multiLevelType w:val="singleLevel"/>
    <w:tmpl w:val="F7F65B83"/>
    <w:lvl w:ilvl="0" w:tentative="0">
      <w:start w:val="33"/>
      <w:numFmt w:val="decimal"/>
      <w:suff w:val="space"/>
      <w:lvlText w:val="%1."/>
      <w:lvlJc w:val="left"/>
    </w:lvl>
  </w:abstractNum>
  <w:abstractNum w:abstractNumId="13">
    <w:nsid w:val="FFBC1A21"/>
    <w:multiLevelType w:val="singleLevel"/>
    <w:tmpl w:val="FFBC1A21"/>
    <w:lvl w:ilvl="0" w:tentative="0">
      <w:start w:val="14"/>
      <w:numFmt w:val="decimal"/>
      <w:suff w:val="space"/>
      <w:lvlText w:val="%1."/>
      <w:lvlJc w:val="left"/>
    </w:lvl>
  </w:abstractNum>
  <w:abstractNum w:abstractNumId="14">
    <w:nsid w:val="FFEFC674"/>
    <w:multiLevelType w:val="singleLevel"/>
    <w:tmpl w:val="FFEFC674"/>
    <w:lvl w:ilvl="0" w:tentative="0">
      <w:start w:val="1"/>
      <w:numFmt w:val="decimal"/>
      <w:suff w:val="nothing"/>
      <w:lvlText w:val="（%1）"/>
      <w:lvlJc w:val="left"/>
    </w:lvl>
  </w:abstractNum>
  <w:abstractNum w:abstractNumId="15">
    <w:nsid w:val="62656752"/>
    <w:multiLevelType w:val="multilevel"/>
    <w:tmpl w:val="62656752"/>
    <w:lvl w:ilvl="0" w:tentative="0">
      <w:start w:val="11"/>
      <w:numFmt w:val="decimal"/>
      <w:suff w:val="nothing"/>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6">
    <w:nsid w:val="7A0F6431"/>
    <w:multiLevelType w:val="singleLevel"/>
    <w:tmpl w:val="7A0F6431"/>
    <w:lvl w:ilvl="0" w:tentative="0">
      <w:start w:val="1"/>
      <w:numFmt w:val="decimal"/>
      <w:suff w:val="space"/>
      <w:lvlText w:val="%1."/>
      <w:lvlJc w:val="left"/>
    </w:lvl>
  </w:abstractNum>
  <w:abstractNum w:abstractNumId="17">
    <w:nsid w:val="7BFFE9E6"/>
    <w:multiLevelType w:val="singleLevel"/>
    <w:tmpl w:val="7BFFE9E6"/>
    <w:lvl w:ilvl="0" w:tentative="0">
      <w:start w:val="27"/>
      <w:numFmt w:val="decimal"/>
      <w:suff w:val="space"/>
      <w:lvlText w:val="%1."/>
      <w:lvlJc w:val="left"/>
    </w:lvl>
  </w:abstractNum>
  <w:abstractNum w:abstractNumId="18">
    <w:nsid w:val="7F7BE2C3"/>
    <w:multiLevelType w:val="singleLevel"/>
    <w:tmpl w:val="7F7BE2C3"/>
    <w:lvl w:ilvl="0" w:tentative="0">
      <w:start w:val="1"/>
      <w:numFmt w:val="chineseCounting"/>
      <w:suff w:val="space"/>
      <w:lvlText w:val="第%1章"/>
      <w:lvlJc w:val="left"/>
      <w:rPr>
        <w:rFonts w:hint="eastAsia"/>
      </w:rPr>
    </w:lvl>
  </w:abstractNum>
  <w:num w:numId="1">
    <w:abstractNumId w:val="3"/>
  </w:num>
  <w:num w:numId="2">
    <w:abstractNumId w:val="2"/>
  </w:num>
  <w:num w:numId="3">
    <w:abstractNumId w:val="18"/>
  </w:num>
  <w:num w:numId="4">
    <w:abstractNumId w:val="15"/>
  </w:num>
  <w:num w:numId="5">
    <w:abstractNumId w:val="13"/>
  </w:num>
  <w:num w:numId="6">
    <w:abstractNumId w:val="10"/>
  </w:num>
  <w:num w:numId="7">
    <w:abstractNumId w:val="17"/>
  </w:num>
  <w:num w:numId="8">
    <w:abstractNumId w:val="11"/>
  </w:num>
  <w:num w:numId="9">
    <w:abstractNumId w:val="12"/>
  </w:num>
  <w:num w:numId="10">
    <w:abstractNumId w:val="6"/>
  </w:num>
  <w:num w:numId="11">
    <w:abstractNumId w:val="1"/>
  </w:num>
  <w:num w:numId="12">
    <w:abstractNumId w:val="4"/>
  </w:num>
  <w:num w:numId="13">
    <w:abstractNumId w:val="16"/>
  </w:num>
  <w:num w:numId="14">
    <w:abstractNumId w:val="5"/>
  </w:num>
  <w:num w:numId="15">
    <w:abstractNumId w:val="14"/>
  </w:num>
  <w:num w:numId="16">
    <w:abstractNumId w:val="8"/>
  </w:num>
  <w:num w:numId="17">
    <w:abstractNumId w:val="7"/>
  </w:num>
  <w:num w:numId="18">
    <w:abstractNumId w:val="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U1MzFhYzhmZjhiNDYxODI2ODA4MjU5OTdjNTI2NGIifQ=="/>
  </w:docVars>
  <w:rsids>
    <w:rsidRoot w:val="00216A94"/>
    <w:rsid w:val="00004FD1"/>
    <w:rsid w:val="00005275"/>
    <w:rsid w:val="00005D94"/>
    <w:rsid w:val="00006423"/>
    <w:rsid w:val="00006B8E"/>
    <w:rsid w:val="0001575B"/>
    <w:rsid w:val="00021DA0"/>
    <w:rsid w:val="00021E1A"/>
    <w:rsid w:val="00023995"/>
    <w:rsid w:val="00024FC9"/>
    <w:rsid w:val="00025EED"/>
    <w:rsid w:val="000278F5"/>
    <w:rsid w:val="00031DEB"/>
    <w:rsid w:val="00032AA1"/>
    <w:rsid w:val="000340B2"/>
    <w:rsid w:val="00036551"/>
    <w:rsid w:val="000416C2"/>
    <w:rsid w:val="00043C9B"/>
    <w:rsid w:val="00047218"/>
    <w:rsid w:val="00050DDF"/>
    <w:rsid w:val="000565C6"/>
    <w:rsid w:val="00056878"/>
    <w:rsid w:val="00060BC3"/>
    <w:rsid w:val="0006265A"/>
    <w:rsid w:val="000632EC"/>
    <w:rsid w:val="000702AC"/>
    <w:rsid w:val="000708D6"/>
    <w:rsid w:val="00071BA3"/>
    <w:rsid w:val="00073877"/>
    <w:rsid w:val="00073941"/>
    <w:rsid w:val="000768FB"/>
    <w:rsid w:val="00086D49"/>
    <w:rsid w:val="000932F8"/>
    <w:rsid w:val="0009381F"/>
    <w:rsid w:val="000969AD"/>
    <w:rsid w:val="000A0377"/>
    <w:rsid w:val="000A25C2"/>
    <w:rsid w:val="000A3106"/>
    <w:rsid w:val="000A47AD"/>
    <w:rsid w:val="000A5DBF"/>
    <w:rsid w:val="000A7D7D"/>
    <w:rsid w:val="000B340A"/>
    <w:rsid w:val="000B4673"/>
    <w:rsid w:val="000B69C5"/>
    <w:rsid w:val="000B7ED5"/>
    <w:rsid w:val="000C2377"/>
    <w:rsid w:val="000C2900"/>
    <w:rsid w:val="000C4280"/>
    <w:rsid w:val="000C46FC"/>
    <w:rsid w:val="000C69DF"/>
    <w:rsid w:val="000D236B"/>
    <w:rsid w:val="000D5739"/>
    <w:rsid w:val="000E1629"/>
    <w:rsid w:val="000E3CD1"/>
    <w:rsid w:val="000F264F"/>
    <w:rsid w:val="000F3E1F"/>
    <w:rsid w:val="000F48D2"/>
    <w:rsid w:val="000F66AA"/>
    <w:rsid w:val="00103728"/>
    <w:rsid w:val="0010547B"/>
    <w:rsid w:val="0011396E"/>
    <w:rsid w:val="00114D5C"/>
    <w:rsid w:val="001160E4"/>
    <w:rsid w:val="00116BFC"/>
    <w:rsid w:val="0011787C"/>
    <w:rsid w:val="00120BC0"/>
    <w:rsid w:val="00126C52"/>
    <w:rsid w:val="00127A95"/>
    <w:rsid w:val="00133AC5"/>
    <w:rsid w:val="00135422"/>
    <w:rsid w:val="001366CB"/>
    <w:rsid w:val="00136E1F"/>
    <w:rsid w:val="001371D6"/>
    <w:rsid w:val="001435EA"/>
    <w:rsid w:val="00145D83"/>
    <w:rsid w:val="00146A9F"/>
    <w:rsid w:val="0015547B"/>
    <w:rsid w:val="00156B7A"/>
    <w:rsid w:val="00157847"/>
    <w:rsid w:val="001578B2"/>
    <w:rsid w:val="00165A43"/>
    <w:rsid w:val="00167E96"/>
    <w:rsid w:val="00172EEA"/>
    <w:rsid w:val="00175178"/>
    <w:rsid w:val="001753E4"/>
    <w:rsid w:val="00180537"/>
    <w:rsid w:val="001811B2"/>
    <w:rsid w:val="001828B5"/>
    <w:rsid w:val="00186AD3"/>
    <w:rsid w:val="00191343"/>
    <w:rsid w:val="00196B51"/>
    <w:rsid w:val="001A1CC3"/>
    <w:rsid w:val="001A3C78"/>
    <w:rsid w:val="001B0480"/>
    <w:rsid w:val="001B0C4C"/>
    <w:rsid w:val="001C05D8"/>
    <w:rsid w:val="001C42D2"/>
    <w:rsid w:val="001D05D6"/>
    <w:rsid w:val="001D07E6"/>
    <w:rsid w:val="001D16CC"/>
    <w:rsid w:val="001D1848"/>
    <w:rsid w:val="001D3EBB"/>
    <w:rsid w:val="001E0808"/>
    <w:rsid w:val="001E2BFA"/>
    <w:rsid w:val="001E51B2"/>
    <w:rsid w:val="001E6E75"/>
    <w:rsid w:val="001F1D9E"/>
    <w:rsid w:val="001F26E4"/>
    <w:rsid w:val="001F5548"/>
    <w:rsid w:val="001F68EC"/>
    <w:rsid w:val="00201398"/>
    <w:rsid w:val="00202E75"/>
    <w:rsid w:val="00211F53"/>
    <w:rsid w:val="0021380F"/>
    <w:rsid w:val="00215C70"/>
    <w:rsid w:val="00216A94"/>
    <w:rsid w:val="00217F9F"/>
    <w:rsid w:val="002217C2"/>
    <w:rsid w:val="00222E98"/>
    <w:rsid w:val="002308D9"/>
    <w:rsid w:val="0023381A"/>
    <w:rsid w:val="00234100"/>
    <w:rsid w:val="00237AA2"/>
    <w:rsid w:val="002429E1"/>
    <w:rsid w:val="002453BA"/>
    <w:rsid w:val="00263D77"/>
    <w:rsid w:val="00264773"/>
    <w:rsid w:val="00265330"/>
    <w:rsid w:val="00266BCE"/>
    <w:rsid w:val="002675A7"/>
    <w:rsid w:val="00270F4D"/>
    <w:rsid w:val="002717B2"/>
    <w:rsid w:val="00271A89"/>
    <w:rsid w:val="00273B04"/>
    <w:rsid w:val="002740BF"/>
    <w:rsid w:val="00275174"/>
    <w:rsid w:val="00280746"/>
    <w:rsid w:val="00284041"/>
    <w:rsid w:val="00284CA2"/>
    <w:rsid w:val="002957EA"/>
    <w:rsid w:val="00296A9C"/>
    <w:rsid w:val="002A0332"/>
    <w:rsid w:val="002A05BB"/>
    <w:rsid w:val="002A19E6"/>
    <w:rsid w:val="002A5A62"/>
    <w:rsid w:val="002B1CC1"/>
    <w:rsid w:val="002B216E"/>
    <w:rsid w:val="002B7492"/>
    <w:rsid w:val="002C0552"/>
    <w:rsid w:val="002C1BE6"/>
    <w:rsid w:val="002C1C59"/>
    <w:rsid w:val="002C7501"/>
    <w:rsid w:val="002D1926"/>
    <w:rsid w:val="002D1B9B"/>
    <w:rsid w:val="002D1CE4"/>
    <w:rsid w:val="002D288C"/>
    <w:rsid w:val="002D6307"/>
    <w:rsid w:val="002D6BE0"/>
    <w:rsid w:val="002D73F7"/>
    <w:rsid w:val="002E01C1"/>
    <w:rsid w:val="002E4C24"/>
    <w:rsid w:val="002F0A24"/>
    <w:rsid w:val="002F2B70"/>
    <w:rsid w:val="002F5891"/>
    <w:rsid w:val="002F6E37"/>
    <w:rsid w:val="00301785"/>
    <w:rsid w:val="003058F9"/>
    <w:rsid w:val="00306093"/>
    <w:rsid w:val="00306509"/>
    <w:rsid w:val="00306A22"/>
    <w:rsid w:val="00312148"/>
    <w:rsid w:val="00312F8B"/>
    <w:rsid w:val="003146DD"/>
    <w:rsid w:val="0031536D"/>
    <w:rsid w:val="00317F86"/>
    <w:rsid w:val="00320857"/>
    <w:rsid w:val="0032097B"/>
    <w:rsid w:val="00345A3F"/>
    <w:rsid w:val="00352320"/>
    <w:rsid w:val="00352430"/>
    <w:rsid w:val="00353289"/>
    <w:rsid w:val="00354D01"/>
    <w:rsid w:val="00354EBD"/>
    <w:rsid w:val="0036322F"/>
    <w:rsid w:val="00363B9D"/>
    <w:rsid w:val="00365D57"/>
    <w:rsid w:val="003660D9"/>
    <w:rsid w:val="00366FCE"/>
    <w:rsid w:val="00366FD5"/>
    <w:rsid w:val="00371583"/>
    <w:rsid w:val="003774E9"/>
    <w:rsid w:val="00380482"/>
    <w:rsid w:val="00384692"/>
    <w:rsid w:val="00384A38"/>
    <w:rsid w:val="00390856"/>
    <w:rsid w:val="00391AF2"/>
    <w:rsid w:val="003920CD"/>
    <w:rsid w:val="00393389"/>
    <w:rsid w:val="0039526F"/>
    <w:rsid w:val="003A05F2"/>
    <w:rsid w:val="003A23B2"/>
    <w:rsid w:val="003A2448"/>
    <w:rsid w:val="003A4E2B"/>
    <w:rsid w:val="003A557B"/>
    <w:rsid w:val="003A6B66"/>
    <w:rsid w:val="003A7DAA"/>
    <w:rsid w:val="003C28DE"/>
    <w:rsid w:val="003D0757"/>
    <w:rsid w:val="003D1BE3"/>
    <w:rsid w:val="003D2432"/>
    <w:rsid w:val="003D2ECD"/>
    <w:rsid w:val="003D7910"/>
    <w:rsid w:val="003E26F2"/>
    <w:rsid w:val="003E529B"/>
    <w:rsid w:val="003E5A26"/>
    <w:rsid w:val="003E6E99"/>
    <w:rsid w:val="003F474C"/>
    <w:rsid w:val="00402742"/>
    <w:rsid w:val="00403E09"/>
    <w:rsid w:val="00404BF9"/>
    <w:rsid w:val="00405A46"/>
    <w:rsid w:val="00413EAF"/>
    <w:rsid w:val="0042112D"/>
    <w:rsid w:val="004215D5"/>
    <w:rsid w:val="0042798D"/>
    <w:rsid w:val="0043342F"/>
    <w:rsid w:val="00435C05"/>
    <w:rsid w:val="00435C21"/>
    <w:rsid w:val="00437540"/>
    <w:rsid w:val="00437B2F"/>
    <w:rsid w:val="00447E66"/>
    <w:rsid w:val="00452AC8"/>
    <w:rsid w:val="00456866"/>
    <w:rsid w:val="00463F76"/>
    <w:rsid w:val="0046550B"/>
    <w:rsid w:val="0046605B"/>
    <w:rsid w:val="004667CC"/>
    <w:rsid w:val="004670FA"/>
    <w:rsid w:val="00467FEF"/>
    <w:rsid w:val="00471D79"/>
    <w:rsid w:val="00473031"/>
    <w:rsid w:val="00482833"/>
    <w:rsid w:val="00482C19"/>
    <w:rsid w:val="00482FDF"/>
    <w:rsid w:val="004837B6"/>
    <w:rsid w:val="00483DCB"/>
    <w:rsid w:val="004857F0"/>
    <w:rsid w:val="00487DD0"/>
    <w:rsid w:val="004A700E"/>
    <w:rsid w:val="004B5931"/>
    <w:rsid w:val="004B7DB7"/>
    <w:rsid w:val="004C1A1D"/>
    <w:rsid w:val="004C3322"/>
    <w:rsid w:val="004C46C9"/>
    <w:rsid w:val="004C47F1"/>
    <w:rsid w:val="004C58BA"/>
    <w:rsid w:val="004C58ED"/>
    <w:rsid w:val="004C76CA"/>
    <w:rsid w:val="004D27C7"/>
    <w:rsid w:val="004E4CF2"/>
    <w:rsid w:val="004E4D65"/>
    <w:rsid w:val="004E510D"/>
    <w:rsid w:val="004F1E48"/>
    <w:rsid w:val="004F291E"/>
    <w:rsid w:val="004F480E"/>
    <w:rsid w:val="004F64EF"/>
    <w:rsid w:val="00500B15"/>
    <w:rsid w:val="00500B3D"/>
    <w:rsid w:val="00501D3B"/>
    <w:rsid w:val="0050673E"/>
    <w:rsid w:val="00506A6C"/>
    <w:rsid w:val="00506DA2"/>
    <w:rsid w:val="00512B11"/>
    <w:rsid w:val="00514A09"/>
    <w:rsid w:val="0052502D"/>
    <w:rsid w:val="00525434"/>
    <w:rsid w:val="00526B78"/>
    <w:rsid w:val="00527E6F"/>
    <w:rsid w:val="005303C7"/>
    <w:rsid w:val="00533BA6"/>
    <w:rsid w:val="00533EE8"/>
    <w:rsid w:val="00535AC9"/>
    <w:rsid w:val="00537B31"/>
    <w:rsid w:val="00540CEF"/>
    <w:rsid w:val="00542949"/>
    <w:rsid w:val="00551EB7"/>
    <w:rsid w:val="00555A67"/>
    <w:rsid w:val="00555E7C"/>
    <w:rsid w:val="00560CC3"/>
    <w:rsid w:val="005616CA"/>
    <w:rsid w:val="005620CB"/>
    <w:rsid w:val="00562560"/>
    <w:rsid w:val="005715E1"/>
    <w:rsid w:val="005720FA"/>
    <w:rsid w:val="00574428"/>
    <w:rsid w:val="0058187A"/>
    <w:rsid w:val="005859D7"/>
    <w:rsid w:val="005864C5"/>
    <w:rsid w:val="00587507"/>
    <w:rsid w:val="00591976"/>
    <w:rsid w:val="00592788"/>
    <w:rsid w:val="00592E0E"/>
    <w:rsid w:val="00593D29"/>
    <w:rsid w:val="005949DE"/>
    <w:rsid w:val="005968AD"/>
    <w:rsid w:val="00596CBC"/>
    <w:rsid w:val="00597988"/>
    <w:rsid w:val="005A499D"/>
    <w:rsid w:val="005A5982"/>
    <w:rsid w:val="005A6DEB"/>
    <w:rsid w:val="005B0A9E"/>
    <w:rsid w:val="005B4FDC"/>
    <w:rsid w:val="005C0C62"/>
    <w:rsid w:val="005C2EA5"/>
    <w:rsid w:val="005C4CD8"/>
    <w:rsid w:val="005C5A8B"/>
    <w:rsid w:val="005C67A0"/>
    <w:rsid w:val="005C7CEB"/>
    <w:rsid w:val="005D152F"/>
    <w:rsid w:val="005D2A78"/>
    <w:rsid w:val="005D3C26"/>
    <w:rsid w:val="005D53D2"/>
    <w:rsid w:val="005D5840"/>
    <w:rsid w:val="005D6CC6"/>
    <w:rsid w:val="005D7D87"/>
    <w:rsid w:val="005E2A60"/>
    <w:rsid w:val="005E3669"/>
    <w:rsid w:val="005E36FC"/>
    <w:rsid w:val="005E46E0"/>
    <w:rsid w:val="005E7C1C"/>
    <w:rsid w:val="005F7E31"/>
    <w:rsid w:val="006004E8"/>
    <w:rsid w:val="00601C2A"/>
    <w:rsid w:val="0060262A"/>
    <w:rsid w:val="00603CD0"/>
    <w:rsid w:val="0060526A"/>
    <w:rsid w:val="00606C37"/>
    <w:rsid w:val="006100AD"/>
    <w:rsid w:val="006127C7"/>
    <w:rsid w:val="00615EA1"/>
    <w:rsid w:val="00617818"/>
    <w:rsid w:val="00621533"/>
    <w:rsid w:val="00622A81"/>
    <w:rsid w:val="00625D3B"/>
    <w:rsid w:val="00631023"/>
    <w:rsid w:val="00631824"/>
    <w:rsid w:val="00632324"/>
    <w:rsid w:val="0063335D"/>
    <w:rsid w:val="00633639"/>
    <w:rsid w:val="006344AB"/>
    <w:rsid w:val="00634C92"/>
    <w:rsid w:val="006372B2"/>
    <w:rsid w:val="0063791F"/>
    <w:rsid w:val="00640D49"/>
    <w:rsid w:val="00643811"/>
    <w:rsid w:val="00646A5B"/>
    <w:rsid w:val="006473AA"/>
    <w:rsid w:val="00653330"/>
    <w:rsid w:val="00653D3D"/>
    <w:rsid w:val="00663AA2"/>
    <w:rsid w:val="00664196"/>
    <w:rsid w:val="006678F4"/>
    <w:rsid w:val="00673B87"/>
    <w:rsid w:val="00674292"/>
    <w:rsid w:val="00683044"/>
    <w:rsid w:val="00683499"/>
    <w:rsid w:val="006837BF"/>
    <w:rsid w:val="006840A7"/>
    <w:rsid w:val="00696085"/>
    <w:rsid w:val="006965BF"/>
    <w:rsid w:val="0069721F"/>
    <w:rsid w:val="006A0975"/>
    <w:rsid w:val="006A24A3"/>
    <w:rsid w:val="006A5137"/>
    <w:rsid w:val="006B0338"/>
    <w:rsid w:val="006B4F71"/>
    <w:rsid w:val="006C2008"/>
    <w:rsid w:val="006C4C58"/>
    <w:rsid w:val="006C4E85"/>
    <w:rsid w:val="006D2F33"/>
    <w:rsid w:val="006D34E1"/>
    <w:rsid w:val="006D4646"/>
    <w:rsid w:val="006D6FD9"/>
    <w:rsid w:val="006E7DF8"/>
    <w:rsid w:val="006F19B5"/>
    <w:rsid w:val="006F29FE"/>
    <w:rsid w:val="006F563B"/>
    <w:rsid w:val="00700AC2"/>
    <w:rsid w:val="00704218"/>
    <w:rsid w:val="007077FF"/>
    <w:rsid w:val="00707998"/>
    <w:rsid w:val="00712436"/>
    <w:rsid w:val="00712730"/>
    <w:rsid w:val="0071474C"/>
    <w:rsid w:val="00717C57"/>
    <w:rsid w:val="007212C3"/>
    <w:rsid w:val="00721A82"/>
    <w:rsid w:val="00722C18"/>
    <w:rsid w:val="007236E2"/>
    <w:rsid w:val="007316AF"/>
    <w:rsid w:val="00733A37"/>
    <w:rsid w:val="007467AE"/>
    <w:rsid w:val="007578B3"/>
    <w:rsid w:val="00762A9D"/>
    <w:rsid w:val="007654AE"/>
    <w:rsid w:val="00766639"/>
    <w:rsid w:val="00773265"/>
    <w:rsid w:val="00773858"/>
    <w:rsid w:val="0078132B"/>
    <w:rsid w:val="007863FD"/>
    <w:rsid w:val="00787A02"/>
    <w:rsid w:val="00791691"/>
    <w:rsid w:val="007942C6"/>
    <w:rsid w:val="00797E32"/>
    <w:rsid w:val="007A6EFF"/>
    <w:rsid w:val="007A71B7"/>
    <w:rsid w:val="007A75FE"/>
    <w:rsid w:val="007B2B32"/>
    <w:rsid w:val="007C5D46"/>
    <w:rsid w:val="007C6928"/>
    <w:rsid w:val="007E2E71"/>
    <w:rsid w:val="007F24FF"/>
    <w:rsid w:val="007F5B05"/>
    <w:rsid w:val="007F5EE3"/>
    <w:rsid w:val="007F7539"/>
    <w:rsid w:val="00800A5E"/>
    <w:rsid w:val="008011C2"/>
    <w:rsid w:val="00806DF9"/>
    <w:rsid w:val="00811C28"/>
    <w:rsid w:val="008160BF"/>
    <w:rsid w:val="00820819"/>
    <w:rsid w:val="0082258A"/>
    <w:rsid w:val="00822621"/>
    <w:rsid w:val="008255D7"/>
    <w:rsid w:val="00827E7A"/>
    <w:rsid w:val="008309BD"/>
    <w:rsid w:val="0083354D"/>
    <w:rsid w:val="00837E93"/>
    <w:rsid w:val="0084269B"/>
    <w:rsid w:val="008428D3"/>
    <w:rsid w:val="00845162"/>
    <w:rsid w:val="008478DC"/>
    <w:rsid w:val="00854338"/>
    <w:rsid w:val="00854983"/>
    <w:rsid w:val="00862CC4"/>
    <w:rsid w:val="00865BD9"/>
    <w:rsid w:val="00865D77"/>
    <w:rsid w:val="00871A0D"/>
    <w:rsid w:val="00871FC6"/>
    <w:rsid w:val="008728D2"/>
    <w:rsid w:val="008732C4"/>
    <w:rsid w:val="00876721"/>
    <w:rsid w:val="00876DCE"/>
    <w:rsid w:val="0088609F"/>
    <w:rsid w:val="008864B2"/>
    <w:rsid w:val="00892E75"/>
    <w:rsid w:val="0089557C"/>
    <w:rsid w:val="00897797"/>
    <w:rsid w:val="008A556A"/>
    <w:rsid w:val="008B014B"/>
    <w:rsid w:val="008B5436"/>
    <w:rsid w:val="008B5A35"/>
    <w:rsid w:val="008B7D90"/>
    <w:rsid w:val="008C0CC9"/>
    <w:rsid w:val="008C1205"/>
    <w:rsid w:val="008C4291"/>
    <w:rsid w:val="008D7D8F"/>
    <w:rsid w:val="008E1792"/>
    <w:rsid w:val="008E3A1B"/>
    <w:rsid w:val="008E3FA8"/>
    <w:rsid w:val="008E446B"/>
    <w:rsid w:val="008E4E41"/>
    <w:rsid w:val="008F27BD"/>
    <w:rsid w:val="008F2953"/>
    <w:rsid w:val="008F36C9"/>
    <w:rsid w:val="008F3B00"/>
    <w:rsid w:val="0090693F"/>
    <w:rsid w:val="009123B2"/>
    <w:rsid w:val="00912744"/>
    <w:rsid w:val="00916A36"/>
    <w:rsid w:val="00917079"/>
    <w:rsid w:val="00921183"/>
    <w:rsid w:val="00923D5B"/>
    <w:rsid w:val="009350E8"/>
    <w:rsid w:val="009368FC"/>
    <w:rsid w:val="00937F9C"/>
    <w:rsid w:val="00940626"/>
    <w:rsid w:val="00942B50"/>
    <w:rsid w:val="00945DED"/>
    <w:rsid w:val="00947171"/>
    <w:rsid w:val="00951FEE"/>
    <w:rsid w:val="00953DE9"/>
    <w:rsid w:val="00954714"/>
    <w:rsid w:val="00955138"/>
    <w:rsid w:val="009571AC"/>
    <w:rsid w:val="009606DF"/>
    <w:rsid w:val="009619C6"/>
    <w:rsid w:val="00966240"/>
    <w:rsid w:val="00966CB1"/>
    <w:rsid w:val="00971821"/>
    <w:rsid w:val="00973331"/>
    <w:rsid w:val="009776C8"/>
    <w:rsid w:val="00980901"/>
    <w:rsid w:val="00981DD4"/>
    <w:rsid w:val="009839BF"/>
    <w:rsid w:val="00983EF6"/>
    <w:rsid w:val="0098623D"/>
    <w:rsid w:val="00991236"/>
    <w:rsid w:val="00993064"/>
    <w:rsid w:val="00997B5E"/>
    <w:rsid w:val="009A1F1F"/>
    <w:rsid w:val="009B0452"/>
    <w:rsid w:val="009B4CDC"/>
    <w:rsid w:val="009B4DCE"/>
    <w:rsid w:val="009B677A"/>
    <w:rsid w:val="009B72A2"/>
    <w:rsid w:val="009C0491"/>
    <w:rsid w:val="009C15CF"/>
    <w:rsid w:val="009C659A"/>
    <w:rsid w:val="009C670D"/>
    <w:rsid w:val="009D2062"/>
    <w:rsid w:val="009D613A"/>
    <w:rsid w:val="009E0464"/>
    <w:rsid w:val="009E3286"/>
    <w:rsid w:val="009F3C4A"/>
    <w:rsid w:val="009F5748"/>
    <w:rsid w:val="009F6AF2"/>
    <w:rsid w:val="009F72C5"/>
    <w:rsid w:val="00A00809"/>
    <w:rsid w:val="00A02190"/>
    <w:rsid w:val="00A06E38"/>
    <w:rsid w:val="00A1455A"/>
    <w:rsid w:val="00A14736"/>
    <w:rsid w:val="00A15316"/>
    <w:rsid w:val="00A15C7F"/>
    <w:rsid w:val="00A179EE"/>
    <w:rsid w:val="00A235B8"/>
    <w:rsid w:val="00A24B3F"/>
    <w:rsid w:val="00A24E8D"/>
    <w:rsid w:val="00A336E6"/>
    <w:rsid w:val="00A373B6"/>
    <w:rsid w:val="00A404D9"/>
    <w:rsid w:val="00A41C8F"/>
    <w:rsid w:val="00A45467"/>
    <w:rsid w:val="00A516D6"/>
    <w:rsid w:val="00A568A4"/>
    <w:rsid w:val="00A57E90"/>
    <w:rsid w:val="00A6042C"/>
    <w:rsid w:val="00A607EF"/>
    <w:rsid w:val="00A60C63"/>
    <w:rsid w:val="00A6104A"/>
    <w:rsid w:val="00A65171"/>
    <w:rsid w:val="00A66457"/>
    <w:rsid w:val="00A700B5"/>
    <w:rsid w:val="00A72455"/>
    <w:rsid w:val="00A804DF"/>
    <w:rsid w:val="00A82CE8"/>
    <w:rsid w:val="00A83DEB"/>
    <w:rsid w:val="00A90D4C"/>
    <w:rsid w:val="00A91995"/>
    <w:rsid w:val="00A91B6C"/>
    <w:rsid w:val="00A91EBC"/>
    <w:rsid w:val="00A941AA"/>
    <w:rsid w:val="00A96958"/>
    <w:rsid w:val="00AA1B3C"/>
    <w:rsid w:val="00AA2EE6"/>
    <w:rsid w:val="00AA443C"/>
    <w:rsid w:val="00AA44C6"/>
    <w:rsid w:val="00AA5754"/>
    <w:rsid w:val="00AA5768"/>
    <w:rsid w:val="00AA59FC"/>
    <w:rsid w:val="00AB173B"/>
    <w:rsid w:val="00AB3490"/>
    <w:rsid w:val="00AB7DF2"/>
    <w:rsid w:val="00AC03E3"/>
    <w:rsid w:val="00AC1E34"/>
    <w:rsid w:val="00AC2742"/>
    <w:rsid w:val="00AC37B6"/>
    <w:rsid w:val="00AE2C48"/>
    <w:rsid w:val="00AE2D12"/>
    <w:rsid w:val="00AE386D"/>
    <w:rsid w:val="00AE3E01"/>
    <w:rsid w:val="00AE4366"/>
    <w:rsid w:val="00AE54B3"/>
    <w:rsid w:val="00AF4097"/>
    <w:rsid w:val="00AF7BCA"/>
    <w:rsid w:val="00B003D5"/>
    <w:rsid w:val="00B04051"/>
    <w:rsid w:val="00B0755B"/>
    <w:rsid w:val="00B1098E"/>
    <w:rsid w:val="00B13144"/>
    <w:rsid w:val="00B21499"/>
    <w:rsid w:val="00B22739"/>
    <w:rsid w:val="00B23D8E"/>
    <w:rsid w:val="00B240BB"/>
    <w:rsid w:val="00B26368"/>
    <w:rsid w:val="00B27C45"/>
    <w:rsid w:val="00B3056D"/>
    <w:rsid w:val="00B3249F"/>
    <w:rsid w:val="00B32E40"/>
    <w:rsid w:val="00B37845"/>
    <w:rsid w:val="00B41DEB"/>
    <w:rsid w:val="00B44208"/>
    <w:rsid w:val="00B518EF"/>
    <w:rsid w:val="00B5378D"/>
    <w:rsid w:val="00B543BB"/>
    <w:rsid w:val="00B57782"/>
    <w:rsid w:val="00B637B9"/>
    <w:rsid w:val="00B637EE"/>
    <w:rsid w:val="00B64B61"/>
    <w:rsid w:val="00B67623"/>
    <w:rsid w:val="00B7406D"/>
    <w:rsid w:val="00B76F82"/>
    <w:rsid w:val="00B83503"/>
    <w:rsid w:val="00B8430B"/>
    <w:rsid w:val="00B85220"/>
    <w:rsid w:val="00B85B4E"/>
    <w:rsid w:val="00B87D2F"/>
    <w:rsid w:val="00B9171F"/>
    <w:rsid w:val="00B94CD1"/>
    <w:rsid w:val="00BA3F9C"/>
    <w:rsid w:val="00BB0B0C"/>
    <w:rsid w:val="00BB43EB"/>
    <w:rsid w:val="00BC1581"/>
    <w:rsid w:val="00BC4B5C"/>
    <w:rsid w:val="00BD1140"/>
    <w:rsid w:val="00BD1447"/>
    <w:rsid w:val="00BE07FE"/>
    <w:rsid w:val="00BE366B"/>
    <w:rsid w:val="00BE3D14"/>
    <w:rsid w:val="00BE3D96"/>
    <w:rsid w:val="00BF5018"/>
    <w:rsid w:val="00BF769F"/>
    <w:rsid w:val="00C000D9"/>
    <w:rsid w:val="00C03EA8"/>
    <w:rsid w:val="00C044E9"/>
    <w:rsid w:val="00C05A44"/>
    <w:rsid w:val="00C12660"/>
    <w:rsid w:val="00C13AD8"/>
    <w:rsid w:val="00C21625"/>
    <w:rsid w:val="00C253C0"/>
    <w:rsid w:val="00C2667A"/>
    <w:rsid w:val="00C26708"/>
    <w:rsid w:val="00C26F04"/>
    <w:rsid w:val="00C30A13"/>
    <w:rsid w:val="00C30F2B"/>
    <w:rsid w:val="00C32142"/>
    <w:rsid w:val="00C37FFE"/>
    <w:rsid w:val="00C4288C"/>
    <w:rsid w:val="00C4637B"/>
    <w:rsid w:val="00C47834"/>
    <w:rsid w:val="00C52749"/>
    <w:rsid w:val="00C55053"/>
    <w:rsid w:val="00C567B6"/>
    <w:rsid w:val="00C624D2"/>
    <w:rsid w:val="00C62A91"/>
    <w:rsid w:val="00C6676D"/>
    <w:rsid w:val="00C70678"/>
    <w:rsid w:val="00C72303"/>
    <w:rsid w:val="00C72E01"/>
    <w:rsid w:val="00C76F1D"/>
    <w:rsid w:val="00C83E23"/>
    <w:rsid w:val="00C84D14"/>
    <w:rsid w:val="00C86B65"/>
    <w:rsid w:val="00C92B0C"/>
    <w:rsid w:val="00C92FFC"/>
    <w:rsid w:val="00C934C7"/>
    <w:rsid w:val="00C94E6F"/>
    <w:rsid w:val="00C96A0E"/>
    <w:rsid w:val="00CA285E"/>
    <w:rsid w:val="00CB159A"/>
    <w:rsid w:val="00CB1EB4"/>
    <w:rsid w:val="00CB304B"/>
    <w:rsid w:val="00CB3F4D"/>
    <w:rsid w:val="00CB74A1"/>
    <w:rsid w:val="00CC3085"/>
    <w:rsid w:val="00CD08C9"/>
    <w:rsid w:val="00CD0F75"/>
    <w:rsid w:val="00CD21E0"/>
    <w:rsid w:val="00CD44F0"/>
    <w:rsid w:val="00CD5A00"/>
    <w:rsid w:val="00CE042E"/>
    <w:rsid w:val="00CE171D"/>
    <w:rsid w:val="00CE50B2"/>
    <w:rsid w:val="00CF2378"/>
    <w:rsid w:val="00CF2674"/>
    <w:rsid w:val="00D007C0"/>
    <w:rsid w:val="00D05A0A"/>
    <w:rsid w:val="00D15B4A"/>
    <w:rsid w:val="00D205D3"/>
    <w:rsid w:val="00D206A7"/>
    <w:rsid w:val="00D216C9"/>
    <w:rsid w:val="00D3023B"/>
    <w:rsid w:val="00D33922"/>
    <w:rsid w:val="00D3692A"/>
    <w:rsid w:val="00D37D5D"/>
    <w:rsid w:val="00D4223A"/>
    <w:rsid w:val="00D43DED"/>
    <w:rsid w:val="00D5380E"/>
    <w:rsid w:val="00D53D1E"/>
    <w:rsid w:val="00D565A3"/>
    <w:rsid w:val="00D57364"/>
    <w:rsid w:val="00D5777D"/>
    <w:rsid w:val="00D63ADA"/>
    <w:rsid w:val="00D64AE1"/>
    <w:rsid w:val="00D64BEB"/>
    <w:rsid w:val="00D65064"/>
    <w:rsid w:val="00D84EF5"/>
    <w:rsid w:val="00D85020"/>
    <w:rsid w:val="00D85712"/>
    <w:rsid w:val="00D868C0"/>
    <w:rsid w:val="00D95625"/>
    <w:rsid w:val="00DA0CFA"/>
    <w:rsid w:val="00DA1491"/>
    <w:rsid w:val="00DA3B42"/>
    <w:rsid w:val="00DA58AF"/>
    <w:rsid w:val="00DB0C31"/>
    <w:rsid w:val="00DB209C"/>
    <w:rsid w:val="00DB4582"/>
    <w:rsid w:val="00DC141D"/>
    <w:rsid w:val="00DC1FB8"/>
    <w:rsid w:val="00DC2CFB"/>
    <w:rsid w:val="00DC3330"/>
    <w:rsid w:val="00DC58DA"/>
    <w:rsid w:val="00DD21FC"/>
    <w:rsid w:val="00DD2CDC"/>
    <w:rsid w:val="00DD398A"/>
    <w:rsid w:val="00DE536B"/>
    <w:rsid w:val="00DF029D"/>
    <w:rsid w:val="00DF08A9"/>
    <w:rsid w:val="00DF1720"/>
    <w:rsid w:val="00DF3CAD"/>
    <w:rsid w:val="00E01A6C"/>
    <w:rsid w:val="00E0280A"/>
    <w:rsid w:val="00E03EEF"/>
    <w:rsid w:val="00E0413F"/>
    <w:rsid w:val="00E06CF7"/>
    <w:rsid w:val="00E06D34"/>
    <w:rsid w:val="00E11993"/>
    <w:rsid w:val="00E14EFB"/>
    <w:rsid w:val="00E163E0"/>
    <w:rsid w:val="00E27588"/>
    <w:rsid w:val="00E358AE"/>
    <w:rsid w:val="00E46F9F"/>
    <w:rsid w:val="00E53817"/>
    <w:rsid w:val="00E546FA"/>
    <w:rsid w:val="00E5507D"/>
    <w:rsid w:val="00E551BD"/>
    <w:rsid w:val="00E55BBD"/>
    <w:rsid w:val="00E61395"/>
    <w:rsid w:val="00E65328"/>
    <w:rsid w:val="00E659A7"/>
    <w:rsid w:val="00E67CC6"/>
    <w:rsid w:val="00E74EBF"/>
    <w:rsid w:val="00E7537F"/>
    <w:rsid w:val="00E76F20"/>
    <w:rsid w:val="00E81C89"/>
    <w:rsid w:val="00E87C0A"/>
    <w:rsid w:val="00E90268"/>
    <w:rsid w:val="00E9125B"/>
    <w:rsid w:val="00E91DC0"/>
    <w:rsid w:val="00E945ED"/>
    <w:rsid w:val="00EA3E73"/>
    <w:rsid w:val="00EA43F7"/>
    <w:rsid w:val="00EA4DF7"/>
    <w:rsid w:val="00EB5F95"/>
    <w:rsid w:val="00EB7982"/>
    <w:rsid w:val="00EC0E6C"/>
    <w:rsid w:val="00EC2E08"/>
    <w:rsid w:val="00EC5BBE"/>
    <w:rsid w:val="00ED3C0D"/>
    <w:rsid w:val="00ED4103"/>
    <w:rsid w:val="00ED69BB"/>
    <w:rsid w:val="00EE03E4"/>
    <w:rsid w:val="00EE0A0C"/>
    <w:rsid w:val="00EE0B2D"/>
    <w:rsid w:val="00EE1A5D"/>
    <w:rsid w:val="00EE575A"/>
    <w:rsid w:val="00EF152A"/>
    <w:rsid w:val="00EF2F7D"/>
    <w:rsid w:val="00EF3719"/>
    <w:rsid w:val="00EF4AF1"/>
    <w:rsid w:val="00EF51D9"/>
    <w:rsid w:val="00F060B3"/>
    <w:rsid w:val="00F100EA"/>
    <w:rsid w:val="00F12BB4"/>
    <w:rsid w:val="00F12E9E"/>
    <w:rsid w:val="00F1395B"/>
    <w:rsid w:val="00F308BE"/>
    <w:rsid w:val="00F321BD"/>
    <w:rsid w:val="00F3532F"/>
    <w:rsid w:val="00F42505"/>
    <w:rsid w:val="00F5036E"/>
    <w:rsid w:val="00F529C6"/>
    <w:rsid w:val="00F54A6E"/>
    <w:rsid w:val="00F57AAB"/>
    <w:rsid w:val="00F60BF6"/>
    <w:rsid w:val="00F60C68"/>
    <w:rsid w:val="00F63A4D"/>
    <w:rsid w:val="00F64AC7"/>
    <w:rsid w:val="00F64C20"/>
    <w:rsid w:val="00F71BDB"/>
    <w:rsid w:val="00F748B5"/>
    <w:rsid w:val="00F76F72"/>
    <w:rsid w:val="00F804EF"/>
    <w:rsid w:val="00F8169F"/>
    <w:rsid w:val="00F83AF4"/>
    <w:rsid w:val="00F933E8"/>
    <w:rsid w:val="00F95BFF"/>
    <w:rsid w:val="00FA08D5"/>
    <w:rsid w:val="00FA308C"/>
    <w:rsid w:val="00FA318E"/>
    <w:rsid w:val="00FA5282"/>
    <w:rsid w:val="00FA6779"/>
    <w:rsid w:val="00FA6D8A"/>
    <w:rsid w:val="00FB0052"/>
    <w:rsid w:val="00FB119A"/>
    <w:rsid w:val="00FB259E"/>
    <w:rsid w:val="00FB3DAC"/>
    <w:rsid w:val="00FB5685"/>
    <w:rsid w:val="00FC0CA8"/>
    <w:rsid w:val="00FC4DBD"/>
    <w:rsid w:val="00FD0750"/>
    <w:rsid w:val="00FD4A23"/>
    <w:rsid w:val="00FD565E"/>
    <w:rsid w:val="00FE7F01"/>
    <w:rsid w:val="00FF0932"/>
    <w:rsid w:val="00FF2F8C"/>
    <w:rsid w:val="00FF455A"/>
    <w:rsid w:val="00FF568F"/>
    <w:rsid w:val="00FF74BE"/>
    <w:rsid w:val="00FF79AD"/>
    <w:rsid w:val="01253318"/>
    <w:rsid w:val="0156177E"/>
    <w:rsid w:val="0157781C"/>
    <w:rsid w:val="01626374"/>
    <w:rsid w:val="016A347B"/>
    <w:rsid w:val="01853E11"/>
    <w:rsid w:val="018F529B"/>
    <w:rsid w:val="01AC6828"/>
    <w:rsid w:val="01AD4D57"/>
    <w:rsid w:val="01AE3368"/>
    <w:rsid w:val="01C42B8B"/>
    <w:rsid w:val="01D31020"/>
    <w:rsid w:val="01FD4015"/>
    <w:rsid w:val="02106709"/>
    <w:rsid w:val="02143946"/>
    <w:rsid w:val="02161A42"/>
    <w:rsid w:val="02176416"/>
    <w:rsid w:val="02176611"/>
    <w:rsid w:val="02181A1D"/>
    <w:rsid w:val="02184C85"/>
    <w:rsid w:val="02242CC3"/>
    <w:rsid w:val="02270661"/>
    <w:rsid w:val="022A0239"/>
    <w:rsid w:val="02331ABF"/>
    <w:rsid w:val="024B6E08"/>
    <w:rsid w:val="02590C8E"/>
    <w:rsid w:val="026552A1"/>
    <w:rsid w:val="026C4FD1"/>
    <w:rsid w:val="027C16B8"/>
    <w:rsid w:val="029C6CCD"/>
    <w:rsid w:val="02AF6749"/>
    <w:rsid w:val="02B00E3E"/>
    <w:rsid w:val="02C61442"/>
    <w:rsid w:val="02D84C0B"/>
    <w:rsid w:val="02D970A5"/>
    <w:rsid w:val="02E673BB"/>
    <w:rsid w:val="02EA7D0D"/>
    <w:rsid w:val="02F76749"/>
    <w:rsid w:val="03241BE1"/>
    <w:rsid w:val="03497C46"/>
    <w:rsid w:val="034B1A5F"/>
    <w:rsid w:val="034C0347"/>
    <w:rsid w:val="03525F75"/>
    <w:rsid w:val="035A307B"/>
    <w:rsid w:val="03657A72"/>
    <w:rsid w:val="03986975"/>
    <w:rsid w:val="039B407E"/>
    <w:rsid w:val="039B5B6E"/>
    <w:rsid w:val="03AA7B5F"/>
    <w:rsid w:val="03AB5829"/>
    <w:rsid w:val="03AE3A15"/>
    <w:rsid w:val="03C00B3F"/>
    <w:rsid w:val="03D71174"/>
    <w:rsid w:val="03DD389B"/>
    <w:rsid w:val="03F31CB7"/>
    <w:rsid w:val="04001E75"/>
    <w:rsid w:val="04051239"/>
    <w:rsid w:val="041D6C76"/>
    <w:rsid w:val="041E7F0B"/>
    <w:rsid w:val="04246559"/>
    <w:rsid w:val="044C6E68"/>
    <w:rsid w:val="04554655"/>
    <w:rsid w:val="04594CF8"/>
    <w:rsid w:val="045A3333"/>
    <w:rsid w:val="045C2016"/>
    <w:rsid w:val="045F5DDE"/>
    <w:rsid w:val="046A2187"/>
    <w:rsid w:val="046F1C6B"/>
    <w:rsid w:val="047B0D01"/>
    <w:rsid w:val="047D5273"/>
    <w:rsid w:val="048E7480"/>
    <w:rsid w:val="04951B45"/>
    <w:rsid w:val="04A951DB"/>
    <w:rsid w:val="04BE2ED4"/>
    <w:rsid w:val="04BE7DA1"/>
    <w:rsid w:val="04C07198"/>
    <w:rsid w:val="04C74740"/>
    <w:rsid w:val="04E716C3"/>
    <w:rsid w:val="04FB2D1E"/>
    <w:rsid w:val="050447EE"/>
    <w:rsid w:val="050B3192"/>
    <w:rsid w:val="0517381B"/>
    <w:rsid w:val="05216546"/>
    <w:rsid w:val="052E6D77"/>
    <w:rsid w:val="05377B18"/>
    <w:rsid w:val="054412C6"/>
    <w:rsid w:val="055F5E14"/>
    <w:rsid w:val="057E7745"/>
    <w:rsid w:val="05882122"/>
    <w:rsid w:val="059211F2"/>
    <w:rsid w:val="05962D81"/>
    <w:rsid w:val="059C5BCD"/>
    <w:rsid w:val="05BF76B4"/>
    <w:rsid w:val="05C25634"/>
    <w:rsid w:val="05C416C0"/>
    <w:rsid w:val="05DA0644"/>
    <w:rsid w:val="05EF3192"/>
    <w:rsid w:val="05F15A5F"/>
    <w:rsid w:val="05FB3F65"/>
    <w:rsid w:val="060774EA"/>
    <w:rsid w:val="060C4DD3"/>
    <w:rsid w:val="061C13D5"/>
    <w:rsid w:val="061E22CB"/>
    <w:rsid w:val="064029FC"/>
    <w:rsid w:val="06505230"/>
    <w:rsid w:val="065D181B"/>
    <w:rsid w:val="068377FD"/>
    <w:rsid w:val="06897EFF"/>
    <w:rsid w:val="068F2982"/>
    <w:rsid w:val="06A7341D"/>
    <w:rsid w:val="06B11926"/>
    <w:rsid w:val="06BA630B"/>
    <w:rsid w:val="06BD041B"/>
    <w:rsid w:val="06BD404D"/>
    <w:rsid w:val="06CC180A"/>
    <w:rsid w:val="06D86D1B"/>
    <w:rsid w:val="06E7C2D2"/>
    <w:rsid w:val="06F7755F"/>
    <w:rsid w:val="06FE0EF3"/>
    <w:rsid w:val="07066E6E"/>
    <w:rsid w:val="071F68B2"/>
    <w:rsid w:val="072132C6"/>
    <w:rsid w:val="072645C7"/>
    <w:rsid w:val="07355804"/>
    <w:rsid w:val="07365D55"/>
    <w:rsid w:val="07520C39"/>
    <w:rsid w:val="07533560"/>
    <w:rsid w:val="0755188E"/>
    <w:rsid w:val="075971C8"/>
    <w:rsid w:val="076FAA59"/>
    <w:rsid w:val="077F8EB9"/>
    <w:rsid w:val="078C1D6D"/>
    <w:rsid w:val="07915E9B"/>
    <w:rsid w:val="07986E84"/>
    <w:rsid w:val="07A306B2"/>
    <w:rsid w:val="07A824E2"/>
    <w:rsid w:val="07AA0D3A"/>
    <w:rsid w:val="07DE24CD"/>
    <w:rsid w:val="07E04497"/>
    <w:rsid w:val="07E5385B"/>
    <w:rsid w:val="07FE462A"/>
    <w:rsid w:val="08002FFD"/>
    <w:rsid w:val="0800698A"/>
    <w:rsid w:val="08130D4D"/>
    <w:rsid w:val="08230A1C"/>
    <w:rsid w:val="08275DCF"/>
    <w:rsid w:val="08591174"/>
    <w:rsid w:val="085B58CB"/>
    <w:rsid w:val="085E53BC"/>
    <w:rsid w:val="085F761F"/>
    <w:rsid w:val="08666F52"/>
    <w:rsid w:val="0878022B"/>
    <w:rsid w:val="0881007B"/>
    <w:rsid w:val="088B3C4A"/>
    <w:rsid w:val="088E522E"/>
    <w:rsid w:val="08B31693"/>
    <w:rsid w:val="08B5322E"/>
    <w:rsid w:val="08C270F9"/>
    <w:rsid w:val="08C77405"/>
    <w:rsid w:val="08CC4A1B"/>
    <w:rsid w:val="08D51B22"/>
    <w:rsid w:val="08E85D88"/>
    <w:rsid w:val="090F2008"/>
    <w:rsid w:val="091A4149"/>
    <w:rsid w:val="092B3E90"/>
    <w:rsid w:val="093E2CBE"/>
    <w:rsid w:val="094516C8"/>
    <w:rsid w:val="094A3931"/>
    <w:rsid w:val="095561C9"/>
    <w:rsid w:val="09573CF7"/>
    <w:rsid w:val="095D1A5F"/>
    <w:rsid w:val="09750C0F"/>
    <w:rsid w:val="097536D0"/>
    <w:rsid w:val="097824FF"/>
    <w:rsid w:val="098119C0"/>
    <w:rsid w:val="09896468"/>
    <w:rsid w:val="099B1640"/>
    <w:rsid w:val="09A0520D"/>
    <w:rsid w:val="09A339CE"/>
    <w:rsid w:val="09AA7B54"/>
    <w:rsid w:val="09AF361B"/>
    <w:rsid w:val="09BE63D1"/>
    <w:rsid w:val="09BE680A"/>
    <w:rsid w:val="09C5653E"/>
    <w:rsid w:val="09E638BB"/>
    <w:rsid w:val="09F04EC7"/>
    <w:rsid w:val="09F14739"/>
    <w:rsid w:val="09F5012D"/>
    <w:rsid w:val="0A03621B"/>
    <w:rsid w:val="0A0B0EB9"/>
    <w:rsid w:val="0A18691B"/>
    <w:rsid w:val="0A4A209B"/>
    <w:rsid w:val="0A4B37EA"/>
    <w:rsid w:val="0A7A2BC7"/>
    <w:rsid w:val="0A8C2360"/>
    <w:rsid w:val="0AD00EBD"/>
    <w:rsid w:val="0AD11B2D"/>
    <w:rsid w:val="0ADC3B2B"/>
    <w:rsid w:val="0AE47DFA"/>
    <w:rsid w:val="0AE524AA"/>
    <w:rsid w:val="0AE834EA"/>
    <w:rsid w:val="0AF02C43"/>
    <w:rsid w:val="0B05139F"/>
    <w:rsid w:val="0B0724A7"/>
    <w:rsid w:val="0B0E131B"/>
    <w:rsid w:val="0B1D155E"/>
    <w:rsid w:val="0B224D72"/>
    <w:rsid w:val="0B2428ED"/>
    <w:rsid w:val="0B2D79F3"/>
    <w:rsid w:val="0B4018F6"/>
    <w:rsid w:val="0B536DFE"/>
    <w:rsid w:val="0B5E289E"/>
    <w:rsid w:val="0B6D6042"/>
    <w:rsid w:val="0B7B4287"/>
    <w:rsid w:val="0BA27BE5"/>
    <w:rsid w:val="0BBC48D3"/>
    <w:rsid w:val="0BBFB1C5"/>
    <w:rsid w:val="0BED7182"/>
    <w:rsid w:val="0C0A1AE2"/>
    <w:rsid w:val="0C140AC7"/>
    <w:rsid w:val="0C150924"/>
    <w:rsid w:val="0C200FD8"/>
    <w:rsid w:val="0C2D2B48"/>
    <w:rsid w:val="0C2F779B"/>
    <w:rsid w:val="0C322DE7"/>
    <w:rsid w:val="0C452F2C"/>
    <w:rsid w:val="0C48541E"/>
    <w:rsid w:val="0C601702"/>
    <w:rsid w:val="0C605BA6"/>
    <w:rsid w:val="0C6271A8"/>
    <w:rsid w:val="0C654CD9"/>
    <w:rsid w:val="0C676F35"/>
    <w:rsid w:val="0C7E03DA"/>
    <w:rsid w:val="0C9E3220"/>
    <w:rsid w:val="0CC07B24"/>
    <w:rsid w:val="0CD10852"/>
    <w:rsid w:val="0CD45858"/>
    <w:rsid w:val="0CD93263"/>
    <w:rsid w:val="0CE73BD2"/>
    <w:rsid w:val="0CEE1EC4"/>
    <w:rsid w:val="0D040F1A"/>
    <w:rsid w:val="0D112AA2"/>
    <w:rsid w:val="0D152A80"/>
    <w:rsid w:val="0D17654C"/>
    <w:rsid w:val="0D240982"/>
    <w:rsid w:val="0D5629A1"/>
    <w:rsid w:val="0D6B4803"/>
    <w:rsid w:val="0D757126"/>
    <w:rsid w:val="0D7D0092"/>
    <w:rsid w:val="0D8B576F"/>
    <w:rsid w:val="0D8E6743"/>
    <w:rsid w:val="0D9378B6"/>
    <w:rsid w:val="0DAA346F"/>
    <w:rsid w:val="0DB12B4A"/>
    <w:rsid w:val="0DB37F58"/>
    <w:rsid w:val="0DBF6D9C"/>
    <w:rsid w:val="0DDD6D83"/>
    <w:rsid w:val="0DFF0826"/>
    <w:rsid w:val="0E083EAE"/>
    <w:rsid w:val="0E221161"/>
    <w:rsid w:val="0E2E1044"/>
    <w:rsid w:val="0E4806A0"/>
    <w:rsid w:val="0E5A39C9"/>
    <w:rsid w:val="0E6454BD"/>
    <w:rsid w:val="0E802992"/>
    <w:rsid w:val="0E85325F"/>
    <w:rsid w:val="0E8841E4"/>
    <w:rsid w:val="0E90392D"/>
    <w:rsid w:val="0E9A70E0"/>
    <w:rsid w:val="0EA01DEC"/>
    <w:rsid w:val="0EA300C1"/>
    <w:rsid w:val="0EAE1417"/>
    <w:rsid w:val="0ED14B39"/>
    <w:rsid w:val="0ED2176B"/>
    <w:rsid w:val="0ED66CC1"/>
    <w:rsid w:val="0EDC7FE2"/>
    <w:rsid w:val="0F1467D4"/>
    <w:rsid w:val="0F205FD5"/>
    <w:rsid w:val="0F236F3C"/>
    <w:rsid w:val="0F2C77DE"/>
    <w:rsid w:val="0F3F7CF5"/>
    <w:rsid w:val="0F6B0AEA"/>
    <w:rsid w:val="0F6F1E7F"/>
    <w:rsid w:val="0F860A35"/>
    <w:rsid w:val="0F997970"/>
    <w:rsid w:val="0F9A7EDA"/>
    <w:rsid w:val="0FA73B6C"/>
    <w:rsid w:val="0FA83D43"/>
    <w:rsid w:val="0FC404B7"/>
    <w:rsid w:val="0FCE72CB"/>
    <w:rsid w:val="0FDC5720"/>
    <w:rsid w:val="0FE443F8"/>
    <w:rsid w:val="0FF70D0A"/>
    <w:rsid w:val="0FFD240A"/>
    <w:rsid w:val="100F3B6B"/>
    <w:rsid w:val="10156CA8"/>
    <w:rsid w:val="101C4907"/>
    <w:rsid w:val="1033383A"/>
    <w:rsid w:val="10374E70"/>
    <w:rsid w:val="103E7FAD"/>
    <w:rsid w:val="107240FA"/>
    <w:rsid w:val="10735E1F"/>
    <w:rsid w:val="1074577C"/>
    <w:rsid w:val="107B377A"/>
    <w:rsid w:val="10965B55"/>
    <w:rsid w:val="10A60810"/>
    <w:rsid w:val="10AC760C"/>
    <w:rsid w:val="10C72A02"/>
    <w:rsid w:val="10DC35B0"/>
    <w:rsid w:val="10E30B54"/>
    <w:rsid w:val="10EA73F2"/>
    <w:rsid w:val="10ED30D4"/>
    <w:rsid w:val="11166D4D"/>
    <w:rsid w:val="111C7BF2"/>
    <w:rsid w:val="1127475F"/>
    <w:rsid w:val="11365128"/>
    <w:rsid w:val="114B2BEB"/>
    <w:rsid w:val="11572249"/>
    <w:rsid w:val="115F2C98"/>
    <w:rsid w:val="116B4318"/>
    <w:rsid w:val="11823EC9"/>
    <w:rsid w:val="11896A03"/>
    <w:rsid w:val="11916802"/>
    <w:rsid w:val="11983B1A"/>
    <w:rsid w:val="11A25E3B"/>
    <w:rsid w:val="11A74051"/>
    <w:rsid w:val="11AA52F3"/>
    <w:rsid w:val="11AF0A31"/>
    <w:rsid w:val="11B25AFE"/>
    <w:rsid w:val="11B45ED9"/>
    <w:rsid w:val="11CB0CF0"/>
    <w:rsid w:val="11D34725"/>
    <w:rsid w:val="11DF08B1"/>
    <w:rsid w:val="11DF36A1"/>
    <w:rsid w:val="11E35AA0"/>
    <w:rsid w:val="11E51E8E"/>
    <w:rsid w:val="11F75C7F"/>
    <w:rsid w:val="11F95D6E"/>
    <w:rsid w:val="12112A0A"/>
    <w:rsid w:val="12150A02"/>
    <w:rsid w:val="12174F59"/>
    <w:rsid w:val="12246AF1"/>
    <w:rsid w:val="122554C6"/>
    <w:rsid w:val="12282CC2"/>
    <w:rsid w:val="12493C11"/>
    <w:rsid w:val="125B292B"/>
    <w:rsid w:val="12754F46"/>
    <w:rsid w:val="127F15E1"/>
    <w:rsid w:val="12AF1FE4"/>
    <w:rsid w:val="12C16C73"/>
    <w:rsid w:val="12C62070"/>
    <w:rsid w:val="12D706C4"/>
    <w:rsid w:val="12DE5A77"/>
    <w:rsid w:val="12E4798B"/>
    <w:rsid w:val="12E55FEE"/>
    <w:rsid w:val="12F17558"/>
    <w:rsid w:val="12F83C82"/>
    <w:rsid w:val="1302525A"/>
    <w:rsid w:val="131674A1"/>
    <w:rsid w:val="13392358"/>
    <w:rsid w:val="134908B2"/>
    <w:rsid w:val="13693592"/>
    <w:rsid w:val="137361BF"/>
    <w:rsid w:val="13873A19"/>
    <w:rsid w:val="138A3509"/>
    <w:rsid w:val="139236BB"/>
    <w:rsid w:val="1393060F"/>
    <w:rsid w:val="13961EAE"/>
    <w:rsid w:val="13B9702D"/>
    <w:rsid w:val="13D950E1"/>
    <w:rsid w:val="13DF1AA7"/>
    <w:rsid w:val="13E15699"/>
    <w:rsid w:val="13E67EB4"/>
    <w:rsid w:val="13EA459B"/>
    <w:rsid w:val="13F21748"/>
    <w:rsid w:val="13FDE4E9"/>
    <w:rsid w:val="14163C89"/>
    <w:rsid w:val="1417616F"/>
    <w:rsid w:val="142038BC"/>
    <w:rsid w:val="142D3EF2"/>
    <w:rsid w:val="143771ED"/>
    <w:rsid w:val="145A7A85"/>
    <w:rsid w:val="14700951"/>
    <w:rsid w:val="14785E3A"/>
    <w:rsid w:val="1485147D"/>
    <w:rsid w:val="1494463F"/>
    <w:rsid w:val="14C2659D"/>
    <w:rsid w:val="14C32376"/>
    <w:rsid w:val="14DB04C0"/>
    <w:rsid w:val="14F90946"/>
    <w:rsid w:val="150723ED"/>
    <w:rsid w:val="15181B15"/>
    <w:rsid w:val="15202312"/>
    <w:rsid w:val="1523116C"/>
    <w:rsid w:val="15297687"/>
    <w:rsid w:val="152C3F68"/>
    <w:rsid w:val="15474F0A"/>
    <w:rsid w:val="154C6CC8"/>
    <w:rsid w:val="154E4481"/>
    <w:rsid w:val="15655DA6"/>
    <w:rsid w:val="1566494F"/>
    <w:rsid w:val="15740815"/>
    <w:rsid w:val="15843123"/>
    <w:rsid w:val="15875F52"/>
    <w:rsid w:val="15933489"/>
    <w:rsid w:val="15973CBB"/>
    <w:rsid w:val="15B12FCF"/>
    <w:rsid w:val="15B30AF5"/>
    <w:rsid w:val="15CE200E"/>
    <w:rsid w:val="15E36674"/>
    <w:rsid w:val="15F232D0"/>
    <w:rsid w:val="15F555B1"/>
    <w:rsid w:val="15FA4976"/>
    <w:rsid w:val="15FFD219"/>
    <w:rsid w:val="16007AB2"/>
    <w:rsid w:val="160752E5"/>
    <w:rsid w:val="163559AE"/>
    <w:rsid w:val="163A7083"/>
    <w:rsid w:val="163C4F94"/>
    <w:rsid w:val="164E5119"/>
    <w:rsid w:val="165247B2"/>
    <w:rsid w:val="166C2661"/>
    <w:rsid w:val="16797F90"/>
    <w:rsid w:val="167A58EE"/>
    <w:rsid w:val="168856DA"/>
    <w:rsid w:val="16B78BBF"/>
    <w:rsid w:val="16C810CC"/>
    <w:rsid w:val="16D06420"/>
    <w:rsid w:val="16DA118B"/>
    <w:rsid w:val="16E01DBD"/>
    <w:rsid w:val="170D692B"/>
    <w:rsid w:val="17147CB9"/>
    <w:rsid w:val="173ACC23"/>
    <w:rsid w:val="174560AE"/>
    <w:rsid w:val="174560C4"/>
    <w:rsid w:val="17472445"/>
    <w:rsid w:val="174D31CB"/>
    <w:rsid w:val="17554511"/>
    <w:rsid w:val="17591B70"/>
    <w:rsid w:val="175E71E6"/>
    <w:rsid w:val="176C056B"/>
    <w:rsid w:val="17795D6E"/>
    <w:rsid w:val="178564C1"/>
    <w:rsid w:val="1794305D"/>
    <w:rsid w:val="17AA1223"/>
    <w:rsid w:val="17B8560D"/>
    <w:rsid w:val="17FD699F"/>
    <w:rsid w:val="17FFF359"/>
    <w:rsid w:val="18003D99"/>
    <w:rsid w:val="18194E5B"/>
    <w:rsid w:val="182A0E16"/>
    <w:rsid w:val="182C4B8E"/>
    <w:rsid w:val="184B7D71"/>
    <w:rsid w:val="184D172B"/>
    <w:rsid w:val="18643F78"/>
    <w:rsid w:val="18653553"/>
    <w:rsid w:val="18692356"/>
    <w:rsid w:val="186C694B"/>
    <w:rsid w:val="186C7681"/>
    <w:rsid w:val="1876405C"/>
    <w:rsid w:val="1876541B"/>
    <w:rsid w:val="18883BCA"/>
    <w:rsid w:val="18956BD8"/>
    <w:rsid w:val="18A70D35"/>
    <w:rsid w:val="18A938BD"/>
    <w:rsid w:val="18BD040B"/>
    <w:rsid w:val="18C42B64"/>
    <w:rsid w:val="18D94773"/>
    <w:rsid w:val="18DA5450"/>
    <w:rsid w:val="18DB09E4"/>
    <w:rsid w:val="18DB7355"/>
    <w:rsid w:val="18EE0096"/>
    <w:rsid w:val="18F13660"/>
    <w:rsid w:val="18F96ACB"/>
    <w:rsid w:val="19197809"/>
    <w:rsid w:val="192A5572"/>
    <w:rsid w:val="193A79F0"/>
    <w:rsid w:val="193B4FD0"/>
    <w:rsid w:val="195425EF"/>
    <w:rsid w:val="19595E57"/>
    <w:rsid w:val="195E16BF"/>
    <w:rsid w:val="19600F94"/>
    <w:rsid w:val="1966546C"/>
    <w:rsid w:val="196675A6"/>
    <w:rsid w:val="196A0064"/>
    <w:rsid w:val="19782558"/>
    <w:rsid w:val="1997072D"/>
    <w:rsid w:val="1999778C"/>
    <w:rsid w:val="19B4188F"/>
    <w:rsid w:val="19CD4DC8"/>
    <w:rsid w:val="19D96F98"/>
    <w:rsid w:val="19DD25E4"/>
    <w:rsid w:val="19E0285F"/>
    <w:rsid w:val="19E219A9"/>
    <w:rsid w:val="19E74B26"/>
    <w:rsid w:val="19EA4C66"/>
    <w:rsid w:val="1A0A00C9"/>
    <w:rsid w:val="1A1660DA"/>
    <w:rsid w:val="1A192F67"/>
    <w:rsid w:val="1A2541AB"/>
    <w:rsid w:val="1A3D7527"/>
    <w:rsid w:val="1A3FCF02"/>
    <w:rsid w:val="1A412D95"/>
    <w:rsid w:val="1A500BD4"/>
    <w:rsid w:val="1A5B175B"/>
    <w:rsid w:val="1A7A0749"/>
    <w:rsid w:val="1A807414"/>
    <w:rsid w:val="1AAA6335"/>
    <w:rsid w:val="1AAD47DB"/>
    <w:rsid w:val="1AED4AA9"/>
    <w:rsid w:val="1AFB6815"/>
    <w:rsid w:val="1AFB6A0F"/>
    <w:rsid w:val="1B247C49"/>
    <w:rsid w:val="1B281F85"/>
    <w:rsid w:val="1B2B02B7"/>
    <w:rsid w:val="1B392EC1"/>
    <w:rsid w:val="1B3C77DE"/>
    <w:rsid w:val="1B3F0D70"/>
    <w:rsid w:val="1B430B6D"/>
    <w:rsid w:val="1B6F6A61"/>
    <w:rsid w:val="1B772E08"/>
    <w:rsid w:val="1B7B7A15"/>
    <w:rsid w:val="1B9613EA"/>
    <w:rsid w:val="1B9C202B"/>
    <w:rsid w:val="1BAB2470"/>
    <w:rsid w:val="1BAD4238"/>
    <w:rsid w:val="1BB10060"/>
    <w:rsid w:val="1BB75E55"/>
    <w:rsid w:val="1BCA4DEA"/>
    <w:rsid w:val="1BCB2DA2"/>
    <w:rsid w:val="1BE4113E"/>
    <w:rsid w:val="1BE839E6"/>
    <w:rsid w:val="1BEA0FE8"/>
    <w:rsid w:val="1BEF2AA3"/>
    <w:rsid w:val="1BF9B495"/>
    <w:rsid w:val="1BFCA88A"/>
    <w:rsid w:val="1BFD6F6E"/>
    <w:rsid w:val="1BFD9EDF"/>
    <w:rsid w:val="1C0526B5"/>
    <w:rsid w:val="1C294840"/>
    <w:rsid w:val="1C2A20E4"/>
    <w:rsid w:val="1C614B7E"/>
    <w:rsid w:val="1C6668B8"/>
    <w:rsid w:val="1C724720"/>
    <w:rsid w:val="1C7B1AED"/>
    <w:rsid w:val="1C8B5289"/>
    <w:rsid w:val="1C8E7BC6"/>
    <w:rsid w:val="1C9176B6"/>
    <w:rsid w:val="1C940F54"/>
    <w:rsid w:val="1CB61F07"/>
    <w:rsid w:val="1CBC31B0"/>
    <w:rsid w:val="1CBD04AB"/>
    <w:rsid w:val="1CC61A56"/>
    <w:rsid w:val="1CD162D3"/>
    <w:rsid w:val="1CD87093"/>
    <w:rsid w:val="1CF3211F"/>
    <w:rsid w:val="1CF365C3"/>
    <w:rsid w:val="1CFF7FAA"/>
    <w:rsid w:val="1D025FAA"/>
    <w:rsid w:val="1D077FE1"/>
    <w:rsid w:val="1D1439C8"/>
    <w:rsid w:val="1D36530B"/>
    <w:rsid w:val="1D464944"/>
    <w:rsid w:val="1D5A6237"/>
    <w:rsid w:val="1D5F7BE0"/>
    <w:rsid w:val="1D770853"/>
    <w:rsid w:val="1D7C5E59"/>
    <w:rsid w:val="1D8233C4"/>
    <w:rsid w:val="1D863B00"/>
    <w:rsid w:val="1D8E16BE"/>
    <w:rsid w:val="1DAF6046"/>
    <w:rsid w:val="1DB346B9"/>
    <w:rsid w:val="1DBC4C07"/>
    <w:rsid w:val="1DBFC4B2"/>
    <w:rsid w:val="1DCD2970"/>
    <w:rsid w:val="1DD1315C"/>
    <w:rsid w:val="1DDFF5FF"/>
    <w:rsid w:val="1DE0749A"/>
    <w:rsid w:val="1DE50D11"/>
    <w:rsid w:val="1DEF0904"/>
    <w:rsid w:val="1DF00F48"/>
    <w:rsid w:val="1E313FB3"/>
    <w:rsid w:val="1E440DBA"/>
    <w:rsid w:val="1E4A0464"/>
    <w:rsid w:val="1E4A2212"/>
    <w:rsid w:val="1E7F289E"/>
    <w:rsid w:val="1E841CB5"/>
    <w:rsid w:val="1E924D40"/>
    <w:rsid w:val="1E9C67D9"/>
    <w:rsid w:val="1EA80F09"/>
    <w:rsid w:val="1EAE7A23"/>
    <w:rsid w:val="1ED709CD"/>
    <w:rsid w:val="1EEF9422"/>
    <w:rsid w:val="1EFA59E6"/>
    <w:rsid w:val="1EFF06EA"/>
    <w:rsid w:val="1F32E3AB"/>
    <w:rsid w:val="1F3D1C70"/>
    <w:rsid w:val="1F470500"/>
    <w:rsid w:val="1F5D7D23"/>
    <w:rsid w:val="1F7F33EB"/>
    <w:rsid w:val="1F840797"/>
    <w:rsid w:val="1F925C1F"/>
    <w:rsid w:val="1F964E25"/>
    <w:rsid w:val="1F9C7ED3"/>
    <w:rsid w:val="1FB10702"/>
    <w:rsid w:val="1FBB9104"/>
    <w:rsid w:val="1FF64400"/>
    <w:rsid w:val="1FFF14FB"/>
    <w:rsid w:val="1FFF494C"/>
    <w:rsid w:val="1FFFBE82"/>
    <w:rsid w:val="20146634"/>
    <w:rsid w:val="20162EA9"/>
    <w:rsid w:val="20176124"/>
    <w:rsid w:val="202116F2"/>
    <w:rsid w:val="20287CE9"/>
    <w:rsid w:val="202A1055"/>
    <w:rsid w:val="203923AF"/>
    <w:rsid w:val="20525DA3"/>
    <w:rsid w:val="205A38A2"/>
    <w:rsid w:val="20601879"/>
    <w:rsid w:val="207B5250"/>
    <w:rsid w:val="20857532"/>
    <w:rsid w:val="20953B77"/>
    <w:rsid w:val="209E5993"/>
    <w:rsid w:val="20B94EBA"/>
    <w:rsid w:val="20D364EF"/>
    <w:rsid w:val="20DA5ACF"/>
    <w:rsid w:val="20DF4E94"/>
    <w:rsid w:val="20E017E3"/>
    <w:rsid w:val="20E26732"/>
    <w:rsid w:val="20EE157B"/>
    <w:rsid w:val="20EF23DB"/>
    <w:rsid w:val="21141DD0"/>
    <w:rsid w:val="21173285"/>
    <w:rsid w:val="211E20A8"/>
    <w:rsid w:val="214E5B76"/>
    <w:rsid w:val="214F28C1"/>
    <w:rsid w:val="21563120"/>
    <w:rsid w:val="215908EE"/>
    <w:rsid w:val="215F3BFA"/>
    <w:rsid w:val="217750CC"/>
    <w:rsid w:val="217F13AC"/>
    <w:rsid w:val="21845A3B"/>
    <w:rsid w:val="219E6AFD"/>
    <w:rsid w:val="21B87493"/>
    <w:rsid w:val="21C32C2D"/>
    <w:rsid w:val="21C44C50"/>
    <w:rsid w:val="21C9556D"/>
    <w:rsid w:val="21D438EF"/>
    <w:rsid w:val="21E22A07"/>
    <w:rsid w:val="21FBEBEB"/>
    <w:rsid w:val="2217240B"/>
    <w:rsid w:val="22242C4B"/>
    <w:rsid w:val="222E0711"/>
    <w:rsid w:val="22315125"/>
    <w:rsid w:val="223A67E5"/>
    <w:rsid w:val="2290642E"/>
    <w:rsid w:val="2293632E"/>
    <w:rsid w:val="22963C78"/>
    <w:rsid w:val="22981272"/>
    <w:rsid w:val="229F1EE1"/>
    <w:rsid w:val="22AA72EE"/>
    <w:rsid w:val="22CA5FBD"/>
    <w:rsid w:val="22D27C7E"/>
    <w:rsid w:val="22F86E90"/>
    <w:rsid w:val="22FB3ADB"/>
    <w:rsid w:val="23056708"/>
    <w:rsid w:val="23200AB5"/>
    <w:rsid w:val="232142F5"/>
    <w:rsid w:val="232B1F13"/>
    <w:rsid w:val="232D50B8"/>
    <w:rsid w:val="232E3C82"/>
    <w:rsid w:val="232F7A8C"/>
    <w:rsid w:val="23437311"/>
    <w:rsid w:val="237072A3"/>
    <w:rsid w:val="2388552B"/>
    <w:rsid w:val="239F60C5"/>
    <w:rsid w:val="23AE001C"/>
    <w:rsid w:val="23B14ACF"/>
    <w:rsid w:val="23BD5235"/>
    <w:rsid w:val="23BF3832"/>
    <w:rsid w:val="23CB16FF"/>
    <w:rsid w:val="23DE7685"/>
    <w:rsid w:val="23EE3775"/>
    <w:rsid w:val="23F4ACD9"/>
    <w:rsid w:val="23F64E6A"/>
    <w:rsid w:val="23F87F36"/>
    <w:rsid w:val="23FF0A62"/>
    <w:rsid w:val="240E3358"/>
    <w:rsid w:val="240F3CE2"/>
    <w:rsid w:val="2419493C"/>
    <w:rsid w:val="2432177F"/>
    <w:rsid w:val="24436500"/>
    <w:rsid w:val="245A2A83"/>
    <w:rsid w:val="24696317"/>
    <w:rsid w:val="24697446"/>
    <w:rsid w:val="24B506C7"/>
    <w:rsid w:val="24B6415E"/>
    <w:rsid w:val="24B86128"/>
    <w:rsid w:val="24C901DC"/>
    <w:rsid w:val="24CE4DB1"/>
    <w:rsid w:val="24FA112D"/>
    <w:rsid w:val="25056E93"/>
    <w:rsid w:val="250B4B52"/>
    <w:rsid w:val="25287303"/>
    <w:rsid w:val="25565941"/>
    <w:rsid w:val="255E0351"/>
    <w:rsid w:val="25757B75"/>
    <w:rsid w:val="258705C5"/>
    <w:rsid w:val="25AE752B"/>
    <w:rsid w:val="25AFFA62"/>
    <w:rsid w:val="25D10556"/>
    <w:rsid w:val="25D9766F"/>
    <w:rsid w:val="25DA49E2"/>
    <w:rsid w:val="25EF3DCB"/>
    <w:rsid w:val="26171E73"/>
    <w:rsid w:val="262E41C8"/>
    <w:rsid w:val="264F6850"/>
    <w:rsid w:val="265D1398"/>
    <w:rsid w:val="26932C8A"/>
    <w:rsid w:val="26937E39"/>
    <w:rsid w:val="26A03C3C"/>
    <w:rsid w:val="26CF3B03"/>
    <w:rsid w:val="26DD6212"/>
    <w:rsid w:val="26F94C50"/>
    <w:rsid w:val="26FB4F96"/>
    <w:rsid w:val="27167136"/>
    <w:rsid w:val="27277595"/>
    <w:rsid w:val="2732271F"/>
    <w:rsid w:val="273D57D8"/>
    <w:rsid w:val="27457128"/>
    <w:rsid w:val="2745797B"/>
    <w:rsid w:val="27467B25"/>
    <w:rsid w:val="27491D4C"/>
    <w:rsid w:val="275B1765"/>
    <w:rsid w:val="276D4AE9"/>
    <w:rsid w:val="277C1D18"/>
    <w:rsid w:val="277D22FF"/>
    <w:rsid w:val="27866A79"/>
    <w:rsid w:val="278A21C3"/>
    <w:rsid w:val="279E6564"/>
    <w:rsid w:val="27A75FE0"/>
    <w:rsid w:val="27CB4D62"/>
    <w:rsid w:val="27DE7FB7"/>
    <w:rsid w:val="27E3172A"/>
    <w:rsid w:val="27F154AD"/>
    <w:rsid w:val="27F5CDC8"/>
    <w:rsid w:val="27F65B6B"/>
    <w:rsid w:val="28090ABE"/>
    <w:rsid w:val="28096C9A"/>
    <w:rsid w:val="281E1197"/>
    <w:rsid w:val="282378B2"/>
    <w:rsid w:val="28487718"/>
    <w:rsid w:val="28492574"/>
    <w:rsid w:val="284E72DC"/>
    <w:rsid w:val="285B15A7"/>
    <w:rsid w:val="286F11F3"/>
    <w:rsid w:val="287D5ED9"/>
    <w:rsid w:val="28942A08"/>
    <w:rsid w:val="28B164BA"/>
    <w:rsid w:val="28B42122"/>
    <w:rsid w:val="28D75265"/>
    <w:rsid w:val="28E47507"/>
    <w:rsid w:val="28EA2628"/>
    <w:rsid w:val="28F214DC"/>
    <w:rsid w:val="290C6EB8"/>
    <w:rsid w:val="292269FD"/>
    <w:rsid w:val="292F457B"/>
    <w:rsid w:val="29363ABF"/>
    <w:rsid w:val="296B671C"/>
    <w:rsid w:val="296B9323"/>
    <w:rsid w:val="29726A0C"/>
    <w:rsid w:val="29A94BD5"/>
    <w:rsid w:val="29AF73CD"/>
    <w:rsid w:val="29B80978"/>
    <w:rsid w:val="29BD1AEA"/>
    <w:rsid w:val="29DA5795"/>
    <w:rsid w:val="29E73282"/>
    <w:rsid w:val="29ED173B"/>
    <w:rsid w:val="2A004862"/>
    <w:rsid w:val="2A0F08D5"/>
    <w:rsid w:val="2A113634"/>
    <w:rsid w:val="2A262DB4"/>
    <w:rsid w:val="2A267326"/>
    <w:rsid w:val="2A307D13"/>
    <w:rsid w:val="2A5D507B"/>
    <w:rsid w:val="2A816FEF"/>
    <w:rsid w:val="2A9428FA"/>
    <w:rsid w:val="2AA711A8"/>
    <w:rsid w:val="2AC77988"/>
    <w:rsid w:val="2ACA0963"/>
    <w:rsid w:val="2ACBFA33"/>
    <w:rsid w:val="2AD450EA"/>
    <w:rsid w:val="2AD74E2E"/>
    <w:rsid w:val="2AE7307A"/>
    <w:rsid w:val="2AEF7150"/>
    <w:rsid w:val="2AFA28CA"/>
    <w:rsid w:val="2B0826B0"/>
    <w:rsid w:val="2B0C0C2A"/>
    <w:rsid w:val="2B0F1CB0"/>
    <w:rsid w:val="2B1A4D1A"/>
    <w:rsid w:val="2B1C175D"/>
    <w:rsid w:val="2B1F6EEB"/>
    <w:rsid w:val="2B22345B"/>
    <w:rsid w:val="2B3109E2"/>
    <w:rsid w:val="2B400C25"/>
    <w:rsid w:val="2B457230"/>
    <w:rsid w:val="2B5054D5"/>
    <w:rsid w:val="2B5A55FB"/>
    <w:rsid w:val="2B604039"/>
    <w:rsid w:val="2B6B12F3"/>
    <w:rsid w:val="2B6D7540"/>
    <w:rsid w:val="2B741029"/>
    <w:rsid w:val="2B7C58B9"/>
    <w:rsid w:val="2B940F71"/>
    <w:rsid w:val="2B9C0B3E"/>
    <w:rsid w:val="2BA07020"/>
    <w:rsid w:val="2BBA09D7"/>
    <w:rsid w:val="2BC00E57"/>
    <w:rsid w:val="2BC06184"/>
    <w:rsid w:val="2BCA38CE"/>
    <w:rsid w:val="2BCE2D40"/>
    <w:rsid w:val="2BE55328"/>
    <w:rsid w:val="2BEFB4B2"/>
    <w:rsid w:val="2BFB307B"/>
    <w:rsid w:val="2BFB4B4C"/>
    <w:rsid w:val="2BFF63EA"/>
    <w:rsid w:val="2C100EEC"/>
    <w:rsid w:val="2C206143"/>
    <w:rsid w:val="2C287ECA"/>
    <w:rsid w:val="2C2916B9"/>
    <w:rsid w:val="2C414C55"/>
    <w:rsid w:val="2C49046A"/>
    <w:rsid w:val="2C6B57F0"/>
    <w:rsid w:val="2C725F8D"/>
    <w:rsid w:val="2C734E31"/>
    <w:rsid w:val="2C863C3D"/>
    <w:rsid w:val="2C970D19"/>
    <w:rsid w:val="2C9F3729"/>
    <w:rsid w:val="2CA924CA"/>
    <w:rsid w:val="2CBA9371"/>
    <w:rsid w:val="2CBFF3C6"/>
    <w:rsid w:val="2CC47634"/>
    <w:rsid w:val="2CC47799"/>
    <w:rsid w:val="2CD47877"/>
    <w:rsid w:val="2CE3118E"/>
    <w:rsid w:val="2CE441C5"/>
    <w:rsid w:val="2CFC5020"/>
    <w:rsid w:val="2D04088A"/>
    <w:rsid w:val="2D085772"/>
    <w:rsid w:val="2D103148"/>
    <w:rsid w:val="2D314CC9"/>
    <w:rsid w:val="2D4542D1"/>
    <w:rsid w:val="2D6230D5"/>
    <w:rsid w:val="2D6A20DB"/>
    <w:rsid w:val="2D7352E2"/>
    <w:rsid w:val="2D7746A6"/>
    <w:rsid w:val="2D86591E"/>
    <w:rsid w:val="2D885FB0"/>
    <w:rsid w:val="2D9436F8"/>
    <w:rsid w:val="2D957F6F"/>
    <w:rsid w:val="2D987795"/>
    <w:rsid w:val="2DA03AA4"/>
    <w:rsid w:val="2DB15E0A"/>
    <w:rsid w:val="2DBA3EB2"/>
    <w:rsid w:val="2DBD47AF"/>
    <w:rsid w:val="2DD1025A"/>
    <w:rsid w:val="2DDBA414"/>
    <w:rsid w:val="2DDD3579"/>
    <w:rsid w:val="2DDF1017"/>
    <w:rsid w:val="2DE53D06"/>
    <w:rsid w:val="2DEF248E"/>
    <w:rsid w:val="2DF12E9C"/>
    <w:rsid w:val="2DF37B82"/>
    <w:rsid w:val="2DF52218"/>
    <w:rsid w:val="2DF78DD5"/>
    <w:rsid w:val="2DFA34F5"/>
    <w:rsid w:val="2E0A0C09"/>
    <w:rsid w:val="2E262354"/>
    <w:rsid w:val="2E316A21"/>
    <w:rsid w:val="2E5067EC"/>
    <w:rsid w:val="2E5E6A04"/>
    <w:rsid w:val="2E7B1F74"/>
    <w:rsid w:val="2E862DF3"/>
    <w:rsid w:val="2E980D78"/>
    <w:rsid w:val="2E9848D4"/>
    <w:rsid w:val="2EB061FD"/>
    <w:rsid w:val="2EB21E3A"/>
    <w:rsid w:val="2EB55684"/>
    <w:rsid w:val="2EC571F3"/>
    <w:rsid w:val="2EC97183"/>
    <w:rsid w:val="2EE330A1"/>
    <w:rsid w:val="2EE61AE3"/>
    <w:rsid w:val="2EFB14A1"/>
    <w:rsid w:val="2EFD668A"/>
    <w:rsid w:val="2F155773"/>
    <w:rsid w:val="2F1E6340"/>
    <w:rsid w:val="2F216FD0"/>
    <w:rsid w:val="2F28553F"/>
    <w:rsid w:val="2F622FA8"/>
    <w:rsid w:val="2F680329"/>
    <w:rsid w:val="2F7975E8"/>
    <w:rsid w:val="2F7D0D47"/>
    <w:rsid w:val="2F7F2FC1"/>
    <w:rsid w:val="2F85139E"/>
    <w:rsid w:val="2F947791"/>
    <w:rsid w:val="2FA038EE"/>
    <w:rsid w:val="2FA9127F"/>
    <w:rsid w:val="2FBF166B"/>
    <w:rsid w:val="2FC04ACB"/>
    <w:rsid w:val="2FD33202"/>
    <w:rsid w:val="2FD99BD1"/>
    <w:rsid w:val="2FDF863C"/>
    <w:rsid w:val="2FEF3A8C"/>
    <w:rsid w:val="2FF56B39"/>
    <w:rsid w:val="30063D65"/>
    <w:rsid w:val="300E30A0"/>
    <w:rsid w:val="30126165"/>
    <w:rsid w:val="301405BF"/>
    <w:rsid w:val="301D5A7D"/>
    <w:rsid w:val="302E47F0"/>
    <w:rsid w:val="303B7C0D"/>
    <w:rsid w:val="303D4D39"/>
    <w:rsid w:val="30696528"/>
    <w:rsid w:val="307631BE"/>
    <w:rsid w:val="307931FA"/>
    <w:rsid w:val="3082583C"/>
    <w:rsid w:val="308A20DF"/>
    <w:rsid w:val="308C5F5F"/>
    <w:rsid w:val="309F63A7"/>
    <w:rsid w:val="30A01C88"/>
    <w:rsid w:val="30A43A04"/>
    <w:rsid w:val="30AE5FEC"/>
    <w:rsid w:val="30CD7F9B"/>
    <w:rsid w:val="30D243F2"/>
    <w:rsid w:val="30D37306"/>
    <w:rsid w:val="30D95557"/>
    <w:rsid w:val="30DE7D87"/>
    <w:rsid w:val="30E16343"/>
    <w:rsid w:val="30E16A06"/>
    <w:rsid w:val="310F0A0C"/>
    <w:rsid w:val="31215667"/>
    <w:rsid w:val="31382DE1"/>
    <w:rsid w:val="3150435B"/>
    <w:rsid w:val="315E1E05"/>
    <w:rsid w:val="316817B4"/>
    <w:rsid w:val="31701B38"/>
    <w:rsid w:val="3183186B"/>
    <w:rsid w:val="31853836"/>
    <w:rsid w:val="31861CB1"/>
    <w:rsid w:val="31864EB8"/>
    <w:rsid w:val="319E4BD8"/>
    <w:rsid w:val="31A11CF2"/>
    <w:rsid w:val="31A97CD4"/>
    <w:rsid w:val="31B31137"/>
    <w:rsid w:val="31BC2ECA"/>
    <w:rsid w:val="31BC43A8"/>
    <w:rsid w:val="31C0329F"/>
    <w:rsid w:val="31C3042A"/>
    <w:rsid w:val="31CF6156"/>
    <w:rsid w:val="31D43E75"/>
    <w:rsid w:val="31E26DD0"/>
    <w:rsid w:val="31EC7411"/>
    <w:rsid w:val="31ED3189"/>
    <w:rsid w:val="31F07478"/>
    <w:rsid w:val="31F34EE6"/>
    <w:rsid w:val="31FC2385"/>
    <w:rsid w:val="32032452"/>
    <w:rsid w:val="320C5601"/>
    <w:rsid w:val="3220765B"/>
    <w:rsid w:val="323F60E0"/>
    <w:rsid w:val="32414601"/>
    <w:rsid w:val="324B5D0F"/>
    <w:rsid w:val="32570855"/>
    <w:rsid w:val="32585395"/>
    <w:rsid w:val="327318E0"/>
    <w:rsid w:val="327D60AD"/>
    <w:rsid w:val="32870EE7"/>
    <w:rsid w:val="32A76766"/>
    <w:rsid w:val="32A846F2"/>
    <w:rsid w:val="32A962E3"/>
    <w:rsid w:val="32BE20B5"/>
    <w:rsid w:val="32C716DA"/>
    <w:rsid w:val="32CB5278"/>
    <w:rsid w:val="32CF0D97"/>
    <w:rsid w:val="32D305D1"/>
    <w:rsid w:val="32D40438"/>
    <w:rsid w:val="32D93D55"/>
    <w:rsid w:val="32DF0DBA"/>
    <w:rsid w:val="32DF2AD1"/>
    <w:rsid w:val="32E15982"/>
    <w:rsid w:val="32E91BA2"/>
    <w:rsid w:val="32EE0F67"/>
    <w:rsid w:val="32F15577"/>
    <w:rsid w:val="32FE43DF"/>
    <w:rsid w:val="32FF15C5"/>
    <w:rsid w:val="33072028"/>
    <w:rsid w:val="332130EA"/>
    <w:rsid w:val="332D7CE1"/>
    <w:rsid w:val="33332E1D"/>
    <w:rsid w:val="3336725E"/>
    <w:rsid w:val="33415945"/>
    <w:rsid w:val="33462B51"/>
    <w:rsid w:val="334F0EAE"/>
    <w:rsid w:val="334F5387"/>
    <w:rsid w:val="335D7E9A"/>
    <w:rsid w:val="33637BDB"/>
    <w:rsid w:val="3367266A"/>
    <w:rsid w:val="336D27D3"/>
    <w:rsid w:val="33866E96"/>
    <w:rsid w:val="338D3F51"/>
    <w:rsid w:val="33991598"/>
    <w:rsid w:val="33B26438"/>
    <w:rsid w:val="33D16EB6"/>
    <w:rsid w:val="33D54814"/>
    <w:rsid w:val="33D8246C"/>
    <w:rsid w:val="33D94FDC"/>
    <w:rsid w:val="33DD277F"/>
    <w:rsid w:val="33E81E5A"/>
    <w:rsid w:val="33EB3F60"/>
    <w:rsid w:val="33EC2509"/>
    <w:rsid w:val="33FDA974"/>
    <w:rsid w:val="34036C94"/>
    <w:rsid w:val="34190265"/>
    <w:rsid w:val="34194F94"/>
    <w:rsid w:val="343550C8"/>
    <w:rsid w:val="34372F0D"/>
    <w:rsid w:val="3448551B"/>
    <w:rsid w:val="346516FC"/>
    <w:rsid w:val="34A00986"/>
    <w:rsid w:val="34A715A5"/>
    <w:rsid w:val="34A72487"/>
    <w:rsid w:val="34AB35B3"/>
    <w:rsid w:val="34AE5ED7"/>
    <w:rsid w:val="34AF2730"/>
    <w:rsid w:val="34D33FE5"/>
    <w:rsid w:val="34D36666"/>
    <w:rsid w:val="34DA3E98"/>
    <w:rsid w:val="34F85BB4"/>
    <w:rsid w:val="34FF38FF"/>
    <w:rsid w:val="3513513B"/>
    <w:rsid w:val="35204032"/>
    <w:rsid w:val="354D466A"/>
    <w:rsid w:val="356279EA"/>
    <w:rsid w:val="356C2617"/>
    <w:rsid w:val="35778F08"/>
    <w:rsid w:val="35832375"/>
    <w:rsid w:val="358A316B"/>
    <w:rsid w:val="359B1552"/>
    <w:rsid w:val="35A85200"/>
    <w:rsid w:val="35B279BB"/>
    <w:rsid w:val="35CF3DA5"/>
    <w:rsid w:val="35CF6FF8"/>
    <w:rsid w:val="35D07049"/>
    <w:rsid w:val="35DE31B8"/>
    <w:rsid w:val="35DF46B8"/>
    <w:rsid w:val="35E328D9"/>
    <w:rsid w:val="35FF66C6"/>
    <w:rsid w:val="3609071C"/>
    <w:rsid w:val="360F36CE"/>
    <w:rsid w:val="36203B2D"/>
    <w:rsid w:val="362562E7"/>
    <w:rsid w:val="363215CE"/>
    <w:rsid w:val="36421CF5"/>
    <w:rsid w:val="364B1423"/>
    <w:rsid w:val="3651018A"/>
    <w:rsid w:val="365B0F3E"/>
    <w:rsid w:val="365E4655"/>
    <w:rsid w:val="36706D9C"/>
    <w:rsid w:val="367B9929"/>
    <w:rsid w:val="367F7406"/>
    <w:rsid w:val="36847069"/>
    <w:rsid w:val="368E1A09"/>
    <w:rsid w:val="369D70FE"/>
    <w:rsid w:val="36BB3856"/>
    <w:rsid w:val="36BD61A9"/>
    <w:rsid w:val="36BF44BC"/>
    <w:rsid w:val="36CE0F9D"/>
    <w:rsid w:val="36D30B9F"/>
    <w:rsid w:val="36DF8D7D"/>
    <w:rsid w:val="36E1693A"/>
    <w:rsid w:val="36EA2ABB"/>
    <w:rsid w:val="36EF6387"/>
    <w:rsid w:val="36F16AE9"/>
    <w:rsid w:val="370B093D"/>
    <w:rsid w:val="370B658B"/>
    <w:rsid w:val="371F3DE4"/>
    <w:rsid w:val="3733163E"/>
    <w:rsid w:val="3754773F"/>
    <w:rsid w:val="37555A58"/>
    <w:rsid w:val="375D5126"/>
    <w:rsid w:val="376F7A7E"/>
    <w:rsid w:val="3776E53C"/>
    <w:rsid w:val="37774CD5"/>
    <w:rsid w:val="37774F9C"/>
    <w:rsid w:val="37797999"/>
    <w:rsid w:val="37820072"/>
    <w:rsid w:val="379E5D0E"/>
    <w:rsid w:val="37A10C9D"/>
    <w:rsid w:val="37A458F7"/>
    <w:rsid w:val="37AE7A91"/>
    <w:rsid w:val="37C80C83"/>
    <w:rsid w:val="37CC6FA4"/>
    <w:rsid w:val="37D3697D"/>
    <w:rsid w:val="37D456E4"/>
    <w:rsid w:val="37E727ED"/>
    <w:rsid w:val="37EF79D3"/>
    <w:rsid w:val="37FCBA31"/>
    <w:rsid w:val="37FD2A7A"/>
    <w:rsid w:val="38066D52"/>
    <w:rsid w:val="380D1B52"/>
    <w:rsid w:val="38167121"/>
    <w:rsid w:val="38234637"/>
    <w:rsid w:val="383E7940"/>
    <w:rsid w:val="3862000E"/>
    <w:rsid w:val="386B6620"/>
    <w:rsid w:val="387B504A"/>
    <w:rsid w:val="388303A3"/>
    <w:rsid w:val="388C7E77"/>
    <w:rsid w:val="389D483C"/>
    <w:rsid w:val="389E31FD"/>
    <w:rsid w:val="38A814C2"/>
    <w:rsid w:val="38D52750"/>
    <w:rsid w:val="38F15531"/>
    <w:rsid w:val="38F66DC7"/>
    <w:rsid w:val="38FE77AF"/>
    <w:rsid w:val="39052611"/>
    <w:rsid w:val="39113013"/>
    <w:rsid w:val="392751D2"/>
    <w:rsid w:val="392763A6"/>
    <w:rsid w:val="394D4629"/>
    <w:rsid w:val="39697A6F"/>
    <w:rsid w:val="396A33E6"/>
    <w:rsid w:val="397F2DDA"/>
    <w:rsid w:val="397FFB41"/>
    <w:rsid w:val="39810D86"/>
    <w:rsid w:val="398A7AAA"/>
    <w:rsid w:val="399F78BF"/>
    <w:rsid w:val="39A54F59"/>
    <w:rsid w:val="39C75357"/>
    <w:rsid w:val="39FA1062"/>
    <w:rsid w:val="39FF1AF4"/>
    <w:rsid w:val="3A007E52"/>
    <w:rsid w:val="3A1A25A0"/>
    <w:rsid w:val="3A305611"/>
    <w:rsid w:val="3A331955"/>
    <w:rsid w:val="3A35391F"/>
    <w:rsid w:val="3A466B18"/>
    <w:rsid w:val="3A543444"/>
    <w:rsid w:val="3A5468F0"/>
    <w:rsid w:val="3A57DCF4"/>
    <w:rsid w:val="3A59585F"/>
    <w:rsid w:val="3A5B3385"/>
    <w:rsid w:val="3A690FC4"/>
    <w:rsid w:val="3A6A06DD"/>
    <w:rsid w:val="3A6B51A0"/>
    <w:rsid w:val="3A6D4E67"/>
    <w:rsid w:val="3A6F93E2"/>
    <w:rsid w:val="3A7A70F1"/>
    <w:rsid w:val="3A8F67D5"/>
    <w:rsid w:val="3A920D71"/>
    <w:rsid w:val="3A961455"/>
    <w:rsid w:val="3AAA11CD"/>
    <w:rsid w:val="3AAF1C74"/>
    <w:rsid w:val="3ABDBD39"/>
    <w:rsid w:val="3AC10958"/>
    <w:rsid w:val="3AC3717D"/>
    <w:rsid w:val="3AD20AB6"/>
    <w:rsid w:val="3AE61666"/>
    <w:rsid w:val="3AE670D0"/>
    <w:rsid w:val="3AF67EC9"/>
    <w:rsid w:val="3AFD61EB"/>
    <w:rsid w:val="3B0E6D2D"/>
    <w:rsid w:val="3B135A0E"/>
    <w:rsid w:val="3B1F1A25"/>
    <w:rsid w:val="3B253993"/>
    <w:rsid w:val="3B2714BA"/>
    <w:rsid w:val="3B413AFF"/>
    <w:rsid w:val="3B473250"/>
    <w:rsid w:val="3B4E6A46"/>
    <w:rsid w:val="3B4F2FAE"/>
    <w:rsid w:val="3B600305"/>
    <w:rsid w:val="3B6130C1"/>
    <w:rsid w:val="3B6A7640"/>
    <w:rsid w:val="3B6C511E"/>
    <w:rsid w:val="3B84113D"/>
    <w:rsid w:val="3B8C58A7"/>
    <w:rsid w:val="3BAB0482"/>
    <w:rsid w:val="3BB03EA1"/>
    <w:rsid w:val="3BB10D68"/>
    <w:rsid w:val="3BBFFE0E"/>
    <w:rsid w:val="3BC1190E"/>
    <w:rsid w:val="3BC27434"/>
    <w:rsid w:val="3BC35686"/>
    <w:rsid w:val="3BC751DB"/>
    <w:rsid w:val="3BC80320"/>
    <w:rsid w:val="3BC84F1B"/>
    <w:rsid w:val="3BCD6188"/>
    <w:rsid w:val="3BD2404C"/>
    <w:rsid w:val="3BDF3B42"/>
    <w:rsid w:val="3BE3B869"/>
    <w:rsid w:val="3BF32D1F"/>
    <w:rsid w:val="3BF4434D"/>
    <w:rsid w:val="3BF9FF42"/>
    <w:rsid w:val="3BFB6B80"/>
    <w:rsid w:val="3BFF7DAB"/>
    <w:rsid w:val="3BFF7F00"/>
    <w:rsid w:val="3BFF9F95"/>
    <w:rsid w:val="3C026CDA"/>
    <w:rsid w:val="3C0A0272"/>
    <w:rsid w:val="3C1F4887"/>
    <w:rsid w:val="3C2E2C5D"/>
    <w:rsid w:val="3C3420E0"/>
    <w:rsid w:val="3C53062C"/>
    <w:rsid w:val="3C533473"/>
    <w:rsid w:val="3C597D99"/>
    <w:rsid w:val="3C6F136A"/>
    <w:rsid w:val="3C7F7112"/>
    <w:rsid w:val="3C813F17"/>
    <w:rsid w:val="3C8360C6"/>
    <w:rsid w:val="3C9B6F1B"/>
    <w:rsid w:val="3C9C7C85"/>
    <w:rsid w:val="3CB11983"/>
    <w:rsid w:val="3CB248F4"/>
    <w:rsid w:val="3CB97630"/>
    <w:rsid w:val="3CC83320"/>
    <w:rsid w:val="3CD31F26"/>
    <w:rsid w:val="3CDC5044"/>
    <w:rsid w:val="3CE77152"/>
    <w:rsid w:val="3CF7E3B0"/>
    <w:rsid w:val="3CF98906"/>
    <w:rsid w:val="3D021290"/>
    <w:rsid w:val="3D0C108E"/>
    <w:rsid w:val="3D0D1227"/>
    <w:rsid w:val="3D181237"/>
    <w:rsid w:val="3D29776B"/>
    <w:rsid w:val="3D2F2012"/>
    <w:rsid w:val="3D356065"/>
    <w:rsid w:val="3D3714F8"/>
    <w:rsid w:val="3D382B4A"/>
    <w:rsid w:val="3D453E79"/>
    <w:rsid w:val="3D5DD96E"/>
    <w:rsid w:val="3D68584E"/>
    <w:rsid w:val="3D6932CF"/>
    <w:rsid w:val="3DAFD8DC"/>
    <w:rsid w:val="3DBD65EA"/>
    <w:rsid w:val="3DBE0B4C"/>
    <w:rsid w:val="3DC45F86"/>
    <w:rsid w:val="3DCE7D24"/>
    <w:rsid w:val="3DD84CED"/>
    <w:rsid w:val="3DDDCC06"/>
    <w:rsid w:val="3DEE62BF"/>
    <w:rsid w:val="3DEF5B7F"/>
    <w:rsid w:val="3DF17C05"/>
    <w:rsid w:val="3DF1C583"/>
    <w:rsid w:val="3E070ED2"/>
    <w:rsid w:val="3E0E070F"/>
    <w:rsid w:val="3E3100AD"/>
    <w:rsid w:val="3E313E73"/>
    <w:rsid w:val="3E3656EC"/>
    <w:rsid w:val="3E384D74"/>
    <w:rsid w:val="3E3A2FCB"/>
    <w:rsid w:val="3E3EED8D"/>
    <w:rsid w:val="3E541B20"/>
    <w:rsid w:val="3E57542F"/>
    <w:rsid w:val="3E5C2E71"/>
    <w:rsid w:val="3E66679D"/>
    <w:rsid w:val="3E6E11AD"/>
    <w:rsid w:val="3E706AA3"/>
    <w:rsid w:val="3E715BC9"/>
    <w:rsid w:val="3E7359A9"/>
    <w:rsid w:val="3E7C1B1C"/>
    <w:rsid w:val="3E834880"/>
    <w:rsid w:val="3E9C5610"/>
    <w:rsid w:val="3E9F82E1"/>
    <w:rsid w:val="3EAE5A4E"/>
    <w:rsid w:val="3EB2553E"/>
    <w:rsid w:val="3EBBE5D2"/>
    <w:rsid w:val="3EC314F9"/>
    <w:rsid w:val="3EC387C1"/>
    <w:rsid w:val="3EF21DDE"/>
    <w:rsid w:val="3EFB0C30"/>
    <w:rsid w:val="3EFC2C5D"/>
    <w:rsid w:val="3EFE614D"/>
    <w:rsid w:val="3EFEF4BD"/>
    <w:rsid w:val="3F035297"/>
    <w:rsid w:val="3F114A2C"/>
    <w:rsid w:val="3F16BE6F"/>
    <w:rsid w:val="3F20708D"/>
    <w:rsid w:val="3F24652F"/>
    <w:rsid w:val="3F251629"/>
    <w:rsid w:val="3F4E607F"/>
    <w:rsid w:val="3F4F42A7"/>
    <w:rsid w:val="3F586805"/>
    <w:rsid w:val="3F5A4F0B"/>
    <w:rsid w:val="3F645932"/>
    <w:rsid w:val="3F6E5909"/>
    <w:rsid w:val="3F779E02"/>
    <w:rsid w:val="3F7B38FF"/>
    <w:rsid w:val="3F7E1929"/>
    <w:rsid w:val="3F7F8116"/>
    <w:rsid w:val="3F7F9605"/>
    <w:rsid w:val="3F90775A"/>
    <w:rsid w:val="3FA90326"/>
    <w:rsid w:val="3FA96941"/>
    <w:rsid w:val="3FB7B308"/>
    <w:rsid w:val="3FBF7264"/>
    <w:rsid w:val="3FBF92F6"/>
    <w:rsid w:val="3FCA3D33"/>
    <w:rsid w:val="3FCDC299"/>
    <w:rsid w:val="3FCEED26"/>
    <w:rsid w:val="3FDE717E"/>
    <w:rsid w:val="3FDF239A"/>
    <w:rsid w:val="3FDFFAB3"/>
    <w:rsid w:val="3FE0664E"/>
    <w:rsid w:val="3FE2EBD5"/>
    <w:rsid w:val="3FE78F4C"/>
    <w:rsid w:val="3FECD332"/>
    <w:rsid w:val="3FF70333"/>
    <w:rsid w:val="3FFD94E9"/>
    <w:rsid w:val="3FFE71BE"/>
    <w:rsid w:val="3FFF61E2"/>
    <w:rsid w:val="3FFF9DF5"/>
    <w:rsid w:val="3FFFDC25"/>
    <w:rsid w:val="403703F1"/>
    <w:rsid w:val="405C0E8C"/>
    <w:rsid w:val="406010FB"/>
    <w:rsid w:val="40805505"/>
    <w:rsid w:val="40877969"/>
    <w:rsid w:val="40B41A41"/>
    <w:rsid w:val="40E67721"/>
    <w:rsid w:val="40E81C84"/>
    <w:rsid w:val="41135982"/>
    <w:rsid w:val="412B6851"/>
    <w:rsid w:val="412C5A7C"/>
    <w:rsid w:val="412D35A2"/>
    <w:rsid w:val="414D77A0"/>
    <w:rsid w:val="41775031"/>
    <w:rsid w:val="41825A27"/>
    <w:rsid w:val="418C2076"/>
    <w:rsid w:val="418F600A"/>
    <w:rsid w:val="419453CF"/>
    <w:rsid w:val="419B675D"/>
    <w:rsid w:val="41C218EF"/>
    <w:rsid w:val="41C21F3C"/>
    <w:rsid w:val="41E1761A"/>
    <w:rsid w:val="41E80D5B"/>
    <w:rsid w:val="41EC6FB9"/>
    <w:rsid w:val="42383FAC"/>
    <w:rsid w:val="4243242B"/>
    <w:rsid w:val="42502ADE"/>
    <w:rsid w:val="425A0F71"/>
    <w:rsid w:val="425A7BFB"/>
    <w:rsid w:val="425C406C"/>
    <w:rsid w:val="426111F5"/>
    <w:rsid w:val="426B3597"/>
    <w:rsid w:val="426D6D31"/>
    <w:rsid w:val="42723962"/>
    <w:rsid w:val="42972BCC"/>
    <w:rsid w:val="42B1052C"/>
    <w:rsid w:val="42BC1B4A"/>
    <w:rsid w:val="42BC2C1B"/>
    <w:rsid w:val="42D50A78"/>
    <w:rsid w:val="42EB755D"/>
    <w:rsid w:val="42F563BE"/>
    <w:rsid w:val="431762B8"/>
    <w:rsid w:val="432B35CB"/>
    <w:rsid w:val="432D197A"/>
    <w:rsid w:val="434F5A51"/>
    <w:rsid w:val="436314FD"/>
    <w:rsid w:val="4376F5CB"/>
    <w:rsid w:val="438B28FA"/>
    <w:rsid w:val="43982048"/>
    <w:rsid w:val="43A708F0"/>
    <w:rsid w:val="43AF029E"/>
    <w:rsid w:val="43AF64F0"/>
    <w:rsid w:val="43B71915"/>
    <w:rsid w:val="43BC5B11"/>
    <w:rsid w:val="43BE25BE"/>
    <w:rsid w:val="43C53F65"/>
    <w:rsid w:val="43CC42B5"/>
    <w:rsid w:val="43CE4CBB"/>
    <w:rsid w:val="43E443EC"/>
    <w:rsid w:val="43F7ACFD"/>
    <w:rsid w:val="44150A49"/>
    <w:rsid w:val="44217FF5"/>
    <w:rsid w:val="44316F05"/>
    <w:rsid w:val="443E0078"/>
    <w:rsid w:val="444459B4"/>
    <w:rsid w:val="444C1F20"/>
    <w:rsid w:val="447137A5"/>
    <w:rsid w:val="44760DBC"/>
    <w:rsid w:val="4484797D"/>
    <w:rsid w:val="448E25A9"/>
    <w:rsid w:val="44910B3F"/>
    <w:rsid w:val="449D4B44"/>
    <w:rsid w:val="44A51833"/>
    <w:rsid w:val="44B8321D"/>
    <w:rsid w:val="44BD176A"/>
    <w:rsid w:val="44C019DF"/>
    <w:rsid w:val="44CE29A6"/>
    <w:rsid w:val="44EF7C07"/>
    <w:rsid w:val="44F468B0"/>
    <w:rsid w:val="44F86EB3"/>
    <w:rsid w:val="45014B29"/>
    <w:rsid w:val="45285204"/>
    <w:rsid w:val="452E1E8B"/>
    <w:rsid w:val="4545710C"/>
    <w:rsid w:val="454F1D39"/>
    <w:rsid w:val="4550160D"/>
    <w:rsid w:val="457E43CC"/>
    <w:rsid w:val="458A049C"/>
    <w:rsid w:val="4595393F"/>
    <w:rsid w:val="459C013A"/>
    <w:rsid w:val="45A32084"/>
    <w:rsid w:val="45A87CAB"/>
    <w:rsid w:val="45AD7D8C"/>
    <w:rsid w:val="45C37881"/>
    <w:rsid w:val="45E20507"/>
    <w:rsid w:val="45EE1552"/>
    <w:rsid w:val="45F11042"/>
    <w:rsid w:val="45F67E46"/>
    <w:rsid w:val="45F96CD1"/>
    <w:rsid w:val="46116FEE"/>
    <w:rsid w:val="461D51DD"/>
    <w:rsid w:val="46252A99"/>
    <w:rsid w:val="462F148B"/>
    <w:rsid w:val="46313D8D"/>
    <w:rsid w:val="46413C84"/>
    <w:rsid w:val="4669507C"/>
    <w:rsid w:val="468C36E7"/>
    <w:rsid w:val="46B12C8F"/>
    <w:rsid w:val="46BD0C1B"/>
    <w:rsid w:val="46C2619D"/>
    <w:rsid w:val="46D87B0C"/>
    <w:rsid w:val="46DF0E9A"/>
    <w:rsid w:val="46DF4A45"/>
    <w:rsid w:val="46E54D53"/>
    <w:rsid w:val="46E78157"/>
    <w:rsid w:val="46F54B62"/>
    <w:rsid w:val="46F7239C"/>
    <w:rsid w:val="46FD7572"/>
    <w:rsid w:val="47037CFA"/>
    <w:rsid w:val="471C661C"/>
    <w:rsid w:val="474B3DF6"/>
    <w:rsid w:val="474D6775"/>
    <w:rsid w:val="47537093"/>
    <w:rsid w:val="4759319A"/>
    <w:rsid w:val="4760511C"/>
    <w:rsid w:val="47653A95"/>
    <w:rsid w:val="4769308E"/>
    <w:rsid w:val="47833F1C"/>
    <w:rsid w:val="478E5712"/>
    <w:rsid w:val="478F0B12"/>
    <w:rsid w:val="47961EA1"/>
    <w:rsid w:val="47A73CBB"/>
    <w:rsid w:val="47B95837"/>
    <w:rsid w:val="47DE7EE8"/>
    <w:rsid w:val="47E66258"/>
    <w:rsid w:val="47ED2D5B"/>
    <w:rsid w:val="47F045E0"/>
    <w:rsid w:val="48074B4D"/>
    <w:rsid w:val="48154C35"/>
    <w:rsid w:val="481A184C"/>
    <w:rsid w:val="481D0CF7"/>
    <w:rsid w:val="481E5DAA"/>
    <w:rsid w:val="4823219D"/>
    <w:rsid w:val="482B223A"/>
    <w:rsid w:val="482E3254"/>
    <w:rsid w:val="484511D1"/>
    <w:rsid w:val="48533072"/>
    <w:rsid w:val="486FB1D0"/>
    <w:rsid w:val="48770DE4"/>
    <w:rsid w:val="487963A2"/>
    <w:rsid w:val="487A051B"/>
    <w:rsid w:val="487F78EF"/>
    <w:rsid w:val="489509A3"/>
    <w:rsid w:val="48CB57B0"/>
    <w:rsid w:val="48EA2FD3"/>
    <w:rsid w:val="48EC1391"/>
    <w:rsid w:val="48FF54C6"/>
    <w:rsid w:val="491C794F"/>
    <w:rsid w:val="4924150C"/>
    <w:rsid w:val="49360FDB"/>
    <w:rsid w:val="49557B3A"/>
    <w:rsid w:val="49566C12"/>
    <w:rsid w:val="496164DE"/>
    <w:rsid w:val="4968786D"/>
    <w:rsid w:val="49757894"/>
    <w:rsid w:val="49781E45"/>
    <w:rsid w:val="498731D5"/>
    <w:rsid w:val="499A16F3"/>
    <w:rsid w:val="49A56E1B"/>
    <w:rsid w:val="49AD702E"/>
    <w:rsid w:val="49B37320"/>
    <w:rsid w:val="49B42DFE"/>
    <w:rsid w:val="49B66968"/>
    <w:rsid w:val="49B91E77"/>
    <w:rsid w:val="49BE56DF"/>
    <w:rsid w:val="49EB87AC"/>
    <w:rsid w:val="49EE36F4"/>
    <w:rsid w:val="49F71731"/>
    <w:rsid w:val="4A082D0D"/>
    <w:rsid w:val="4A0D425E"/>
    <w:rsid w:val="4A0F05C0"/>
    <w:rsid w:val="4A172C70"/>
    <w:rsid w:val="4A1C41B3"/>
    <w:rsid w:val="4A1F6DCE"/>
    <w:rsid w:val="4A201EF6"/>
    <w:rsid w:val="4A3902BA"/>
    <w:rsid w:val="4A3F507F"/>
    <w:rsid w:val="4A4200BE"/>
    <w:rsid w:val="4A51775F"/>
    <w:rsid w:val="4A633B90"/>
    <w:rsid w:val="4A745D9D"/>
    <w:rsid w:val="4A7E27C2"/>
    <w:rsid w:val="4A800BE6"/>
    <w:rsid w:val="4A8813D2"/>
    <w:rsid w:val="4A98521F"/>
    <w:rsid w:val="4A9E1EBD"/>
    <w:rsid w:val="4AAA17BF"/>
    <w:rsid w:val="4AB5384C"/>
    <w:rsid w:val="4AB70571"/>
    <w:rsid w:val="4AB71922"/>
    <w:rsid w:val="4ADF3CAD"/>
    <w:rsid w:val="4AE9678B"/>
    <w:rsid w:val="4AF33166"/>
    <w:rsid w:val="4B0F04A0"/>
    <w:rsid w:val="4B3E33A3"/>
    <w:rsid w:val="4B7E04ED"/>
    <w:rsid w:val="4B8D612B"/>
    <w:rsid w:val="4B8E10E1"/>
    <w:rsid w:val="4B901606"/>
    <w:rsid w:val="4B903235"/>
    <w:rsid w:val="4B931AB6"/>
    <w:rsid w:val="4BB85BF2"/>
    <w:rsid w:val="4BC04753"/>
    <w:rsid w:val="4BCC51B1"/>
    <w:rsid w:val="4BD07693"/>
    <w:rsid w:val="4BD420A9"/>
    <w:rsid w:val="4BDF193C"/>
    <w:rsid w:val="4BEE392E"/>
    <w:rsid w:val="4BEF7084"/>
    <w:rsid w:val="4BF278C2"/>
    <w:rsid w:val="4BF57162"/>
    <w:rsid w:val="4BF9040A"/>
    <w:rsid w:val="4BFECABF"/>
    <w:rsid w:val="4C0B2731"/>
    <w:rsid w:val="4C136805"/>
    <w:rsid w:val="4C161994"/>
    <w:rsid w:val="4C19514D"/>
    <w:rsid w:val="4C2D26A8"/>
    <w:rsid w:val="4C37699C"/>
    <w:rsid w:val="4C3C4805"/>
    <w:rsid w:val="4C61095C"/>
    <w:rsid w:val="4C724422"/>
    <w:rsid w:val="4C771B75"/>
    <w:rsid w:val="4C7A3116"/>
    <w:rsid w:val="4C8147A2"/>
    <w:rsid w:val="4C883D82"/>
    <w:rsid w:val="4CA23D34"/>
    <w:rsid w:val="4CCC6637"/>
    <w:rsid w:val="4CE869D1"/>
    <w:rsid w:val="4CED443F"/>
    <w:rsid w:val="4CEF6FC4"/>
    <w:rsid w:val="4D054A99"/>
    <w:rsid w:val="4D0A2ABD"/>
    <w:rsid w:val="4D0E1E95"/>
    <w:rsid w:val="4D117083"/>
    <w:rsid w:val="4D39089C"/>
    <w:rsid w:val="4D4D5A9E"/>
    <w:rsid w:val="4D645E9F"/>
    <w:rsid w:val="4D7B5CAE"/>
    <w:rsid w:val="4D7DDD56"/>
    <w:rsid w:val="4D802136"/>
    <w:rsid w:val="4D8C33FE"/>
    <w:rsid w:val="4DAE26E6"/>
    <w:rsid w:val="4DDA23BB"/>
    <w:rsid w:val="4DDD7A59"/>
    <w:rsid w:val="4DE76116"/>
    <w:rsid w:val="4DEBE99D"/>
    <w:rsid w:val="4DF307D4"/>
    <w:rsid w:val="4E3715BC"/>
    <w:rsid w:val="4E395334"/>
    <w:rsid w:val="4E5151A3"/>
    <w:rsid w:val="4E5F05C3"/>
    <w:rsid w:val="4E669DBA"/>
    <w:rsid w:val="4E6BF7B9"/>
    <w:rsid w:val="4E6C3AD3"/>
    <w:rsid w:val="4E7C16C5"/>
    <w:rsid w:val="4E9D713C"/>
    <w:rsid w:val="4EAFF6E5"/>
    <w:rsid w:val="4EB90223"/>
    <w:rsid w:val="4EBD41B7"/>
    <w:rsid w:val="4EC46BBF"/>
    <w:rsid w:val="4EE53DC6"/>
    <w:rsid w:val="4EEF78F4"/>
    <w:rsid w:val="4EF34B7E"/>
    <w:rsid w:val="4EFB6F97"/>
    <w:rsid w:val="4F051F32"/>
    <w:rsid w:val="4F1638C7"/>
    <w:rsid w:val="4F2E14F3"/>
    <w:rsid w:val="4F336227"/>
    <w:rsid w:val="4F4651C9"/>
    <w:rsid w:val="4F4F0B87"/>
    <w:rsid w:val="4F5148FF"/>
    <w:rsid w:val="4F5C39D0"/>
    <w:rsid w:val="4F663FBE"/>
    <w:rsid w:val="4F760C0C"/>
    <w:rsid w:val="4F775B01"/>
    <w:rsid w:val="4F8265F7"/>
    <w:rsid w:val="4F8A4CF0"/>
    <w:rsid w:val="4F9A46E8"/>
    <w:rsid w:val="4F9D31CA"/>
    <w:rsid w:val="4F9F4271"/>
    <w:rsid w:val="4FA9A88A"/>
    <w:rsid w:val="4FB03AF6"/>
    <w:rsid w:val="4FB530E0"/>
    <w:rsid w:val="4FBBDD03"/>
    <w:rsid w:val="4FBD8EC9"/>
    <w:rsid w:val="4FC82E13"/>
    <w:rsid w:val="4FC83AB2"/>
    <w:rsid w:val="4FD02531"/>
    <w:rsid w:val="4FDBE75C"/>
    <w:rsid w:val="4FDD4872"/>
    <w:rsid w:val="4FEA2B77"/>
    <w:rsid w:val="4FF11CC7"/>
    <w:rsid w:val="4FFA6D45"/>
    <w:rsid w:val="4FFBB516"/>
    <w:rsid w:val="50053835"/>
    <w:rsid w:val="500D0826"/>
    <w:rsid w:val="50147051"/>
    <w:rsid w:val="50200100"/>
    <w:rsid w:val="502C4691"/>
    <w:rsid w:val="502C78BD"/>
    <w:rsid w:val="5038161B"/>
    <w:rsid w:val="50403624"/>
    <w:rsid w:val="504B59AB"/>
    <w:rsid w:val="504D6875"/>
    <w:rsid w:val="5079410E"/>
    <w:rsid w:val="5080549C"/>
    <w:rsid w:val="5091510C"/>
    <w:rsid w:val="50AE6154"/>
    <w:rsid w:val="50C05A6E"/>
    <w:rsid w:val="50CD1087"/>
    <w:rsid w:val="50E023DF"/>
    <w:rsid w:val="50EE4E08"/>
    <w:rsid w:val="50F6575E"/>
    <w:rsid w:val="50F973B5"/>
    <w:rsid w:val="510C55F9"/>
    <w:rsid w:val="511B3417"/>
    <w:rsid w:val="511C62D0"/>
    <w:rsid w:val="51274E6A"/>
    <w:rsid w:val="5134057D"/>
    <w:rsid w:val="51391131"/>
    <w:rsid w:val="515D758B"/>
    <w:rsid w:val="51914954"/>
    <w:rsid w:val="519C4F6B"/>
    <w:rsid w:val="51A258E6"/>
    <w:rsid w:val="51A46F68"/>
    <w:rsid w:val="51D0632D"/>
    <w:rsid w:val="51E1640E"/>
    <w:rsid w:val="51EE7929"/>
    <w:rsid w:val="51FE38F1"/>
    <w:rsid w:val="52004FC4"/>
    <w:rsid w:val="52077639"/>
    <w:rsid w:val="520E4D2A"/>
    <w:rsid w:val="52324A38"/>
    <w:rsid w:val="52397095"/>
    <w:rsid w:val="52432AA6"/>
    <w:rsid w:val="5246001F"/>
    <w:rsid w:val="5247460D"/>
    <w:rsid w:val="52474E74"/>
    <w:rsid w:val="52492E45"/>
    <w:rsid w:val="524B1ADA"/>
    <w:rsid w:val="525615E0"/>
    <w:rsid w:val="52623A88"/>
    <w:rsid w:val="527A3DD9"/>
    <w:rsid w:val="52862B12"/>
    <w:rsid w:val="528D1E9B"/>
    <w:rsid w:val="528D48AB"/>
    <w:rsid w:val="52AC1DB3"/>
    <w:rsid w:val="52B47953"/>
    <w:rsid w:val="52CB6777"/>
    <w:rsid w:val="52DB4C0C"/>
    <w:rsid w:val="52E962D5"/>
    <w:rsid w:val="52F82D3C"/>
    <w:rsid w:val="52F97788"/>
    <w:rsid w:val="52FC6687"/>
    <w:rsid w:val="53041A34"/>
    <w:rsid w:val="53126132"/>
    <w:rsid w:val="531B3696"/>
    <w:rsid w:val="532F3286"/>
    <w:rsid w:val="533E4E87"/>
    <w:rsid w:val="533F1412"/>
    <w:rsid w:val="53443BBD"/>
    <w:rsid w:val="534C047A"/>
    <w:rsid w:val="53963229"/>
    <w:rsid w:val="539B2BBF"/>
    <w:rsid w:val="53A741DD"/>
    <w:rsid w:val="53AB4109"/>
    <w:rsid w:val="53BF62DB"/>
    <w:rsid w:val="53C75B65"/>
    <w:rsid w:val="53CA4C80"/>
    <w:rsid w:val="53CB7BCA"/>
    <w:rsid w:val="53CD5A83"/>
    <w:rsid w:val="53D17DBD"/>
    <w:rsid w:val="53DF56E0"/>
    <w:rsid w:val="53E2646E"/>
    <w:rsid w:val="53F32D58"/>
    <w:rsid w:val="53FDC9B4"/>
    <w:rsid w:val="541162F6"/>
    <w:rsid w:val="54270F5B"/>
    <w:rsid w:val="54522BCE"/>
    <w:rsid w:val="547C41CC"/>
    <w:rsid w:val="548117E3"/>
    <w:rsid w:val="548A1708"/>
    <w:rsid w:val="548C7821"/>
    <w:rsid w:val="5492579E"/>
    <w:rsid w:val="549C2215"/>
    <w:rsid w:val="54A92760"/>
    <w:rsid w:val="54AD25D8"/>
    <w:rsid w:val="54BB42C3"/>
    <w:rsid w:val="54BE1A66"/>
    <w:rsid w:val="54BEFF0B"/>
    <w:rsid w:val="54CF6D6B"/>
    <w:rsid w:val="54D6663F"/>
    <w:rsid w:val="54E52AFE"/>
    <w:rsid w:val="54E7647B"/>
    <w:rsid w:val="54F31118"/>
    <w:rsid w:val="54F55D2D"/>
    <w:rsid w:val="550C71C3"/>
    <w:rsid w:val="55175992"/>
    <w:rsid w:val="551E4DA2"/>
    <w:rsid w:val="55287EB0"/>
    <w:rsid w:val="552A3C28"/>
    <w:rsid w:val="552E78E6"/>
    <w:rsid w:val="55314FB7"/>
    <w:rsid w:val="5536081F"/>
    <w:rsid w:val="553E73B3"/>
    <w:rsid w:val="55450A62"/>
    <w:rsid w:val="555910C0"/>
    <w:rsid w:val="555D66B2"/>
    <w:rsid w:val="55933427"/>
    <w:rsid w:val="559772DE"/>
    <w:rsid w:val="559E0B25"/>
    <w:rsid w:val="55AD03B6"/>
    <w:rsid w:val="55AF2020"/>
    <w:rsid w:val="55AF7BDE"/>
    <w:rsid w:val="55B044A8"/>
    <w:rsid w:val="55C20305"/>
    <w:rsid w:val="55CF7479"/>
    <w:rsid w:val="55D30B16"/>
    <w:rsid w:val="55D5051B"/>
    <w:rsid w:val="55D57867"/>
    <w:rsid w:val="55D94172"/>
    <w:rsid w:val="55F05BDE"/>
    <w:rsid w:val="5617074A"/>
    <w:rsid w:val="56384C51"/>
    <w:rsid w:val="563C024F"/>
    <w:rsid w:val="5647129A"/>
    <w:rsid w:val="564E1B99"/>
    <w:rsid w:val="565B9E64"/>
    <w:rsid w:val="565D1DDC"/>
    <w:rsid w:val="565F7902"/>
    <w:rsid w:val="56683122"/>
    <w:rsid w:val="567D1774"/>
    <w:rsid w:val="56824BF3"/>
    <w:rsid w:val="5685728D"/>
    <w:rsid w:val="56940730"/>
    <w:rsid w:val="56941CA1"/>
    <w:rsid w:val="56A042AF"/>
    <w:rsid w:val="56C21281"/>
    <w:rsid w:val="56DD074B"/>
    <w:rsid w:val="56E16B4D"/>
    <w:rsid w:val="56EB73E7"/>
    <w:rsid w:val="56F339AA"/>
    <w:rsid w:val="5714079C"/>
    <w:rsid w:val="5717529D"/>
    <w:rsid w:val="57195870"/>
    <w:rsid w:val="571C621F"/>
    <w:rsid w:val="572C7C98"/>
    <w:rsid w:val="572D4A2F"/>
    <w:rsid w:val="57373847"/>
    <w:rsid w:val="573A47F4"/>
    <w:rsid w:val="57465EFE"/>
    <w:rsid w:val="5749128D"/>
    <w:rsid w:val="57540073"/>
    <w:rsid w:val="57581B59"/>
    <w:rsid w:val="57713D91"/>
    <w:rsid w:val="57725AAD"/>
    <w:rsid w:val="5785783C"/>
    <w:rsid w:val="57A33EBB"/>
    <w:rsid w:val="57AA72A2"/>
    <w:rsid w:val="57C974C9"/>
    <w:rsid w:val="57CE2B9D"/>
    <w:rsid w:val="57CF603D"/>
    <w:rsid w:val="57DDDAEE"/>
    <w:rsid w:val="57E00F16"/>
    <w:rsid w:val="57F74BE3"/>
    <w:rsid w:val="57FD09FB"/>
    <w:rsid w:val="580E5A83"/>
    <w:rsid w:val="580F53ED"/>
    <w:rsid w:val="582238BC"/>
    <w:rsid w:val="5842572D"/>
    <w:rsid w:val="58477F3C"/>
    <w:rsid w:val="585D5F13"/>
    <w:rsid w:val="58734F65"/>
    <w:rsid w:val="5875165E"/>
    <w:rsid w:val="588E1C22"/>
    <w:rsid w:val="58A41AE0"/>
    <w:rsid w:val="58A62047"/>
    <w:rsid w:val="58AE57BE"/>
    <w:rsid w:val="58AE7558"/>
    <w:rsid w:val="58C92347"/>
    <w:rsid w:val="58F50B04"/>
    <w:rsid w:val="59062983"/>
    <w:rsid w:val="59097FF9"/>
    <w:rsid w:val="592941F7"/>
    <w:rsid w:val="592F3F03"/>
    <w:rsid w:val="59431D7D"/>
    <w:rsid w:val="59505A7A"/>
    <w:rsid w:val="59523610"/>
    <w:rsid w:val="596E5E85"/>
    <w:rsid w:val="597D27F2"/>
    <w:rsid w:val="597EB301"/>
    <w:rsid w:val="598D4786"/>
    <w:rsid w:val="599B50F5"/>
    <w:rsid w:val="59A541C5"/>
    <w:rsid w:val="59B56DA9"/>
    <w:rsid w:val="59B7224E"/>
    <w:rsid w:val="59C363FA"/>
    <w:rsid w:val="59CF6211"/>
    <w:rsid w:val="59D71EEC"/>
    <w:rsid w:val="59FA26DD"/>
    <w:rsid w:val="59FC3C2C"/>
    <w:rsid w:val="59FF823C"/>
    <w:rsid w:val="5A05133C"/>
    <w:rsid w:val="5A1D5B0A"/>
    <w:rsid w:val="5A2A0227"/>
    <w:rsid w:val="5A585A68"/>
    <w:rsid w:val="5A5D684E"/>
    <w:rsid w:val="5A8176EA"/>
    <w:rsid w:val="5A854A24"/>
    <w:rsid w:val="5A932270"/>
    <w:rsid w:val="5A9B74EC"/>
    <w:rsid w:val="5AA94C5A"/>
    <w:rsid w:val="5AAD0254"/>
    <w:rsid w:val="5AB3021C"/>
    <w:rsid w:val="5AB53F94"/>
    <w:rsid w:val="5ABA7BFC"/>
    <w:rsid w:val="5AC642F3"/>
    <w:rsid w:val="5ADD34EB"/>
    <w:rsid w:val="5AED71E7"/>
    <w:rsid w:val="5AF00ACF"/>
    <w:rsid w:val="5AF7DC83"/>
    <w:rsid w:val="5AFBF07C"/>
    <w:rsid w:val="5AFD676A"/>
    <w:rsid w:val="5B0F5D9A"/>
    <w:rsid w:val="5B2630E4"/>
    <w:rsid w:val="5B265E74"/>
    <w:rsid w:val="5B3C72C4"/>
    <w:rsid w:val="5B61236E"/>
    <w:rsid w:val="5B740512"/>
    <w:rsid w:val="5B7F01A8"/>
    <w:rsid w:val="5B8F9460"/>
    <w:rsid w:val="5BAA35EF"/>
    <w:rsid w:val="5BE79CB2"/>
    <w:rsid w:val="5BE7F760"/>
    <w:rsid w:val="5BEA61EE"/>
    <w:rsid w:val="5BF925A6"/>
    <w:rsid w:val="5BFBE46E"/>
    <w:rsid w:val="5C0E0151"/>
    <w:rsid w:val="5C1E4831"/>
    <w:rsid w:val="5C653798"/>
    <w:rsid w:val="5C706C4D"/>
    <w:rsid w:val="5C8400C2"/>
    <w:rsid w:val="5C8E1685"/>
    <w:rsid w:val="5CA30A60"/>
    <w:rsid w:val="5CC35322"/>
    <w:rsid w:val="5CC52489"/>
    <w:rsid w:val="5CC74453"/>
    <w:rsid w:val="5CF52FC0"/>
    <w:rsid w:val="5CFF5D83"/>
    <w:rsid w:val="5D0B3DCA"/>
    <w:rsid w:val="5D1D7942"/>
    <w:rsid w:val="5D2732DD"/>
    <w:rsid w:val="5D2E62B6"/>
    <w:rsid w:val="5D526412"/>
    <w:rsid w:val="5D5340D1"/>
    <w:rsid w:val="5D6B3030"/>
    <w:rsid w:val="5D6B53CD"/>
    <w:rsid w:val="5D6FB819"/>
    <w:rsid w:val="5D704AEA"/>
    <w:rsid w:val="5DAA1F8C"/>
    <w:rsid w:val="5DAE40EE"/>
    <w:rsid w:val="5DB170A2"/>
    <w:rsid w:val="5DB287E7"/>
    <w:rsid w:val="5DB648FD"/>
    <w:rsid w:val="5DBB178B"/>
    <w:rsid w:val="5DCF5080"/>
    <w:rsid w:val="5DE63AAD"/>
    <w:rsid w:val="5DE73902"/>
    <w:rsid w:val="5DE96211"/>
    <w:rsid w:val="5DED09C6"/>
    <w:rsid w:val="5DEF1EB3"/>
    <w:rsid w:val="5DEF9A2A"/>
    <w:rsid w:val="5DF22D33"/>
    <w:rsid w:val="5DFE033A"/>
    <w:rsid w:val="5DFE20F6"/>
    <w:rsid w:val="5DFF84C4"/>
    <w:rsid w:val="5DFF90C6"/>
    <w:rsid w:val="5DFF9CA9"/>
    <w:rsid w:val="5DFFD03B"/>
    <w:rsid w:val="5E0E14FD"/>
    <w:rsid w:val="5E1358D5"/>
    <w:rsid w:val="5E2107AB"/>
    <w:rsid w:val="5E3311D0"/>
    <w:rsid w:val="5E3FEC27"/>
    <w:rsid w:val="5E4915C3"/>
    <w:rsid w:val="5E4E4E2C"/>
    <w:rsid w:val="5E541427"/>
    <w:rsid w:val="5E5CE77E"/>
    <w:rsid w:val="5E712AFE"/>
    <w:rsid w:val="5E734F09"/>
    <w:rsid w:val="5E87CAFE"/>
    <w:rsid w:val="5EAF1A94"/>
    <w:rsid w:val="5EC549C2"/>
    <w:rsid w:val="5ECF2628"/>
    <w:rsid w:val="5ED167B4"/>
    <w:rsid w:val="5ED7A54F"/>
    <w:rsid w:val="5EDD9B78"/>
    <w:rsid w:val="5EE308DE"/>
    <w:rsid w:val="5EE50BC0"/>
    <w:rsid w:val="5EE5503B"/>
    <w:rsid w:val="5EEB0F0A"/>
    <w:rsid w:val="5EEC0249"/>
    <w:rsid w:val="5EED6C6F"/>
    <w:rsid w:val="5EFC5841"/>
    <w:rsid w:val="5EFED5F5"/>
    <w:rsid w:val="5EFF2422"/>
    <w:rsid w:val="5F055A90"/>
    <w:rsid w:val="5F087B79"/>
    <w:rsid w:val="5F1F018B"/>
    <w:rsid w:val="5F2E4655"/>
    <w:rsid w:val="5F337ABE"/>
    <w:rsid w:val="5F3C62DC"/>
    <w:rsid w:val="5F486C46"/>
    <w:rsid w:val="5F4B3479"/>
    <w:rsid w:val="5F4F9350"/>
    <w:rsid w:val="5F57131F"/>
    <w:rsid w:val="5F631071"/>
    <w:rsid w:val="5F671FB6"/>
    <w:rsid w:val="5F6D12E1"/>
    <w:rsid w:val="5F7862FA"/>
    <w:rsid w:val="5F7C61FC"/>
    <w:rsid w:val="5F7F8424"/>
    <w:rsid w:val="5F7FBEE7"/>
    <w:rsid w:val="5F84662B"/>
    <w:rsid w:val="5F857B8E"/>
    <w:rsid w:val="5F9A366E"/>
    <w:rsid w:val="5F9D6D44"/>
    <w:rsid w:val="5FA840C8"/>
    <w:rsid w:val="5FB91762"/>
    <w:rsid w:val="5FBE5F8C"/>
    <w:rsid w:val="5FBF3659"/>
    <w:rsid w:val="5FBF6015"/>
    <w:rsid w:val="5FBF9317"/>
    <w:rsid w:val="5FC3E0C2"/>
    <w:rsid w:val="5FCC5FF4"/>
    <w:rsid w:val="5FD33961"/>
    <w:rsid w:val="5FE134EE"/>
    <w:rsid w:val="5FE70EFC"/>
    <w:rsid w:val="5FEF5AE3"/>
    <w:rsid w:val="5FEF9CDF"/>
    <w:rsid w:val="5FEFC064"/>
    <w:rsid w:val="5FF23595"/>
    <w:rsid w:val="5FF98158"/>
    <w:rsid w:val="5FFDF91D"/>
    <w:rsid w:val="5FFECB26"/>
    <w:rsid w:val="5FFF095F"/>
    <w:rsid w:val="5FFF9503"/>
    <w:rsid w:val="5FFFB3F9"/>
    <w:rsid w:val="60010C0C"/>
    <w:rsid w:val="600449FA"/>
    <w:rsid w:val="600E060E"/>
    <w:rsid w:val="601479AF"/>
    <w:rsid w:val="60174B54"/>
    <w:rsid w:val="60177F60"/>
    <w:rsid w:val="60195438"/>
    <w:rsid w:val="605F19A4"/>
    <w:rsid w:val="606131E6"/>
    <w:rsid w:val="60641CD3"/>
    <w:rsid w:val="609E371C"/>
    <w:rsid w:val="60A47259"/>
    <w:rsid w:val="60A93A22"/>
    <w:rsid w:val="60F35816"/>
    <w:rsid w:val="60F656FF"/>
    <w:rsid w:val="60F741D3"/>
    <w:rsid w:val="61023CAB"/>
    <w:rsid w:val="61025A59"/>
    <w:rsid w:val="610F6876"/>
    <w:rsid w:val="61131471"/>
    <w:rsid w:val="61175E6E"/>
    <w:rsid w:val="611F7549"/>
    <w:rsid w:val="613B2923"/>
    <w:rsid w:val="614B5652"/>
    <w:rsid w:val="61541371"/>
    <w:rsid w:val="6155027F"/>
    <w:rsid w:val="61614B1F"/>
    <w:rsid w:val="616F37EB"/>
    <w:rsid w:val="617D3332"/>
    <w:rsid w:val="61880654"/>
    <w:rsid w:val="6189617B"/>
    <w:rsid w:val="619117A1"/>
    <w:rsid w:val="61932B55"/>
    <w:rsid w:val="61990FF9"/>
    <w:rsid w:val="61AE54A0"/>
    <w:rsid w:val="61C54B67"/>
    <w:rsid w:val="61EA4E6B"/>
    <w:rsid w:val="61F44573"/>
    <w:rsid w:val="61FF6495"/>
    <w:rsid w:val="62041F5B"/>
    <w:rsid w:val="621325DF"/>
    <w:rsid w:val="621A23EE"/>
    <w:rsid w:val="62287742"/>
    <w:rsid w:val="62311B55"/>
    <w:rsid w:val="62347FA2"/>
    <w:rsid w:val="62466788"/>
    <w:rsid w:val="62471074"/>
    <w:rsid w:val="62585323"/>
    <w:rsid w:val="625D388F"/>
    <w:rsid w:val="62611581"/>
    <w:rsid w:val="6271420C"/>
    <w:rsid w:val="627273E6"/>
    <w:rsid w:val="627B1F67"/>
    <w:rsid w:val="629833BF"/>
    <w:rsid w:val="62A01E1D"/>
    <w:rsid w:val="62A35788"/>
    <w:rsid w:val="62A55294"/>
    <w:rsid w:val="62B22353"/>
    <w:rsid w:val="62CC637D"/>
    <w:rsid w:val="62D56A83"/>
    <w:rsid w:val="62E505AE"/>
    <w:rsid w:val="62FE6CCC"/>
    <w:rsid w:val="63101DE8"/>
    <w:rsid w:val="631303F2"/>
    <w:rsid w:val="631B1054"/>
    <w:rsid w:val="6329128D"/>
    <w:rsid w:val="634C488A"/>
    <w:rsid w:val="634F5414"/>
    <w:rsid w:val="636C7DAE"/>
    <w:rsid w:val="63971320"/>
    <w:rsid w:val="639F166A"/>
    <w:rsid w:val="63B76FCF"/>
    <w:rsid w:val="63B7BAFE"/>
    <w:rsid w:val="63BB27D5"/>
    <w:rsid w:val="63BC0104"/>
    <w:rsid w:val="63BE6F1D"/>
    <w:rsid w:val="63C33BC6"/>
    <w:rsid w:val="63C6101A"/>
    <w:rsid w:val="63C74595"/>
    <w:rsid w:val="63D731CD"/>
    <w:rsid w:val="63D93361"/>
    <w:rsid w:val="63DC009D"/>
    <w:rsid w:val="63E47698"/>
    <w:rsid w:val="63E958B8"/>
    <w:rsid w:val="63EC196C"/>
    <w:rsid w:val="63F7ED2C"/>
    <w:rsid w:val="63F811BF"/>
    <w:rsid w:val="64412D3D"/>
    <w:rsid w:val="64473B65"/>
    <w:rsid w:val="64475C36"/>
    <w:rsid w:val="64591B6D"/>
    <w:rsid w:val="64607054"/>
    <w:rsid w:val="649A2044"/>
    <w:rsid w:val="64A22C18"/>
    <w:rsid w:val="64A357A5"/>
    <w:rsid w:val="64A70DF2"/>
    <w:rsid w:val="64B90B25"/>
    <w:rsid w:val="64C37BF6"/>
    <w:rsid w:val="64D13FF1"/>
    <w:rsid w:val="64F5DBB5"/>
    <w:rsid w:val="650F18B4"/>
    <w:rsid w:val="651F4D8E"/>
    <w:rsid w:val="652F0DE7"/>
    <w:rsid w:val="654518E8"/>
    <w:rsid w:val="65567E1B"/>
    <w:rsid w:val="655D5954"/>
    <w:rsid w:val="656C52F5"/>
    <w:rsid w:val="65700706"/>
    <w:rsid w:val="657FA36C"/>
    <w:rsid w:val="658E1FB1"/>
    <w:rsid w:val="65922054"/>
    <w:rsid w:val="659B3737"/>
    <w:rsid w:val="65A06E2A"/>
    <w:rsid w:val="65A63D0D"/>
    <w:rsid w:val="65BC6B1F"/>
    <w:rsid w:val="65BD63F3"/>
    <w:rsid w:val="65D031BE"/>
    <w:rsid w:val="65E63B9C"/>
    <w:rsid w:val="65E92939"/>
    <w:rsid w:val="65ED47D1"/>
    <w:rsid w:val="65F12C91"/>
    <w:rsid w:val="65F75DA9"/>
    <w:rsid w:val="65FF9DC4"/>
    <w:rsid w:val="660B4E77"/>
    <w:rsid w:val="660E4EA0"/>
    <w:rsid w:val="66195D61"/>
    <w:rsid w:val="663BF8DF"/>
    <w:rsid w:val="664813C3"/>
    <w:rsid w:val="66652D12"/>
    <w:rsid w:val="66707909"/>
    <w:rsid w:val="66877DF4"/>
    <w:rsid w:val="668B4E48"/>
    <w:rsid w:val="668D2028"/>
    <w:rsid w:val="668E41E0"/>
    <w:rsid w:val="66911256"/>
    <w:rsid w:val="66A03AA2"/>
    <w:rsid w:val="66A63D1B"/>
    <w:rsid w:val="66AC6B93"/>
    <w:rsid w:val="66C051B1"/>
    <w:rsid w:val="66C64799"/>
    <w:rsid w:val="66CF2E2B"/>
    <w:rsid w:val="66EA092B"/>
    <w:rsid w:val="66F332A5"/>
    <w:rsid w:val="67092797"/>
    <w:rsid w:val="670F2FB6"/>
    <w:rsid w:val="671D0388"/>
    <w:rsid w:val="672F39F1"/>
    <w:rsid w:val="67302B73"/>
    <w:rsid w:val="676AD167"/>
    <w:rsid w:val="67771002"/>
    <w:rsid w:val="677BDB3D"/>
    <w:rsid w:val="677C5482"/>
    <w:rsid w:val="678673E4"/>
    <w:rsid w:val="67B042AB"/>
    <w:rsid w:val="67B527A2"/>
    <w:rsid w:val="67B872D4"/>
    <w:rsid w:val="67BEEAFD"/>
    <w:rsid w:val="67C16CCC"/>
    <w:rsid w:val="67FF25D4"/>
    <w:rsid w:val="67FF98FD"/>
    <w:rsid w:val="67FFFA37"/>
    <w:rsid w:val="68037AA0"/>
    <w:rsid w:val="6805233D"/>
    <w:rsid w:val="680B1697"/>
    <w:rsid w:val="680C5410"/>
    <w:rsid w:val="68330BEE"/>
    <w:rsid w:val="6855610D"/>
    <w:rsid w:val="68556DB7"/>
    <w:rsid w:val="687124B2"/>
    <w:rsid w:val="68833924"/>
    <w:rsid w:val="689E49E2"/>
    <w:rsid w:val="68A43C29"/>
    <w:rsid w:val="68AB12C9"/>
    <w:rsid w:val="68AB4C28"/>
    <w:rsid w:val="68B23341"/>
    <w:rsid w:val="68CD0CA0"/>
    <w:rsid w:val="68EA4F90"/>
    <w:rsid w:val="68FA2F47"/>
    <w:rsid w:val="68FD817F"/>
    <w:rsid w:val="69004F52"/>
    <w:rsid w:val="6900553A"/>
    <w:rsid w:val="690A7BA1"/>
    <w:rsid w:val="6914776F"/>
    <w:rsid w:val="691A3CCE"/>
    <w:rsid w:val="691E53FA"/>
    <w:rsid w:val="6942733B"/>
    <w:rsid w:val="69557DD1"/>
    <w:rsid w:val="69667EC4"/>
    <w:rsid w:val="69676DF1"/>
    <w:rsid w:val="69713C44"/>
    <w:rsid w:val="697574F7"/>
    <w:rsid w:val="697670FA"/>
    <w:rsid w:val="697D6130"/>
    <w:rsid w:val="698C2294"/>
    <w:rsid w:val="699A59BB"/>
    <w:rsid w:val="69A74332"/>
    <w:rsid w:val="69D72B28"/>
    <w:rsid w:val="69E01250"/>
    <w:rsid w:val="69F525FF"/>
    <w:rsid w:val="69FC6AC2"/>
    <w:rsid w:val="69FE11D3"/>
    <w:rsid w:val="6A0A597F"/>
    <w:rsid w:val="6A0E00FE"/>
    <w:rsid w:val="6A113B89"/>
    <w:rsid w:val="6A317D67"/>
    <w:rsid w:val="6A396007"/>
    <w:rsid w:val="6A511E07"/>
    <w:rsid w:val="6A6709FB"/>
    <w:rsid w:val="6A6E5F0E"/>
    <w:rsid w:val="6A7774B8"/>
    <w:rsid w:val="6A7D1D85"/>
    <w:rsid w:val="6A864401"/>
    <w:rsid w:val="6A8734DE"/>
    <w:rsid w:val="6AA302AD"/>
    <w:rsid w:val="6AB9EED1"/>
    <w:rsid w:val="6ACB609A"/>
    <w:rsid w:val="6AE52674"/>
    <w:rsid w:val="6AF730C4"/>
    <w:rsid w:val="6AFB1985"/>
    <w:rsid w:val="6AFD34FE"/>
    <w:rsid w:val="6B1B42E7"/>
    <w:rsid w:val="6B2852DC"/>
    <w:rsid w:val="6B292E9C"/>
    <w:rsid w:val="6B2B3DFF"/>
    <w:rsid w:val="6B2D6C5D"/>
    <w:rsid w:val="6B3B0EB8"/>
    <w:rsid w:val="6B49257E"/>
    <w:rsid w:val="6B5307C5"/>
    <w:rsid w:val="6B543355"/>
    <w:rsid w:val="6B5670CE"/>
    <w:rsid w:val="6B6517CB"/>
    <w:rsid w:val="6B6F2EBA"/>
    <w:rsid w:val="6B7E88ED"/>
    <w:rsid w:val="6BAA19FC"/>
    <w:rsid w:val="6BBB5183"/>
    <w:rsid w:val="6BBF71DB"/>
    <w:rsid w:val="6BC54253"/>
    <w:rsid w:val="6BE44432"/>
    <w:rsid w:val="6BEA3CBA"/>
    <w:rsid w:val="6BEA5003"/>
    <w:rsid w:val="6BEBBF6E"/>
    <w:rsid w:val="6BF1BE94"/>
    <w:rsid w:val="6BF77AF6"/>
    <w:rsid w:val="6BFDDD20"/>
    <w:rsid w:val="6BFF7765"/>
    <w:rsid w:val="6C147A98"/>
    <w:rsid w:val="6C3FAB14"/>
    <w:rsid w:val="6C453BAD"/>
    <w:rsid w:val="6C4854AD"/>
    <w:rsid w:val="6C511D71"/>
    <w:rsid w:val="6C53360D"/>
    <w:rsid w:val="6C5C6966"/>
    <w:rsid w:val="6C5F1FB2"/>
    <w:rsid w:val="6C6972D4"/>
    <w:rsid w:val="6C6A2BC9"/>
    <w:rsid w:val="6C7041BF"/>
    <w:rsid w:val="6C727E2F"/>
    <w:rsid w:val="6C776F52"/>
    <w:rsid w:val="6C7A503B"/>
    <w:rsid w:val="6C7F8A8F"/>
    <w:rsid w:val="6C865790"/>
    <w:rsid w:val="6C951124"/>
    <w:rsid w:val="6C9C1458"/>
    <w:rsid w:val="6C9E65C1"/>
    <w:rsid w:val="6CA0308B"/>
    <w:rsid w:val="6CA20AE1"/>
    <w:rsid w:val="6CB42012"/>
    <w:rsid w:val="6CC664D5"/>
    <w:rsid w:val="6CCD1611"/>
    <w:rsid w:val="6CE07597"/>
    <w:rsid w:val="6CE30E35"/>
    <w:rsid w:val="6CF87F54"/>
    <w:rsid w:val="6CFC8220"/>
    <w:rsid w:val="6D0F1C2A"/>
    <w:rsid w:val="6D3C0949"/>
    <w:rsid w:val="6D3E4E45"/>
    <w:rsid w:val="6D46373C"/>
    <w:rsid w:val="6D512F58"/>
    <w:rsid w:val="6D535C01"/>
    <w:rsid w:val="6D552BDA"/>
    <w:rsid w:val="6D5835D1"/>
    <w:rsid w:val="6D610E3F"/>
    <w:rsid w:val="6D624DC2"/>
    <w:rsid w:val="6D6535F8"/>
    <w:rsid w:val="6D723F67"/>
    <w:rsid w:val="6D796495"/>
    <w:rsid w:val="6D7970A3"/>
    <w:rsid w:val="6D7BE64D"/>
    <w:rsid w:val="6D7E5A8E"/>
    <w:rsid w:val="6D7F7D4C"/>
    <w:rsid w:val="6D831191"/>
    <w:rsid w:val="6D832679"/>
    <w:rsid w:val="6D9306BA"/>
    <w:rsid w:val="6D985DE1"/>
    <w:rsid w:val="6D9D07BB"/>
    <w:rsid w:val="6DBB1601"/>
    <w:rsid w:val="6DC276BF"/>
    <w:rsid w:val="6DD00C96"/>
    <w:rsid w:val="6DDB6CC0"/>
    <w:rsid w:val="6DDD7632"/>
    <w:rsid w:val="6DED2A65"/>
    <w:rsid w:val="6DED4145"/>
    <w:rsid w:val="6DF1621C"/>
    <w:rsid w:val="6DF66475"/>
    <w:rsid w:val="6DF7A619"/>
    <w:rsid w:val="6DF80910"/>
    <w:rsid w:val="6DFBB71B"/>
    <w:rsid w:val="6E403AC0"/>
    <w:rsid w:val="6E4D345A"/>
    <w:rsid w:val="6E737637"/>
    <w:rsid w:val="6E816457"/>
    <w:rsid w:val="6E900B48"/>
    <w:rsid w:val="6E92178E"/>
    <w:rsid w:val="6E9452B7"/>
    <w:rsid w:val="6E9F0D8B"/>
    <w:rsid w:val="6EAB5982"/>
    <w:rsid w:val="6EB365E5"/>
    <w:rsid w:val="6EBB05F6"/>
    <w:rsid w:val="6EBE7228"/>
    <w:rsid w:val="6EBF7216"/>
    <w:rsid w:val="6EC23352"/>
    <w:rsid w:val="6EC34770"/>
    <w:rsid w:val="6ECD4683"/>
    <w:rsid w:val="6EE9778A"/>
    <w:rsid w:val="6EF23D48"/>
    <w:rsid w:val="6EFC0F92"/>
    <w:rsid w:val="6EFEAE10"/>
    <w:rsid w:val="6F070DFD"/>
    <w:rsid w:val="6F0A1E85"/>
    <w:rsid w:val="6F0F8451"/>
    <w:rsid w:val="6F2B29DB"/>
    <w:rsid w:val="6F2C15ED"/>
    <w:rsid w:val="6F3332FA"/>
    <w:rsid w:val="6F3E2CFE"/>
    <w:rsid w:val="6F597AA1"/>
    <w:rsid w:val="6F696078"/>
    <w:rsid w:val="6F7E42D4"/>
    <w:rsid w:val="6F7E6BF3"/>
    <w:rsid w:val="6F826A8F"/>
    <w:rsid w:val="6F8B21F0"/>
    <w:rsid w:val="6F8B3406"/>
    <w:rsid w:val="6FA65ECF"/>
    <w:rsid w:val="6FB36224"/>
    <w:rsid w:val="6FBB4203"/>
    <w:rsid w:val="6FBBE756"/>
    <w:rsid w:val="6FBF4864"/>
    <w:rsid w:val="6FBFD9B1"/>
    <w:rsid w:val="6FD36103"/>
    <w:rsid w:val="6FD79E4B"/>
    <w:rsid w:val="6FDE6714"/>
    <w:rsid w:val="6FDE8880"/>
    <w:rsid w:val="6FDFA1C0"/>
    <w:rsid w:val="6FDFCCB1"/>
    <w:rsid w:val="6FE7486A"/>
    <w:rsid w:val="6FEC9154"/>
    <w:rsid w:val="6FEE4ACD"/>
    <w:rsid w:val="6FEF42D0"/>
    <w:rsid w:val="6FEFE8B6"/>
    <w:rsid w:val="6FF60E7F"/>
    <w:rsid w:val="6FF7061B"/>
    <w:rsid w:val="6FFB3A48"/>
    <w:rsid w:val="6FFDB696"/>
    <w:rsid w:val="6FFDF06B"/>
    <w:rsid w:val="6FFE06DC"/>
    <w:rsid w:val="6FFE397A"/>
    <w:rsid w:val="6FFF2E5A"/>
    <w:rsid w:val="6FFF61EB"/>
    <w:rsid w:val="6FFF93D2"/>
    <w:rsid w:val="700510C2"/>
    <w:rsid w:val="70147557"/>
    <w:rsid w:val="701E26CF"/>
    <w:rsid w:val="7027607F"/>
    <w:rsid w:val="703025E3"/>
    <w:rsid w:val="70360C7C"/>
    <w:rsid w:val="705A7660"/>
    <w:rsid w:val="705B4661"/>
    <w:rsid w:val="705F5FCE"/>
    <w:rsid w:val="706978FC"/>
    <w:rsid w:val="706B0310"/>
    <w:rsid w:val="70791FDC"/>
    <w:rsid w:val="707A362B"/>
    <w:rsid w:val="70890F05"/>
    <w:rsid w:val="70D833C2"/>
    <w:rsid w:val="70F3716D"/>
    <w:rsid w:val="70F617AE"/>
    <w:rsid w:val="70FE5BF1"/>
    <w:rsid w:val="712B4B58"/>
    <w:rsid w:val="712E4649"/>
    <w:rsid w:val="7130401B"/>
    <w:rsid w:val="71342534"/>
    <w:rsid w:val="713752AB"/>
    <w:rsid w:val="714275DF"/>
    <w:rsid w:val="71495B9C"/>
    <w:rsid w:val="714F25CA"/>
    <w:rsid w:val="715E4298"/>
    <w:rsid w:val="717057D5"/>
    <w:rsid w:val="71796B56"/>
    <w:rsid w:val="717B6A90"/>
    <w:rsid w:val="718E152E"/>
    <w:rsid w:val="71954DDE"/>
    <w:rsid w:val="719A31FD"/>
    <w:rsid w:val="719FF866"/>
    <w:rsid w:val="71BDE798"/>
    <w:rsid w:val="71C52A01"/>
    <w:rsid w:val="71C546DD"/>
    <w:rsid w:val="71D074AE"/>
    <w:rsid w:val="71D27ECE"/>
    <w:rsid w:val="71D40D4C"/>
    <w:rsid w:val="71DA09BC"/>
    <w:rsid w:val="71E62972"/>
    <w:rsid w:val="71E76CD1"/>
    <w:rsid w:val="71EA4A14"/>
    <w:rsid w:val="72117BE8"/>
    <w:rsid w:val="721728AC"/>
    <w:rsid w:val="721C097B"/>
    <w:rsid w:val="72200254"/>
    <w:rsid w:val="722A4E10"/>
    <w:rsid w:val="72427BE7"/>
    <w:rsid w:val="724800A1"/>
    <w:rsid w:val="725E4ABA"/>
    <w:rsid w:val="7260019A"/>
    <w:rsid w:val="726447C6"/>
    <w:rsid w:val="727608D5"/>
    <w:rsid w:val="727E6345"/>
    <w:rsid w:val="72803F7F"/>
    <w:rsid w:val="72916C3D"/>
    <w:rsid w:val="729A36CE"/>
    <w:rsid w:val="72A13D86"/>
    <w:rsid w:val="72C62D8B"/>
    <w:rsid w:val="72CC515E"/>
    <w:rsid w:val="72DD00D4"/>
    <w:rsid w:val="72E5282B"/>
    <w:rsid w:val="72E9ACF4"/>
    <w:rsid w:val="72FE5336"/>
    <w:rsid w:val="731F1FB5"/>
    <w:rsid w:val="732D1404"/>
    <w:rsid w:val="73491C0D"/>
    <w:rsid w:val="73577500"/>
    <w:rsid w:val="73812C97"/>
    <w:rsid w:val="73927111"/>
    <w:rsid w:val="73993FFB"/>
    <w:rsid w:val="73C117A4"/>
    <w:rsid w:val="73C47F1D"/>
    <w:rsid w:val="73CC612C"/>
    <w:rsid w:val="73D8415F"/>
    <w:rsid w:val="73DA286B"/>
    <w:rsid w:val="73DB2B9D"/>
    <w:rsid w:val="73DD6AE4"/>
    <w:rsid w:val="73EA015B"/>
    <w:rsid w:val="73FB2F08"/>
    <w:rsid w:val="73FD32A7"/>
    <w:rsid w:val="74024296"/>
    <w:rsid w:val="74056656"/>
    <w:rsid w:val="7436001D"/>
    <w:rsid w:val="74404DBF"/>
    <w:rsid w:val="745413E9"/>
    <w:rsid w:val="7457323E"/>
    <w:rsid w:val="746721FE"/>
    <w:rsid w:val="746740F9"/>
    <w:rsid w:val="747E61FB"/>
    <w:rsid w:val="748E78D8"/>
    <w:rsid w:val="749A6A33"/>
    <w:rsid w:val="749D7B1B"/>
    <w:rsid w:val="74C24C93"/>
    <w:rsid w:val="74C9421C"/>
    <w:rsid w:val="74CC6A1C"/>
    <w:rsid w:val="74DFCD0F"/>
    <w:rsid w:val="75045DEC"/>
    <w:rsid w:val="75083042"/>
    <w:rsid w:val="75091CE1"/>
    <w:rsid w:val="751853F4"/>
    <w:rsid w:val="753530F5"/>
    <w:rsid w:val="7537B5DD"/>
    <w:rsid w:val="753C5F35"/>
    <w:rsid w:val="754B3A1B"/>
    <w:rsid w:val="756B19C7"/>
    <w:rsid w:val="756E6DDD"/>
    <w:rsid w:val="758E5037"/>
    <w:rsid w:val="759327A6"/>
    <w:rsid w:val="759F5607"/>
    <w:rsid w:val="75B1084A"/>
    <w:rsid w:val="75BC2223"/>
    <w:rsid w:val="75D68FBB"/>
    <w:rsid w:val="75EA74FE"/>
    <w:rsid w:val="75EF6053"/>
    <w:rsid w:val="75F93F67"/>
    <w:rsid w:val="75FEFAB1"/>
    <w:rsid w:val="760A7432"/>
    <w:rsid w:val="761713FB"/>
    <w:rsid w:val="763B2E0E"/>
    <w:rsid w:val="767945B8"/>
    <w:rsid w:val="76870EB7"/>
    <w:rsid w:val="768C2BA9"/>
    <w:rsid w:val="76A906F3"/>
    <w:rsid w:val="76AA4771"/>
    <w:rsid w:val="76AD62DD"/>
    <w:rsid w:val="76BEDC27"/>
    <w:rsid w:val="76BF04DF"/>
    <w:rsid w:val="76C1790D"/>
    <w:rsid w:val="76DF3A64"/>
    <w:rsid w:val="76DF8DA2"/>
    <w:rsid w:val="76E732D0"/>
    <w:rsid w:val="76E82FD5"/>
    <w:rsid w:val="76EB4627"/>
    <w:rsid w:val="76ECDCB8"/>
    <w:rsid w:val="76F01A11"/>
    <w:rsid w:val="76F42D38"/>
    <w:rsid w:val="76FF7C98"/>
    <w:rsid w:val="772E0EFE"/>
    <w:rsid w:val="772ECBE3"/>
    <w:rsid w:val="773B8689"/>
    <w:rsid w:val="77440722"/>
    <w:rsid w:val="7744462F"/>
    <w:rsid w:val="774796A8"/>
    <w:rsid w:val="77524F4D"/>
    <w:rsid w:val="775BC2E3"/>
    <w:rsid w:val="775C3CBE"/>
    <w:rsid w:val="775D138B"/>
    <w:rsid w:val="77674B55"/>
    <w:rsid w:val="776E5142"/>
    <w:rsid w:val="776F86A9"/>
    <w:rsid w:val="7775B47F"/>
    <w:rsid w:val="778D033F"/>
    <w:rsid w:val="778F5F53"/>
    <w:rsid w:val="77A6B0EC"/>
    <w:rsid w:val="77B9B0C1"/>
    <w:rsid w:val="77BD2282"/>
    <w:rsid w:val="77E114D2"/>
    <w:rsid w:val="77EFB7DB"/>
    <w:rsid w:val="77F55144"/>
    <w:rsid w:val="77F71ABD"/>
    <w:rsid w:val="77F9F0D4"/>
    <w:rsid w:val="77FC39C4"/>
    <w:rsid w:val="77FCA458"/>
    <w:rsid w:val="77FCE118"/>
    <w:rsid w:val="77FD261C"/>
    <w:rsid w:val="77FDCA35"/>
    <w:rsid w:val="77FF2132"/>
    <w:rsid w:val="77FFA601"/>
    <w:rsid w:val="78120ABB"/>
    <w:rsid w:val="78186E47"/>
    <w:rsid w:val="78226EDA"/>
    <w:rsid w:val="78253E41"/>
    <w:rsid w:val="783F38BA"/>
    <w:rsid w:val="785D5F3F"/>
    <w:rsid w:val="785E75C1"/>
    <w:rsid w:val="788675F0"/>
    <w:rsid w:val="788C2381"/>
    <w:rsid w:val="788D434B"/>
    <w:rsid w:val="78916E6C"/>
    <w:rsid w:val="78A02A5A"/>
    <w:rsid w:val="78B114BE"/>
    <w:rsid w:val="78CE1E32"/>
    <w:rsid w:val="78D01A6F"/>
    <w:rsid w:val="78DF4AAC"/>
    <w:rsid w:val="78F581DA"/>
    <w:rsid w:val="78F92BE1"/>
    <w:rsid w:val="78FE7584"/>
    <w:rsid w:val="78FFD7C2"/>
    <w:rsid w:val="79042718"/>
    <w:rsid w:val="79084F07"/>
    <w:rsid w:val="79121A2E"/>
    <w:rsid w:val="792879F4"/>
    <w:rsid w:val="79366790"/>
    <w:rsid w:val="79442C5B"/>
    <w:rsid w:val="79516D09"/>
    <w:rsid w:val="79536ACE"/>
    <w:rsid w:val="79782905"/>
    <w:rsid w:val="798F1AF1"/>
    <w:rsid w:val="79910FC0"/>
    <w:rsid w:val="79A656C4"/>
    <w:rsid w:val="79A9685F"/>
    <w:rsid w:val="79ACD51A"/>
    <w:rsid w:val="79B55948"/>
    <w:rsid w:val="79BD5479"/>
    <w:rsid w:val="79BF71B9"/>
    <w:rsid w:val="79C01DAA"/>
    <w:rsid w:val="79C63670"/>
    <w:rsid w:val="79D00993"/>
    <w:rsid w:val="79D96C01"/>
    <w:rsid w:val="79DBDAC5"/>
    <w:rsid w:val="79E415BB"/>
    <w:rsid w:val="79FA0A95"/>
    <w:rsid w:val="79FB633A"/>
    <w:rsid w:val="79FC1788"/>
    <w:rsid w:val="79FD51F1"/>
    <w:rsid w:val="7A005E33"/>
    <w:rsid w:val="7A096718"/>
    <w:rsid w:val="7A1669D2"/>
    <w:rsid w:val="7A1A3B88"/>
    <w:rsid w:val="7A3948AB"/>
    <w:rsid w:val="7A396538"/>
    <w:rsid w:val="7A3E07D4"/>
    <w:rsid w:val="7A3FE9F4"/>
    <w:rsid w:val="7A456C8B"/>
    <w:rsid w:val="7A5452BE"/>
    <w:rsid w:val="7A601D17"/>
    <w:rsid w:val="7A607012"/>
    <w:rsid w:val="7A664E53"/>
    <w:rsid w:val="7A67051E"/>
    <w:rsid w:val="7A7B26AD"/>
    <w:rsid w:val="7A8157E9"/>
    <w:rsid w:val="7A843F98"/>
    <w:rsid w:val="7A85352B"/>
    <w:rsid w:val="7AA02113"/>
    <w:rsid w:val="7AA86C83"/>
    <w:rsid w:val="7AB9B43B"/>
    <w:rsid w:val="7ABC5759"/>
    <w:rsid w:val="7ACF0EF8"/>
    <w:rsid w:val="7AD39BC2"/>
    <w:rsid w:val="7AD81BC9"/>
    <w:rsid w:val="7ADF999D"/>
    <w:rsid w:val="7AEE2BF2"/>
    <w:rsid w:val="7AF16E13"/>
    <w:rsid w:val="7AFB7C1C"/>
    <w:rsid w:val="7B052E72"/>
    <w:rsid w:val="7B09796A"/>
    <w:rsid w:val="7B0A57DF"/>
    <w:rsid w:val="7B0E915C"/>
    <w:rsid w:val="7B274CC1"/>
    <w:rsid w:val="7B457931"/>
    <w:rsid w:val="7B5F2F65"/>
    <w:rsid w:val="7B771FEC"/>
    <w:rsid w:val="7B86146E"/>
    <w:rsid w:val="7B87299F"/>
    <w:rsid w:val="7B8B4B71"/>
    <w:rsid w:val="7B8E01BE"/>
    <w:rsid w:val="7BAEE728"/>
    <w:rsid w:val="7BBA7205"/>
    <w:rsid w:val="7BBE6194"/>
    <w:rsid w:val="7BC6EEDD"/>
    <w:rsid w:val="7BD14F7B"/>
    <w:rsid w:val="7BE40725"/>
    <w:rsid w:val="7BF4E965"/>
    <w:rsid w:val="7BFEE41C"/>
    <w:rsid w:val="7C12710A"/>
    <w:rsid w:val="7C1B6004"/>
    <w:rsid w:val="7C251548"/>
    <w:rsid w:val="7C2B3C5E"/>
    <w:rsid w:val="7C2FBC68"/>
    <w:rsid w:val="7C51421E"/>
    <w:rsid w:val="7C63B2E2"/>
    <w:rsid w:val="7C734E74"/>
    <w:rsid w:val="7C743857"/>
    <w:rsid w:val="7C751FE2"/>
    <w:rsid w:val="7C7F712B"/>
    <w:rsid w:val="7C7FDA07"/>
    <w:rsid w:val="7C8142B6"/>
    <w:rsid w:val="7C943EFA"/>
    <w:rsid w:val="7CAD4FBB"/>
    <w:rsid w:val="7CBB3234"/>
    <w:rsid w:val="7CCB43D3"/>
    <w:rsid w:val="7CCF3A53"/>
    <w:rsid w:val="7CD0616A"/>
    <w:rsid w:val="7CD51F3F"/>
    <w:rsid w:val="7CDE33C7"/>
    <w:rsid w:val="7CE00658"/>
    <w:rsid w:val="7CED9261"/>
    <w:rsid w:val="7CF7AF45"/>
    <w:rsid w:val="7CFB95C5"/>
    <w:rsid w:val="7CFD7F30"/>
    <w:rsid w:val="7CFE7297"/>
    <w:rsid w:val="7D0E5094"/>
    <w:rsid w:val="7D225061"/>
    <w:rsid w:val="7D304909"/>
    <w:rsid w:val="7D3BBECB"/>
    <w:rsid w:val="7D5275D2"/>
    <w:rsid w:val="7D684AC3"/>
    <w:rsid w:val="7D690E56"/>
    <w:rsid w:val="7D6FCE77"/>
    <w:rsid w:val="7D747887"/>
    <w:rsid w:val="7D877198"/>
    <w:rsid w:val="7D893462"/>
    <w:rsid w:val="7D8F6271"/>
    <w:rsid w:val="7D9C4987"/>
    <w:rsid w:val="7D9EC7D5"/>
    <w:rsid w:val="7DAA3FF0"/>
    <w:rsid w:val="7DB06BC2"/>
    <w:rsid w:val="7DB52379"/>
    <w:rsid w:val="7DB79E0A"/>
    <w:rsid w:val="7DD12FF3"/>
    <w:rsid w:val="7DD7685A"/>
    <w:rsid w:val="7DDAD040"/>
    <w:rsid w:val="7DDB5266"/>
    <w:rsid w:val="7DDFDC6A"/>
    <w:rsid w:val="7DE44A0D"/>
    <w:rsid w:val="7DE7680A"/>
    <w:rsid w:val="7DEC455F"/>
    <w:rsid w:val="7DF131D2"/>
    <w:rsid w:val="7DF77B72"/>
    <w:rsid w:val="7DF7985B"/>
    <w:rsid w:val="7DFF1F99"/>
    <w:rsid w:val="7DFFC0F0"/>
    <w:rsid w:val="7DFFCD9B"/>
    <w:rsid w:val="7DFFEA6C"/>
    <w:rsid w:val="7E063EB0"/>
    <w:rsid w:val="7E1044F8"/>
    <w:rsid w:val="7E1F58F5"/>
    <w:rsid w:val="7E2E9D01"/>
    <w:rsid w:val="7E2FD504"/>
    <w:rsid w:val="7E34331A"/>
    <w:rsid w:val="7E3D5ECB"/>
    <w:rsid w:val="7E3E2F52"/>
    <w:rsid w:val="7E521976"/>
    <w:rsid w:val="7E555BF7"/>
    <w:rsid w:val="7E5C0A47"/>
    <w:rsid w:val="7E662083"/>
    <w:rsid w:val="7E671ABC"/>
    <w:rsid w:val="7E6817D6"/>
    <w:rsid w:val="7E6E42D6"/>
    <w:rsid w:val="7E747B3F"/>
    <w:rsid w:val="7E7538B7"/>
    <w:rsid w:val="7E7A6AD5"/>
    <w:rsid w:val="7E7BE11D"/>
    <w:rsid w:val="7E7EDF48"/>
    <w:rsid w:val="7E7F64E4"/>
    <w:rsid w:val="7E7FA8DB"/>
    <w:rsid w:val="7E84439E"/>
    <w:rsid w:val="7E891110"/>
    <w:rsid w:val="7E8E285F"/>
    <w:rsid w:val="7EA72A07"/>
    <w:rsid w:val="7EAD0735"/>
    <w:rsid w:val="7EAF501B"/>
    <w:rsid w:val="7EAFDE17"/>
    <w:rsid w:val="7EBBE9AC"/>
    <w:rsid w:val="7EBC6EE8"/>
    <w:rsid w:val="7EBE0A6D"/>
    <w:rsid w:val="7EBF3D01"/>
    <w:rsid w:val="7ECA4011"/>
    <w:rsid w:val="7ED097AB"/>
    <w:rsid w:val="7ED65396"/>
    <w:rsid w:val="7ED75F0F"/>
    <w:rsid w:val="7EDB9B6D"/>
    <w:rsid w:val="7EDFBB3B"/>
    <w:rsid w:val="7EE3318A"/>
    <w:rsid w:val="7EE6DD14"/>
    <w:rsid w:val="7EE87B37"/>
    <w:rsid w:val="7EEA4CC4"/>
    <w:rsid w:val="7EEB9FC8"/>
    <w:rsid w:val="7EF726EE"/>
    <w:rsid w:val="7EF7BA78"/>
    <w:rsid w:val="7EFB3AF9"/>
    <w:rsid w:val="7EFB7AF0"/>
    <w:rsid w:val="7EFDC041"/>
    <w:rsid w:val="7EFF3B0C"/>
    <w:rsid w:val="7EFF7AAF"/>
    <w:rsid w:val="7EFF872B"/>
    <w:rsid w:val="7EFF8884"/>
    <w:rsid w:val="7EFFA73A"/>
    <w:rsid w:val="7EFFDDD0"/>
    <w:rsid w:val="7EFFE844"/>
    <w:rsid w:val="7F08297D"/>
    <w:rsid w:val="7F104C8C"/>
    <w:rsid w:val="7F1B04B6"/>
    <w:rsid w:val="7F1C1F84"/>
    <w:rsid w:val="7F2B01C4"/>
    <w:rsid w:val="7F2BEF08"/>
    <w:rsid w:val="7F2F2562"/>
    <w:rsid w:val="7F5E3367"/>
    <w:rsid w:val="7F5F3D40"/>
    <w:rsid w:val="7F60371C"/>
    <w:rsid w:val="7F651B7D"/>
    <w:rsid w:val="7F67E56E"/>
    <w:rsid w:val="7F739F4F"/>
    <w:rsid w:val="7F752B5D"/>
    <w:rsid w:val="7F75710D"/>
    <w:rsid w:val="7F77E416"/>
    <w:rsid w:val="7F79E61E"/>
    <w:rsid w:val="7F7F610B"/>
    <w:rsid w:val="7F7F85A2"/>
    <w:rsid w:val="7F93112B"/>
    <w:rsid w:val="7F939140"/>
    <w:rsid w:val="7F97022B"/>
    <w:rsid w:val="7F9B651A"/>
    <w:rsid w:val="7FA5CF7E"/>
    <w:rsid w:val="7FABCF5F"/>
    <w:rsid w:val="7FAC155A"/>
    <w:rsid w:val="7FAF3472"/>
    <w:rsid w:val="7FB359B9"/>
    <w:rsid w:val="7FB421BD"/>
    <w:rsid w:val="7FB473C1"/>
    <w:rsid w:val="7FB68DF0"/>
    <w:rsid w:val="7FBBE0B5"/>
    <w:rsid w:val="7FBBF7C9"/>
    <w:rsid w:val="7FBF47ED"/>
    <w:rsid w:val="7FBF7622"/>
    <w:rsid w:val="7FC27694"/>
    <w:rsid w:val="7FC5261C"/>
    <w:rsid w:val="7FCB9F5E"/>
    <w:rsid w:val="7FCD90FC"/>
    <w:rsid w:val="7FCDECF9"/>
    <w:rsid w:val="7FCF16B2"/>
    <w:rsid w:val="7FD750AF"/>
    <w:rsid w:val="7FD76F60"/>
    <w:rsid w:val="7FDA61C6"/>
    <w:rsid w:val="7FDAA987"/>
    <w:rsid w:val="7FDB19D4"/>
    <w:rsid w:val="7FDD34C2"/>
    <w:rsid w:val="7FDF73B0"/>
    <w:rsid w:val="7FE10151"/>
    <w:rsid w:val="7FE3353D"/>
    <w:rsid w:val="7FE3CA00"/>
    <w:rsid w:val="7FE5FBF6"/>
    <w:rsid w:val="7FE721C8"/>
    <w:rsid w:val="7FE761E4"/>
    <w:rsid w:val="7FE7A1B4"/>
    <w:rsid w:val="7FE9630A"/>
    <w:rsid w:val="7FE96A4C"/>
    <w:rsid w:val="7FEB884C"/>
    <w:rsid w:val="7FECC05A"/>
    <w:rsid w:val="7FEFBA18"/>
    <w:rsid w:val="7FF1D57F"/>
    <w:rsid w:val="7FF510B2"/>
    <w:rsid w:val="7FF627D5"/>
    <w:rsid w:val="7FF7D9BA"/>
    <w:rsid w:val="7FF7F0EA"/>
    <w:rsid w:val="7FF8EAEE"/>
    <w:rsid w:val="7FFA6D22"/>
    <w:rsid w:val="7FFA82DD"/>
    <w:rsid w:val="7FFB42DB"/>
    <w:rsid w:val="7FFCB26E"/>
    <w:rsid w:val="7FFD814B"/>
    <w:rsid w:val="7FFD9FAE"/>
    <w:rsid w:val="7FFDCAA0"/>
    <w:rsid w:val="7FFE0590"/>
    <w:rsid w:val="7FFE17F4"/>
    <w:rsid w:val="7FFEC91C"/>
    <w:rsid w:val="7FFF2B3A"/>
    <w:rsid w:val="7FFF2CAF"/>
    <w:rsid w:val="7FFF3358"/>
    <w:rsid w:val="7FFF3D63"/>
    <w:rsid w:val="7FFF4232"/>
    <w:rsid w:val="7FFFB6B3"/>
    <w:rsid w:val="816EBC1C"/>
    <w:rsid w:val="83F7AE7A"/>
    <w:rsid w:val="86CD2215"/>
    <w:rsid w:val="875FF124"/>
    <w:rsid w:val="87DD225B"/>
    <w:rsid w:val="87FB9589"/>
    <w:rsid w:val="8AB7B565"/>
    <w:rsid w:val="8BF3D819"/>
    <w:rsid w:val="8FF36E77"/>
    <w:rsid w:val="92FF0138"/>
    <w:rsid w:val="95FE229C"/>
    <w:rsid w:val="977B5D60"/>
    <w:rsid w:val="97BA3E9D"/>
    <w:rsid w:val="97EAB167"/>
    <w:rsid w:val="97FCA9FA"/>
    <w:rsid w:val="99F9CE9D"/>
    <w:rsid w:val="9A1DB0E4"/>
    <w:rsid w:val="9AFFE6CA"/>
    <w:rsid w:val="9BD33C30"/>
    <w:rsid w:val="9BF096E2"/>
    <w:rsid w:val="9D6D944E"/>
    <w:rsid w:val="9DBAE05B"/>
    <w:rsid w:val="9DFF32A4"/>
    <w:rsid w:val="9F65EFAF"/>
    <w:rsid w:val="9F6F25E0"/>
    <w:rsid w:val="9FBF6A38"/>
    <w:rsid w:val="9FE70ACE"/>
    <w:rsid w:val="9FFF0E2D"/>
    <w:rsid w:val="9FFFA905"/>
    <w:rsid w:val="A53C30EB"/>
    <w:rsid w:val="A59B1219"/>
    <w:rsid w:val="A5EB6EE0"/>
    <w:rsid w:val="A70D6803"/>
    <w:rsid w:val="A7799AEC"/>
    <w:rsid w:val="AABFB60B"/>
    <w:rsid w:val="ABE7C24A"/>
    <w:rsid w:val="ACB5D895"/>
    <w:rsid w:val="ACD969FC"/>
    <w:rsid w:val="ACF9F370"/>
    <w:rsid w:val="ACFF783F"/>
    <w:rsid w:val="AD6FF85E"/>
    <w:rsid w:val="ADBC833D"/>
    <w:rsid w:val="ADDEBFB5"/>
    <w:rsid w:val="ADED50AF"/>
    <w:rsid w:val="AEBBA222"/>
    <w:rsid w:val="AF4F9167"/>
    <w:rsid w:val="AFB3F7C1"/>
    <w:rsid w:val="AFD74478"/>
    <w:rsid w:val="AFDF5D90"/>
    <w:rsid w:val="AFE694F8"/>
    <w:rsid w:val="AFF541E1"/>
    <w:rsid w:val="AFFB492E"/>
    <w:rsid w:val="AFFE120A"/>
    <w:rsid w:val="AFFF83BB"/>
    <w:rsid w:val="B2B9372A"/>
    <w:rsid w:val="B2C784FE"/>
    <w:rsid w:val="B3E7BB23"/>
    <w:rsid w:val="B3FE8A31"/>
    <w:rsid w:val="B3FF1706"/>
    <w:rsid w:val="B4FFF1AD"/>
    <w:rsid w:val="B5CF5AEA"/>
    <w:rsid w:val="B66FCF32"/>
    <w:rsid w:val="B6BFD4C4"/>
    <w:rsid w:val="B6CBE650"/>
    <w:rsid w:val="B73E57F5"/>
    <w:rsid w:val="B741577F"/>
    <w:rsid w:val="B75BD154"/>
    <w:rsid w:val="B75F38B1"/>
    <w:rsid w:val="B795DFF4"/>
    <w:rsid w:val="B7BB3BD0"/>
    <w:rsid w:val="B7CF5728"/>
    <w:rsid w:val="B7EBD113"/>
    <w:rsid w:val="B7EFEFE6"/>
    <w:rsid w:val="B7F702D0"/>
    <w:rsid w:val="B7FD2566"/>
    <w:rsid w:val="B80E176A"/>
    <w:rsid w:val="B9BE8684"/>
    <w:rsid w:val="BAEFDE98"/>
    <w:rsid w:val="BAF82646"/>
    <w:rsid w:val="BB594F6D"/>
    <w:rsid w:val="BB9FABF3"/>
    <w:rsid w:val="BBB6559D"/>
    <w:rsid w:val="BBD7DEC7"/>
    <w:rsid w:val="BBDE1958"/>
    <w:rsid w:val="BBDFB0CF"/>
    <w:rsid w:val="BBE33E15"/>
    <w:rsid w:val="BBEF43C5"/>
    <w:rsid w:val="BCDB3035"/>
    <w:rsid w:val="BCF75D7A"/>
    <w:rsid w:val="BCF94F3D"/>
    <w:rsid w:val="BD63426D"/>
    <w:rsid w:val="BDB72374"/>
    <w:rsid w:val="BDBF412A"/>
    <w:rsid w:val="BDCF8A25"/>
    <w:rsid w:val="BDD8EF78"/>
    <w:rsid w:val="BDDA02EA"/>
    <w:rsid w:val="BDEF847A"/>
    <w:rsid w:val="BDEFC0C4"/>
    <w:rsid w:val="BDF04943"/>
    <w:rsid w:val="BE57F877"/>
    <w:rsid w:val="BE725299"/>
    <w:rsid w:val="BE79BB8B"/>
    <w:rsid w:val="BE7FFF60"/>
    <w:rsid w:val="BE9F7AA6"/>
    <w:rsid w:val="BEA76596"/>
    <w:rsid w:val="BEBAE066"/>
    <w:rsid w:val="BEDB1317"/>
    <w:rsid w:val="BEF555C8"/>
    <w:rsid w:val="BEFB84CB"/>
    <w:rsid w:val="BEFD1E7C"/>
    <w:rsid w:val="BEFF2A67"/>
    <w:rsid w:val="BF1E064A"/>
    <w:rsid w:val="BF38A438"/>
    <w:rsid w:val="BF3FFF29"/>
    <w:rsid w:val="BF5CA57A"/>
    <w:rsid w:val="BF8F710B"/>
    <w:rsid w:val="BF97598B"/>
    <w:rsid w:val="BFBFFC38"/>
    <w:rsid w:val="BFD9AA24"/>
    <w:rsid w:val="BFE32BE4"/>
    <w:rsid w:val="BFEFC667"/>
    <w:rsid w:val="BFF20B29"/>
    <w:rsid w:val="BFF7C6C8"/>
    <w:rsid w:val="BFFD7059"/>
    <w:rsid w:val="BFFE3304"/>
    <w:rsid w:val="BFFFDF48"/>
    <w:rsid w:val="C13E3F35"/>
    <w:rsid w:val="C3F70DC4"/>
    <w:rsid w:val="C3FF5894"/>
    <w:rsid w:val="C45356FF"/>
    <w:rsid w:val="C7F3FFBD"/>
    <w:rsid w:val="C96C71D7"/>
    <w:rsid w:val="C9FEA068"/>
    <w:rsid w:val="CA9B6EC0"/>
    <w:rsid w:val="CBFD8595"/>
    <w:rsid w:val="CBFF4A53"/>
    <w:rsid w:val="CCFF81BA"/>
    <w:rsid w:val="CDAE4EDC"/>
    <w:rsid w:val="CDD6DB45"/>
    <w:rsid w:val="CDFA6FEE"/>
    <w:rsid w:val="CE9D661C"/>
    <w:rsid w:val="CEFFC916"/>
    <w:rsid w:val="CF5FA584"/>
    <w:rsid w:val="CFF77463"/>
    <w:rsid w:val="CFFD13EC"/>
    <w:rsid w:val="D18FA8B7"/>
    <w:rsid w:val="D1FB24DB"/>
    <w:rsid w:val="D2DF8AE2"/>
    <w:rsid w:val="D3DD0063"/>
    <w:rsid w:val="D3E74C57"/>
    <w:rsid w:val="D3FFCDFC"/>
    <w:rsid w:val="D4FF928C"/>
    <w:rsid w:val="D5FDA11C"/>
    <w:rsid w:val="D65EBA7F"/>
    <w:rsid w:val="D6BC272F"/>
    <w:rsid w:val="D6DF76EB"/>
    <w:rsid w:val="D6EA8674"/>
    <w:rsid w:val="D794E206"/>
    <w:rsid w:val="D7DE25B1"/>
    <w:rsid w:val="D7DEC7EE"/>
    <w:rsid w:val="D7ED0036"/>
    <w:rsid w:val="D7F71C2D"/>
    <w:rsid w:val="D7FB3981"/>
    <w:rsid w:val="D7FF7827"/>
    <w:rsid w:val="D83FDD35"/>
    <w:rsid w:val="D867D162"/>
    <w:rsid w:val="D8DFC712"/>
    <w:rsid w:val="D935D3CF"/>
    <w:rsid w:val="D9A5EDD9"/>
    <w:rsid w:val="D9B43C04"/>
    <w:rsid w:val="D9FDEEFD"/>
    <w:rsid w:val="DB099D53"/>
    <w:rsid w:val="DB57BBF7"/>
    <w:rsid w:val="DB7BD0B8"/>
    <w:rsid w:val="DB7C7124"/>
    <w:rsid w:val="DB7F08DD"/>
    <w:rsid w:val="DBB786F2"/>
    <w:rsid w:val="DBF796C1"/>
    <w:rsid w:val="DBFB4022"/>
    <w:rsid w:val="DBFD5319"/>
    <w:rsid w:val="DBFEA68D"/>
    <w:rsid w:val="DBFF55DA"/>
    <w:rsid w:val="DBFF7C59"/>
    <w:rsid w:val="DBFF87E5"/>
    <w:rsid w:val="DC6ACC76"/>
    <w:rsid w:val="DD77DBFC"/>
    <w:rsid w:val="DD7F9848"/>
    <w:rsid w:val="DDCE2207"/>
    <w:rsid w:val="DDDD3AAA"/>
    <w:rsid w:val="DDF12A83"/>
    <w:rsid w:val="DDFF9BBD"/>
    <w:rsid w:val="DE5B1729"/>
    <w:rsid w:val="DE6D7A4D"/>
    <w:rsid w:val="DEA533FE"/>
    <w:rsid w:val="DEBB2101"/>
    <w:rsid w:val="DEBDE491"/>
    <w:rsid w:val="DECFE504"/>
    <w:rsid w:val="DEFFF88B"/>
    <w:rsid w:val="DF36E5F3"/>
    <w:rsid w:val="DF6F673E"/>
    <w:rsid w:val="DF7F4EBE"/>
    <w:rsid w:val="DF7F6559"/>
    <w:rsid w:val="DFA3D811"/>
    <w:rsid w:val="DFBB277E"/>
    <w:rsid w:val="DFBCD0BC"/>
    <w:rsid w:val="DFBD1572"/>
    <w:rsid w:val="DFBFF21B"/>
    <w:rsid w:val="DFC99911"/>
    <w:rsid w:val="DFCB6B9B"/>
    <w:rsid w:val="DFCFE673"/>
    <w:rsid w:val="DFDDAC1D"/>
    <w:rsid w:val="DFEFFB4A"/>
    <w:rsid w:val="DFF72532"/>
    <w:rsid w:val="DFFD7189"/>
    <w:rsid w:val="DFFE4E81"/>
    <w:rsid w:val="DFFE94C0"/>
    <w:rsid w:val="DFFFBAAE"/>
    <w:rsid w:val="E374C507"/>
    <w:rsid w:val="E3EFD023"/>
    <w:rsid w:val="E3FB990F"/>
    <w:rsid w:val="E47F08F1"/>
    <w:rsid w:val="E4FF291B"/>
    <w:rsid w:val="E55F3C44"/>
    <w:rsid w:val="E629FA10"/>
    <w:rsid w:val="E6D76A9D"/>
    <w:rsid w:val="E7782C1D"/>
    <w:rsid w:val="E77FB93B"/>
    <w:rsid w:val="E7D7A87F"/>
    <w:rsid w:val="E7DB2670"/>
    <w:rsid w:val="E7E74F06"/>
    <w:rsid w:val="E7FD5C58"/>
    <w:rsid w:val="E7FD669B"/>
    <w:rsid w:val="E7FFEA33"/>
    <w:rsid w:val="E9CD1866"/>
    <w:rsid w:val="EB43C8C9"/>
    <w:rsid w:val="EB56791F"/>
    <w:rsid w:val="EB5EC710"/>
    <w:rsid w:val="EB776932"/>
    <w:rsid w:val="EB8FCC53"/>
    <w:rsid w:val="EBDD1B22"/>
    <w:rsid w:val="EBFC4B45"/>
    <w:rsid w:val="EBFC94EE"/>
    <w:rsid w:val="EBFE7726"/>
    <w:rsid w:val="EBFEF502"/>
    <w:rsid w:val="EC7FEDDE"/>
    <w:rsid w:val="ECE93E1D"/>
    <w:rsid w:val="ED2F19E0"/>
    <w:rsid w:val="EDB4E4CA"/>
    <w:rsid w:val="EDCDB264"/>
    <w:rsid w:val="EDF3AE4B"/>
    <w:rsid w:val="EDFE489E"/>
    <w:rsid w:val="EDFF9326"/>
    <w:rsid w:val="EE6F7CE4"/>
    <w:rsid w:val="EECF9BDF"/>
    <w:rsid w:val="EEEDCBBB"/>
    <w:rsid w:val="EEFF1DB9"/>
    <w:rsid w:val="EF5F849E"/>
    <w:rsid w:val="EF70F2BF"/>
    <w:rsid w:val="EFA75B23"/>
    <w:rsid w:val="EFB760A1"/>
    <w:rsid w:val="EFD21437"/>
    <w:rsid w:val="EFDB1127"/>
    <w:rsid w:val="EFDE48CE"/>
    <w:rsid w:val="EFDE551C"/>
    <w:rsid w:val="EFDFA4C5"/>
    <w:rsid w:val="EFEEB034"/>
    <w:rsid w:val="EFFF5CA2"/>
    <w:rsid w:val="EFFFFD96"/>
    <w:rsid w:val="EFFFFF24"/>
    <w:rsid w:val="F1078ACA"/>
    <w:rsid w:val="F12B95A8"/>
    <w:rsid w:val="F1AB18AC"/>
    <w:rsid w:val="F1DF48E0"/>
    <w:rsid w:val="F1FBB1D2"/>
    <w:rsid w:val="F28D6E41"/>
    <w:rsid w:val="F2D3689A"/>
    <w:rsid w:val="F2DE35F0"/>
    <w:rsid w:val="F3570537"/>
    <w:rsid w:val="F37FE6E1"/>
    <w:rsid w:val="F3ED6A9D"/>
    <w:rsid w:val="F3FE037D"/>
    <w:rsid w:val="F3FE04AE"/>
    <w:rsid w:val="F5F76F59"/>
    <w:rsid w:val="F5F7E76E"/>
    <w:rsid w:val="F5FA860A"/>
    <w:rsid w:val="F5FFD205"/>
    <w:rsid w:val="F6573CD8"/>
    <w:rsid w:val="F66B4D4B"/>
    <w:rsid w:val="F67F17BD"/>
    <w:rsid w:val="F6F52ACE"/>
    <w:rsid w:val="F6FD0C6A"/>
    <w:rsid w:val="F6FD3E54"/>
    <w:rsid w:val="F6FE5E72"/>
    <w:rsid w:val="F6FFC0BC"/>
    <w:rsid w:val="F72BCE6F"/>
    <w:rsid w:val="F75DEB39"/>
    <w:rsid w:val="F7975AF9"/>
    <w:rsid w:val="F7BF0EFD"/>
    <w:rsid w:val="F7C9181A"/>
    <w:rsid w:val="F7CF5C85"/>
    <w:rsid w:val="F7D1D8AE"/>
    <w:rsid w:val="F7DFB6BF"/>
    <w:rsid w:val="F7EE2517"/>
    <w:rsid w:val="F7EE8E51"/>
    <w:rsid w:val="F7F77127"/>
    <w:rsid w:val="F7F79109"/>
    <w:rsid w:val="F7F7CC73"/>
    <w:rsid w:val="F7F80EB2"/>
    <w:rsid w:val="F7FBDAB6"/>
    <w:rsid w:val="F7FE1D32"/>
    <w:rsid w:val="F7FF384A"/>
    <w:rsid w:val="F7FF4FE4"/>
    <w:rsid w:val="F7FFF4A2"/>
    <w:rsid w:val="F8F3220E"/>
    <w:rsid w:val="F8FFF9CE"/>
    <w:rsid w:val="F9BF311E"/>
    <w:rsid w:val="F9DF9D70"/>
    <w:rsid w:val="F9EF8D71"/>
    <w:rsid w:val="F9F760E4"/>
    <w:rsid w:val="F9FE0830"/>
    <w:rsid w:val="F9FE94D1"/>
    <w:rsid w:val="FA5E7AD7"/>
    <w:rsid w:val="FADF3728"/>
    <w:rsid w:val="FAEDAABE"/>
    <w:rsid w:val="FB2B8857"/>
    <w:rsid w:val="FB4F3BE6"/>
    <w:rsid w:val="FB5FD576"/>
    <w:rsid w:val="FB7B83B3"/>
    <w:rsid w:val="FB7F1D6E"/>
    <w:rsid w:val="FB7F5F49"/>
    <w:rsid w:val="FB8567F8"/>
    <w:rsid w:val="FBBB0F51"/>
    <w:rsid w:val="FBDDE187"/>
    <w:rsid w:val="FBEA0CD1"/>
    <w:rsid w:val="FBEE6A4C"/>
    <w:rsid w:val="FBEFF0AB"/>
    <w:rsid w:val="FBEFF7F2"/>
    <w:rsid w:val="FBF0F819"/>
    <w:rsid w:val="FBFA4870"/>
    <w:rsid w:val="FBFA5643"/>
    <w:rsid w:val="FBFA7BE4"/>
    <w:rsid w:val="FBFCCF44"/>
    <w:rsid w:val="FBFD11BE"/>
    <w:rsid w:val="FBFE334E"/>
    <w:rsid w:val="FBFF3149"/>
    <w:rsid w:val="FBFF3C27"/>
    <w:rsid w:val="FBFFF1D8"/>
    <w:rsid w:val="FC4D3909"/>
    <w:rsid w:val="FC4F1680"/>
    <w:rsid w:val="FC6B1E75"/>
    <w:rsid w:val="FC6D63FB"/>
    <w:rsid w:val="FC6D8019"/>
    <w:rsid w:val="FC6ECDC2"/>
    <w:rsid w:val="FC7AFEB6"/>
    <w:rsid w:val="FC7FB450"/>
    <w:rsid w:val="FCD54CAC"/>
    <w:rsid w:val="FCDF92E6"/>
    <w:rsid w:val="FCDFFBF7"/>
    <w:rsid w:val="FCE2E352"/>
    <w:rsid w:val="FCEFE372"/>
    <w:rsid w:val="FCF5A05D"/>
    <w:rsid w:val="FCFDCD70"/>
    <w:rsid w:val="FCFF1BAB"/>
    <w:rsid w:val="FCFFD552"/>
    <w:rsid w:val="FD5DFAC8"/>
    <w:rsid w:val="FD634801"/>
    <w:rsid w:val="FD6C295E"/>
    <w:rsid w:val="FD6D325D"/>
    <w:rsid w:val="FD73DE62"/>
    <w:rsid w:val="FD7DD71E"/>
    <w:rsid w:val="FDAD938F"/>
    <w:rsid w:val="FDBA724F"/>
    <w:rsid w:val="FDCD5D28"/>
    <w:rsid w:val="FDD3043D"/>
    <w:rsid w:val="FDDBEF96"/>
    <w:rsid w:val="FDDD7591"/>
    <w:rsid w:val="FDDF0627"/>
    <w:rsid w:val="FDEF22E6"/>
    <w:rsid w:val="FDEFF278"/>
    <w:rsid w:val="FDF10A8C"/>
    <w:rsid w:val="FDF74B6C"/>
    <w:rsid w:val="FDFF4F7C"/>
    <w:rsid w:val="FE4FBE02"/>
    <w:rsid w:val="FE5F9864"/>
    <w:rsid w:val="FE7DB371"/>
    <w:rsid w:val="FE7DD0FA"/>
    <w:rsid w:val="FED78FA2"/>
    <w:rsid w:val="FEDA5853"/>
    <w:rsid w:val="FEDD66A5"/>
    <w:rsid w:val="FEDE1E99"/>
    <w:rsid w:val="FEDFB422"/>
    <w:rsid w:val="FEED457D"/>
    <w:rsid w:val="FEED5B06"/>
    <w:rsid w:val="FEF713D9"/>
    <w:rsid w:val="FEFBDFE6"/>
    <w:rsid w:val="FEFC5FA5"/>
    <w:rsid w:val="FEFFFD1C"/>
    <w:rsid w:val="FF17AA7E"/>
    <w:rsid w:val="FF1E567A"/>
    <w:rsid w:val="FF332E34"/>
    <w:rsid w:val="FF3B9D7C"/>
    <w:rsid w:val="FF4B9E16"/>
    <w:rsid w:val="FF537042"/>
    <w:rsid w:val="FF5B8C35"/>
    <w:rsid w:val="FF5F82C9"/>
    <w:rsid w:val="FF6F39E4"/>
    <w:rsid w:val="FF6FDD80"/>
    <w:rsid w:val="FF7560FC"/>
    <w:rsid w:val="FF773AD7"/>
    <w:rsid w:val="FF7A963B"/>
    <w:rsid w:val="FF7B263D"/>
    <w:rsid w:val="FF7C23CE"/>
    <w:rsid w:val="FF7C6EF1"/>
    <w:rsid w:val="FF7EF9FD"/>
    <w:rsid w:val="FF7F894E"/>
    <w:rsid w:val="FF7FA672"/>
    <w:rsid w:val="FF7FF368"/>
    <w:rsid w:val="FF9DD64C"/>
    <w:rsid w:val="FF9F8BBA"/>
    <w:rsid w:val="FFAF68BC"/>
    <w:rsid w:val="FFAFFB6C"/>
    <w:rsid w:val="FFB705E0"/>
    <w:rsid w:val="FFB7772F"/>
    <w:rsid w:val="FFB7917D"/>
    <w:rsid w:val="FFB7E3A6"/>
    <w:rsid w:val="FFBD8CC1"/>
    <w:rsid w:val="FFBE4660"/>
    <w:rsid w:val="FFBF0888"/>
    <w:rsid w:val="FFBFEBD7"/>
    <w:rsid w:val="FFCB6C4F"/>
    <w:rsid w:val="FFCF3A82"/>
    <w:rsid w:val="FFD73CBE"/>
    <w:rsid w:val="FFD771AC"/>
    <w:rsid w:val="FFDB1C60"/>
    <w:rsid w:val="FFDE7B56"/>
    <w:rsid w:val="FFDF5D51"/>
    <w:rsid w:val="FFDFACDF"/>
    <w:rsid w:val="FFDFB0DB"/>
    <w:rsid w:val="FFDFDA14"/>
    <w:rsid w:val="FFE53FE5"/>
    <w:rsid w:val="FFECE2EB"/>
    <w:rsid w:val="FFED7793"/>
    <w:rsid w:val="FFEF42BA"/>
    <w:rsid w:val="FFEF4FBD"/>
    <w:rsid w:val="FFF3E6C2"/>
    <w:rsid w:val="FFF59DDE"/>
    <w:rsid w:val="FFF74EA8"/>
    <w:rsid w:val="FFF75B33"/>
    <w:rsid w:val="FFF78A9E"/>
    <w:rsid w:val="FFF955EE"/>
    <w:rsid w:val="FFF9CBFE"/>
    <w:rsid w:val="FFFB1BD3"/>
    <w:rsid w:val="FFFB883C"/>
    <w:rsid w:val="FFFBB334"/>
    <w:rsid w:val="FFFBCA5A"/>
    <w:rsid w:val="FFFCA1F7"/>
    <w:rsid w:val="FFFD1878"/>
    <w:rsid w:val="FFFD2E77"/>
    <w:rsid w:val="FFFD981E"/>
    <w:rsid w:val="FFFDC661"/>
    <w:rsid w:val="FFFF2D25"/>
    <w:rsid w:val="FFFF37E6"/>
    <w:rsid w:val="FFFF3A61"/>
    <w:rsid w:val="FFFF5B2A"/>
    <w:rsid w:val="FFFF6756"/>
    <w:rsid w:val="FFFF7A67"/>
    <w:rsid w:val="FFFF9587"/>
    <w:rsid w:val="FFFFBC18"/>
    <w:rsid w:val="FFFFBC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qFormat="1" w:unhideWhenUsed="0" w:uiPriority="0" w:semiHidden="0"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0" w:semiHidden="0" w:name="footnote text"/>
    <w:lsdException w:qFormat="1" w:uiPriority="99" w:semiHidden="0" w:name="annotation text"/>
    <w:lsdException w:qFormat="1" w:uiPriority="0" w:semiHidden="0" w:name="header"/>
    <w:lsdException w:qFormat="1" w:unhideWhenUsed="0" w:uiPriority="0" w:semiHidden="0" w:name="footer"/>
    <w:lsdException w:uiPriority="99" w:name="index heading"/>
    <w:lsdException w:qFormat="1" w:uiPriority="35" w:name="caption"/>
    <w:lsdException w:qFormat="1" w:unhideWhenUsed="0" w:uiPriority="0" w:semiHidden="0" w:name="table of figures"/>
    <w:lsdException w:uiPriority="99" w:name="envelope address"/>
    <w:lsdException w:qFormat="1" w:uiPriority="0" w:semiHidden="0" w:name="envelope return"/>
    <w:lsdException w:qFormat="1" w:unhideWhenUsed="0"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qFormat="1" w:unhideWhenUsed="0" w:uiPriority="0" w:semiHidden="0"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hint="eastAsia" w:ascii="Arial Unicode MS" w:hAnsi="Arial Unicode MS" w:eastAsia="Arial Unicode MS" w:cs="Arial Unicode MS"/>
      <w:color w:val="000000"/>
      <w:kern w:val="2"/>
      <w:sz w:val="21"/>
      <w:szCs w:val="21"/>
      <w:lang w:val="zh-TW" w:eastAsia="zh-TW" w:bidi="ar-SA"/>
    </w:rPr>
  </w:style>
  <w:style w:type="paragraph" w:styleId="2">
    <w:name w:val="heading 1"/>
    <w:basedOn w:val="1"/>
    <w:next w:val="1"/>
    <w:link w:val="7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1"/>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link w:val="76"/>
    <w:qFormat/>
    <w:uiPriority w:val="0"/>
    <w:pPr>
      <w:keepNext/>
      <w:keepLines/>
      <w:spacing w:before="260" w:after="260" w:line="416" w:lineRule="auto"/>
      <w:outlineLvl w:val="2"/>
    </w:pPr>
    <w:rPr>
      <w:b/>
      <w:bCs/>
      <w:sz w:val="32"/>
      <w:szCs w:val="32"/>
    </w:rPr>
  </w:style>
  <w:style w:type="paragraph" w:styleId="5">
    <w:name w:val="heading 4"/>
    <w:basedOn w:val="1"/>
    <w:next w:val="1"/>
    <w:link w:val="77"/>
    <w:qFormat/>
    <w:uiPriority w:val="0"/>
    <w:pPr>
      <w:keepNext/>
      <w:keepLines/>
      <w:widowControl w:val="0"/>
      <w:spacing w:before="280" w:after="290" w:line="372" w:lineRule="auto"/>
      <w:outlineLvl w:val="3"/>
    </w:pPr>
    <w:rPr>
      <w:rFonts w:hint="default" w:ascii="Arial" w:hAnsi="Arial" w:eastAsia="黑体" w:cs="Times New Roman"/>
      <w:b/>
      <w:color w:val="auto"/>
      <w:sz w:val="28"/>
      <w:szCs w:val="24"/>
      <w:lang w:val="en-US" w:eastAsia="zh-CN"/>
    </w:rPr>
  </w:style>
  <w:style w:type="paragraph" w:styleId="6">
    <w:name w:val="heading 5"/>
    <w:basedOn w:val="1"/>
    <w:next w:val="1"/>
    <w:link w:val="78"/>
    <w:qFormat/>
    <w:uiPriority w:val="0"/>
    <w:pPr>
      <w:keepNext/>
      <w:keepLines/>
      <w:widowControl w:val="0"/>
      <w:spacing w:line="372" w:lineRule="auto"/>
      <w:ind w:firstLine="402"/>
      <w:outlineLvl w:val="4"/>
    </w:pPr>
    <w:rPr>
      <w:rFonts w:hint="default" w:ascii="仿宋_GB2312" w:hAnsi="Times New Roman" w:eastAsia="仿宋_GB2312" w:cs="Times New Roman"/>
      <w:b/>
      <w:color w:val="auto"/>
      <w:sz w:val="28"/>
      <w:szCs w:val="32"/>
      <w:lang w:val="en-US" w:eastAsia="zh-CN"/>
    </w:rPr>
  </w:style>
  <w:style w:type="paragraph" w:styleId="7">
    <w:name w:val="heading 6"/>
    <w:basedOn w:val="1"/>
    <w:next w:val="1"/>
    <w:link w:val="79"/>
    <w:qFormat/>
    <w:uiPriority w:val="0"/>
    <w:pPr>
      <w:keepNext/>
      <w:keepLines/>
      <w:widowControl w:val="0"/>
      <w:spacing w:line="317" w:lineRule="auto"/>
      <w:ind w:firstLine="402"/>
      <w:outlineLvl w:val="5"/>
    </w:pPr>
    <w:rPr>
      <w:rFonts w:hint="default" w:ascii="Arial" w:hAnsi="Arial" w:eastAsia="黑体" w:cs="Times New Roman"/>
      <w:b/>
      <w:color w:val="auto"/>
      <w:sz w:val="24"/>
      <w:szCs w:val="32"/>
      <w:lang w:val="en-US" w:eastAsia="zh-CN"/>
    </w:rPr>
  </w:style>
  <w:style w:type="paragraph" w:styleId="8">
    <w:name w:val="heading 7"/>
    <w:basedOn w:val="1"/>
    <w:next w:val="1"/>
    <w:link w:val="80"/>
    <w:qFormat/>
    <w:uiPriority w:val="0"/>
    <w:pPr>
      <w:keepNext/>
      <w:keepLines/>
      <w:widowControl w:val="0"/>
      <w:spacing w:line="317" w:lineRule="auto"/>
      <w:ind w:firstLine="402"/>
      <w:outlineLvl w:val="6"/>
    </w:pPr>
    <w:rPr>
      <w:rFonts w:hint="default" w:ascii="仿宋_GB2312" w:hAnsi="Times New Roman" w:eastAsia="仿宋_GB2312" w:cs="Times New Roman"/>
      <w:b/>
      <w:color w:val="auto"/>
      <w:sz w:val="24"/>
      <w:szCs w:val="32"/>
      <w:lang w:val="en-US" w:eastAsia="zh-CN"/>
    </w:rPr>
  </w:style>
  <w:style w:type="paragraph" w:styleId="9">
    <w:name w:val="heading 8"/>
    <w:basedOn w:val="1"/>
    <w:next w:val="1"/>
    <w:link w:val="81"/>
    <w:qFormat/>
    <w:uiPriority w:val="0"/>
    <w:pPr>
      <w:keepNext/>
      <w:keepLines/>
      <w:widowControl w:val="0"/>
      <w:spacing w:line="317" w:lineRule="auto"/>
      <w:ind w:firstLine="402"/>
      <w:outlineLvl w:val="7"/>
    </w:pPr>
    <w:rPr>
      <w:rFonts w:hint="default" w:ascii="Arial" w:hAnsi="Arial" w:eastAsia="黑体" w:cs="Times New Roman"/>
      <w:color w:val="auto"/>
      <w:sz w:val="24"/>
      <w:szCs w:val="32"/>
      <w:lang w:val="en-US" w:eastAsia="zh-CN"/>
    </w:rPr>
  </w:style>
  <w:style w:type="paragraph" w:styleId="10">
    <w:name w:val="heading 9"/>
    <w:basedOn w:val="1"/>
    <w:next w:val="1"/>
    <w:link w:val="82"/>
    <w:qFormat/>
    <w:uiPriority w:val="0"/>
    <w:pPr>
      <w:keepNext/>
      <w:keepLines/>
      <w:widowControl w:val="0"/>
      <w:spacing w:line="317" w:lineRule="auto"/>
      <w:ind w:firstLine="402"/>
      <w:outlineLvl w:val="8"/>
    </w:pPr>
    <w:rPr>
      <w:rFonts w:hint="default" w:ascii="Arial" w:hAnsi="Arial" w:eastAsia="黑体" w:cs="Times New Roman"/>
      <w:color w:val="auto"/>
      <w:szCs w:val="32"/>
      <w:lang w:val="en-US" w:eastAsia="zh-CN"/>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widowControl w:val="0"/>
      <w:ind w:left="2520" w:leftChars="1200"/>
    </w:pPr>
    <w:rPr>
      <w:rFonts w:hint="default" w:ascii="Times New Roman" w:hAnsi="Times New Roman" w:eastAsia="宋体" w:cs="Times New Roman"/>
      <w:color w:val="auto"/>
      <w:szCs w:val="24"/>
      <w:lang w:val="en-US" w:eastAsia="zh-CN"/>
    </w:rPr>
  </w:style>
  <w:style w:type="paragraph" w:styleId="12">
    <w:name w:val="table of authorities"/>
    <w:basedOn w:val="1"/>
    <w:next w:val="1"/>
    <w:qFormat/>
    <w:uiPriority w:val="0"/>
    <w:pPr>
      <w:ind w:left="420" w:leftChars="200"/>
    </w:pPr>
  </w:style>
  <w:style w:type="paragraph" w:styleId="13">
    <w:name w:val="Normal Indent"/>
    <w:basedOn w:val="1"/>
    <w:link w:val="83"/>
    <w:qFormat/>
    <w:uiPriority w:val="99"/>
    <w:pPr>
      <w:widowControl w:val="0"/>
      <w:autoSpaceDE w:val="0"/>
      <w:autoSpaceDN w:val="0"/>
      <w:adjustRightInd w:val="0"/>
      <w:ind w:firstLine="420"/>
      <w:jc w:val="left"/>
    </w:pPr>
    <w:rPr>
      <w:rFonts w:hint="default" w:ascii="宋体" w:hAnsi="Calibri" w:eastAsia="宋体" w:cs="Times New Roman"/>
      <w:color w:val="auto"/>
      <w:kern w:val="0"/>
      <w:sz w:val="24"/>
      <w:szCs w:val="20"/>
      <w:lang w:val="en-US" w:eastAsia="zh-CN"/>
    </w:rPr>
  </w:style>
  <w:style w:type="paragraph" w:styleId="14">
    <w:name w:val="annotation text"/>
    <w:basedOn w:val="1"/>
    <w:link w:val="84"/>
    <w:unhideWhenUsed/>
    <w:qFormat/>
    <w:uiPriority w:val="99"/>
    <w:pPr>
      <w:jc w:val="left"/>
    </w:pPr>
  </w:style>
  <w:style w:type="paragraph" w:styleId="15">
    <w:name w:val="Body Text 3"/>
    <w:basedOn w:val="1"/>
    <w:link w:val="85"/>
    <w:qFormat/>
    <w:uiPriority w:val="0"/>
    <w:pPr>
      <w:widowControl w:val="0"/>
      <w:spacing w:after="120"/>
    </w:pPr>
    <w:rPr>
      <w:rFonts w:hint="default" w:ascii="Calibri" w:hAnsi="Calibri" w:eastAsia="宋体" w:cs="Times New Roman"/>
      <w:color w:val="auto"/>
      <w:sz w:val="16"/>
      <w:szCs w:val="16"/>
      <w:lang w:val="en-US" w:eastAsia="zh-CN"/>
    </w:rPr>
  </w:style>
  <w:style w:type="paragraph" w:styleId="16">
    <w:name w:val="Body Text"/>
    <w:basedOn w:val="1"/>
    <w:link w:val="86"/>
    <w:qFormat/>
    <w:uiPriority w:val="1"/>
    <w:pPr>
      <w:widowControl w:val="0"/>
      <w:tabs>
        <w:tab w:val="left" w:pos="567"/>
      </w:tabs>
      <w:spacing w:before="120" w:line="22" w:lineRule="atLeast"/>
    </w:pPr>
    <w:rPr>
      <w:rFonts w:hint="default" w:ascii="宋体" w:hAnsi="宋体" w:eastAsia="宋体" w:cs="Times New Roman"/>
      <w:color w:val="auto"/>
      <w:sz w:val="24"/>
      <w:szCs w:val="24"/>
      <w:lang w:val="en-US" w:eastAsia="zh-CN"/>
    </w:rPr>
  </w:style>
  <w:style w:type="paragraph" w:styleId="17">
    <w:name w:val="Body Text Indent"/>
    <w:basedOn w:val="1"/>
    <w:next w:val="18"/>
    <w:link w:val="87"/>
    <w:qFormat/>
    <w:uiPriority w:val="0"/>
    <w:pPr>
      <w:widowControl w:val="0"/>
      <w:spacing w:line="360" w:lineRule="auto"/>
      <w:ind w:firstLine="570"/>
    </w:pPr>
    <w:rPr>
      <w:rFonts w:hint="default" w:ascii="Calibri" w:hAnsi="Calibri" w:eastAsia="宋体" w:cs="Times New Roman"/>
      <w:color w:val="auto"/>
      <w:sz w:val="24"/>
      <w:szCs w:val="24"/>
      <w:lang w:val="en-US" w:eastAsia="zh-CN"/>
    </w:rPr>
  </w:style>
  <w:style w:type="paragraph" w:styleId="18">
    <w:name w:val="envelope return"/>
    <w:basedOn w:val="1"/>
    <w:unhideWhenUsed/>
    <w:qFormat/>
    <w:uiPriority w:val="0"/>
    <w:pPr>
      <w:snapToGrid w:val="0"/>
    </w:pPr>
    <w:rPr>
      <w:rFonts w:ascii="Arial" w:hAnsi="Arial"/>
    </w:rPr>
  </w:style>
  <w:style w:type="paragraph" w:styleId="19">
    <w:name w:val="List Continue"/>
    <w:basedOn w:val="1"/>
    <w:qFormat/>
    <w:uiPriority w:val="0"/>
    <w:pPr>
      <w:widowControl w:val="0"/>
      <w:spacing w:after="120"/>
      <w:ind w:left="420"/>
    </w:pPr>
    <w:rPr>
      <w:rFonts w:hint="default" w:ascii="Times New Roman" w:hAnsi="Times New Roman" w:eastAsia="楷体_GB2312" w:cs="Times New Roman"/>
      <w:color w:val="auto"/>
      <w:sz w:val="32"/>
      <w:szCs w:val="20"/>
      <w:lang w:val="en-US" w:eastAsia="zh-CN"/>
    </w:rPr>
  </w:style>
  <w:style w:type="paragraph" w:styleId="20">
    <w:name w:val="Block Text"/>
    <w:basedOn w:val="1"/>
    <w:qFormat/>
    <w:uiPriority w:val="0"/>
    <w:pPr>
      <w:widowControl w:val="0"/>
      <w:adjustRightInd w:val="0"/>
      <w:ind w:left="420" w:right="33"/>
      <w:jc w:val="left"/>
      <w:textAlignment w:val="baseline"/>
    </w:pPr>
    <w:rPr>
      <w:rFonts w:hint="default" w:ascii="Times New Roman" w:hAnsi="Times New Roman" w:eastAsia="宋体" w:cs="Times New Roman"/>
      <w:color w:val="auto"/>
      <w:kern w:val="0"/>
      <w:sz w:val="24"/>
      <w:szCs w:val="20"/>
      <w:lang w:val="en-US" w:eastAsia="zh-CN"/>
    </w:rPr>
  </w:style>
  <w:style w:type="paragraph" w:styleId="21">
    <w:name w:val="index 4"/>
    <w:basedOn w:val="1"/>
    <w:next w:val="1"/>
    <w:qFormat/>
    <w:uiPriority w:val="0"/>
    <w:pPr>
      <w:ind w:left="560" w:leftChars="200"/>
    </w:pPr>
    <w:rPr>
      <w:sz w:val="28"/>
    </w:rPr>
  </w:style>
  <w:style w:type="paragraph" w:styleId="22">
    <w:name w:val="toc 5"/>
    <w:basedOn w:val="1"/>
    <w:next w:val="1"/>
    <w:qFormat/>
    <w:uiPriority w:val="39"/>
    <w:pPr>
      <w:widowControl w:val="0"/>
      <w:ind w:left="1680" w:leftChars="800"/>
    </w:pPr>
    <w:rPr>
      <w:rFonts w:hint="default" w:ascii="Times New Roman" w:hAnsi="Times New Roman" w:eastAsia="宋体" w:cs="Times New Roman"/>
      <w:color w:val="auto"/>
      <w:szCs w:val="24"/>
      <w:lang w:val="en-US" w:eastAsia="zh-CN"/>
    </w:rPr>
  </w:style>
  <w:style w:type="paragraph" w:styleId="23">
    <w:name w:val="toc 3"/>
    <w:basedOn w:val="1"/>
    <w:next w:val="1"/>
    <w:unhideWhenUsed/>
    <w:qFormat/>
    <w:uiPriority w:val="39"/>
    <w:pPr>
      <w:spacing w:after="100" w:line="276" w:lineRule="auto"/>
      <w:ind w:left="440"/>
      <w:jc w:val="left"/>
    </w:pPr>
    <w:rPr>
      <w:rFonts w:hint="default" w:ascii="Calibri" w:hAnsi="Calibri" w:eastAsia="宋体" w:cs="Times New Roman"/>
      <w:color w:val="auto"/>
      <w:kern w:val="0"/>
      <w:sz w:val="22"/>
      <w:szCs w:val="22"/>
      <w:lang w:val="en-US" w:eastAsia="zh-CN"/>
    </w:rPr>
  </w:style>
  <w:style w:type="paragraph" w:styleId="24">
    <w:name w:val="Plain Text"/>
    <w:basedOn w:val="1"/>
    <w:link w:val="88"/>
    <w:qFormat/>
    <w:uiPriority w:val="0"/>
    <w:pPr>
      <w:widowControl w:val="0"/>
    </w:pPr>
    <w:rPr>
      <w:rFonts w:hint="default" w:ascii="宋体" w:hAnsi="Courier New" w:eastAsia="宋体" w:cs="Times New Roman"/>
      <w:color w:val="auto"/>
      <w:kern w:val="0"/>
      <w:sz w:val="20"/>
      <w:szCs w:val="20"/>
      <w:lang w:val="en-US" w:eastAsia="zh-CN"/>
    </w:rPr>
  </w:style>
  <w:style w:type="paragraph" w:styleId="25">
    <w:name w:val="toc 8"/>
    <w:basedOn w:val="1"/>
    <w:next w:val="1"/>
    <w:qFormat/>
    <w:uiPriority w:val="39"/>
    <w:pPr>
      <w:widowControl w:val="0"/>
      <w:ind w:left="2940" w:leftChars="1400"/>
    </w:pPr>
    <w:rPr>
      <w:rFonts w:hint="default" w:ascii="Times New Roman" w:hAnsi="Times New Roman" w:eastAsia="宋体" w:cs="Times New Roman"/>
      <w:color w:val="auto"/>
      <w:szCs w:val="24"/>
      <w:lang w:val="en-US" w:eastAsia="zh-CN"/>
    </w:rPr>
  </w:style>
  <w:style w:type="paragraph" w:styleId="26">
    <w:name w:val="Date"/>
    <w:basedOn w:val="1"/>
    <w:next w:val="1"/>
    <w:link w:val="89"/>
    <w:qFormat/>
    <w:uiPriority w:val="0"/>
    <w:pPr>
      <w:widowControl w:val="0"/>
      <w:ind w:left="100" w:leftChars="2500"/>
    </w:pPr>
    <w:rPr>
      <w:rFonts w:hint="default" w:ascii="仿宋_GB2312" w:hAnsi="宋体" w:eastAsia="仿宋_GB2312" w:cs="Times New Roman"/>
      <w:sz w:val="24"/>
      <w:szCs w:val="24"/>
      <w:lang w:val="en-US" w:eastAsia="zh-CN"/>
    </w:rPr>
  </w:style>
  <w:style w:type="paragraph" w:styleId="27">
    <w:name w:val="Body Text Indent 2"/>
    <w:basedOn w:val="1"/>
    <w:link w:val="90"/>
    <w:qFormat/>
    <w:uiPriority w:val="0"/>
    <w:pPr>
      <w:widowControl w:val="0"/>
      <w:ind w:firstLine="480" w:firstLineChars="200"/>
    </w:pPr>
    <w:rPr>
      <w:rFonts w:hint="default" w:ascii="仿宋_GB2312" w:hAnsi="Calibri" w:eastAsia="仿宋_GB2312" w:cs="Times New Roman"/>
      <w:color w:val="auto"/>
      <w:sz w:val="24"/>
      <w:szCs w:val="24"/>
      <w:lang w:val="en-US" w:eastAsia="zh-CN"/>
    </w:rPr>
  </w:style>
  <w:style w:type="paragraph" w:styleId="28">
    <w:name w:val="Balloon Text"/>
    <w:basedOn w:val="1"/>
    <w:link w:val="91"/>
    <w:unhideWhenUsed/>
    <w:qFormat/>
    <w:uiPriority w:val="0"/>
    <w:rPr>
      <w:sz w:val="18"/>
      <w:szCs w:val="18"/>
    </w:rPr>
  </w:style>
  <w:style w:type="paragraph" w:styleId="29">
    <w:name w:val="footer"/>
    <w:basedOn w:val="1"/>
    <w:link w:val="92"/>
    <w:qFormat/>
    <w:uiPriority w:val="0"/>
    <w:pPr>
      <w:tabs>
        <w:tab w:val="center" w:pos="4153"/>
        <w:tab w:val="right" w:pos="8306"/>
      </w:tabs>
    </w:pPr>
    <w:rPr>
      <w:rFonts w:ascii="宋体" w:hAnsi="宋体" w:cs="宋体"/>
      <w:sz w:val="18"/>
      <w:szCs w:val="18"/>
      <w:lang w:val="en-US" w:eastAsia="zh-CN"/>
    </w:rPr>
  </w:style>
  <w:style w:type="paragraph" w:styleId="30">
    <w:name w:val="header"/>
    <w:basedOn w:val="1"/>
    <w:link w:val="93"/>
    <w:unhideWhenUsed/>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unhideWhenUsed/>
    <w:qFormat/>
    <w:uiPriority w:val="39"/>
    <w:pPr>
      <w:spacing w:after="100" w:line="276" w:lineRule="auto"/>
      <w:jc w:val="left"/>
    </w:pPr>
    <w:rPr>
      <w:rFonts w:hint="default" w:ascii="Calibri" w:hAnsi="Calibri" w:eastAsia="宋体" w:cs="Times New Roman"/>
      <w:color w:val="auto"/>
      <w:kern w:val="0"/>
      <w:sz w:val="22"/>
      <w:szCs w:val="22"/>
      <w:lang w:val="en-US" w:eastAsia="zh-CN"/>
    </w:rPr>
  </w:style>
  <w:style w:type="paragraph" w:styleId="32">
    <w:name w:val="toc 4"/>
    <w:basedOn w:val="1"/>
    <w:next w:val="1"/>
    <w:qFormat/>
    <w:uiPriority w:val="39"/>
    <w:pPr>
      <w:widowControl w:val="0"/>
      <w:ind w:left="1260" w:leftChars="600"/>
    </w:pPr>
    <w:rPr>
      <w:rFonts w:hint="default" w:ascii="Times New Roman" w:hAnsi="Times New Roman" w:eastAsia="宋体" w:cs="Times New Roman"/>
      <w:color w:val="auto"/>
      <w:szCs w:val="24"/>
      <w:lang w:val="en-US" w:eastAsia="zh-CN"/>
    </w:rPr>
  </w:style>
  <w:style w:type="paragraph" w:styleId="33">
    <w:name w:val="List"/>
    <w:basedOn w:val="1"/>
    <w:qFormat/>
    <w:uiPriority w:val="0"/>
    <w:pPr>
      <w:widowControl w:val="0"/>
      <w:ind w:left="420" w:hanging="420"/>
    </w:pPr>
    <w:rPr>
      <w:rFonts w:hint="default" w:ascii="Times New Roman" w:hAnsi="Times New Roman" w:eastAsia="楷体_GB2312" w:cs="Times New Roman"/>
      <w:color w:val="auto"/>
      <w:sz w:val="32"/>
      <w:szCs w:val="20"/>
      <w:lang w:val="en-US" w:eastAsia="zh-CN"/>
    </w:rPr>
  </w:style>
  <w:style w:type="paragraph" w:styleId="34">
    <w:name w:val="footnote text"/>
    <w:basedOn w:val="1"/>
    <w:link w:val="94"/>
    <w:qFormat/>
    <w:uiPriority w:val="0"/>
    <w:pPr>
      <w:widowControl w:val="0"/>
      <w:adjustRightInd w:val="0"/>
      <w:spacing w:line="312" w:lineRule="atLeast"/>
      <w:jc w:val="left"/>
      <w:textAlignment w:val="baseline"/>
    </w:pPr>
    <w:rPr>
      <w:rFonts w:hint="default" w:ascii="Calibri" w:hAnsi="Calibri" w:eastAsia="宋体" w:cs="Times New Roman"/>
      <w:color w:val="auto"/>
      <w:sz w:val="18"/>
      <w:szCs w:val="22"/>
      <w:lang w:val="en-US" w:eastAsia="zh-CN"/>
    </w:rPr>
  </w:style>
  <w:style w:type="paragraph" w:styleId="35">
    <w:name w:val="toc 6"/>
    <w:basedOn w:val="1"/>
    <w:next w:val="1"/>
    <w:qFormat/>
    <w:uiPriority w:val="39"/>
    <w:pPr>
      <w:widowControl w:val="0"/>
      <w:ind w:left="2100" w:leftChars="1000"/>
    </w:pPr>
    <w:rPr>
      <w:rFonts w:hint="default" w:ascii="Times New Roman" w:hAnsi="Times New Roman" w:eastAsia="宋体" w:cs="Times New Roman"/>
      <w:color w:val="auto"/>
      <w:szCs w:val="24"/>
      <w:lang w:val="en-US" w:eastAsia="zh-CN"/>
    </w:rPr>
  </w:style>
  <w:style w:type="paragraph" w:styleId="36">
    <w:name w:val="List 5"/>
    <w:basedOn w:val="1"/>
    <w:qFormat/>
    <w:uiPriority w:val="0"/>
    <w:pPr>
      <w:widowControl w:val="0"/>
      <w:ind w:left="2100" w:hanging="420"/>
    </w:pPr>
    <w:rPr>
      <w:rFonts w:hint="default" w:ascii="Times New Roman" w:hAnsi="Times New Roman" w:eastAsia="楷体_GB2312" w:cs="Times New Roman"/>
      <w:color w:val="auto"/>
      <w:sz w:val="32"/>
      <w:szCs w:val="20"/>
      <w:lang w:val="en-US" w:eastAsia="zh-CN"/>
    </w:rPr>
  </w:style>
  <w:style w:type="paragraph" w:styleId="37">
    <w:name w:val="Body Text Indent 3"/>
    <w:basedOn w:val="1"/>
    <w:link w:val="95"/>
    <w:qFormat/>
    <w:uiPriority w:val="0"/>
    <w:pPr>
      <w:widowControl w:val="0"/>
      <w:autoSpaceDE w:val="0"/>
      <w:autoSpaceDN w:val="0"/>
      <w:adjustRightInd w:val="0"/>
      <w:spacing w:before="120" w:line="22" w:lineRule="atLeast"/>
      <w:ind w:left="720" w:firstLine="480"/>
      <w:jc w:val="left"/>
    </w:pPr>
    <w:rPr>
      <w:rFonts w:hint="default" w:ascii="宋体" w:hAnsi="Calibri" w:eastAsia="宋体" w:cs="Times New Roman"/>
      <w:color w:val="auto"/>
      <w:kern w:val="0"/>
      <w:sz w:val="24"/>
      <w:szCs w:val="20"/>
      <w:lang w:val="en-US" w:eastAsia="zh-CN"/>
    </w:rPr>
  </w:style>
  <w:style w:type="paragraph" w:styleId="38">
    <w:name w:val="index 7"/>
    <w:basedOn w:val="1"/>
    <w:next w:val="1"/>
    <w:qFormat/>
    <w:uiPriority w:val="0"/>
    <w:pPr>
      <w:ind w:left="2520"/>
    </w:pPr>
  </w:style>
  <w:style w:type="paragraph" w:styleId="39">
    <w:name w:val="table of figures"/>
    <w:basedOn w:val="1"/>
    <w:next w:val="1"/>
    <w:qFormat/>
    <w:uiPriority w:val="0"/>
    <w:pPr>
      <w:ind w:left="200" w:leftChars="200" w:hanging="200" w:hangingChars="200"/>
    </w:pPr>
    <w:rPr>
      <w:rFonts w:ascii="Times New Roman" w:hAnsi="Times New Roman"/>
    </w:rPr>
  </w:style>
  <w:style w:type="paragraph" w:styleId="40">
    <w:name w:val="toc 2"/>
    <w:basedOn w:val="1"/>
    <w:next w:val="1"/>
    <w:unhideWhenUsed/>
    <w:qFormat/>
    <w:uiPriority w:val="39"/>
    <w:pPr>
      <w:spacing w:after="100" w:line="276" w:lineRule="auto"/>
      <w:ind w:left="220"/>
      <w:jc w:val="left"/>
    </w:pPr>
    <w:rPr>
      <w:rFonts w:hint="default" w:ascii="Calibri" w:hAnsi="Calibri" w:eastAsia="宋体" w:cs="Times New Roman"/>
      <w:color w:val="auto"/>
      <w:kern w:val="0"/>
      <w:sz w:val="22"/>
      <w:szCs w:val="22"/>
      <w:lang w:val="en-US" w:eastAsia="zh-CN"/>
    </w:rPr>
  </w:style>
  <w:style w:type="paragraph" w:styleId="41">
    <w:name w:val="toc 9"/>
    <w:basedOn w:val="1"/>
    <w:next w:val="1"/>
    <w:qFormat/>
    <w:uiPriority w:val="39"/>
    <w:pPr>
      <w:widowControl w:val="0"/>
      <w:ind w:left="3360" w:leftChars="1600"/>
    </w:pPr>
    <w:rPr>
      <w:rFonts w:hint="default" w:ascii="Times New Roman" w:hAnsi="Times New Roman" w:eastAsia="宋体" w:cs="Times New Roman"/>
      <w:color w:val="auto"/>
      <w:szCs w:val="24"/>
      <w:lang w:val="en-US" w:eastAsia="zh-CN"/>
    </w:rPr>
  </w:style>
  <w:style w:type="paragraph" w:styleId="42">
    <w:name w:val="Body Text 2"/>
    <w:basedOn w:val="1"/>
    <w:link w:val="96"/>
    <w:qFormat/>
    <w:uiPriority w:val="0"/>
    <w:pPr>
      <w:widowControl w:val="0"/>
      <w:spacing w:after="120" w:line="480" w:lineRule="auto"/>
    </w:pPr>
    <w:rPr>
      <w:rFonts w:hint="default" w:ascii="Calibri" w:hAnsi="Calibri" w:eastAsia="宋体" w:cs="Times New Roman"/>
      <w:color w:val="auto"/>
      <w:szCs w:val="24"/>
      <w:lang w:val="en-US" w:eastAsia="zh-CN"/>
    </w:rPr>
  </w:style>
  <w:style w:type="paragraph" w:styleId="43">
    <w:name w:val="List 4"/>
    <w:basedOn w:val="1"/>
    <w:qFormat/>
    <w:uiPriority w:val="0"/>
    <w:pPr>
      <w:widowControl w:val="0"/>
      <w:ind w:left="1680" w:hanging="420"/>
    </w:pPr>
    <w:rPr>
      <w:rFonts w:hint="default" w:ascii="Times New Roman" w:hAnsi="Times New Roman" w:eastAsia="楷体_GB2312" w:cs="Times New Roman"/>
      <w:color w:val="auto"/>
      <w:sz w:val="32"/>
      <w:szCs w:val="20"/>
      <w:lang w:val="en-US" w:eastAsia="zh-CN"/>
    </w:rPr>
  </w:style>
  <w:style w:type="paragraph" w:styleId="44">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45">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lang w:val="en-US" w:eastAsia="zh-CN"/>
    </w:rPr>
  </w:style>
  <w:style w:type="paragraph" w:styleId="46">
    <w:name w:val="Normal (Web)"/>
    <w:basedOn w:val="1"/>
    <w:qFormat/>
    <w:uiPriority w:val="0"/>
    <w:pPr>
      <w:spacing w:before="100" w:beforeAutospacing="1" w:after="100" w:afterAutospacing="1"/>
      <w:jc w:val="left"/>
    </w:pPr>
    <w:rPr>
      <w:rFonts w:hint="default" w:ascii="宋体" w:hAnsi="宋体" w:eastAsia="宋体" w:cs="宋体"/>
      <w:color w:val="auto"/>
      <w:kern w:val="0"/>
      <w:sz w:val="24"/>
      <w:szCs w:val="24"/>
      <w:lang w:val="en-US" w:eastAsia="zh-CN"/>
    </w:rPr>
  </w:style>
  <w:style w:type="paragraph" w:styleId="47">
    <w:name w:val="index 1"/>
    <w:basedOn w:val="1"/>
    <w:next w:val="1"/>
    <w:qFormat/>
    <w:uiPriority w:val="0"/>
    <w:pPr>
      <w:widowControl w:val="0"/>
    </w:pPr>
    <w:rPr>
      <w:rFonts w:hint="default" w:ascii="Times New Roman" w:hAnsi="Times New Roman" w:eastAsia="宋体" w:cs="Times New Roman"/>
      <w:color w:val="auto"/>
      <w:szCs w:val="20"/>
      <w:lang w:val="en-US" w:eastAsia="zh-CN"/>
    </w:rPr>
  </w:style>
  <w:style w:type="paragraph" w:styleId="48">
    <w:name w:val="Title"/>
    <w:basedOn w:val="1"/>
    <w:link w:val="97"/>
    <w:qFormat/>
    <w:uiPriority w:val="0"/>
    <w:pPr>
      <w:spacing w:before="240" w:after="60"/>
      <w:jc w:val="center"/>
    </w:pPr>
    <w:rPr>
      <w:rFonts w:ascii="Arial" w:hAnsi="Arial" w:eastAsia="Arial" w:cs="Arial"/>
      <w:b/>
      <w:bCs/>
      <w:sz w:val="32"/>
      <w:szCs w:val="32"/>
      <w:lang w:val="en-US" w:eastAsia="zh-CN"/>
    </w:rPr>
  </w:style>
  <w:style w:type="paragraph" w:styleId="49">
    <w:name w:val="annotation subject"/>
    <w:basedOn w:val="14"/>
    <w:next w:val="14"/>
    <w:link w:val="98"/>
    <w:qFormat/>
    <w:uiPriority w:val="0"/>
    <w:pPr>
      <w:widowControl w:val="0"/>
    </w:pPr>
    <w:rPr>
      <w:rFonts w:hint="default" w:ascii="Calibri" w:hAnsi="Calibri" w:eastAsia="宋体" w:cs="Times New Roman"/>
      <w:b/>
      <w:bCs/>
      <w:color w:val="auto"/>
      <w:szCs w:val="24"/>
      <w:lang w:val="en-US" w:eastAsia="zh-CN"/>
    </w:rPr>
  </w:style>
  <w:style w:type="paragraph" w:styleId="50">
    <w:name w:val="Body Text First Indent"/>
    <w:basedOn w:val="16"/>
    <w:next w:val="51"/>
    <w:link w:val="99"/>
    <w:qFormat/>
    <w:uiPriority w:val="0"/>
    <w:pPr>
      <w:tabs>
        <w:tab w:val="clear" w:pos="567"/>
      </w:tabs>
      <w:spacing w:before="0" w:after="120" w:line="240" w:lineRule="auto"/>
      <w:ind w:firstLine="420"/>
    </w:pPr>
    <w:rPr>
      <w:rFonts w:ascii="Calibri" w:hAnsi="Calibri" w:eastAsia="楷体_GB2312"/>
      <w:sz w:val="32"/>
    </w:rPr>
  </w:style>
  <w:style w:type="paragraph" w:styleId="51">
    <w:name w:val="Body Text First Indent 2"/>
    <w:basedOn w:val="17"/>
    <w:next w:val="1"/>
    <w:link w:val="100"/>
    <w:unhideWhenUsed/>
    <w:qFormat/>
    <w:uiPriority w:val="0"/>
    <w:pPr>
      <w:spacing w:after="120" w:line="240" w:lineRule="auto"/>
      <w:ind w:left="420" w:leftChars="200" w:firstLine="420" w:firstLineChars="200"/>
    </w:pPr>
    <w:rPr>
      <w:rFonts w:ascii="Cambria" w:hAnsi="Cambria"/>
      <w:sz w:val="21"/>
    </w:rPr>
  </w:style>
  <w:style w:type="table" w:styleId="53">
    <w:name w:val="Table Grid"/>
    <w:basedOn w:val="5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5">
    <w:name w:val="Strong"/>
    <w:qFormat/>
    <w:uiPriority w:val="0"/>
    <w:rPr>
      <w:b/>
      <w:bCs/>
    </w:rPr>
  </w:style>
  <w:style w:type="character" w:styleId="56">
    <w:name w:val="page number"/>
    <w:qFormat/>
    <w:uiPriority w:val="0"/>
  </w:style>
  <w:style w:type="character" w:styleId="57">
    <w:name w:val="FollowedHyperlink"/>
    <w:qFormat/>
    <w:uiPriority w:val="0"/>
    <w:rPr>
      <w:color w:val="333333"/>
      <w:sz w:val="18"/>
      <w:szCs w:val="18"/>
      <w:u w:val="none"/>
    </w:rPr>
  </w:style>
  <w:style w:type="character" w:styleId="58">
    <w:name w:val="Emphasis"/>
    <w:basedOn w:val="54"/>
    <w:qFormat/>
    <w:uiPriority w:val="20"/>
    <w:rPr>
      <w:b/>
      <w:bCs/>
    </w:rPr>
  </w:style>
  <w:style w:type="character" w:styleId="59">
    <w:name w:val="HTML Definition"/>
    <w:basedOn w:val="54"/>
    <w:semiHidden/>
    <w:unhideWhenUsed/>
    <w:qFormat/>
    <w:uiPriority w:val="99"/>
  </w:style>
  <w:style w:type="character" w:styleId="60">
    <w:name w:val="HTML Typewriter"/>
    <w:basedOn w:val="54"/>
    <w:semiHidden/>
    <w:unhideWhenUsed/>
    <w:qFormat/>
    <w:uiPriority w:val="99"/>
    <w:rPr>
      <w:rFonts w:hint="default" w:ascii="monospace" w:hAnsi="monospace" w:eastAsia="monospace" w:cs="monospace"/>
      <w:sz w:val="20"/>
    </w:rPr>
  </w:style>
  <w:style w:type="character" w:styleId="61">
    <w:name w:val="HTML Acronym"/>
    <w:basedOn w:val="54"/>
    <w:semiHidden/>
    <w:unhideWhenUsed/>
    <w:qFormat/>
    <w:uiPriority w:val="99"/>
    <w:rPr>
      <w:rFonts w:ascii="ActionIcon ! important" w:hAnsi="ActionIcon ! important" w:eastAsia="ActionIcon ! important" w:cs="ActionIcon ! important"/>
      <w:color w:val="D6D6D6"/>
      <w:sz w:val="18"/>
      <w:szCs w:val="18"/>
    </w:rPr>
  </w:style>
  <w:style w:type="character" w:styleId="62">
    <w:name w:val="HTML Variable"/>
    <w:basedOn w:val="54"/>
    <w:semiHidden/>
    <w:unhideWhenUsed/>
    <w:qFormat/>
    <w:uiPriority w:val="99"/>
  </w:style>
  <w:style w:type="character" w:styleId="63">
    <w:name w:val="Hyperlink"/>
    <w:qFormat/>
    <w:uiPriority w:val="99"/>
    <w:rPr>
      <w:u w:val="single"/>
    </w:rPr>
  </w:style>
  <w:style w:type="character" w:styleId="64">
    <w:name w:val="HTML Code"/>
    <w:basedOn w:val="54"/>
    <w:semiHidden/>
    <w:unhideWhenUsed/>
    <w:qFormat/>
    <w:uiPriority w:val="99"/>
    <w:rPr>
      <w:rFonts w:hint="default" w:ascii="monospace" w:hAnsi="monospace" w:eastAsia="monospace" w:cs="monospace"/>
      <w:sz w:val="20"/>
    </w:rPr>
  </w:style>
  <w:style w:type="character" w:styleId="65">
    <w:name w:val="annotation reference"/>
    <w:unhideWhenUsed/>
    <w:qFormat/>
    <w:uiPriority w:val="0"/>
    <w:rPr>
      <w:sz w:val="21"/>
      <w:szCs w:val="21"/>
    </w:rPr>
  </w:style>
  <w:style w:type="character" w:styleId="66">
    <w:name w:val="HTML Cite"/>
    <w:basedOn w:val="54"/>
    <w:semiHidden/>
    <w:unhideWhenUsed/>
    <w:qFormat/>
    <w:uiPriority w:val="99"/>
  </w:style>
  <w:style w:type="character" w:styleId="67">
    <w:name w:val="footnote reference"/>
    <w:qFormat/>
    <w:uiPriority w:val="0"/>
    <w:rPr>
      <w:vertAlign w:val="superscript"/>
    </w:rPr>
  </w:style>
  <w:style w:type="character" w:styleId="68">
    <w:name w:val="HTML Keyboard"/>
    <w:basedOn w:val="54"/>
    <w:semiHidden/>
    <w:unhideWhenUsed/>
    <w:qFormat/>
    <w:uiPriority w:val="99"/>
    <w:rPr>
      <w:rFonts w:ascii="monospace" w:hAnsi="monospace" w:eastAsia="monospace" w:cs="monospace"/>
      <w:sz w:val="20"/>
    </w:rPr>
  </w:style>
  <w:style w:type="character" w:styleId="69">
    <w:name w:val="HTML Sample"/>
    <w:basedOn w:val="54"/>
    <w:semiHidden/>
    <w:unhideWhenUsed/>
    <w:qFormat/>
    <w:uiPriority w:val="99"/>
    <w:rPr>
      <w:rFonts w:hint="default" w:ascii="monospace" w:hAnsi="monospace" w:eastAsia="monospace" w:cs="monospace"/>
    </w:rPr>
  </w:style>
  <w:style w:type="paragraph" w:customStyle="1" w:styleId="70">
    <w:name w:val="Default"/>
    <w:next w:val="39"/>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character" w:customStyle="1" w:styleId="71">
    <w:name w:val="标题 2 字符"/>
    <w:link w:val="3"/>
    <w:qFormat/>
    <w:uiPriority w:val="0"/>
    <w:rPr>
      <w:rFonts w:ascii="Cambria" w:hAnsi="Cambria" w:eastAsia="宋体" w:cs="Times New Roman"/>
      <w:b/>
      <w:bCs/>
      <w:color w:val="000000"/>
      <w:sz w:val="32"/>
      <w:szCs w:val="32"/>
      <w:lang w:val="zh-TW" w:eastAsia="zh-TW"/>
    </w:rPr>
  </w:style>
  <w:style w:type="paragraph" w:customStyle="1" w:styleId="72">
    <w:name w:val="首行缩进"/>
    <w:basedOn w:val="1"/>
    <w:qFormat/>
    <w:uiPriority w:val="0"/>
    <w:pPr>
      <w:spacing w:line="360" w:lineRule="auto"/>
      <w:ind w:firstLine="480" w:firstLineChars="200"/>
    </w:pPr>
    <w:rPr>
      <w:rFonts w:ascii="宋体" w:hAnsi="宋体" w:cs="宋体"/>
      <w:kern w:val="0"/>
      <w:sz w:val="24"/>
    </w:rPr>
  </w:style>
  <w:style w:type="paragraph" w:customStyle="1" w:styleId="73">
    <w:name w:val="表格文字"/>
    <w:basedOn w:val="1"/>
    <w:next w:val="16"/>
    <w:qFormat/>
    <w:uiPriority w:val="0"/>
    <w:pPr>
      <w:adjustRightInd w:val="0"/>
      <w:spacing w:line="420" w:lineRule="atLeast"/>
      <w:jc w:val="left"/>
      <w:textAlignment w:val="baseline"/>
    </w:pPr>
    <w:rPr>
      <w:rFonts w:ascii="Calibri" w:hAnsi="Calibri"/>
      <w:kern w:val="0"/>
      <w:szCs w:val="20"/>
    </w:rPr>
  </w:style>
  <w:style w:type="paragraph" w:customStyle="1" w:styleId="74">
    <w:name w:val="样式 正文首行缩进 2 + Arial"/>
    <w:basedOn w:val="1"/>
    <w:next w:val="1"/>
    <w:qFormat/>
    <w:uiPriority w:val="0"/>
    <w:pPr>
      <w:spacing w:after="120" w:line="320" w:lineRule="atLeast"/>
      <w:ind w:firstLine="200" w:firstLineChars="200"/>
    </w:pPr>
    <w:rPr>
      <w:rFonts w:ascii="Arial" w:hAnsi="Arial" w:eastAsia="宋体" w:cs="Times New Roman"/>
      <w:kern w:val="0"/>
    </w:rPr>
  </w:style>
  <w:style w:type="character" w:customStyle="1" w:styleId="75">
    <w:name w:val="标题 1 字符"/>
    <w:link w:val="2"/>
    <w:qFormat/>
    <w:uiPriority w:val="0"/>
    <w:rPr>
      <w:rFonts w:ascii="Arial Unicode MS" w:hAnsi="Arial Unicode MS" w:eastAsia="Arial Unicode MS" w:cs="Arial Unicode MS"/>
      <w:b/>
      <w:bCs/>
      <w:color w:val="000000"/>
      <w:kern w:val="44"/>
      <w:sz w:val="44"/>
      <w:szCs w:val="44"/>
      <w:lang w:val="zh-TW" w:eastAsia="zh-TW"/>
    </w:rPr>
  </w:style>
  <w:style w:type="character" w:customStyle="1" w:styleId="76">
    <w:name w:val="标题 3 字符"/>
    <w:link w:val="4"/>
    <w:qFormat/>
    <w:uiPriority w:val="0"/>
    <w:rPr>
      <w:rFonts w:ascii="Arial Unicode MS" w:hAnsi="Arial Unicode MS" w:eastAsia="Arial Unicode MS" w:cs="Arial Unicode MS"/>
      <w:b/>
      <w:bCs/>
      <w:color w:val="000000"/>
      <w:sz w:val="32"/>
      <w:szCs w:val="32"/>
      <w:lang w:val="zh-TW" w:eastAsia="zh-TW"/>
    </w:rPr>
  </w:style>
  <w:style w:type="character" w:customStyle="1" w:styleId="77">
    <w:name w:val="标题 4 字符"/>
    <w:link w:val="5"/>
    <w:qFormat/>
    <w:uiPriority w:val="0"/>
    <w:rPr>
      <w:rFonts w:ascii="Arial" w:hAnsi="Arial" w:eastAsia="黑体"/>
      <w:b/>
      <w:kern w:val="2"/>
      <w:sz w:val="28"/>
      <w:szCs w:val="24"/>
    </w:rPr>
  </w:style>
  <w:style w:type="character" w:customStyle="1" w:styleId="78">
    <w:name w:val="标题 5 字符"/>
    <w:link w:val="6"/>
    <w:qFormat/>
    <w:uiPriority w:val="0"/>
    <w:rPr>
      <w:rFonts w:ascii="仿宋_GB2312" w:hAnsi="Times New Roman" w:eastAsia="仿宋_GB2312"/>
      <w:b/>
      <w:kern w:val="2"/>
      <w:sz w:val="28"/>
      <w:szCs w:val="32"/>
    </w:rPr>
  </w:style>
  <w:style w:type="character" w:customStyle="1" w:styleId="79">
    <w:name w:val="标题 6 字符"/>
    <w:link w:val="7"/>
    <w:qFormat/>
    <w:uiPriority w:val="0"/>
    <w:rPr>
      <w:rFonts w:ascii="Arial" w:hAnsi="Arial" w:eastAsia="黑体"/>
      <w:b/>
      <w:kern w:val="2"/>
      <w:sz w:val="24"/>
      <w:szCs w:val="32"/>
    </w:rPr>
  </w:style>
  <w:style w:type="character" w:customStyle="1" w:styleId="80">
    <w:name w:val="标题 7 字符"/>
    <w:link w:val="8"/>
    <w:qFormat/>
    <w:uiPriority w:val="0"/>
    <w:rPr>
      <w:rFonts w:ascii="仿宋_GB2312" w:hAnsi="Times New Roman" w:eastAsia="仿宋_GB2312"/>
      <w:b/>
      <w:kern w:val="2"/>
      <w:sz w:val="24"/>
      <w:szCs w:val="32"/>
    </w:rPr>
  </w:style>
  <w:style w:type="character" w:customStyle="1" w:styleId="81">
    <w:name w:val="标题 8 字符"/>
    <w:link w:val="9"/>
    <w:qFormat/>
    <w:uiPriority w:val="0"/>
    <w:rPr>
      <w:rFonts w:ascii="Arial" w:hAnsi="Arial" w:eastAsia="黑体"/>
      <w:kern w:val="2"/>
      <w:sz w:val="24"/>
      <w:szCs w:val="32"/>
    </w:rPr>
  </w:style>
  <w:style w:type="character" w:customStyle="1" w:styleId="82">
    <w:name w:val="标题 9 字符"/>
    <w:link w:val="10"/>
    <w:qFormat/>
    <w:uiPriority w:val="0"/>
    <w:rPr>
      <w:rFonts w:ascii="Arial" w:hAnsi="Arial" w:eastAsia="黑体"/>
      <w:kern w:val="2"/>
      <w:sz w:val="21"/>
      <w:szCs w:val="32"/>
    </w:rPr>
  </w:style>
  <w:style w:type="character" w:customStyle="1" w:styleId="83">
    <w:name w:val="正文缩进 字符"/>
    <w:link w:val="13"/>
    <w:qFormat/>
    <w:uiPriority w:val="0"/>
    <w:rPr>
      <w:rFonts w:ascii="宋体"/>
      <w:sz w:val="24"/>
    </w:rPr>
  </w:style>
  <w:style w:type="character" w:customStyle="1" w:styleId="84">
    <w:name w:val="批注文字 字符"/>
    <w:link w:val="14"/>
    <w:qFormat/>
    <w:uiPriority w:val="99"/>
    <w:rPr>
      <w:rFonts w:ascii="Arial Unicode MS" w:hAnsi="Arial Unicode MS" w:eastAsia="Arial Unicode MS" w:cs="Arial Unicode MS"/>
      <w:color w:val="000000"/>
      <w:szCs w:val="21"/>
      <w:lang w:val="zh-TW" w:eastAsia="zh-TW"/>
    </w:rPr>
  </w:style>
  <w:style w:type="character" w:customStyle="1" w:styleId="85">
    <w:name w:val="正文文本 3 字符"/>
    <w:link w:val="15"/>
    <w:qFormat/>
    <w:uiPriority w:val="0"/>
    <w:rPr>
      <w:kern w:val="2"/>
      <w:sz w:val="16"/>
      <w:szCs w:val="16"/>
    </w:rPr>
  </w:style>
  <w:style w:type="character" w:customStyle="1" w:styleId="86">
    <w:name w:val="正文文本 字符1"/>
    <w:link w:val="16"/>
    <w:qFormat/>
    <w:uiPriority w:val="0"/>
    <w:rPr>
      <w:rFonts w:ascii="宋体" w:hAnsi="宋体"/>
      <w:kern w:val="2"/>
      <w:sz w:val="24"/>
      <w:szCs w:val="24"/>
    </w:rPr>
  </w:style>
  <w:style w:type="character" w:customStyle="1" w:styleId="87">
    <w:name w:val="正文文本缩进 字符"/>
    <w:link w:val="17"/>
    <w:qFormat/>
    <w:uiPriority w:val="0"/>
    <w:rPr>
      <w:kern w:val="2"/>
      <w:sz w:val="24"/>
      <w:szCs w:val="24"/>
    </w:rPr>
  </w:style>
  <w:style w:type="character" w:customStyle="1" w:styleId="88">
    <w:name w:val="纯文本 字符"/>
    <w:link w:val="24"/>
    <w:qFormat/>
    <w:uiPriority w:val="0"/>
    <w:rPr>
      <w:rFonts w:ascii="宋体" w:hAnsi="Courier New"/>
    </w:rPr>
  </w:style>
  <w:style w:type="character" w:customStyle="1" w:styleId="89">
    <w:name w:val="日期 字符"/>
    <w:link w:val="26"/>
    <w:qFormat/>
    <w:uiPriority w:val="99"/>
    <w:rPr>
      <w:rFonts w:ascii="仿宋_GB2312" w:hAnsi="宋体" w:eastAsia="仿宋_GB2312"/>
      <w:color w:val="000000"/>
      <w:kern w:val="2"/>
      <w:sz w:val="24"/>
      <w:szCs w:val="24"/>
    </w:rPr>
  </w:style>
  <w:style w:type="character" w:customStyle="1" w:styleId="90">
    <w:name w:val="正文文本缩进 2 字符"/>
    <w:link w:val="27"/>
    <w:qFormat/>
    <w:uiPriority w:val="0"/>
    <w:rPr>
      <w:rFonts w:ascii="仿宋_GB2312" w:eastAsia="仿宋_GB2312"/>
      <w:kern w:val="2"/>
      <w:sz w:val="24"/>
      <w:szCs w:val="24"/>
    </w:rPr>
  </w:style>
  <w:style w:type="character" w:customStyle="1" w:styleId="91">
    <w:name w:val="批注框文本 字符"/>
    <w:link w:val="28"/>
    <w:qFormat/>
    <w:uiPriority w:val="0"/>
    <w:rPr>
      <w:rFonts w:ascii="Arial Unicode MS" w:hAnsi="Arial Unicode MS" w:eastAsia="Arial Unicode MS" w:cs="Arial Unicode MS"/>
      <w:color w:val="000000"/>
      <w:sz w:val="18"/>
      <w:szCs w:val="18"/>
      <w:lang w:val="zh-TW" w:eastAsia="zh-TW"/>
    </w:rPr>
  </w:style>
  <w:style w:type="character" w:customStyle="1" w:styleId="92">
    <w:name w:val="页脚 字符"/>
    <w:link w:val="29"/>
    <w:qFormat/>
    <w:uiPriority w:val="0"/>
    <w:rPr>
      <w:rFonts w:ascii="宋体" w:hAnsi="宋体" w:eastAsia="宋体" w:cs="宋体"/>
      <w:color w:val="000000"/>
      <w:kern w:val="0"/>
      <w:sz w:val="18"/>
      <w:szCs w:val="18"/>
    </w:rPr>
  </w:style>
  <w:style w:type="character" w:customStyle="1" w:styleId="93">
    <w:name w:val="页眉 字符"/>
    <w:link w:val="30"/>
    <w:qFormat/>
    <w:uiPriority w:val="0"/>
    <w:rPr>
      <w:rFonts w:ascii="Arial Unicode MS" w:hAnsi="Arial Unicode MS" w:eastAsia="Arial Unicode MS" w:cs="Arial Unicode MS"/>
      <w:color w:val="000000"/>
      <w:sz w:val="18"/>
      <w:szCs w:val="18"/>
      <w:lang w:val="zh-TW" w:eastAsia="zh-TW"/>
    </w:rPr>
  </w:style>
  <w:style w:type="character" w:customStyle="1" w:styleId="94">
    <w:name w:val="脚注文本 字符"/>
    <w:link w:val="34"/>
    <w:qFormat/>
    <w:uiPriority w:val="0"/>
    <w:rPr>
      <w:kern w:val="2"/>
      <w:sz w:val="18"/>
      <w:szCs w:val="22"/>
    </w:rPr>
  </w:style>
  <w:style w:type="character" w:customStyle="1" w:styleId="95">
    <w:name w:val="正文文本缩进 3 字符"/>
    <w:link w:val="37"/>
    <w:qFormat/>
    <w:uiPriority w:val="0"/>
    <w:rPr>
      <w:rFonts w:ascii="宋体"/>
      <w:sz w:val="24"/>
    </w:rPr>
  </w:style>
  <w:style w:type="character" w:customStyle="1" w:styleId="96">
    <w:name w:val="正文文本 2 字符"/>
    <w:link w:val="42"/>
    <w:qFormat/>
    <w:uiPriority w:val="0"/>
    <w:rPr>
      <w:kern w:val="2"/>
      <w:sz w:val="21"/>
      <w:szCs w:val="24"/>
    </w:rPr>
  </w:style>
  <w:style w:type="character" w:customStyle="1" w:styleId="97">
    <w:name w:val="标题 字符"/>
    <w:link w:val="48"/>
    <w:qFormat/>
    <w:uiPriority w:val="0"/>
    <w:rPr>
      <w:rFonts w:ascii="Arial" w:hAnsi="Arial" w:eastAsia="Arial" w:cs="Arial"/>
      <w:b/>
      <w:bCs/>
      <w:color w:val="000000"/>
      <w:sz w:val="32"/>
      <w:szCs w:val="32"/>
    </w:rPr>
  </w:style>
  <w:style w:type="character" w:customStyle="1" w:styleId="98">
    <w:name w:val="批注主题 字符"/>
    <w:link w:val="49"/>
    <w:qFormat/>
    <w:uiPriority w:val="0"/>
    <w:rPr>
      <w:b/>
      <w:bCs/>
      <w:kern w:val="2"/>
      <w:sz w:val="21"/>
      <w:szCs w:val="24"/>
    </w:rPr>
  </w:style>
  <w:style w:type="character" w:customStyle="1" w:styleId="99">
    <w:name w:val="正文文本首行缩进 字符"/>
    <w:link w:val="50"/>
    <w:qFormat/>
    <w:uiPriority w:val="0"/>
    <w:rPr>
      <w:rFonts w:eastAsia="楷体_GB2312"/>
      <w:kern w:val="2"/>
      <w:sz w:val="32"/>
      <w:szCs w:val="24"/>
    </w:rPr>
  </w:style>
  <w:style w:type="character" w:customStyle="1" w:styleId="100">
    <w:name w:val="正文文本首行缩进 2 字符"/>
    <w:link w:val="51"/>
    <w:qFormat/>
    <w:uiPriority w:val="99"/>
    <w:rPr>
      <w:rFonts w:ascii="Cambria" w:hAnsi="Cambria"/>
      <w:kern w:val="2"/>
      <w:sz w:val="21"/>
      <w:szCs w:val="24"/>
    </w:rPr>
  </w:style>
  <w:style w:type="paragraph" w:customStyle="1" w:styleId="101">
    <w:name w:val="明显引用1"/>
    <w:basedOn w:val="1"/>
    <w:next w:val="1"/>
    <w:qFormat/>
    <w:uiPriority w:val="30"/>
    <w:pPr>
      <w:framePr w:wrap="around" w:vAnchor="margin" w:hAnchor="text" w:y="1"/>
      <w:pBdr>
        <w:top w:val="single" w:color="4F81BD" w:sz="4" w:space="10"/>
        <w:bottom w:val="single" w:color="4F81BD" w:sz="4" w:space="10"/>
      </w:pBdr>
      <w:spacing w:before="360" w:after="360"/>
      <w:ind w:left="864" w:right="864"/>
      <w:jc w:val="center"/>
    </w:pPr>
    <w:rPr>
      <w:i/>
      <w:iCs/>
      <w:color w:val="4F81BD"/>
    </w:rPr>
  </w:style>
  <w:style w:type="paragraph" w:customStyle="1" w:styleId="102">
    <w:name w:val="Char Char10 Char Char Char Char"/>
    <w:basedOn w:val="1"/>
    <w:next w:val="103"/>
    <w:qFormat/>
    <w:uiPriority w:val="0"/>
    <w:rPr>
      <w:rFonts w:ascii="Calibri" w:hAnsi="Calibri"/>
      <w:kern w:val="0"/>
    </w:rPr>
  </w:style>
  <w:style w:type="paragraph" w:customStyle="1" w:styleId="103">
    <w:name w:val="xl87"/>
    <w:basedOn w:val="1"/>
    <w:next w:val="104"/>
    <w:qFormat/>
    <w:uiPriority w:val="0"/>
    <w:pPr>
      <w:shd w:val="clear" w:color="FFFFFF" w:fill="FFFFFF"/>
      <w:spacing w:before="280" w:after="280"/>
      <w:jc w:val="right"/>
    </w:pPr>
    <w:rPr>
      <w:rFonts w:ascii="宋体" w:hAnsi="Calibri"/>
      <w:kern w:val="0"/>
      <w:sz w:val="24"/>
    </w:rPr>
  </w:style>
  <w:style w:type="paragraph" w:customStyle="1" w:styleId="104">
    <w:name w:val="xl72"/>
    <w:basedOn w:val="1"/>
    <w:next w:val="26"/>
    <w:qFormat/>
    <w:uiPriority w:val="0"/>
    <w:pPr>
      <w:shd w:val="clear" w:color="FFFFFF" w:fill="FFFFFF"/>
      <w:spacing w:before="280" w:after="280"/>
      <w:jc w:val="right"/>
    </w:pPr>
    <w:rPr>
      <w:rFonts w:ascii="宋体" w:hAnsi="Calibri"/>
      <w:kern w:val="0"/>
      <w:sz w:val="24"/>
    </w:rPr>
  </w:style>
  <w:style w:type="character" w:customStyle="1" w:styleId="105">
    <w:name w:val="批注框文本 Char2"/>
    <w:semiHidden/>
    <w:qFormat/>
    <w:uiPriority w:val="99"/>
    <w:rPr>
      <w:kern w:val="2"/>
      <w:sz w:val="18"/>
      <w:szCs w:val="18"/>
    </w:rPr>
  </w:style>
  <w:style w:type="character" w:customStyle="1" w:styleId="106">
    <w:name w:val="批注框文本 Char1"/>
    <w:semiHidden/>
    <w:qFormat/>
    <w:uiPriority w:val="99"/>
    <w:rPr>
      <w:kern w:val="2"/>
      <w:sz w:val="18"/>
      <w:szCs w:val="18"/>
    </w:rPr>
  </w:style>
  <w:style w:type="character" w:customStyle="1" w:styleId="107">
    <w:name w:val="正文文本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08">
    <w:name w:val="dash6b63_6587__char1"/>
    <w:qFormat/>
    <w:uiPriority w:val="0"/>
    <w:rPr>
      <w:rFonts w:hint="default" w:ascii="Calibri" w:hAnsi="Calibri" w:cs="Calibri"/>
      <w:sz w:val="20"/>
      <w:szCs w:val="20"/>
    </w:rPr>
  </w:style>
  <w:style w:type="character" w:customStyle="1" w:styleId="109">
    <w:name w:val="脚注文本 Char1"/>
    <w:semiHidden/>
    <w:qFormat/>
    <w:uiPriority w:val="99"/>
    <w:rPr>
      <w:rFonts w:ascii="Times New Roman" w:hAnsi="Times New Roman" w:eastAsia="宋体" w:cs="Times New Roman"/>
      <w:sz w:val="18"/>
      <w:szCs w:val="18"/>
    </w:rPr>
  </w:style>
  <w:style w:type="character" w:customStyle="1" w:styleId="110">
    <w:name w:val="_Style 93"/>
    <w:unhideWhenUsed/>
    <w:qFormat/>
    <w:uiPriority w:val="99"/>
    <w:rPr>
      <w:color w:val="605E5C"/>
      <w:shd w:val="clear" w:color="auto" w:fill="E1DFDD"/>
    </w:rPr>
  </w:style>
  <w:style w:type="character" w:customStyle="1" w:styleId="111">
    <w:name w:val="正文文本 3 Char1"/>
    <w:semiHidden/>
    <w:qFormat/>
    <w:uiPriority w:val="99"/>
    <w:rPr>
      <w:rFonts w:ascii="Arial Unicode MS" w:hAnsi="Arial Unicode MS" w:eastAsia="Arial Unicode MS" w:cs="Arial Unicode MS"/>
      <w:color w:val="000000"/>
      <w:kern w:val="2"/>
      <w:sz w:val="16"/>
      <w:szCs w:val="16"/>
      <w:lang w:val="zh-TW" w:eastAsia="zh-TW"/>
    </w:rPr>
  </w:style>
  <w:style w:type="character" w:customStyle="1" w:styleId="112">
    <w:name w:val="正文文本缩进 3 Char2"/>
    <w:semiHidden/>
    <w:qFormat/>
    <w:uiPriority w:val="99"/>
    <w:rPr>
      <w:rFonts w:ascii="Arial Unicode MS" w:hAnsi="Arial Unicode MS" w:eastAsia="Arial Unicode MS" w:cs="Arial Unicode MS"/>
      <w:color w:val="000000"/>
      <w:kern w:val="2"/>
      <w:sz w:val="16"/>
      <w:szCs w:val="16"/>
      <w:lang w:val="zh-TW" w:eastAsia="zh-TW"/>
    </w:rPr>
  </w:style>
  <w:style w:type="character" w:customStyle="1" w:styleId="113">
    <w:name w:val="批注文字 Char1"/>
    <w:semiHidden/>
    <w:qFormat/>
    <w:uiPriority w:val="99"/>
    <w:rPr>
      <w:kern w:val="2"/>
      <w:sz w:val="21"/>
      <w:szCs w:val="24"/>
    </w:rPr>
  </w:style>
  <w:style w:type="character" w:customStyle="1" w:styleId="114">
    <w:name w:val="wen11"/>
    <w:qFormat/>
    <w:uiPriority w:val="0"/>
    <w:rPr>
      <w:color w:val="000000"/>
      <w:sz w:val="21"/>
      <w:szCs w:val="21"/>
    </w:rPr>
  </w:style>
  <w:style w:type="character" w:customStyle="1" w:styleId="115">
    <w:name w:val="批注主题 Char2"/>
    <w:semiHidden/>
    <w:qFormat/>
    <w:uiPriority w:val="99"/>
    <w:rPr>
      <w:rFonts w:ascii="Arial Unicode MS" w:hAnsi="Arial Unicode MS" w:eastAsia="Arial Unicode MS" w:cs="Arial Unicode MS"/>
      <w:b/>
      <w:bCs/>
      <w:color w:val="000000"/>
      <w:kern w:val="2"/>
      <w:sz w:val="21"/>
      <w:szCs w:val="21"/>
      <w:lang w:val="zh-TW" w:eastAsia="zh-TW"/>
    </w:rPr>
  </w:style>
  <w:style w:type="character" w:customStyle="1" w:styleId="116">
    <w:name w:val="正文文本缩进 2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17">
    <w:name w:val="页脚 Char1"/>
    <w:semiHidden/>
    <w:qFormat/>
    <w:uiPriority w:val="99"/>
    <w:rPr>
      <w:kern w:val="2"/>
      <w:sz w:val="18"/>
      <w:szCs w:val="18"/>
    </w:rPr>
  </w:style>
  <w:style w:type="character" w:customStyle="1" w:styleId="118">
    <w:name w:val="font61"/>
    <w:qFormat/>
    <w:uiPriority w:val="0"/>
    <w:rPr>
      <w:rFonts w:hint="eastAsia" w:ascii="宋体" w:hAnsi="宋体" w:eastAsia="宋体" w:cs="宋体"/>
      <w:color w:val="auto"/>
      <w:sz w:val="20"/>
      <w:szCs w:val="20"/>
      <w:u w:val="none"/>
    </w:rPr>
  </w:style>
  <w:style w:type="character" w:customStyle="1" w:styleId="119">
    <w:name w:val="日期 Char1"/>
    <w:semiHidden/>
    <w:qFormat/>
    <w:uiPriority w:val="99"/>
    <w:rPr>
      <w:rFonts w:ascii="Times New Roman" w:hAnsi="Times New Roman" w:eastAsia="宋体" w:cs="Times New Roman"/>
      <w:szCs w:val="24"/>
    </w:rPr>
  </w:style>
  <w:style w:type="character" w:customStyle="1" w:styleId="120">
    <w:name w:val="正文文本缩进 3 Char1"/>
    <w:semiHidden/>
    <w:qFormat/>
    <w:uiPriority w:val="99"/>
    <w:rPr>
      <w:rFonts w:ascii="Times New Roman" w:hAnsi="Times New Roman" w:eastAsia="宋体" w:cs="Times New Roman"/>
      <w:sz w:val="16"/>
      <w:szCs w:val="16"/>
    </w:rPr>
  </w:style>
  <w:style w:type="character" w:customStyle="1" w:styleId="121">
    <w:name w:val="正文首行缩进 Char1"/>
    <w:semiHidden/>
    <w:qFormat/>
    <w:uiPriority w:val="99"/>
    <w:rPr>
      <w:lang w:val="zh-TW" w:eastAsia="zh-TW"/>
    </w:rPr>
  </w:style>
  <w:style w:type="character" w:customStyle="1" w:styleId="122">
    <w:name w:val="纯文本 Char3"/>
    <w:semiHidden/>
    <w:qFormat/>
    <w:uiPriority w:val="99"/>
    <w:rPr>
      <w:rFonts w:ascii="宋体" w:hAnsi="Courier New" w:cs="Courier New"/>
      <w:kern w:val="2"/>
      <w:sz w:val="21"/>
      <w:szCs w:val="21"/>
    </w:rPr>
  </w:style>
  <w:style w:type="character" w:customStyle="1" w:styleId="123">
    <w:name w:val="NormalCharacter"/>
    <w:qFormat/>
    <w:uiPriority w:val="0"/>
    <w:rPr>
      <w:kern w:val="2"/>
      <w:sz w:val="21"/>
      <w:szCs w:val="24"/>
      <w:lang w:val="en-US" w:eastAsia="zh-CN" w:bidi="ar-SA"/>
    </w:rPr>
  </w:style>
  <w:style w:type="character" w:customStyle="1" w:styleId="124">
    <w:name w:val="日期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25">
    <w:name w:val="纯文本 Char"/>
    <w:qFormat/>
    <w:uiPriority w:val="0"/>
    <w:rPr>
      <w:rFonts w:ascii="宋体" w:hAnsi="Courier New" w:cs="Courier New"/>
      <w:color w:val="000000"/>
      <w:kern w:val="2"/>
      <w:sz w:val="21"/>
      <w:szCs w:val="21"/>
      <w:lang w:val="zh-TW" w:eastAsia="zh-TW"/>
    </w:rPr>
  </w:style>
  <w:style w:type="character" w:customStyle="1" w:styleId="126">
    <w:name w:val="批注主题 Char1"/>
    <w:semiHidden/>
    <w:qFormat/>
    <w:uiPriority w:val="99"/>
    <w:rPr>
      <w:b/>
      <w:bCs/>
      <w:kern w:val="2"/>
      <w:sz w:val="21"/>
      <w:szCs w:val="24"/>
    </w:rPr>
  </w:style>
  <w:style w:type="character" w:customStyle="1" w:styleId="127">
    <w:name w:val="正文文本 2 Char1"/>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28">
    <w:name w:val="Char Char2"/>
    <w:qFormat/>
    <w:uiPriority w:val="0"/>
    <w:rPr>
      <w:rFonts w:ascii="宋体" w:hAnsi="Courier New" w:eastAsia="宋体" w:cs="Courier New"/>
      <w:kern w:val="2"/>
      <w:sz w:val="21"/>
      <w:szCs w:val="21"/>
      <w:lang w:val="en-US" w:eastAsia="zh-CN" w:bidi="ar-SA"/>
    </w:rPr>
  </w:style>
  <w:style w:type="character" w:customStyle="1" w:styleId="129">
    <w:name w:val="p141"/>
    <w:qFormat/>
    <w:uiPriority w:val="99"/>
    <w:rPr>
      <w:sz w:val="21"/>
      <w:szCs w:val="21"/>
    </w:rPr>
  </w:style>
  <w:style w:type="character" w:customStyle="1" w:styleId="130">
    <w:name w:val="p12h15"/>
    <w:qFormat/>
    <w:uiPriority w:val="0"/>
  </w:style>
  <w:style w:type="character" w:customStyle="1" w:styleId="131">
    <w:name w:val="脚注文本 Char2"/>
    <w:semiHidden/>
    <w:qFormat/>
    <w:uiPriority w:val="99"/>
    <w:rPr>
      <w:rFonts w:ascii="Arial Unicode MS" w:hAnsi="Arial Unicode MS" w:eastAsia="Arial Unicode MS" w:cs="Arial Unicode MS"/>
      <w:color w:val="000000"/>
      <w:kern w:val="2"/>
      <w:sz w:val="18"/>
      <w:szCs w:val="18"/>
      <w:lang w:val="zh-TW" w:eastAsia="zh-TW"/>
    </w:rPr>
  </w:style>
  <w:style w:type="character" w:customStyle="1" w:styleId="132">
    <w:name w:val="fontstyle21"/>
    <w:qFormat/>
    <w:uiPriority w:val="0"/>
    <w:rPr>
      <w:rFonts w:hint="eastAsia" w:ascii="宋体" w:hAnsi="宋体" w:eastAsia="宋体"/>
      <w:color w:val="000000"/>
      <w:sz w:val="24"/>
      <w:szCs w:val="24"/>
    </w:rPr>
  </w:style>
  <w:style w:type="character" w:customStyle="1" w:styleId="133">
    <w:name w:val="标题 Char2"/>
    <w:qFormat/>
    <w:uiPriority w:val="10"/>
    <w:rPr>
      <w:rFonts w:ascii="Cambria" w:hAnsi="Cambria" w:cs="Times New Roman"/>
      <w:b/>
      <w:bCs/>
      <w:kern w:val="2"/>
      <w:sz w:val="32"/>
      <w:szCs w:val="32"/>
    </w:rPr>
  </w:style>
  <w:style w:type="character" w:customStyle="1" w:styleId="134">
    <w:name w:val="apple-converted-space"/>
    <w:qFormat/>
    <w:uiPriority w:val="0"/>
  </w:style>
  <w:style w:type="character" w:customStyle="1" w:styleId="135">
    <w:name w:val="正文文本 字符"/>
    <w:qFormat/>
    <w:uiPriority w:val="0"/>
    <w:rPr>
      <w:rFonts w:ascii="宋体" w:hAnsi="宋体"/>
      <w:kern w:val="2"/>
      <w:sz w:val="24"/>
      <w:szCs w:val="24"/>
    </w:rPr>
  </w:style>
  <w:style w:type="character" w:customStyle="1" w:styleId="136">
    <w:name w:val="批注文字 Char2"/>
    <w:semiHidden/>
    <w:qFormat/>
    <w:uiPriority w:val="99"/>
    <w:rPr>
      <w:kern w:val="2"/>
      <w:sz w:val="21"/>
      <w:szCs w:val="24"/>
    </w:rPr>
  </w:style>
  <w:style w:type="character" w:customStyle="1" w:styleId="137">
    <w:name w:val="正文文本缩进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38">
    <w:name w:val="正文文本缩进 2 Char1"/>
    <w:semiHidden/>
    <w:qFormat/>
    <w:uiPriority w:val="99"/>
    <w:rPr>
      <w:rFonts w:ascii="Times New Roman" w:hAnsi="Times New Roman" w:eastAsia="宋体" w:cs="Times New Roman"/>
      <w:szCs w:val="24"/>
    </w:rPr>
  </w:style>
  <w:style w:type="character" w:customStyle="1" w:styleId="139">
    <w:name w:val="unnamed11"/>
    <w:qFormat/>
    <w:uiPriority w:val="0"/>
    <w:rPr>
      <w:rFonts w:hint="default" w:ascii="Arial" w:hAnsi="Arial" w:cs="Arial"/>
      <w:color w:val="000000"/>
      <w:sz w:val="18"/>
      <w:szCs w:val="18"/>
      <w:u w:val="none"/>
    </w:rPr>
  </w:style>
  <w:style w:type="character" w:customStyle="1" w:styleId="140">
    <w:name w:val="fontstyle11"/>
    <w:qFormat/>
    <w:uiPriority w:val="0"/>
    <w:rPr>
      <w:rFonts w:hint="default" w:ascii="Times New Roman" w:hAnsi="Times New Roman" w:cs="Times New Roman"/>
      <w:color w:val="000000"/>
      <w:sz w:val="18"/>
      <w:szCs w:val="18"/>
    </w:rPr>
  </w:style>
  <w:style w:type="character" w:customStyle="1" w:styleId="141">
    <w:name w:val="*正文 Char"/>
    <w:link w:val="142"/>
    <w:qFormat/>
    <w:uiPriority w:val="0"/>
    <w:rPr>
      <w:rFonts w:ascii="宋体" w:hAnsi="宋体"/>
      <w:sz w:val="22"/>
      <w:szCs w:val="24"/>
    </w:rPr>
  </w:style>
  <w:style w:type="paragraph" w:customStyle="1" w:styleId="142">
    <w:name w:val="*正文"/>
    <w:basedOn w:val="1"/>
    <w:link w:val="141"/>
    <w:qFormat/>
    <w:uiPriority w:val="0"/>
    <w:pPr>
      <w:widowControl w:val="0"/>
      <w:spacing w:line="360" w:lineRule="auto"/>
      <w:ind w:firstLine="200" w:firstLineChars="200"/>
    </w:pPr>
    <w:rPr>
      <w:rFonts w:hint="default" w:ascii="宋体" w:hAnsi="宋体" w:eastAsia="宋体" w:cs="Times New Roman"/>
      <w:color w:val="auto"/>
      <w:kern w:val="0"/>
      <w:sz w:val="22"/>
      <w:szCs w:val="24"/>
      <w:lang w:val="en-US" w:eastAsia="zh-CN"/>
    </w:rPr>
  </w:style>
  <w:style w:type="character" w:customStyle="1" w:styleId="143">
    <w:name w:val="fontstyle01"/>
    <w:qFormat/>
    <w:uiPriority w:val="0"/>
    <w:rPr>
      <w:rFonts w:hint="default" w:ascii="Times New Roman" w:hAnsi="Times New Roman" w:cs="Times New Roman"/>
      <w:color w:val="000000"/>
      <w:sz w:val="24"/>
      <w:szCs w:val="24"/>
    </w:rPr>
  </w:style>
  <w:style w:type="character" w:customStyle="1" w:styleId="144">
    <w:name w:val="纯文本 Char2"/>
    <w:semiHidden/>
    <w:qFormat/>
    <w:uiPriority w:val="99"/>
    <w:rPr>
      <w:rFonts w:ascii="宋体" w:hAnsi="Courier New" w:eastAsia="宋体" w:cs="Courier New"/>
      <w:szCs w:val="21"/>
    </w:rPr>
  </w:style>
  <w:style w:type="character" w:customStyle="1" w:styleId="145">
    <w:name w:val="正文文本 Char1"/>
    <w:semiHidden/>
    <w:qFormat/>
    <w:uiPriority w:val="99"/>
    <w:rPr>
      <w:rFonts w:ascii="Times New Roman" w:hAnsi="Times New Roman" w:eastAsia="宋体" w:cs="Times New Roman"/>
      <w:szCs w:val="24"/>
    </w:rPr>
  </w:style>
  <w:style w:type="character" w:customStyle="1" w:styleId="146">
    <w:name w:val="正文缩进 Char1"/>
    <w:link w:val="147"/>
    <w:qFormat/>
    <w:uiPriority w:val="0"/>
    <w:rPr>
      <w:rFonts w:ascii="宋体"/>
      <w:sz w:val="24"/>
    </w:rPr>
  </w:style>
  <w:style w:type="paragraph" w:customStyle="1" w:styleId="147">
    <w:name w:val="正文缩进1"/>
    <w:basedOn w:val="1"/>
    <w:link w:val="146"/>
    <w:qFormat/>
    <w:uiPriority w:val="0"/>
    <w:pPr>
      <w:widowControl w:val="0"/>
      <w:autoSpaceDE w:val="0"/>
      <w:autoSpaceDN w:val="0"/>
      <w:adjustRightInd w:val="0"/>
      <w:ind w:firstLine="420"/>
      <w:jc w:val="left"/>
    </w:pPr>
    <w:rPr>
      <w:rFonts w:hint="default" w:ascii="宋体" w:hAnsi="Calibri" w:eastAsia="宋体" w:cs="Times New Roman"/>
      <w:color w:val="auto"/>
      <w:kern w:val="0"/>
      <w:sz w:val="24"/>
      <w:szCs w:val="20"/>
      <w:lang w:val="en-US" w:eastAsia="zh-CN"/>
    </w:rPr>
  </w:style>
  <w:style w:type="character" w:customStyle="1" w:styleId="148">
    <w:name w:val="页眉 Char1"/>
    <w:semiHidden/>
    <w:qFormat/>
    <w:uiPriority w:val="99"/>
    <w:rPr>
      <w:kern w:val="2"/>
      <w:sz w:val="18"/>
      <w:szCs w:val="18"/>
    </w:rPr>
  </w:style>
  <w:style w:type="character" w:customStyle="1" w:styleId="149">
    <w:name w:val="pt91"/>
    <w:qFormat/>
    <w:uiPriority w:val="0"/>
    <w:rPr>
      <w:rFonts w:hint="default"/>
      <w:color w:val="333333"/>
      <w:sz w:val="18"/>
      <w:szCs w:val="18"/>
    </w:rPr>
  </w:style>
  <w:style w:type="character" w:customStyle="1" w:styleId="150">
    <w:name w:val="正文首行缩进 2 Char1"/>
    <w:semiHidden/>
    <w:qFormat/>
    <w:uiPriority w:val="99"/>
    <w:rPr>
      <w:lang w:val="zh-TW" w:eastAsia="zh-TW"/>
    </w:rPr>
  </w:style>
  <w:style w:type="character" w:customStyle="1" w:styleId="151">
    <w:name w:val="页眉 Char2"/>
    <w:semiHidden/>
    <w:qFormat/>
    <w:uiPriority w:val="99"/>
    <w:rPr>
      <w:kern w:val="2"/>
      <w:sz w:val="18"/>
      <w:szCs w:val="18"/>
    </w:rPr>
  </w:style>
  <w:style w:type="character" w:customStyle="1" w:styleId="152">
    <w:name w:val="标题 Char1"/>
    <w:qFormat/>
    <w:uiPriority w:val="10"/>
    <w:rPr>
      <w:rFonts w:ascii="Cambria" w:hAnsi="Cambria" w:eastAsia="宋体" w:cs="Times New Roman"/>
      <w:b/>
      <w:bCs/>
      <w:sz w:val="32"/>
      <w:szCs w:val="32"/>
    </w:rPr>
  </w:style>
  <w:style w:type="character" w:customStyle="1" w:styleId="153">
    <w:name w:val="正文文本缩进 Char1"/>
    <w:semiHidden/>
    <w:qFormat/>
    <w:uiPriority w:val="99"/>
    <w:rPr>
      <w:rFonts w:ascii="Times New Roman" w:hAnsi="Times New Roman" w:eastAsia="宋体" w:cs="Times New Roman"/>
      <w:szCs w:val="24"/>
    </w:rPr>
  </w:style>
  <w:style w:type="paragraph" w:customStyle="1" w:styleId="154">
    <w:name w:val="样式 宋体 五号 行距: 单倍行距"/>
    <w:basedOn w:val="1"/>
    <w:qFormat/>
    <w:uiPriority w:val="0"/>
    <w:pPr>
      <w:widowControl w:val="0"/>
    </w:pPr>
    <w:rPr>
      <w:rFonts w:hint="default" w:ascii="宋体" w:hAnsi="宋体" w:eastAsia="仿宋_GB2312" w:cs="Times New Roman"/>
      <w:color w:val="auto"/>
      <w:szCs w:val="32"/>
      <w:lang w:val="en-US" w:eastAsia="zh-CN"/>
    </w:rPr>
  </w:style>
  <w:style w:type="paragraph" w:customStyle="1" w:styleId="155">
    <w:name w:val="style4"/>
    <w:basedOn w:val="1"/>
    <w:next w:val="156"/>
    <w:qFormat/>
    <w:uiPriority w:val="0"/>
    <w:pPr>
      <w:spacing w:before="280" w:after="280"/>
    </w:pPr>
    <w:rPr>
      <w:rFonts w:ascii="宋体"/>
      <w:sz w:val="18"/>
    </w:rPr>
  </w:style>
  <w:style w:type="paragraph" w:customStyle="1" w:styleId="156">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157">
    <w:name w:val="font6"/>
    <w:basedOn w:val="1"/>
    <w:qFormat/>
    <w:uiPriority w:val="0"/>
    <w:pPr>
      <w:spacing w:before="100" w:beforeAutospacing="1" w:after="100" w:afterAutospacing="1"/>
      <w:jc w:val="left"/>
    </w:pPr>
    <w:rPr>
      <w:rFonts w:ascii="宋体" w:hAnsi="宋体" w:eastAsia="宋体" w:cs="Times New Roman"/>
      <w:color w:val="auto"/>
      <w:kern w:val="0"/>
      <w:sz w:val="20"/>
      <w:szCs w:val="20"/>
      <w:lang w:val="en-US" w:eastAsia="zh-CN"/>
    </w:rPr>
  </w:style>
  <w:style w:type="paragraph" w:customStyle="1" w:styleId="158">
    <w:name w:val="xl29"/>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59">
    <w:name w:val="纯文本1"/>
    <w:basedOn w:val="1"/>
    <w:qFormat/>
    <w:uiPriority w:val="0"/>
    <w:pPr>
      <w:widowControl w:val="0"/>
    </w:pPr>
    <w:rPr>
      <w:rFonts w:hint="default" w:ascii="宋体" w:hAnsi="Courier New" w:eastAsia="宋体" w:cs="Times New Roman"/>
      <w:color w:val="auto"/>
      <w:kern w:val="0"/>
      <w:sz w:val="20"/>
      <w:szCs w:val="20"/>
      <w:lang w:val="en-US" w:eastAsia="zh-CN"/>
    </w:rPr>
  </w:style>
  <w:style w:type="paragraph" w:customStyle="1" w:styleId="160">
    <w:name w:val="xl27"/>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61">
    <w:name w:val="Heading4"/>
    <w:next w:val="1"/>
    <w:qFormat/>
    <w:uiPriority w:val="0"/>
    <w:pPr>
      <w:keepNext/>
      <w:keepLines/>
      <w:spacing w:before="280" w:after="290" w:line="372" w:lineRule="auto"/>
      <w:jc w:val="both"/>
    </w:pPr>
    <w:rPr>
      <w:rFonts w:ascii="Arial" w:hAnsi="Arial" w:eastAsia="Arial Unicode MS" w:cs="Arial Unicode MS"/>
      <w:b/>
      <w:bCs/>
      <w:color w:val="000000"/>
      <w:kern w:val="2"/>
      <w:sz w:val="28"/>
      <w:szCs w:val="28"/>
      <w:lang w:val="en-US" w:eastAsia="zh-CN" w:bidi="ar-SA"/>
    </w:rPr>
  </w:style>
  <w:style w:type="paragraph" w:customStyle="1" w:styleId="162">
    <w:name w:val="Char Char Char Char"/>
    <w:basedOn w:val="1"/>
    <w:qFormat/>
    <w:uiPriority w:val="0"/>
    <w:pPr>
      <w:widowControl w:val="0"/>
    </w:pPr>
    <w:rPr>
      <w:rFonts w:hint="default" w:ascii="Times New Roman" w:hAnsi="Times New Roman" w:eastAsia="宋体" w:cs="Times New Roman"/>
      <w:color w:val="auto"/>
      <w:szCs w:val="24"/>
      <w:lang w:val="en-US" w:eastAsia="zh-CN"/>
    </w:rPr>
  </w:style>
  <w:style w:type="paragraph" w:customStyle="1" w:styleId="163">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4">
    <w:name w:val="xl43"/>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65">
    <w:name w:val="xl32"/>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66">
    <w:name w:val="Blockquote"/>
    <w:basedOn w:val="1"/>
    <w:qFormat/>
    <w:uiPriority w:val="0"/>
    <w:pPr>
      <w:widowControl w:val="0"/>
      <w:autoSpaceDE w:val="0"/>
      <w:autoSpaceDN w:val="0"/>
      <w:adjustRightInd w:val="0"/>
      <w:spacing w:before="100" w:after="100"/>
      <w:ind w:left="360" w:right="360"/>
      <w:jc w:val="left"/>
    </w:pPr>
    <w:rPr>
      <w:rFonts w:hint="default" w:ascii="Times New Roman" w:hAnsi="Times New Roman" w:eastAsia="宋体" w:cs="Times New Roman"/>
      <w:color w:val="auto"/>
      <w:kern w:val="0"/>
      <w:sz w:val="24"/>
      <w:szCs w:val="20"/>
      <w:lang w:val="en-US" w:eastAsia="zh-CN"/>
    </w:rPr>
  </w:style>
  <w:style w:type="paragraph" w:customStyle="1" w:styleId="167">
    <w:name w:val="_Style 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68">
    <w:name w:val="PlainText"/>
    <w:qFormat/>
    <w:uiPriority w:val="0"/>
    <w:pPr>
      <w:jc w:val="both"/>
    </w:pPr>
    <w:rPr>
      <w:rFonts w:ascii="宋体" w:hAnsi="宋体" w:eastAsia="宋体" w:cs="宋体"/>
      <w:color w:val="000000"/>
      <w:kern w:val="2"/>
      <w:sz w:val="21"/>
      <w:szCs w:val="21"/>
      <w:lang w:val="en-US" w:eastAsia="zh-CN" w:bidi="ar-SA"/>
    </w:rPr>
  </w:style>
  <w:style w:type="paragraph" w:customStyle="1" w:styleId="169">
    <w:name w:val="Char"/>
    <w:basedOn w:val="1"/>
    <w:qFormat/>
    <w:uiPriority w:val="0"/>
    <w:pPr>
      <w:widowControl w:val="0"/>
      <w:tabs>
        <w:tab w:val="left" w:pos="360"/>
      </w:tabs>
    </w:pPr>
    <w:rPr>
      <w:rFonts w:hint="default" w:ascii="Times New Roman" w:hAnsi="Times New Roman" w:eastAsia="宋体" w:cs="Times New Roman"/>
      <w:color w:val="auto"/>
      <w:sz w:val="24"/>
      <w:szCs w:val="24"/>
      <w:lang w:val="en-US" w:eastAsia="zh-CN"/>
    </w:rPr>
  </w:style>
  <w:style w:type="paragraph" w:customStyle="1" w:styleId="170">
    <w:name w:val="List Paragraph1"/>
    <w:basedOn w:val="1"/>
    <w:qFormat/>
    <w:uiPriority w:val="1"/>
    <w:pPr>
      <w:widowControl w:val="0"/>
      <w:ind w:firstLine="420" w:firstLineChars="200"/>
    </w:pPr>
    <w:rPr>
      <w:rFonts w:hint="default" w:ascii="Calibri" w:hAnsi="Calibri" w:eastAsia="宋体" w:cs="Times New Roman"/>
      <w:color w:val="auto"/>
      <w:lang w:val="en-US" w:eastAsia="zh-CN"/>
    </w:rPr>
  </w:style>
  <w:style w:type="paragraph" w:styleId="171">
    <w:name w:val="List Paragraph"/>
    <w:basedOn w:val="1"/>
    <w:qFormat/>
    <w:uiPriority w:val="34"/>
    <w:pPr>
      <w:ind w:firstLine="420" w:firstLineChars="200"/>
      <w:jc w:val="left"/>
    </w:pPr>
    <w:rPr>
      <w:rFonts w:hint="default" w:ascii="Times New Roman" w:hAnsi="Times New Roman" w:eastAsia="宋体" w:cs="Times New Roman"/>
      <w:color w:val="auto"/>
      <w:kern w:val="0"/>
      <w:sz w:val="24"/>
      <w:szCs w:val="24"/>
      <w:lang w:val="en-US" w:eastAsia="zh-CN"/>
    </w:rPr>
  </w:style>
  <w:style w:type="paragraph" w:customStyle="1" w:styleId="172">
    <w:name w:val="xl49"/>
    <w:basedOn w:val="1"/>
    <w:qFormat/>
    <w:uiPriority w:val="0"/>
    <w:pPr>
      <w:pBdr>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173">
    <w:name w:val="xl47"/>
    <w:basedOn w:val="1"/>
    <w:qFormat/>
    <w:uiPriority w:val="0"/>
    <w:pPr>
      <w:pBdr>
        <w:left w:val="single" w:color="auto" w:sz="4" w:space="0"/>
        <w:bottom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74">
    <w:name w:val="font7"/>
    <w:basedOn w:val="1"/>
    <w:qFormat/>
    <w:uiPriority w:val="0"/>
    <w:pPr>
      <w:spacing w:before="100" w:beforeAutospacing="1" w:after="100" w:afterAutospacing="1"/>
      <w:jc w:val="left"/>
    </w:pPr>
    <w:rPr>
      <w:rFonts w:ascii="宋体" w:hAnsi="宋体" w:eastAsia="宋体" w:cs="Times New Roman"/>
      <w:color w:val="auto"/>
      <w:kern w:val="0"/>
      <w:sz w:val="20"/>
      <w:szCs w:val="20"/>
      <w:lang w:val="en-US" w:eastAsia="zh-CN"/>
    </w:rPr>
  </w:style>
  <w:style w:type="paragraph" w:customStyle="1" w:styleId="175">
    <w:name w:val="WPSOffice手动目录 1"/>
    <w:qFormat/>
    <w:uiPriority w:val="0"/>
    <w:rPr>
      <w:rFonts w:ascii="Times New Roman" w:hAnsi="Times New Roman" w:eastAsia="宋体" w:cs="Times New Roman"/>
      <w:lang w:val="en-GB" w:eastAsia="zh-CN" w:bidi="ar-SA"/>
    </w:rPr>
  </w:style>
  <w:style w:type="paragraph" w:customStyle="1" w:styleId="176">
    <w:name w:val="xl26"/>
    <w:basedOn w:val="1"/>
    <w:qFormat/>
    <w:uiPriority w:val="0"/>
    <w:pPr>
      <w:spacing w:before="100" w:beforeAutospacing="1" w:after="100" w:afterAutospacing="1"/>
      <w:jc w:val="left"/>
    </w:pPr>
    <w:rPr>
      <w:rFonts w:ascii="仿宋_GB2312" w:hAnsi="宋体" w:eastAsia="仿宋_GB2312" w:cs="Times New Roman"/>
      <w:color w:val="auto"/>
      <w:kern w:val="0"/>
      <w:sz w:val="32"/>
      <w:szCs w:val="32"/>
      <w:lang w:val="en-US" w:eastAsia="zh-CN"/>
    </w:rPr>
  </w:style>
  <w:style w:type="paragraph" w:customStyle="1" w:styleId="177">
    <w:name w:val="Table Paragraph"/>
    <w:basedOn w:val="1"/>
    <w:qFormat/>
    <w:uiPriority w:val="1"/>
    <w:pPr>
      <w:widowControl w:val="0"/>
      <w:jc w:val="left"/>
    </w:pPr>
    <w:rPr>
      <w:rFonts w:hint="default" w:ascii="Calibri" w:hAnsi="Calibri" w:eastAsia="宋体" w:cs="Times New Roman"/>
      <w:color w:val="auto"/>
      <w:kern w:val="0"/>
      <w:sz w:val="22"/>
      <w:szCs w:val="22"/>
      <w:lang w:val="en-US" w:eastAsia="en-US"/>
    </w:rPr>
  </w:style>
  <w:style w:type="paragraph" w:customStyle="1" w:styleId="178">
    <w:name w:val="UserStyle_140"/>
    <w:qFormat/>
    <w:uiPriority w:val="0"/>
    <w:rPr>
      <w:rFonts w:hint="eastAsia" w:ascii="Arial Unicode MS" w:hAnsi="Arial Unicode MS" w:eastAsia="Arial Unicode MS" w:cs="Arial Unicode MS"/>
      <w:color w:val="000000"/>
      <w:sz w:val="22"/>
      <w:szCs w:val="22"/>
      <w:lang w:val="en-US" w:eastAsia="zh-CN" w:bidi="ar-SA"/>
    </w:rPr>
  </w:style>
  <w:style w:type="paragraph" w:customStyle="1" w:styleId="179">
    <w:name w:val="_Style 1"/>
    <w:basedOn w:val="1"/>
    <w:qFormat/>
    <w:uiPriority w:val="0"/>
    <w:pPr>
      <w:widowControl w:val="0"/>
      <w:ind w:firstLine="420" w:firstLineChars="200"/>
    </w:pPr>
    <w:rPr>
      <w:rFonts w:hint="default" w:ascii="Calibri" w:hAnsi="Calibri" w:eastAsia="宋体" w:cs="Times New Roman"/>
      <w:color w:val="auto"/>
      <w:szCs w:val="22"/>
      <w:lang w:val="en-US" w:eastAsia="zh-CN"/>
    </w:rPr>
  </w:style>
  <w:style w:type="paragraph" w:customStyle="1" w:styleId="180">
    <w:name w:val="TOC3"/>
    <w:next w:val="1"/>
    <w:qFormat/>
    <w:uiPriority w:val="0"/>
    <w:pPr>
      <w:tabs>
        <w:tab w:val="left" w:pos="1260"/>
        <w:tab w:val="right" w:leader="dot" w:pos="8630"/>
      </w:tabs>
      <w:ind w:left="840"/>
      <w:jc w:val="both"/>
    </w:pPr>
    <w:rPr>
      <w:rFonts w:ascii="Times New Roman" w:hAnsi="Times New Roman" w:eastAsia="Arial Unicode MS" w:cs="Arial Unicode MS"/>
      <w:color w:val="000000"/>
      <w:kern w:val="2"/>
      <w:sz w:val="21"/>
      <w:szCs w:val="21"/>
      <w:lang w:val="en-US" w:eastAsia="zh-CN" w:bidi="ar-SA"/>
    </w:rPr>
  </w:style>
  <w:style w:type="paragraph" w:customStyle="1" w:styleId="181">
    <w:name w:val="默认段落字体 Para Char Char Char Char"/>
    <w:basedOn w:val="1"/>
    <w:qFormat/>
    <w:uiPriority w:val="0"/>
    <w:pPr>
      <w:widowControl w:val="0"/>
    </w:pPr>
    <w:rPr>
      <w:rFonts w:hint="default" w:ascii="Times New Roman" w:hAnsi="Times New Roman" w:eastAsia="宋体" w:cs="Times New Roman"/>
      <w:color w:val="auto"/>
      <w:szCs w:val="24"/>
      <w:lang w:val="en-US" w:eastAsia="zh-CN"/>
    </w:rPr>
  </w:style>
  <w:style w:type="paragraph" w:customStyle="1" w:styleId="182">
    <w:name w:val="Preformatted"/>
    <w:basedOn w:val="1"/>
    <w:qFormat/>
    <w:uiPriority w:val="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hint="default" w:ascii="Courier New" w:hAnsi="Courier New" w:eastAsia="宋体" w:cs="Times New Roman"/>
      <w:color w:val="auto"/>
      <w:kern w:val="0"/>
      <w:sz w:val="20"/>
      <w:szCs w:val="20"/>
      <w:lang w:val="en-US" w:eastAsia="zh-CN"/>
    </w:rPr>
  </w:style>
  <w:style w:type="paragraph" w:customStyle="1" w:styleId="183">
    <w:name w:val="xl45"/>
    <w:basedOn w:val="1"/>
    <w:qFormat/>
    <w:uiPriority w:val="0"/>
    <w:pPr>
      <w:pBdr>
        <w:top w:val="single" w:color="auto" w:sz="4" w:space="0"/>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84">
    <w:name w:val="索引 11"/>
    <w:basedOn w:val="1"/>
    <w:next w:val="1"/>
    <w:qFormat/>
    <w:uiPriority w:val="0"/>
    <w:pPr>
      <w:widowControl w:val="0"/>
      <w:spacing w:line="360" w:lineRule="auto"/>
    </w:pPr>
    <w:rPr>
      <w:rFonts w:hint="default" w:ascii="仿宋_GB2312" w:hAnsi="Times New Roman" w:eastAsia="仿宋_GB2312" w:cs="Times New Roman"/>
      <w:color w:val="auto"/>
      <w:sz w:val="24"/>
      <w:szCs w:val="20"/>
      <w:lang w:val="en-US" w:eastAsia="zh-CN"/>
    </w:rPr>
  </w:style>
  <w:style w:type="paragraph" w:customStyle="1" w:styleId="185">
    <w:name w:val="列出段落2"/>
    <w:basedOn w:val="1"/>
    <w:qFormat/>
    <w:uiPriority w:val="0"/>
    <w:pPr>
      <w:ind w:firstLine="420" w:firstLineChars="200"/>
      <w:jc w:val="left"/>
    </w:pPr>
    <w:rPr>
      <w:rFonts w:hint="default" w:ascii="Times New Roman" w:hAnsi="Times New Roman" w:eastAsia="宋体" w:cs="Times New Roman"/>
      <w:color w:val="auto"/>
      <w:kern w:val="0"/>
      <w:sz w:val="24"/>
      <w:szCs w:val="24"/>
      <w:lang w:val="en-US" w:eastAsia="zh-CN"/>
    </w:rPr>
  </w:style>
  <w:style w:type="paragraph" w:customStyle="1" w:styleId="186">
    <w:name w:val="TOC1"/>
    <w:next w:val="1"/>
    <w:qFormat/>
    <w:uiPriority w:val="0"/>
    <w:pPr>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187">
    <w:name w:val="TOC2"/>
    <w:next w:val="1"/>
    <w:qFormat/>
    <w:uiPriority w:val="0"/>
    <w:pPr>
      <w:ind w:left="42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188">
    <w:name w:val="_Style 0"/>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89">
    <w:name w:val="UserStyle_112"/>
    <w:qFormat/>
    <w:uiPriority w:val="0"/>
    <w:pPr>
      <w:ind w:firstLine="42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190">
    <w:name w:val="BodyText"/>
    <w:qFormat/>
    <w:uiPriority w:val="0"/>
    <w:pPr>
      <w:tabs>
        <w:tab w:val="left" w:pos="567"/>
      </w:tabs>
      <w:spacing w:before="120" w:line="240" w:lineRule="atLeast"/>
      <w:jc w:val="both"/>
    </w:pPr>
    <w:rPr>
      <w:rFonts w:ascii="宋体" w:hAnsi="宋体" w:eastAsia="宋体" w:cs="宋体"/>
      <w:color w:val="000000"/>
      <w:kern w:val="2"/>
      <w:sz w:val="24"/>
      <w:szCs w:val="24"/>
      <w:lang w:val="en-US" w:eastAsia="zh-CN" w:bidi="ar-SA"/>
    </w:rPr>
  </w:style>
  <w:style w:type="paragraph" w:customStyle="1" w:styleId="191">
    <w:name w:val="正文_0"/>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192">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18"/>
      <w:szCs w:val="18"/>
      <w:lang w:val="en-US" w:eastAsia="zh-CN"/>
    </w:rPr>
  </w:style>
  <w:style w:type="paragraph" w:customStyle="1" w:styleId="193">
    <w:name w:val="列出段落1"/>
    <w:basedOn w:val="1"/>
    <w:qFormat/>
    <w:uiPriority w:val="34"/>
    <w:pPr>
      <w:widowControl w:val="0"/>
      <w:ind w:firstLine="420" w:firstLineChars="200"/>
    </w:pPr>
    <w:rPr>
      <w:rFonts w:hint="default" w:ascii="Calibri" w:hAnsi="Calibri" w:eastAsia="宋体" w:cs="Times New Roman"/>
      <w:color w:val="auto"/>
      <w:szCs w:val="22"/>
      <w:lang w:val="en-US" w:eastAsia="zh-CN"/>
    </w:rPr>
  </w:style>
  <w:style w:type="paragraph" w:customStyle="1" w:styleId="194">
    <w:name w:val="xl39"/>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195">
    <w:name w:val="xl36"/>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0"/>
      <w:szCs w:val="20"/>
      <w:lang w:val="en-US" w:eastAsia="zh-CN"/>
    </w:rPr>
  </w:style>
  <w:style w:type="paragraph" w:customStyle="1" w:styleId="196">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197">
    <w:name w:val="xl42"/>
    <w:basedOn w:val="1"/>
    <w:qFormat/>
    <w:uiPriority w:val="0"/>
    <w:pP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198">
    <w:name w:val="小标题 2"/>
    <w:next w:val="199"/>
    <w:qFormat/>
    <w:uiPriority w:val="0"/>
    <w:pPr>
      <w:keepNext/>
      <w:keepLines/>
      <w:spacing w:before="120" w:line="300" w:lineRule="auto"/>
      <w:jc w:val="center"/>
    </w:pPr>
    <w:rPr>
      <w:rFonts w:hint="eastAsia" w:ascii="Arial Unicode MS" w:hAnsi="Arial Unicode MS" w:eastAsia="Arial Unicode MS" w:cs="Arial Unicode MS"/>
      <w:b/>
      <w:bCs/>
      <w:color w:val="000000"/>
      <w:sz w:val="30"/>
      <w:szCs w:val="30"/>
      <w:lang w:val="zh-TW" w:eastAsia="zh-TW" w:bidi="ar-SA"/>
    </w:rPr>
  </w:style>
  <w:style w:type="paragraph" w:customStyle="1" w:styleId="199">
    <w:name w:val="NormalIndent"/>
    <w:qFormat/>
    <w:uiPriority w:val="0"/>
    <w:pPr>
      <w:spacing w:line="360" w:lineRule="auto"/>
      <w:ind w:firstLine="480"/>
    </w:pPr>
    <w:rPr>
      <w:rFonts w:hint="eastAsia" w:ascii="Arial Unicode MS" w:hAnsi="Arial Unicode MS" w:eastAsia="Arial Unicode MS" w:cs="Arial Unicode MS"/>
      <w:color w:val="000000"/>
      <w:kern w:val="2"/>
      <w:sz w:val="24"/>
      <w:szCs w:val="24"/>
      <w:shd w:val="clear" w:color="auto" w:fill="00FF00"/>
      <w:lang w:val="zh-TW" w:eastAsia="zh-TW" w:bidi="ar-SA"/>
    </w:rPr>
  </w:style>
  <w:style w:type="paragraph" w:customStyle="1" w:styleId="200">
    <w:name w:val="_Style 182"/>
    <w:basedOn w:val="2"/>
    <w:next w:val="1"/>
    <w:qFormat/>
    <w:uiPriority w:val="39"/>
    <w:pPr>
      <w:spacing w:before="480" w:after="0" w:line="276" w:lineRule="auto"/>
      <w:jc w:val="left"/>
      <w:outlineLvl w:val="9"/>
    </w:pPr>
    <w:rPr>
      <w:rFonts w:hint="default" w:ascii="Cambria" w:hAnsi="Cambria" w:eastAsia="宋体" w:cs="Times New Roman"/>
      <w:color w:val="365F91"/>
      <w:kern w:val="0"/>
      <w:sz w:val="28"/>
      <w:szCs w:val="28"/>
      <w:lang w:val="en-US" w:eastAsia="zh-CN"/>
    </w:rPr>
  </w:style>
  <w:style w:type="paragraph" w:customStyle="1" w:styleId="201">
    <w:name w:val="1.正文"/>
    <w:basedOn w:val="1"/>
    <w:qFormat/>
    <w:uiPriority w:val="0"/>
    <w:pPr>
      <w:spacing w:line="360" w:lineRule="auto"/>
      <w:ind w:left="540" w:leftChars="225" w:firstLine="540" w:firstLineChars="225"/>
    </w:pPr>
    <w:rPr>
      <w:rFonts w:eastAsia="仿宋_GB2312"/>
      <w:kern w:val="0"/>
      <w:sz w:val="24"/>
      <w:szCs w:val="24"/>
    </w:rPr>
  </w:style>
  <w:style w:type="paragraph" w:customStyle="1" w:styleId="202">
    <w:name w:val="不缩进"/>
    <w:basedOn w:val="1"/>
    <w:qFormat/>
    <w:uiPriority w:val="0"/>
    <w:pPr>
      <w:widowControl w:val="0"/>
      <w:jc w:val="center"/>
    </w:pPr>
    <w:rPr>
      <w:rFonts w:hint="default" w:ascii="仿宋_GB2312" w:hAnsi="宋体" w:eastAsia="仿宋_GB2312" w:cs="Times New Roman"/>
      <w:color w:val="auto"/>
      <w:szCs w:val="24"/>
      <w:lang w:val="en-US" w:eastAsia="zh-CN"/>
    </w:rPr>
  </w:style>
  <w:style w:type="paragraph" w:customStyle="1" w:styleId="203">
    <w:name w:val="xl25"/>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2"/>
      <w:szCs w:val="22"/>
      <w:lang w:val="en-US" w:eastAsia="zh-CN"/>
    </w:rPr>
  </w:style>
  <w:style w:type="paragraph" w:customStyle="1" w:styleId="204">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205">
    <w:name w:val="179"/>
    <w:qFormat/>
    <w:uiPriority w:val="0"/>
    <w:pPr>
      <w:ind w:firstLine="420"/>
    </w:pPr>
    <w:rPr>
      <w:rFonts w:hint="eastAsia" w:ascii="Arial Unicode MS" w:hAnsi="Arial Unicode MS" w:eastAsia="Arial Unicode MS" w:cs="Arial Unicode MS"/>
      <w:color w:val="000000"/>
      <w:sz w:val="24"/>
      <w:szCs w:val="24"/>
      <w:lang w:val="en-US" w:eastAsia="zh-CN" w:bidi="ar-SA"/>
    </w:rPr>
  </w:style>
  <w:style w:type="paragraph" w:styleId="206">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07">
    <w:name w:val="xl50"/>
    <w:basedOn w:val="1"/>
    <w:qFormat/>
    <w:uiPriority w:val="0"/>
    <w:pPr>
      <w:pBdr>
        <w:left w:val="single" w:color="auto" w:sz="4" w:space="0"/>
        <w:bottom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208">
    <w:name w:val="UserStyle_161"/>
    <w:qFormat/>
    <w:uiPriority w:val="0"/>
    <w:pPr>
      <w:ind w:firstLine="42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209">
    <w:name w:val="正文_5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0">
    <w:name w:val="xl33"/>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211">
    <w:name w:val="xl40"/>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212">
    <w:name w:val="xl48"/>
    <w:basedOn w:val="1"/>
    <w:qFormat/>
    <w:uiPriority w:val="0"/>
    <w:pPr>
      <w:pBdr>
        <w:top w:val="single" w:color="auto" w:sz="4" w:space="0"/>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213">
    <w:name w:val="xl37"/>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214">
    <w:name w:val="页眉与页脚"/>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215">
    <w:name w:val="xl34"/>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216">
    <w:name w:val="正文_1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7">
    <w:name w:val="xl35"/>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0"/>
      <w:szCs w:val="20"/>
      <w:lang w:val="en-US" w:eastAsia="zh-CN"/>
    </w:rPr>
  </w:style>
  <w:style w:type="paragraph" w:customStyle="1" w:styleId="218">
    <w:name w:val="xl44"/>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19">
    <w:name w:val="正文_6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0">
    <w:name w:val="No Spacing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21">
    <w:name w:val="小标题 3"/>
    <w:next w:val="199"/>
    <w:qFormat/>
    <w:uiPriority w:val="0"/>
    <w:pPr>
      <w:keepNext/>
      <w:keepLines/>
      <w:spacing w:before="360" w:after="120"/>
    </w:pPr>
    <w:rPr>
      <w:rFonts w:ascii="宋体" w:hAnsi="宋体" w:eastAsia="宋体" w:cs="宋体"/>
      <w:b/>
      <w:bCs/>
      <w:color w:val="000000"/>
      <w:sz w:val="24"/>
      <w:szCs w:val="24"/>
      <w:u w:val="single" w:color="000000"/>
      <w:lang w:val="en-US" w:eastAsia="zh-CN" w:bidi="ar-SA"/>
    </w:rPr>
  </w:style>
  <w:style w:type="paragraph" w:customStyle="1" w:styleId="222">
    <w:name w:val="列出段落11"/>
    <w:basedOn w:val="1"/>
    <w:qFormat/>
    <w:uiPriority w:val="0"/>
    <w:pPr>
      <w:ind w:firstLine="420" w:firstLineChars="200"/>
      <w:jc w:val="left"/>
    </w:pPr>
    <w:rPr>
      <w:rFonts w:hint="default" w:ascii="仿宋_GB2312" w:hAnsi="Times New Roman" w:eastAsia="仿宋_GB2312" w:cs="Times New Roman"/>
      <w:color w:val="auto"/>
      <w:kern w:val="0"/>
      <w:sz w:val="24"/>
      <w:szCs w:val="32"/>
      <w:lang w:val="en-US" w:eastAsia="zh-CN"/>
    </w:rPr>
  </w:style>
  <w:style w:type="paragraph" w:customStyle="1" w:styleId="223">
    <w:name w:val="shsj2em2"/>
    <w:basedOn w:val="1"/>
    <w:qFormat/>
    <w:uiPriority w:val="0"/>
    <w:pPr>
      <w:spacing w:line="600" w:lineRule="atLeast"/>
      <w:ind w:firstLine="480"/>
      <w:jc w:val="left"/>
    </w:pPr>
    <w:rPr>
      <w:rFonts w:hint="default" w:ascii="微软雅黑" w:hAnsi="微软雅黑" w:eastAsia="微软雅黑" w:cs="宋体"/>
      <w:kern w:val="0"/>
      <w:lang w:val="en-US" w:eastAsia="zh-CN"/>
    </w:rPr>
  </w:style>
  <w:style w:type="paragraph" w:customStyle="1" w:styleId="224">
    <w:name w:val="font5"/>
    <w:basedOn w:val="1"/>
    <w:qFormat/>
    <w:uiPriority w:val="0"/>
    <w:pPr>
      <w:spacing w:before="100" w:beforeAutospacing="1" w:after="100" w:afterAutospacing="1"/>
      <w:jc w:val="left"/>
    </w:pPr>
    <w:rPr>
      <w:rFonts w:ascii="宋体" w:hAnsi="宋体" w:eastAsia="宋体" w:cs="Times New Roman"/>
      <w:color w:val="auto"/>
      <w:kern w:val="0"/>
      <w:sz w:val="18"/>
      <w:szCs w:val="18"/>
      <w:lang w:val="en-US" w:eastAsia="zh-CN"/>
    </w:rPr>
  </w:style>
  <w:style w:type="paragraph" w:customStyle="1" w:styleId="225">
    <w:name w:val="font8"/>
    <w:basedOn w:val="1"/>
    <w:qFormat/>
    <w:uiPriority w:val="0"/>
    <w:pPr>
      <w:spacing w:before="100" w:beforeAutospacing="1" w:after="100" w:afterAutospacing="1"/>
      <w:jc w:val="left"/>
    </w:pPr>
    <w:rPr>
      <w:rFonts w:ascii="宋体" w:hAnsi="宋体" w:eastAsia="宋体" w:cs="Times New Roman"/>
      <w:color w:val="auto"/>
      <w:kern w:val="0"/>
      <w:sz w:val="20"/>
      <w:szCs w:val="20"/>
      <w:lang w:val="en-US" w:eastAsia="zh-CN"/>
    </w:rPr>
  </w:style>
  <w:style w:type="paragraph" w:customStyle="1" w:styleId="226">
    <w:name w:val="WPSOffice手动目录 2"/>
    <w:qFormat/>
    <w:uiPriority w:val="0"/>
    <w:pPr>
      <w:ind w:left="200" w:leftChars="200"/>
    </w:pPr>
    <w:rPr>
      <w:rFonts w:ascii="Times New Roman" w:hAnsi="Times New Roman" w:eastAsia="宋体" w:cs="Times New Roman"/>
      <w:lang w:val="en-GB" w:eastAsia="zh-CN" w:bidi="ar-SA"/>
    </w:rPr>
  </w:style>
  <w:style w:type="paragraph" w:customStyle="1" w:styleId="227">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28">
    <w:name w:val="默认"/>
    <w:qFormat/>
    <w:uiPriority w:val="0"/>
    <w:pPr>
      <w:spacing w:before="160"/>
    </w:pPr>
    <w:rPr>
      <w:rFonts w:ascii="Helvetica Neue" w:hAnsi="Helvetica Neue" w:eastAsia="Helvetica Neue" w:cs="Helvetica Neue"/>
      <w:color w:val="000000"/>
      <w:sz w:val="24"/>
      <w:szCs w:val="24"/>
      <w:lang w:val="en-US" w:eastAsia="zh-CN" w:bidi="ar-SA"/>
    </w:rPr>
  </w:style>
  <w:style w:type="paragraph" w:customStyle="1" w:styleId="229">
    <w:name w:val="样式 目录 2 + 左侧:  2 字符"/>
    <w:basedOn w:val="40"/>
    <w:qFormat/>
    <w:uiPriority w:val="0"/>
    <w:pPr>
      <w:widowControl w:val="0"/>
      <w:spacing w:after="0" w:line="440" w:lineRule="exact"/>
      <w:ind w:left="200" w:leftChars="200"/>
      <w:jc w:val="both"/>
    </w:pPr>
    <w:rPr>
      <w:rFonts w:ascii="Times New Roman" w:hAnsi="Times New Roman" w:cs="宋体"/>
      <w:kern w:val="2"/>
      <w:sz w:val="24"/>
      <w:szCs w:val="20"/>
    </w:rPr>
  </w:style>
  <w:style w:type="paragraph" w:customStyle="1" w:styleId="230">
    <w:name w:val="xl46"/>
    <w:basedOn w:val="1"/>
    <w:qFormat/>
    <w:uiPriority w:val="0"/>
    <w:pPr>
      <w:pBdr>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31">
    <w:name w:val="Char1 Char Char Char Char Char Char"/>
    <w:basedOn w:val="1"/>
    <w:qFormat/>
    <w:uiPriority w:val="0"/>
    <w:pPr>
      <w:widowControl w:val="0"/>
    </w:pPr>
    <w:rPr>
      <w:rFonts w:hint="default" w:ascii="Tahoma" w:hAnsi="Tahoma" w:eastAsia="宋体" w:cs="Times New Roman"/>
      <w:color w:val="auto"/>
      <w:sz w:val="24"/>
      <w:szCs w:val="20"/>
      <w:lang w:val="en-US" w:eastAsia="zh-CN"/>
    </w:rPr>
  </w:style>
  <w:style w:type="paragraph" w:customStyle="1" w:styleId="232">
    <w:name w:val="xl30"/>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33">
    <w:name w:val="小标题"/>
    <w:next w:val="1"/>
    <w:qFormat/>
    <w:uiPriority w:val="0"/>
    <w:pPr>
      <w:keepNext/>
      <w:keepLines/>
      <w:spacing w:before="240" w:after="120" w:line="300" w:lineRule="auto"/>
      <w:jc w:val="center"/>
    </w:pPr>
    <w:rPr>
      <w:rFonts w:ascii="宋体" w:hAnsi="宋体" w:eastAsia="宋体" w:cs="宋体"/>
      <w:b/>
      <w:bCs/>
      <w:color w:val="000000"/>
      <w:kern w:val="44"/>
      <w:sz w:val="32"/>
      <w:szCs w:val="32"/>
      <w:lang w:val="zh-TW" w:eastAsia="zh-TW" w:bidi="ar-SA"/>
    </w:rPr>
  </w:style>
  <w:style w:type="paragraph" w:customStyle="1" w:styleId="234">
    <w:name w:val="xl31"/>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35">
    <w:name w:val="_Style 13"/>
    <w:basedOn w:val="1"/>
    <w:qFormat/>
    <w:uiPriority w:val="0"/>
    <w:pPr>
      <w:widowControl w:val="0"/>
      <w:ind w:firstLine="420" w:firstLineChars="200"/>
    </w:pPr>
    <w:rPr>
      <w:rFonts w:hint="default" w:ascii="Calibri" w:hAnsi="Calibri" w:eastAsia="宋体" w:cs="Times New Roman"/>
      <w:color w:val="auto"/>
      <w:szCs w:val="22"/>
      <w:lang w:val="en-US" w:eastAsia="zh-CN"/>
    </w:rPr>
  </w:style>
  <w:style w:type="paragraph" w:customStyle="1" w:styleId="236">
    <w:name w:val="UserStyle_92"/>
    <w:qFormat/>
    <w:uiPriority w:val="0"/>
    <w:pPr>
      <w:spacing w:line="360" w:lineRule="auto"/>
      <w:ind w:firstLine="200"/>
      <w:jc w:val="both"/>
    </w:pPr>
    <w:rPr>
      <w:rFonts w:ascii="宋体" w:hAnsi="宋体" w:eastAsia="宋体" w:cs="宋体"/>
      <w:color w:val="000000"/>
      <w:sz w:val="22"/>
      <w:szCs w:val="22"/>
      <w:lang w:val="en-US" w:eastAsia="zh-CN" w:bidi="ar-SA"/>
    </w:rPr>
  </w:style>
  <w:style w:type="paragraph" w:customStyle="1" w:styleId="237">
    <w:name w:val="xl24"/>
    <w:basedOn w:val="1"/>
    <w:qFormat/>
    <w:uiPriority w:val="0"/>
    <w:pPr>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2"/>
      <w:szCs w:val="22"/>
      <w:lang w:val="en-US" w:eastAsia="zh-CN"/>
    </w:rPr>
  </w:style>
  <w:style w:type="paragraph" w:customStyle="1" w:styleId="238">
    <w:name w:val="TOC4"/>
    <w:next w:val="1"/>
    <w:qFormat/>
    <w:uiPriority w:val="0"/>
    <w:pPr>
      <w:ind w:left="1260"/>
      <w:jc w:val="both"/>
    </w:pPr>
    <w:rPr>
      <w:rFonts w:ascii="Times New Roman" w:hAnsi="Times New Roman" w:eastAsia="Arial Unicode MS" w:cs="Arial Unicode MS"/>
      <w:color w:val="000000"/>
      <w:kern w:val="2"/>
      <w:sz w:val="21"/>
      <w:szCs w:val="21"/>
      <w:lang w:val="en-US" w:eastAsia="zh-CN" w:bidi="ar-SA"/>
    </w:rPr>
  </w:style>
  <w:style w:type="paragraph" w:customStyle="1" w:styleId="239">
    <w:name w:val="WPSOffice手动目录 3"/>
    <w:qFormat/>
    <w:uiPriority w:val="0"/>
    <w:pPr>
      <w:ind w:left="400" w:leftChars="400"/>
    </w:pPr>
    <w:rPr>
      <w:rFonts w:ascii="Times New Roman" w:hAnsi="Times New Roman" w:eastAsia="宋体" w:cs="Times New Roman"/>
      <w:lang w:val="en-GB" w:eastAsia="zh-CN" w:bidi="ar-SA"/>
    </w:rPr>
  </w:style>
  <w:style w:type="paragraph" w:customStyle="1" w:styleId="240">
    <w:name w:val="xl51"/>
    <w:basedOn w:val="1"/>
    <w:qFormat/>
    <w:uiPriority w:val="0"/>
    <w:pPr>
      <w:pBdr>
        <w:left w:val="single" w:color="auto" w:sz="4" w:space="0"/>
        <w:bottom w:val="single" w:color="auto" w:sz="8"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table" w:customStyle="1" w:styleId="241">
    <w:name w:val="Table Normal1"/>
    <w:unhideWhenUsed/>
    <w:qFormat/>
    <w:uiPriority w:val="2"/>
    <w:tblPr>
      <w:tblCellMar>
        <w:top w:w="0" w:type="dxa"/>
        <w:left w:w="0" w:type="dxa"/>
        <w:bottom w:w="0" w:type="dxa"/>
        <w:right w:w="0" w:type="dxa"/>
      </w:tblCellMar>
    </w:tblPr>
  </w:style>
  <w:style w:type="table" w:customStyle="1" w:styleId="242">
    <w:name w:val="网格型1"/>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
    <w:name w:val="网格型2"/>
    <w:basedOn w:val="5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
    <w:name w:val="Table Normal"/>
    <w:qFormat/>
    <w:uiPriority w:val="0"/>
    <w:rPr>
      <w:rFonts w:eastAsia="Arial Unicode MS"/>
    </w:rPr>
    <w:tblPr>
      <w:tblCellMar>
        <w:top w:w="0" w:type="dxa"/>
        <w:left w:w="0" w:type="dxa"/>
        <w:bottom w:w="0" w:type="dxa"/>
        <w:right w:w="0" w:type="dxa"/>
      </w:tblCellMar>
    </w:tblPr>
  </w:style>
  <w:style w:type="paragraph" w:customStyle="1" w:styleId="245">
    <w:name w:val="p0"/>
    <w:basedOn w:val="1"/>
    <w:qFormat/>
    <w:uiPriority w:val="0"/>
    <w:rPr>
      <w:rFonts w:ascii="Calibri" w:hAnsi="Calibri" w:eastAsia="宋体" w:cs="Times New Roman"/>
      <w:kern w:val="0"/>
    </w:rPr>
  </w:style>
  <w:style w:type="paragraph" w:customStyle="1" w:styleId="246">
    <w:name w:val="Other|1"/>
    <w:basedOn w:val="1"/>
    <w:qFormat/>
    <w:uiPriority w:val="0"/>
    <w:pPr>
      <w:widowControl w:val="0"/>
      <w:spacing w:line="377" w:lineRule="auto"/>
      <w:ind w:firstLine="400"/>
    </w:pPr>
    <w:rPr>
      <w:rFonts w:ascii="宋体" w:hAnsi="宋体" w:eastAsia="宋体" w:cs="宋体"/>
      <w:sz w:val="28"/>
      <w:szCs w:val="28"/>
      <w:lang w:bidi="zh-TW"/>
    </w:rPr>
  </w:style>
  <w:style w:type="paragraph" w:customStyle="1" w:styleId="247">
    <w:name w:val="Body text|2"/>
    <w:basedOn w:val="1"/>
    <w:qFormat/>
    <w:uiPriority w:val="0"/>
    <w:pPr>
      <w:widowControl w:val="0"/>
      <w:spacing w:after="180"/>
    </w:pPr>
    <w:rPr>
      <w:rFonts w:ascii="宋体" w:hAnsi="宋体" w:eastAsia="宋体" w:cs="宋体"/>
      <w:sz w:val="22"/>
      <w:szCs w:val="22"/>
      <w:lang w:bidi="zh-TW"/>
    </w:rPr>
  </w:style>
  <w:style w:type="paragraph" w:customStyle="1" w:styleId="248">
    <w:name w:val="_Style 231"/>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49">
    <w:name w:val="BodyText1I2"/>
    <w:basedOn w:val="250"/>
    <w:qFormat/>
    <w:uiPriority w:val="0"/>
    <w:pPr>
      <w:ind w:firstLine="420" w:firstLineChars="200"/>
    </w:pPr>
  </w:style>
  <w:style w:type="paragraph" w:customStyle="1" w:styleId="250">
    <w:name w:val="BodyTextIndent"/>
    <w:basedOn w:val="1"/>
    <w:qFormat/>
    <w:uiPriority w:val="0"/>
    <w:pPr>
      <w:spacing w:after="120"/>
      <w:ind w:left="420" w:leftChars="200"/>
      <w:textAlignment w:val="baseline"/>
    </w:pPr>
  </w:style>
  <w:style w:type="character" w:customStyle="1" w:styleId="251">
    <w:name w:val="font91"/>
    <w:qFormat/>
    <w:uiPriority w:val="0"/>
    <w:rPr>
      <w:rFonts w:ascii="宋体" w:hAnsi="宋体" w:eastAsia="宋体" w:cs="宋体"/>
      <w:color w:val="000000"/>
      <w:sz w:val="20"/>
      <w:szCs w:val="20"/>
      <w:u w:val="none"/>
    </w:rPr>
  </w:style>
  <w:style w:type="character" w:customStyle="1" w:styleId="252">
    <w:name w:val="font71"/>
    <w:qFormat/>
    <w:uiPriority w:val="0"/>
    <w:rPr>
      <w:rFonts w:hint="default" w:ascii="Arial" w:hAnsi="Arial" w:cs="Arial"/>
      <w:color w:val="000000"/>
      <w:sz w:val="20"/>
      <w:szCs w:val="20"/>
      <w:u w:val="none"/>
    </w:rPr>
  </w:style>
  <w:style w:type="paragraph" w:customStyle="1" w:styleId="253">
    <w:name w:val="_Style 230"/>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54">
    <w:name w:val="_Style 237"/>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character" w:customStyle="1" w:styleId="255">
    <w:name w:val="font21"/>
    <w:qFormat/>
    <w:uiPriority w:val="0"/>
    <w:rPr>
      <w:rFonts w:hint="eastAsia" w:ascii="宋体" w:hAnsi="宋体" w:eastAsia="宋体" w:cs="宋体"/>
      <w:color w:val="000000"/>
      <w:sz w:val="18"/>
      <w:szCs w:val="18"/>
      <w:u w:val="none"/>
    </w:rPr>
  </w:style>
  <w:style w:type="paragraph" w:customStyle="1" w:styleId="256">
    <w:name w:val="_Style 240"/>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character" w:customStyle="1" w:styleId="257">
    <w:name w:val="font31"/>
    <w:qFormat/>
    <w:uiPriority w:val="0"/>
    <w:rPr>
      <w:rFonts w:hint="default" w:ascii="Times New Roman" w:hAnsi="Times New Roman" w:cs="Times New Roman"/>
      <w:color w:val="000000"/>
      <w:sz w:val="21"/>
      <w:szCs w:val="21"/>
      <w:u w:val="none"/>
    </w:rPr>
  </w:style>
  <w:style w:type="character" w:customStyle="1" w:styleId="258">
    <w:name w:val="font111"/>
    <w:qFormat/>
    <w:uiPriority w:val="0"/>
    <w:rPr>
      <w:rFonts w:hint="default" w:ascii="等线" w:hAnsi="等线" w:eastAsia="等线" w:cs="等线"/>
      <w:color w:val="000000"/>
      <w:sz w:val="18"/>
      <w:szCs w:val="18"/>
      <w:u w:val="none"/>
    </w:rPr>
  </w:style>
  <w:style w:type="character" w:customStyle="1" w:styleId="259">
    <w:name w:val="font122"/>
    <w:qFormat/>
    <w:uiPriority w:val="0"/>
    <w:rPr>
      <w:rFonts w:ascii="黑体" w:hAnsi="宋体" w:eastAsia="黑体" w:cs="黑体"/>
      <w:color w:val="000000"/>
      <w:sz w:val="8"/>
      <w:szCs w:val="8"/>
      <w:u w:val="none"/>
    </w:rPr>
  </w:style>
  <w:style w:type="paragraph" w:customStyle="1" w:styleId="26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61">
    <w:name w:val="未处理的提及1"/>
    <w:unhideWhenUsed/>
    <w:qFormat/>
    <w:uiPriority w:val="99"/>
    <w:rPr>
      <w:color w:val="605E5C"/>
      <w:shd w:val="clear" w:color="auto" w:fill="E1DFDD"/>
    </w:rPr>
  </w:style>
  <w:style w:type="character" w:customStyle="1" w:styleId="262">
    <w:name w:val="hover"/>
    <w:basedOn w:val="54"/>
    <w:qFormat/>
    <w:uiPriority w:val="0"/>
    <w:rPr>
      <w:color w:val="2590EB"/>
    </w:rPr>
  </w:style>
  <w:style w:type="character" w:customStyle="1" w:styleId="263">
    <w:name w:val="hover1"/>
    <w:basedOn w:val="54"/>
    <w:qFormat/>
    <w:uiPriority w:val="0"/>
    <w:rPr>
      <w:color w:val="2590EB"/>
    </w:rPr>
  </w:style>
  <w:style w:type="character" w:customStyle="1" w:styleId="264">
    <w:name w:val="hover2"/>
    <w:basedOn w:val="54"/>
    <w:qFormat/>
    <w:uiPriority w:val="0"/>
  </w:style>
  <w:style w:type="character" w:customStyle="1" w:styleId="265">
    <w:name w:val="hover3"/>
    <w:basedOn w:val="54"/>
    <w:qFormat/>
    <w:uiPriority w:val="0"/>
    <w:rPr>
      <w:color w:val="2590EB"/>
      <w:shd w:val="clear" w:color="auto" w:fill="E9F4FD"/>
    </w:rPr>
  </w:style>
  <w:style w:type="paragraph" w:customStyle="1" w:styleId="266">
    <w:name w:val="无间隔1"/>
    <w:next w:val="26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7">
    <w:name w:val="TOC Heading1"/>
    <w:next w:val="1"/>
    <w:qFormat/>
    <w:uiPriority w:val="0"/>
    <w:pPr>
      <w:wordWrap w:val="0"/>
    </w:pPr>
    <w:rPr>
      <w:rFonts w:ascii="Calibri" w:hAnsi="Calibri" w:eastAsia="宋体" w:cs="Times New Roman"/>
      <w:sz w:val="32"/>
      <w:szCs w:val="22"/>
      <w:lang w:val="en-US" w:eastAsia="zh-CN" w:bidi="ar-SA"/>
    </w:rPr>
  </w:style>
  <w:style w:type="character" w:customStyle="1" w:styleId="268">
    <w:name w:val="font01"/>
    <w:basedOn w:val="54"/>
    <w:qFormat/>
    <w:uiPriority w:val="0"/>
    <w:rPr>
      <w:rFonts w:hint="eastAsia" w:ascii="仿宋_GB2312" w:eastAsia="仿宋_GB2312" w:cs="仿宋_GB2312"/>
      <w:color w:val="000000"/>
      <w:sz w:val="20"/>
      <w:szCs w:val="20"/>
      <w:u w:val="none"/>
    </w:rPr>
  </w:style>
  <w:style w:type="character" w:customStyle="1" w:styleId="269">
    <w:name w:val="font11"/>
    <w:basedOn w:val="54"/>
    <w:qFormat/>
    <w:uiPriority w:val="0"/>
    <w:rPr>
      <w:rFonts w:hint="eastAsia" w:ascii="仿宋_GB2312" w:eastAsia="仿宋_GB2312" w:cs="仿宋_GB2312"/>
      <w:color w:val="000000"/>
      <w:sz w:val="20"/>
      <w:szCs w:val="20"/>
      <w:u w:val="none"/>
    </w:rPr>
  </w:style>
  <w:style w:type="paragraph" w:customStyle="1" w:styleId="270">
    <w:name w:val="Table Text"/>
    <w:basedOn w:val="1"/>
    <w:semiHidden/>
    <w:qFormat/>
    <w:uiPriority w:val="0"/>
    <w:rPr>
      <w:rFonts w:ascii="宋体" w:hAnsi="宋体" w:eastAsia="宋体" w:cs="宋体"/>
      <w:sz w:val="24"/>
      <w:szCs w:val="24"/>
      <w:lang w:val="en-US" w:eastAsia="en-US"/>
    </w:rPr>
  </w:style>
  <w:style w:type="paragraph" w:customStyle="1" w:styleId="271">
    <w:name w:val="Other|2"/>
    <w:basedOn w:val="1"/>
    <w:qFormat/>
    <w:uiPriority w:val="0"/>
    <w:rPr>
      <w:rFonts w:ascii="黑体" w:hAnsi="黑体" w:eastAsia="黑体" w:cs="黑体"/>
      <w:sz w:val="19"/>
      <w:szCs w:val="19"/>
    </w:rPr>
  </w:style>
  <w:style w:type="paragraph" w:customStyle="1" w:styleId="272">
    <w:name w:val="Table caption|1"/>
    <w:basedOn w:val="1"/>
    <w:qFormat/>
    <w:uiPriority w:val="0"/>
    <w:pPr>
      <w:spacing w:after="30"/>
    </w:pPr>
    <w:rPr>
      <w:rFonts w:ascii="宋体" w:hAnsi="宋体" w:eastAsia="宋体" w:cs="宋体"/>
      <w:sz w:val="15"/>
      <w:szCs w:val="15"/>
    </w:rPr>
  </w:style>
  <w:style w:type="paragraph" w:customStyle="1" w:styleId="273">
    <w:name w:val="Header or footer|1"/>
    <w:basedOn w:val="1"/>
    <w:qFormat/>
    <w:uiPriority w:val="0"/>
    <w:rPr>
      <w:rFonts w:ascii="Arial" w:hAnsi="Arial" w:eastAsia="Arial" w:cs="Arial"/>
      <w:sz w:val="18"/>
      <w:szCs w:val="18"/>
    </w:rPr>
  </w:style>
  <w:style w:type="character" w:customStyle="1" w:styleId="274">
    <w:name w:val="font51"/>
    <w:basedOn w:val="54"/>
    <w:qFormat/>
    <w:uiPriority w:val="0"/>
    <w:rPr>
      <w:rFonts w:ascii="黑体" w:hAnsi="宋体" w:eastAsia="黑体" w:cs="黑体"/>
      <w:color w:val="000000"/>
      <w:sz w:val="18"/>
      <w:szCs w:val="18"/>
      <w:u w:val="none"/>
    </w:rPr>
  </w:style>
  <w:style w:type="character" w:customStyle="1" w:styleId="275">
    <w:name w:val="font112"/>
    <w:basedOn w:val="54"/>
    <w:qFormat/>
    <w:uiPriority w:val="0"/>
    <w:rPr>
      <w:rFonts w:ascii="黑体" w:hAnsi="宋体" w:eastAsia="黑体" w:cs="黑体"/>
      <w:b/>
      <w:bCs/>
      <w:color w:val="000000"/>
      <w:sz w:val="8"/>
      <w:szCs w:val="8"/>
      <w:u w:val="none"/>
    </w:rPr>
  </w:style>
  <w:style w:type="character" w:customStyle="1" w:styleId="276">
    <w:name w:val="font121"/>
    <w:basedOn w:val="54"/>
    <w:qFormat/>
    <w:uiPriority w:val="0"/>
    <w:rPr>
      <w:rFonts w:hint="default" w:ascii="Arial" w:hAnsi="Arial" w:cs="Arial"/>
      <w:color w:val="000000"/>
      <w:sz w:val="18"/>
      <w:szCs w:val="18"/>
      <w:u w:val="none"/>
    </w:rPr>
  </w:style>
  <w:style w:type="character" w:customStyle="1" w:styleId="277">
    <w:name w:val="font41"/>
    <w:basedOn w:val="54"/>
    <w:qFormat/>
    <w:uiPriority w:val="0"/>
    <w:rPr>
      <w:rFonts w:hint="default" w:ascii="Arial" w:hAnsi="Arial" w:cs="Arial"/>
      <w:color w:val="000000"/>
      <w:sz w:val="18"/>
      <w:szCs w:val="18"/>
      <w:u w:val="none"/>
    </w:rPr>
  </w:style>
  <w:style w:type="character" w:customStyle="1" w:styleId="278">
    <w:name w:val="font131"/>
    <w:basedOn w:val="54"/>
    <w:qFormat/>
    <w:uiPriority w:val="0"/>
    <w:rPr>
      <w:rFonts w:hint="eastAsia" w:ascii="宋体" w:hAnsi="宋体" w:eastAsia="宋体" w:cs="宋体"/>
      <w:color w:val="000000"/>
      <w:sz w:val="18"/>
      <w:szCs w:val="18"/>
      <w:u w:val="none"/>
    </w:rPr>
  </w:style>
  <w:style w:type="character" w:customStyle="1" w:styleId="279">
    <w:name w:val="font141"/>
    <w:basedOn w:val="54"/>
    <w:qFormat/>
    <w:uiPriority w:val="0"/>
    <w:rPr>
      <w:rFonts w:hint="default" w:ascii="Times New Roman" w:hAnsi="Times New Roman" w:cs="Times New Roman"/>
      <w:color w:val="000000"/>
      <w:sz w:val="18"/>
      <w:szCs w:val="18"/>
      <w:u w:val="none"/>
    </w:rPr>
  </w:style>
  <w:style w:type="character" w:customStyle="1" w:styleId="280">
    <w:name w:val="font151"/>
    <w:basedOn w:val="54"/>
    <w:qFormat/>
    <w:uiPriority w:val="0"/>
    <w:rPr>
      <w:rFonts w:ascii="黑体" w:hAnsi="宋体" w:eastAsia="黑体" w:cs="黑体"/>
      <w:color w:val="FF0000"/>
      <w:sz w:val="8"/>
      <w:szCs w:val="8"/>
      <w:u w:val="none"/>
    </w:rPr>
  </w:style>
  <w:style w:type="character" w:customStyle="1" w:styleId="281">
    <w:name w:val="font161"/>
    <w:basedOn w:val="54"/>
    <w:qFormat/>
    <w:uiPriority w:val="0"/>
    <w:rPr>
      <w:rFonts w:ascii="黑体" w:hAnsi="宋体" w:eastAsia="黑体" w:cs="黑体"/>
      <w:b/>
      <w:bCs/>
      <w:color w:val="000000"/>
      <w:sz w:val="8"/>
      <w:szCs w:val="8"/>
      <w:u w:val="none"/>
    </w:rPr>
  </w:style>
  <w:style w:type="character" w:customStyle="1" w:styleId="282">
    <w:name w:val="font171"/>
    <w:basedOn w:val="54"/>
    <w:qFormat/>
    <w:uiPriority w:val="0"/>
    <w:rPr>
      <w:rFonts w:hint="default" w:ascii="Arial" w:hAnsi="Arial" w:cs="Arial"/>
      <w:color w:val="000000"/>
      <w:sz w:val="18"/>
      <w:szCs w:val="18"/>
      <w:u w:val="none"/>
    </w:rPr>
  </w:style>
  <w:style w:type="character" w:customStyle="1" w:styleId="283">
    <w:name w:val="font181"/>
    <w:basedOn w:val="54"/>
    <w:qFormat/>
    <w:uiPriority w:val="0"/>
    <w:rPr>
      <w:rFonts w:hint="eastAsia" w:ascii="宋体" w:hAnsi="宋体" w:eastAsia="宋体" w:cs="宋体"/>
      <w:color w:val="000000"/>
      <w:sz w:val="18"/>
      <w:szCs w:val="18"/>
      <w:u w:val="none"/>
    </w:rPr>
  </w:style>
  <w:style w:type="character" w:customStyle="1" w:styleId="284">
    <w:name w:val="font191"/>
    <w:basedOn w:val="54"/>
    <w:qFormat/>
    <w:uiPriority w:val="0"/>
    <w:rPr>
      <w:rFonts w:hint="default" w:ascii="Arial" w:hAnsi="Arial" w:cs="Arial"/>
      <w:color w:val="000000"/>
      <w:sz w:val="18"/>
      <w:szCs w:val="18"/>
      <w:u w:val="none"/>
    </w:rPr>
  </w:style>
  <w:style w:type="character" w:customStyle="1" w:styleId="285">
    <w:name w:val="font101"/>
    <w:basedOn w:val="54"/>
    <w:qFormat/>
    <w:uiPriority w:val="0"/>
    <w:rPr>
      <w:rFonts w:hint="eastAsia" w:ascii="黑体" w:hAnsi="宋体" w:eastAsia="黑体" w:cs="黑体"/>
      <w:color w:val="000000"/>
      <w:sz w:val="18"/>
      <w:szCs w:val="18"/>
      <w:u w:val="none"/>
    </w:rPr>
  </w:style>
  <w:style w:type="paragraph" w:customStyle="1" w:styleId="286">
    <w:name w:val="大标题"/>
    <w:basedOn w:val="1"/>
    <w:next w:val="51"/>
    <w:qFormat/>
    <w:uiPriority w:val="0"/>
    <w:pPr>
      <w:widowControl w:val="0"/>
      <w:jc w:val="center"/>
    </w:pPr>
    <w:rPr>
      <w:rFonts w:hint="default" w:ascii="Arial" w:hAnsi="Arial" w:eastAsia="宋体" w:cs="Times New Roman"/>
      <w:b/>
      <w:color w:val="auto"/>
      <w:sz w:val="28"/>
      <w:szCs w:val="24"/>
      <w:lang w:val="en-US" w:eastAsia="zh-CN"/>
    </w:rPr>
  </w:style>
  <w:style w:type="paragraph" w:customStyle="1" w:styleId="287">
    <w:name w:val="样式 宋体 四号 左"/>
    <w:basedOn w:val="1"/>
    <w:qFormat/>
    <w:uiPriority w:val="0"/>
    <w:pPr>
      <w:spacing w:line="60" w:lineRule="auto"/>
      <w:jc w:val="left"/>
    </w:pPr>
    <w:rPr>
      <w:rFonts w:ascii="宋体" w:hAnsi="宋体" w:eastAsia="宋体" w:cs="宋体"/>
      <w:sz w:val="28"/>
      <w:szCs w:val="20"/>
    </w:rPr>
  </w:style>
  <w:style w:type="character" w:customStyle="1" w:styleId="288">
    <w:name w:val="15"/>
    <w:qFormat/>
    <w:uiPriority w:val="0"/>
    <w:rPr>
      <w:rFonts w:hint="eastAsia" w:ascii="黑体" w:hAnsi="宋体" w:eastAsia="黑体" w:cs="黑体"/>
      <w:color w:val="000000"/>
      <w:sz w:val="18"/>
      <w:szCs w:val="18"/>
    </w:rPr>
  </w:style>
  <w:style w:type="character" w:customStyle="1" w:styleId="289">
    <w:name w:val="17"/>
    <w:qFormat/>
    <w:uiPriority w:val="0"/>
    <w:rPr>
      <w:rFonts w:hint="eastAsia" w:ascii="黑体" w:hAnsi="宋体" w:eastAsia="黑体" w:cs="黑体"/>
      <w:b/>
      <w:bCs/>
      <w:color w:val="000000"/>
      <w:sz w:val="8"/>
      <w:szCs w:val="8"/>
    </w:rPr>
  </w:style>
  <w:style w:type="character" w:customStyle="1" w:styleId="290">
    <w:name w:val="19"/>
    <w:qFormat/>
    <w:uiPriority w:val="0"/>
    <w:rPr>
      <w:rFonts w:hint="eastAsia" w:ascii="黑体" w:hAnsi="宋体" w:eastAsia="黑体" w:cs="黑体"/>
      <w:color w:val="FF0000"/>
      <w:sz w:val="8"/>
      <w:szCs w:val="8"/>
    </w:rPr>
  </w:style>
  <w:style w:type="paragraph" w:customStyle="1" w:styleId="291">
    <w:name w:val="修订1"/>
    <w:hidden/>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92">
    <w:name w:val="修订2"/>
    <w:hidden/>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93">
    <w:name w:val="修订3"/>
    <w:hidden/>
    <w:semiHidden/>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94">
    <w:name w:val="Revision"/>
    <w:hidden/>
    <w:unhideWhenUsed/>
    <w:qFormat/>
    <w:uiPriority w:val="99"/>
    <w:rPr>
      <w:rFonts w:hint="eastAsia" w:ascii="Arial Unicode MS" w:hAnsi="Arial Unicode MS" w:eastAsia="Arial Unicode MS" w:cs="Arial Unicode MS"/>
      <w:color w:val="000000"/>
      <w:kern w:val="2"/>
      <w:sz w:val="21"/>
      <w:szCs w:val="21"/>
      <w:lang w:val="zh-TW" w:eastAsia="zh-TW"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10.xml"/><Relationship Id="rId15" Type="http://schemas.openxmlformats.org/officeDocument/2006/relationships/header" Target="header4.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140</Pages>
  <Words>20719</Words>
  <Characters>21939</Characters>
  <Lines>542</Lines>
  <Paragraphs>152</Paragraphs>
  <TotalTime>0</TotalTime>
  <ScaleCrop>false</ScaleCrop>
  <LinksUpToDate>false</LinksUpToDate>
  <CharactersWithSpaces>22979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2026-07-31T01:54:00Z</dcterms:created>
  <dc:creator>Administrator</dc:creator>
  <cp:lastModifiedBy>37506</cp:lastModifiedBy>
  <cp:lastPrinted>2026-07-17T16:23:00Z</cp:lastPrinted>
  <dcterms:modified xsi:type="dcterms:W3CDTF">2026-09-24T08:39:32Z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3ADF3D9B53BC49A29F79F3291460AB52_13</vt:lpwstr>
  </property>
  <property fmtid="{D5CDD505-2E9C-101B-9397-08002B2CF9AE}" pid="4" name="KSOTemplateDocerSaveRecord">
    <vt:lpwstr>eyJoZGlkIjoiODU1MzFhYzhmZjhiNDYxODI2ODA4MjU5OTdjNTI2NGIiLCJ1c2VySWQiOiIzNDk0NzYxNTcifQ==</vt:lpwstr>
  </property>
</Properties>
</file>